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4232F" w14:textId="54EB8453" w:rsidR="00535BCE" w:rsidRPr="00640DC5" w:rsidRDefault="00535BCE" w:rsidP="00535BCE">
      <w:pPr>
        <w:bidi/>
        <w:jc w:val="both"/>
        <w:rPr>
          <w:b/>
          <w:bCs/>
          <w:sz w:val="40"/>
          <w:szCs w:val="40"/>
          <w:u w:val="single"/>
          <w:rtl/>
        </w:rPr>
      </w:pPr>
      <w:r w:rsidRPr="00640DC5">
        <w:rPr>
          <w:rFonts w:hint="cs"/>
          <w:b/>
          <w:bCs/>
          <w:sz w:val="40"/>
          <w:szCs w:val="40"/>
          <w:u w:val="single"/>
          <w:rtl/>
        </w:rPr>
        <w:t>היגדים ניהול</w:t>
      </w:r>
      <w:r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CD4338">
        <w:rPr>
          <w:rFonts w:hint="cs"/>
          <w:b/>
          <w:bCs/>
          <w:sz w:val="40"/>
          <w:szCs w:val="40"/>
          <w:u w:val="single"/>
          <w:rtl/>
        </w:rPr>
        <w:t>11.6</w:t>
      </w:r>
    </w:p>
    <w:p w14:paraId="2D96A7FA" w14:textId="77777777" w:rsidR="00535BCE" w:rsidRPr="00AE63E1" w:rsidRDefault="00535BCE" w:rsidP="00535BCE">
      <w:pPr>
        <w:bidi/>
        <w:jc w:val="both"/>
        <w:rPr>
          <w:sz w:val="40"/>
          <w:szCs w:val="40"/>
          <w:rtl/>
        </w:rPr>
      </w:pPr>
      <w:r w:rsidRPr="00AE63E1">
        <w:rPr>
          <w:rFonts w:hint="cs"/>
          <w:sz w:val="40"/>
          <w:szCs w:val="40"/>
          <w:rtl/>
        </w:rPr>
        <w:t>יש לכתוב נכון או לא נכון ולנמק באמצעות מלל כולל סעיף חוק או פסק דין אם נלמדו.</w:t>
      </w:r>
    </w:p>
    <w:p w14:paraId="07B6FCDD" w14:textId="77777777" w:rsidR="00535BCE" w:rsidRDefault="00535BCE" w:rsidP="00535BCE">
      <w:pPr>
        <w:pStyle w:val="a9"/>
        <w:bidi/>
        <w:jc w:val="both"/>
        <w:rPr>
          <w:sz w:val="40"/>
          <w:szCs w:val="40"/>
        </w:rPr>
      </w:pPr>
    </w:p>
    <w:p w14:paraId="120F5200" w14:textId="77777777" w:rsidR="00535BCE" w:rsidRDefault="00535BCE" w:rsidP="00535BCE">
      <w:pPr>
        <w:pStyle w:val="a9"/>
        <w:bidi/>
        <w:jc w:val="both"/>
        <w:rPr>
          <w:sz w:val="40"/>
          <w:szCs w:val="40"/>
        </w:rPr>
      </w:pPr>
    </w:p>
    <w:p w14:paraId="70C987D0" w14:textId="240A9C3D" w:rsidR="00535BCE" w:rsidRDefault="00CF4197" w:rsidP="00535BCE">
      <w:pPr>
        <w:pStyle w:val="a9"/>
        <w:numPr>
          <w:ilvl w:val="0"/>
          <w:numId w:val="1"/>
        </w:numPr>
        <w:bidi/>
        <w:jc w:val="both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הצעה מזכה ניתן לקבל רק באמצעות קיבול מפורש.</w:t>
      </w:r>
    </w:p>
    <w:p w14:paraId="7E6C3124" w14:textId="2E9599EF" w:rsidR="00535BCE" w:rsidRPr="00B3389A" w:rsidRDefault="00B3389A" w:rsidP="00535BCE">
      <w:pPr>
        <w:pStyle w:val="a9"/>
        <w:bidi/>
        <w:jc w:val="both"/>
        <w:rPr>
          <w:color w:val="EE0000"/>
          <w:sz w:val="40"/>
          <w:szCs w:val="40"/>
        </w:rPr>
      </w:pPr>
      <w:r w:rsidRPr="00B3389A">
        <w:rPr>
          <w:rFonts w:hint="cs"/>
          <w:color w:val="EE0000"/>
          <w:sz w:val="40"/>
          <w:szCs w:val="40"/>
          <w:rtl/>
        </w:rPr>
        <w:t>לא נכון קיימת חזקת קיבול סעיף 7</w:t>
      </w:r>
    </w:p>
    <w:p w14:paraId="17A63894" w14:textId="7DD27A69" w:rsidR="00535BCE" w:rsidRDefault="00CF4197" w:rsidP="00535BCE">
      <w:pPr>
        <w:pStyle w:val="a9"/>
        <w:numPr>
          <w:ilvl w:val="0"/>
          <w:numId w:val="1"/>
        </w:numPr>
        <w:bidi/>
        <w:jc w:val="both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אי גילוי פרט שחובה לגלותו הינו חוסר תום לב וגם הטעיה אם נכרת חוזה.</w:t>
      </w:r>
    </w:p>
    <w:p w14:paraId="5ED53B0A" w14:textId="3A9F8851" w:rsidR="00535BCE" w:rsidRPr="00640DC5" w:rsidRDefault="00B3389A" w:rsidP="00B3389A">
      <w:pPr>
        <w:pStyle w:val="a9"/>
        <w:bidi/>
        <w:rPr>
          <w:sz w:val="40"/>
          <w:szCs w:val="40"/>
          <w:rtl/>
        </w:rPr>
      </w:pPr>
      <w:r w:rsidRPr="00B3389A">
        <w:rPr>
          <w:rFonts w:hint="cs"/>
          <w:color w:val="EE0000"/>
          <w:sz w:val="40"/>
          <w:szCs w:val="40"/>
          <w:rtl/>
        </w:rPr>
        <w:t>נכון סעיף 12, סעיף 15</w:t>
      </w:r>
    </w:p>
    <w:p w14:paraId="3546CE18" w14:textId="469690E6" w:rsidR="00535BCE" w:rsidRDefault="00535BCE" w:rsidP="00535BCE">
      <w:pPr>
        <w:pStyle w:val="a9"/>
        <w:numPr>
          <w:ilvl w:val="0"/>
          <w:numId w:val="1"/>
        </w:numPr>
        <w:bidi/>
        <w:jc w:val="both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</w:t>
      </w:r>
      <w:r w:rsidR="00CF4197">
        <w:rPr>
          <w:rFonts w:hint="cs"/>
          <w:sz w:val="40"/>
          <w:szCs w:val="40"/>
          <w:rtl/>
        </w:rPr>
        <w:t xml:space="preserve">אם חסרים עיקרי הפרטים בזיכרון דברים, בית משפט רשאי להשלימם. </w:t>
      </w:r>
    </w:p>
    <w:p w14:paraId="785D31ED" w14:textId="2431BC9A" w:rsidR="00535BCE" w:rsidRPr="00B3389A" w:rsidRDefault="00B3389A" w:rsidP="00B3389A">
      <w:pPr>
        <w:pStyle w:val="a9"/>
        <w:bidi/>
        <w:rPr>
          <w:color w:val="EE0000"/>
          <w:sz w:val="40"/>
          <w:szCs w:val="40"/>
          <w:rtl/>
        </w:rPr>
      </w:pPr>
      <w:r w:rsidRPr="00B3389A">
        <w:rPr>
          <w:rFonts w:hint="cs"/>
          <w:color w:val="EE0000"/>
          <w:sz w:val="40"/>
          <w:szCs w:val="40"/>
          <w:rtl/>
        </w:rPr>
        <w:t>לא נכון. ניתן להשלים רק פרטים שאינם עיקר כי בלי עיקר אין בכלל חוזה, סעיף 26</w:t>
      </w:r>
    </w:p>
    <w:p w14:paraId="2A514EAE" w14:textId="4703D553" w:rsidR="00535BCE" w:rsidRDefault="00CF4197" w:rsidP="00535BCE">
      <w:pPr>
        <w:pStyle w:val="a9"/>
        <w:numPr>
          <w:ilvl w:val="0"/>
          <w:numId w:val="1"/>
        </w:numPr>
        <w:bidi/>
        <w:jc w:val="both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קיבול בהתנהגות אפשרי בכל סוג של הצעה.</w:t>
      </w:r>
    </w:p>
    <w:p w14:paraId="0C442D2D" w14:textId="328BC78B" w:rsidR="00535BCE" w:rsidRPr="00B3389A" w:rsidRDefault="00B3389A" w:rsidP="00B3389A">
      <w:pPr>
        <w:pStyle w:val="a9"/>
        <w:bidi/>
        <w:rPr>
          <w:color w:val="EE0000"/>
          <w:sz w:val="40"/>
          <w:szCs w:val="40"/>
          <w:rtl/>
        </w:rPr>
      </w:pPr>
      <w:r w:rsidRPr="00B3389A">
        <w:rPr>
          <w:rFonts w:hint="cs"/>
          <w:color w:val="EE0000"/>
          <w:sz w:val="40"/>
          <w:szCs w:val="40"/>
          <w:rtl/>
        </w:rPr>
        <w:t>לא נכון, סעיף 6א רק בהצעות שזה משתמע מהן</w:t>
      </w:r>
    </w:p>
    <w:p w14:paraId="2E85C129" w14:textId="3586B1D5" w:rsidR="00535BCE" w:rsidRDefault="00CD4338" w:rsidP="00535BCE">
      <w:pPr>
        <w:pStyle w:val="a9"/>
        <w:numPr>
          <w:ilvl w:val="0"/>
          <w:numId w:val="1"/>
        </w:numPr>
        <w:bidi/>
        <w:jc w:val="both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ניצע רשאי להתחרט מקיבול אם הודעת החזרה הגיעה לניצע לא לאחר הודעת הקיבול.</w:t>
      </w:r>
    </w:p>
    <w:p w14:paraId="4D3C534C" w14:textId="6E73C061" w:rsidR="00B3389A" w:rsidRPr="00B3389A" w:rsidRDefault="00B3389A" w:rsidP="00B3389A">
      <w:pPr>
        <w:pStyle w:val="a9"/>
        <w:bidi/>
        <w:jc w:val="both"/>
        <w:rPr>
          <w:color w:val="EE0000"/>
          <w:sz w:val="40"/>
          <w:szCs w:val="40"/>
        </w:rPr>
      </w:pPr>
      <w:r w:rsidRPr="00B3389A">
        <w:rPr>
          <w:rFonts w:hint="cs"/>
          <w:color w:val="EE0000"/>
          <w:sz w:val="40"/>
          <w:szCs w:val="40"/>
          <w:rtl/>
        </w:rPr>
        <w:t>נכון סעיף 10</w:t>
      </w:r>
    </w:p>
    <w:p w14:paraId="5C500301" w14:textId="77777777" w:rsidR="00535BCE" w:rsidRPr="00AE63E1" w:rsidRDefault="00535BCE" w:rsidP="00535BCE">
      <w:pPr>
        <w:pStyle w:val="a9"/>
        <w:bidi/>
        <w:jc w:val="both"/>
        <w:rPr>
          <w:sz w:val="40"/>
          <w:szCs w:val="40"/>
        </w:rPr>
      </w:pPr>
    </w:p>
    <w:p w14:paraId="201AFB29" w14:textId="77777777" w:rsidR="001D542F" w:rsidRDefault="001D542F"/>
    <w:sectPr w:rsidR="001D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5037FC"/>
    <w:multiLevelType w:val="hybridMultilevel"/>
    <w:tmpl w:val="6450A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315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CE"/>
    <w:rsid w:val="000B2244"/>
    <w:rsid w:val="001A3089"/>
    <w:rsid w:val="001B2A49"/>
    <w:rsid w:val="001D542F"/>
    <w:rsid w:val="00535BCE"/>
    <w:rsid w:val="00813C84"/>
    <w:rsid w:val="00AC682E"/>
    <w:rsid w:val="00B3389A"/>
    <w:rsid w:val="00CD4338"/>
    <w:rsid w:val="00CF4197"/>
    <w:rsid w:val="00D71EFD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259A"/>
  <w15:chartTrackingRefBased/>
  <w15:docId w15:val="{8CB2A22D-73A7-460C-AE59-67D7BE66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BCE"/>
  </w:style>
  <w:style w:type="paragraph" w:styleId="1">
    <w:name w:val="heading 1"/>
    <w:basedOn w:val="a"/>
    <w:next w:val="a"/>
    <w:link w:val="10"/>
    <w:uiPriority w:val="9"/>
    <w:qFormat/>
    <w:rsid w:val="0053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3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3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3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35B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35BC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35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35B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35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35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3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3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35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B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35B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5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Korman Nava</dc:creator>
  <cp:keywords/>
  <dc:description/>
  <cp:lastModifiedBy>נדב אשכנזי</cp:lastModifiedBy>
  <cp:revision>2</cp:revision>
  <dcterms:created xsi:type="dcterms:W3CDTF">2026-07-26T13:17:00Z</dcterms:created>
  <dcterms:modified xsi:type="dcterms:W3CDTF">2026-07-26T13:17:00Z</dcterms:modified>
</cp:coreProperties>
</file>