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D5F862" w14:textId="6D0F35CE" w:rsidR="001D542F" w:rsidRPr="00663D17" w:rsidRDefault="00663D17" w:rsidP="00663D17">
      <w:pPr>
        <w:pStyle w:val="a9"/>
        <w:numPr>
          <w:ilvl w:val="0"/>
          <w:numId w:val="1"/>
        </w:numPr>
        <w:bidi/>
        <w:rPr>
          <w:sz w:val="40"/>
          <w:szCs w:val="40"/>
          <w:rtl/>
        </w:rPr>
      </w:pPr>
      <w:r w:rsidRPr="00663D17">
        <w:rPr>
          <w:rFonts w:hint="cs"/>
          <w:sz w:val="40"/>
          <w:szCs w:val="40"/>
          <w:rtl/>
        </w:rPr>
        <w:t xml:space="preserve">החובה לנהוג בתום לב במשא ומתן חלה על כל מי שמשתתף במשא ומתן גם אם בסוף </w:t>
      </w:r>
      <w:r>
        <w:rPr>
          <w:rFonts w:hint="cs"/>
          <w:sz w:val="40"/>
          <w:szCs w:val="40"/>
          <w:rtl/>
        </w:rPr>
        <w:t xml:space="preserve">הוא </w:t>
      </w:r>
      <w:r w:rsidRPr="00663D17">
        <w:rPr>
          <w:rFonts w:hint="cs"/>
          <w:sz w:val="40"/>
          <w:szCs w:val="40"/>
          <w:rtl/>
        </w:rPr>
        <w:t>לא יהיה צד לחוזה הצפוי</w:t>
      </w:r>
    </w:p>
    <w:p w14:paraId="26A5BDD0" w14:textId="77777777" w:rsidR="00663D17" w:rsidRPr="00663D17" w:rsidRDefault="00663D17" w:rsidP="00663D17">
      <w:pPr>
        <w:bidi/>
        <w:rPr>
          <w:sz w:val="40"/>
          <w:szCs w:val="40"/>
          <w:rtl/>
        </w:rPr>
      </w:pPr>
    </w:p>
    <w:p w14:paraId="36216987" w14:textId="62955377" w:rsidR="00663D17" w:rsidRPr="00663D17" w:rsidRDefault="00663D17" w:rsidP="00663D17">
      <w:pPr>
        <w:pStyle w:val="a9"/>
        <w:numPr>
          <w:ilvl w:val="0"/>
          <w:numId w:val="1"/>
        </w:numPr>
        <w:bidi/>
        <w:rPr>
          <w:sz w:val="40"/>
          <w:szCs w:val="40"/>
          <w:rtl/>
        </w:rPr>
      </w:pPr>
      <w:r w:rsidRPr="00663D17">
        <w:rPr>
          <w:rFonts w:hint="cs"/>
          <w:sz w:val="40"/>
          <w:szCs w:val="40"/>
          <w:rtl/>
        </w:rPr>
        <w:t>מודעה הקובעת כי התמורה הנדרשת עבור רכב היא בהתאם למחירון לוי יצחק אינה נחשבת להצעה כיון שאין מסוימות</w:t>
      </w:r>
    </w:p>
    <w:p w14:paraId="303EAB5A" w14:textId="77777777" w:rsidR="00663D17" w:rsidRPr="00663D17" w:rsidRDefault="00663D17" w:rsidP="00663D17">
      <w:pPr>
        <w:bidi/>
        <w:rPr>
          <w:sz w:val="40"/>
          <w:szCs w:val="40"/>
          <w:rtl/>
        </w:rPr>
      </w:pPr>
    </w:p>
    <w:p w14:paraId="13A28035" w14:textId="01D8C69F" w:rsidR="00663D17" w:rsidRPr="00663D17" w:rsidRDefault="00663D17" w:rsidP="00663D17">
      <w:pPr>
        <w:pStyle w:val="a9"/>
        <w:numPr>
          <w:ilvl w:val="0"/>
          <w:numId w:val="1"/>
        </w:numPr>
        <w:bidi/>
        <w:rPr>
          <w:sz w:val="40"/>
          <w:szCs w:val="40"/>
          <w:rtl/>
        </w:rPr>
      </w:pPr>
      <w:r w:rsidRPr="00663D17">
        <w:rPr>
          <w:rFonts w:hint="cs"/>
          <w:sz w:val="40"/>
          <w:szCs w:val="40"/>
          <w:rtl/>
        </w:rPr>
        <w:t>הצעה שניתן לקבל בהתנהגות אינה מאפשרת למציע להתחרט</w:t>
      </w:r>
    </w:p>
    <w:p w14:paraId="1E90333C" w14:textId="77777777" w:rsidR="00663D17" w:rsidRPr="00663D17" w:rsidRDefault="00663D17" w:rsidP="00663D17">
      <w:pPr>
        <w:bidi/>
        <w:rPr>
          <w:sz w:val="40"/>
          <w:szCs w:val="40"/>
          <w:rtl/>
        </w:rPr>
      </w:pPr>
    </w:p>
    <w:p w14:paraId="799F4C98" w14:textId="543EC304" w:rsidR="00663D17" w:rsidRDefault="00663D17" w:rsidP="00663D17">
      <w:pPr>
        <w:pStyle w:val="a9"/>
        <w:numPr>
          <w:ilvl w:val="0"/>
          <w:numId w:val="1"/>
        </w:numPr>
        <w:bidi/>
        <w:rPr>
          <w:sz w:val="40"/>
          <w:szCs w:val="40"/>
        </w:rPr>
      </w:pPr>
      <w:r w:rsidRPr="00663D17">
        <w:rPr>
          <w:rFonts w:hint="cs"/>
          <w:sz w:val="40"/>
          <w:szCs w:val="40"/>
          <w:rtl/>
        </w:rPr>
        <w:t>זיכרו</w:t>
      </w:r>
      <w:r w:rsidRPr="00663D17">
        <w:rPr>
          <w:rFonts w:hint="eastAsia"/>
          <w:sz w:val="40"/>
          <w:szCs w:val="40"/>
          <w:rtl/>
        </w:rPr>
        <w:t>ן</w:t>
      </w:r>
      <w:r w:rsidRPr="00663D17">
        <w:rPr>
          <w:rFonts w:hint="cs"/>
          <w:sz w:val="40"/>
          <w:szCs w:val="40"/>
          <w:rtl/>
        </w:rPr>
        <w:t xml:space="preserve"> דברים יכול לחייב את הצדדים גם אם הם תכננו לערוך חוזה מחייב בהמשך</w:t>
      </w:r>
    </w:p>
    <w:p w14:paraId="76D6544A" w14:textId="77777777" w:rsidR="00663D17" w:rsidRPr="00663D17" w:rsidRDefault="00663D17" w:rsidP="00663D17">
      <w:pPr>
        <w:pStyle w:val="a9"/>
        <w:rPr>
          <w:sz w:val="40"/>
          <w:szCs w:val="40"/>
          <w:rtl/>
        </w:rPr>
      </w:pPr>
    </w:p>
    <w:p w14:paraId="460F1AA0" w14:textId="77777777" w:rsidR="00663D17" w:rsidRPr="00663D17" w:rsidRDefault="00663D17" w:rsidP="00663D17">
      <w:pPr>
        <w:pStyle w:val="a9"/>
        <w:numPr>
          <w:ilvl w:val="0"/>
          <w:numId w:val="1"/>
        </w:numPr>
        <w:bidi/>
        <w:rPr>
          <w:sz w:val="40"/>
          <w:szCs w:val="40"/>
          <w:rtl/>
        </w:rPr>
      </w:pPr>
      <w:r w:rsidRPr="00663D17">
        <w:rPr>
          <w:rFonts w:hint="cs"/>
          <w:sz w:val="40"/>
          <w:szCs w:val="40"/>
          <w:rtl/>
        </w:rPr>
        <w:t>הודעת חרטה של ניצע הגיעה בדיוק באותו רגע עם הודעת הקיבול שלו- בנסיבות אלו אין חוזה.</w:t>
      </w:r>
    </w:p>
    <w:p w14:paraId="2E5465E8" w14:textId="77777777" w:rsidR="00663D17" w:rsidRPr="00663D17" w:rsidRDefault="00663D17" w:rsidP="00663D17">
      <w:pPr>
        <w:pStyle w:val="a9"/>
        <w:bidi/>
        <w:rPr>
          <w:sz w:val="40"/>
          <w:szCs w:val="40"/>
          <w:rtl/>
        </w:rPr>
      </w:pPr>
    </w:p>
    <w:p w14:paraId="0B466C17" w14:textId="77777777" w:rsidR="00663D17" w:rsidRDefault="00663D17" w:rsidP="00663D17">
      <w:pPr>
        <w:bidi/>
        <w:rPr>
          <w:rtl/>
        </w:rPr>
      </w:pPr>
    </w:p>
    <w:p w14:paraId="1896F871" w14:textId="1EED3442" w:rsidR="00A21AC4" w:rsidRDefault="00A21AC4" w:rsidP="00663D17">
      <w:pPr>
        <w:bidi/>
        <w:rPr>
          <w:sz w:val="44"/>
          <w:szCs w:val="44"/>
          <w:highlight w:val="yellow"/>
          <w:rtl/>
        </w:rPr>
      </w:pPr>
      <w:r w:rsidRPr="00A21AC4">
        <w:rPr>
          <w:rFonts w:hint="cs"/>
          <w:sz w:val="44"/>
          <w:szCs w:val="44"/>
          <w:highlight w:val="yellow"/>
          <w:rtl/>
        </w:rPr>
        <w:t>תשובות בעמוד הבא</w:t>
      </w:r>
    </w:p>
    <w:p w14:paraId="0CFA7802" w14:textId="77777777" w:rsidR="00A21AC4" w:rsidRDefault="00A21AC4">
      <w:pPr>
        <w:rPr>
          <w:sz w:val="44"/>
          <w:szCs w:val="44"/>
          <w:highlight w:val="yellow"/>
          <w:rtl/>
        </w:rPr>
      </w:pPr>
      <w:r>
        <w:rPr>
          <w:sz w:val="44"/>
          <w:szCs w:val="44"/>
          <w:highlight w:val="yellow"/>
          <w:rtl/>
        </w:rPr>
        <w:br w:type="page"/>
      </w:r>
    </w:p>
    <w:p w14:paraId="7FDAA8C2" w14:textId="77777777" w:rsidR="00A21AC4" w:rsidRPr="00663D17" w:rsidRDefault="00A21AC4" w:rsidP="00A21AC4">
      <w:pPr>
        <w:pStyle w:val="a9"/>
        <w:numPr>
          <w:ilvl w:val="0"/>
          <w:numId w:val="2"/>
        </w:numPr>
        <w:bidi/>
        <w:rPr>
          <w:sz w:val="40"/>
          <w:szCs w:val="40"/>
          <w:rtl/>
        </w:rPr>
      </w:pPr>
      <w:r w:rsidRPr="00663D17">
        <w:rPr>
          <w:rFonts w:hint="cs"/>
          <w:sz w:val="40"/>
          <w:szCs w:val="40"/>
          <w:rtl/>
        </w:rPr>
        <w:lastRenderedPageBreak/>
        <w:t xml:space="preserve">החובה לנהוג בתום לב במשא ומתן חלה על כל מי שמשתתף במשא ומתן גם אם בסוף </w:t>
      </w:r>
      <w:r>
        <w:rPr>
          <w:rFonts w:hint="cs"/>
          <w:sz w:val="40"/>
          <w:szCs w:val="40"/>
          <w:rtl/>
        </w:rPr>
        <w:t xml:space="preserve">הוא </w:t>
      </w:r>
      <w:r w:rsidRPr="00663D17">
        <w:rPr>
          <w:rFonts w:hint="cs"/>
          <w:sz w:val="40"/>
          <w:szCs w:val="40"/>
          <w:rtl/>
        </w:rPr>
        <w:t>לא יהיה צד לחוזה הצפוי</w:t>
      </w:r>
    </w:p>
    <w:p w14:paraId="028917FC" w14:textId="77777777" w:rsidR="00A21AC4" w:rsidRPr="00864D72" w:rsidRDefault="00A21AC4" w:rsidP="00A21AC4">
      <w:pPr>
        <w:bidi/>
        <w:rPr>
          <w:color w:val="FF0000"/>
          <w:sz w:val="40"/>
          <w:szCs w:val="40"/>
          <w:rtl/>
        </w:rPr>
      </w:pPr>
      <w:r w:rsidRPr="00864D72">
        <w:rPr>
          <w:rFonts w:hint="cs"/>
          <w:color w:val="FF0000"/>
          <w:sz w:val="40"/>
          <w:szCs w:val="40"/>
          <w:rtl/>
        </w:rPr>
        <w:t>נכון סעיף 12(א) מחיל את חובת תום הלב על כל צד שנטל חלק במו"מ</w:t>
      </w:r>
    </w:p>
    <w:p w14:paraId="6069DB9D" w14:textId="77777777" w:rsidR="00A21AC4" w:rsidRPr="00663D17" w:rsidRDefault="00A21AC4" w:rsidP="00A21AC4">
      <w:pPr>
        <w:pStyle w:val="a9"/>
        <w:numPr>
          <w:ilvl w:val="0"/>
          <w:numId w:val="2"/>
        </w:numPr>
        <w:bidi/>
        <w:rPr>
          <w:sz w:val="40"/>
          <w:szCs w:val="40"/>
          <w:rtl/>
        </w:rPr>
      </w:pPr>
      <w:r w:rsidRPr="00663D17">
        <w:rPr>
          <w:rFonts w:hint="cs"/>
          <w:sz w:val="40"/>
          <w:szCs w:val="40"/>
          <w:rtl/>
        </w:rPr>
        <w:t>מודעה הקובעת כי התמורה הנדרשת עבור רכב היא בהתאם למחירון לוי יצחק אינה נחשבת להצעה כיון שאין מסוימות</w:t>
      </w:r>
    </w:p>
    <w:p w14:paraId="581AF14D" w14:textId="77777777" w:rsidR="00A21AC4" w:rsidRPr="00864D72" w:rsidRDefault="00A21AC4" w:rsidP="00A21AC4">
      <w:pPr>
        <w:bidi/>
        <w:rPr>
          <w:color w:val="FF0000"/>
          <w:sz w:val="40"/>
          <w:szCs w:val="40"/>
          <w:rtl/>
        </w:rPr>
      </w:pPr>
      <w:r w:rsidRPr="00864D72">
        <w:rPr>
          <w:rFonts w:hint="cs"/>
          <w:color w:val="FF0000"/>
          <w:sz w:val="40"/>
          <w:szCs w:val="40"/>
          <w:rtl/>
        </w:rPr>
        <w:t>לא נכון דרישת המסוימות מסתפקת בעיקרי הדברים. הפניה למחירון שווה לנקיבת המחיר.</w:t>
      </w:r>
      <w:r>
        <w:rPr>
          <w:rFonts w:hint="cs"/>
          <w:color w:val="FF0000"/>
          <w:sz w:val="40"/>
          <w:szCs w:val="40"/>
          <w:rtl/>
        </w:rPr>
        <w:t xml:space="preserve"> מדובר בהצעה לפי סעיף 2.</w:t>
      </w:r>
    </w:p>
    <w:p w14:paraId="1CA7EA98" w14:textId="77777777" w:rsidR="00A21AC4" w:rsidRPr="00663D17" w:rsidRDefault="00A21AC4" w:rsidP="00A21AC4">
      <w:pPr>
        <w:pStyle w:val="a9"/>
        <w:numPr>
          <w:ilvl w:val="0"/>
          <w:numId w:val="2"/>
        </w:numPr>
        <w:bidi/>
        <w:rPr>
          <w:sz w:val="40"/>
          <w:szCs w:val="40"/>
          <w:rtl/>
        </w:rPr>
      </w:pPr>
      <w:r w:rsidRPr="00663D17">
        <w:rPr>
          <w:rFonts w:hint="cs"/>
          <w:sz w:val="40"/>
          <w:szCs w:val="40"/>
          <w:rtl/>
        </w:rPr>
        <w:t>הצעה שניתן לקבל בהתנהגות אינה מאפשרת למציע להתחרט</w:t>
      </w:r>
    </w:p>
    <w:p w14:paraId="70DF97F7" w14:textId="77777777" w:rsidR="00A21AC4" w:rsidRPr="00864D72" w:rsidRDefault="00A21AC4" w:rsidP="00A21AC4">
      <w:pPr>
        <w:bidi/>
        <w:rPr>
          <w:color w:val="FF0000"/>
          <w:sz w:val="40"/>
          <w:szCs w:val="40"/>
          <w:rtl/>
        </w:rPr>
      </w:pPr>
      <w:r w:rsidRPr="00864D72">
        <w:rPr>
          <w:rFonts w:hint="cs"/>
          <w:color w:val="FF0000"/>
          <w:sz w:val="40"/>
          <w:szCs w:val="40"/>
          <w:rtl/>
        </w:rPr>
        <w:t>לא נכון סעיף 6(א) מאפשר חרטה מהצעה שניתן לקבל בהתנהגות בהתאם לסעיף 3(א) כלומר המציע רשאי להתחרט עד מתן הודעת קיבול.</w:t>
      </w:r>
    </w:p>
    <w:p w14:paraId="4CD5DB43" w14:textId="77777777" w:rsidR="00A21AC4" w:rsidRDefault="00A21AC4" w:rsidP="00A21AC4">
      <w:pPr>
        <w:pStyle w:val="a9"/>
        <w:numPr>
          <w:ilvl w:val="0"/>
          <w:numId w:val="2"/>
        </w:numPr>
        <w:bidi/>
        <w:rPr>
          <w:sz w:val="40"/>
          <w:szCs w:val="40"/>
        </w:rPr>
      </w:pPr>
      <w:r w:rsidRPr="00663D17">
        <w:rPr>
          <w:rFonts w:hint="cs"/>
          <w:sz w:val="40"/>
          <w:szCs w:val="40"/>
          <w:rtl/>
        </w:rPr>
        <w:t>זיכרו</w:t>
      </w:r>
      <w:r w:rsidRPr="00663D17">
        <w:rPr>
          <w:rFonts w:hint="eastAsia"/>
          <w:sz w:val="40"/>
          <w:szCs w:val="40"/>
          <w:rtl/>
        </w:rPr>
        <w:t>ן</w:t>
      </w:r>
      <w:r w:rsidRPr="00663D17">
        <w:rPr>
          <w:rFonts w:hint="cs"/>
          <w:sz w:val="40"/>
          <w:szCs w:val="40"/>
          <w:rtl/>
        </w:rPr>
        <w:t xml:space="preserve"> דברים יכול לחייב את הצדדים גם אם הם תכננו לערוך חוזה מחייב בהמשך</w:t>
      </w:r>
    </w:p>
    <w:p w14:paraId="43496EFC" w14:textId="77777777" w:rsidR="00A21AC4" w:rsidRPr="00864D72" w:rsidRDefault="00A21AC4" w:rsidP="00A21AC4">
      <w:pPr>
        <w:bidi/>
        <w:ind w:left="360"/>
        <w:rPr>
          <w:color w:val="FF0000"/>
          <w:sz w:val="40"/>
          <w:szCs w:val="40"/>
          <w:rtl/>
        </w:rPr>
      </w:pPr>
      <w:r w:rsidRPr="00864D72">
        <w:rPr>
          <w:rFonts w:hint="cs"/>
          <w:color w:val="FF0000"/>
          <w:sz w:val="40"/>
          <w:szCs w:val="40"/>
          <w:rtl/>
        </w:rPr>
        <w:t xml:space="preserve">נכון. לפי פ"ד </w:t>
      </w:r>
      <w:proofErr w:type="spellStart"/>
      <w:r w:rsidRPr="00864D72">
        <w:rPr>
          <w:rFonts w:hint="cs"/>
          <w:color w:val="FF0000"/>
          <w:sz w:val="40"/>
          <w:szCs w:val="40"/>
          <w:rtl/>
        </w:rPr>
        <w:t>רבינאי</w:t>
      </w:r>
      <w:proofErr w:type="spellEnd"/>
      <w:r w:rsidRPr="00864D72">
        <w:rPr>
          <w:rFonts w:hint="cs"/>
          <w:color w:val="FF0000"/>
          <w:sz w:val="40"/>
          <w:szCs w:val="40"/>
          <w:rtl/>
        </w:rPr>
        <w:t xml:space="preserve"> אם מתקיימות שתי דרישות מצטברות: גמירת דעת של שני הצדדים ומסוימות </w:t>
      </w:r>
      <w:proofErr w:type="spellStart"/>
      <w:r w:rsidRPr="00864D72">
        <w:rPr>
          <w:rFonts w:hint="cs"/>
          <w:color w:val="FF0000"/>
          <w:sz w:val="40"/>
          <w:szCs w:val="40"/>
          <w:rtl/>
        </w:rPr>
        <w:t>זכרון</w:t>
      </w:r>
      <w:proofErr w:type="spellEnd"/>
      <w:r w:rsidRPr="00864D72">
        <w:rPr>
          <w:rFonts w:hint="cs"/>
          <w:color w:val="FF0000"/>
          <w:sz w:val="40"/>
          <w:szCs w:val="40"/>
          <w:rtl/>
        </w:rPr>
        <w:t xml:space="preserve"> הדברים מחייב כחוזה.</w:t>
      </w:r>
    </w:p>
    <w:p w14:paraId="7333849F" w14:textId="77777777" w:rsidR="00A21AC4" w:rsidRDefault="00A21AC4" w:rsidP="00A21AC4">
      <w:pPr>
        <w:pStyle w:val="a9"/>
        <w:numPr>
          <w:ilvl w:val="0"/>
          <w:numId w:val="2"/>
        </w:numPr>
        <w:bidi/>
        <w:rPr>
          <w:sz w:val="40"/>
          <w:szCs w:val="40"/>
        </w:rPr>
      </w:pPr>
      <w:r w:rsidRPr="00663D17">
        <w:rPr>
          <w:rFonts w:hint="cs"/>
          <w:sz w:val="40"/>
          <w:szCs w:val="40"/>
          <w:rtl/>
        </w:rPr>
        <w:t>הודעת חרטה של ניצע הגיעה בדיוק באותו רגע עם הודעת הקיבול שלו- בנסיבות אלו אין חוזה.</w:t>
      </w:r>
    </w:p>
    <w:p w14:paraId="1A73C81E" w14:textId="26C920FC" w:rsidR="00A21AC4" w:rsidRPr="00864D72" w:rsidRDefault="00A21AC4" w:rsidP="00A21AC4">
      <w:pPr>
        <w:pStyle w:val="a9"/>
        <w:bidi/>
        <w:rPr>
          <w:color w:val="FF0000"/>
          <w:sz w:val="40"/>
          <w:szCs w:val="40"/>
          <w:rtl/>
        </w:rPr>
      </w:pPr>
      <w:r w:rsidRPr="00864D72">
        <w:rPr>
          <w:rFonts w:hint="cs"/>
          <w:color w:val="FF0000"/>
          <w:sz w:val="40"/>
          <w:szCs w:val="40"/>
          <w:rtl/>
        </w:rPr>
        <w:t>נכון. לפי סעיף 10לחו"ח אם הודעת החרטה הגיעה לפני או עם הודעת הקיבול הודעת החרטה גוברת.</w:t>
      </w:r>
    </w:p>
    <w:p w14:paraId="66D0E037" w14:textId="77777777" w:rsidR="00A21AC4" w:rsidRPr="00663D17" w:rsidRDefault="00A21AC4" w:rsidP="00A21AC4">
      <w:pPr>
        <w:pStyle w:val="a9"/>
        <w:bidi/>
        <w:rPr>
          <w:sz w:val="40"/>
          <w:szCs w:val="40"/>
          <w:rtl/>
        </w:rPr>
      </w:pPr>
    </w:p>
    <w:p w14:paraId="76369C75" w14:textId="77777777" w:rsidR="00A21AC4" w:rsidRDefault="00A21AC4" w:rsidP="00A21AC4">
      <w:pPr>
        <w:bidi/>
        <w:rPr>
          <w:rtl/>
        </w:rPr>
      </w:pPr>
    </w:p>
    <w:p w14:paraId="281D25B9" w14:textId="77777777" w:rsidR="00A21AC4" w:rsidRDefault="00A21AC4" w:rsidP="00A21AC4">
      <w:pPr>
        <w:bidi/>
      </w:pPr>
    </w:p>
    <w:p w14:paraId="013CEF5F" w14:textId="77777777" w:rsidR="00A21AC4" w:rsidRDefault="00A21AC4" w:rsidP="00A21AC4"/>
    <w:p w14:paraId="60405441" w14:textId="77777777" w:rsidR="00663D17" w:rsidRPr="00A21AC4" w:rsidRDefault="00663D17" w:rsidP="00663D17">
      <w:pPr>
        <w:bidi/>
        <w:rPr>
          <w:sz w:val="44"/>
          <w:szCs w:val="44"/>
        </w:rPr>
      </w:pPr>
    </w:p>
    <w:sectPr w:rsidR="00663D17" w:rsidRPr="00A21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7710E"/>
    <w:multiLevelType w:val="hybridMultilevel"/>
    <w:tmpl w:val="C3ECE90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B128B"/>
    <w:multiLevelType w:val="hybridMultilevel"/>
    <w:tmpl w:val="C3ECE9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6086067">
    <w:abstractNumId w:val="0"/>
  </w:num>
  <w:num w:numId="2" w16cid:durableId="31372553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D17"/>
    <w:rsid w:val="001D542F"/>
    <w:rsid w:val="00261501"/>
    <w:rsid w:val="00276861"/>
    <w:rsid w:val="00537740"/>
    <w:rsid w:val="00603BD4"/>
    <w:rsid w:val="00663D17"/>
    <w:rsid w:val="00813C84"/>
    <w:rsid w:val="00A21AC4"/>
    <w:rsid w:val="00B4269D"/>
    <w:rsid w:val="00EE2056"/>
    <w:rsid w:val="00F8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C619"/>
  <w15:chartTrackingRefBased/>
  <w15:docId w15:val="{9FE8E96A-7AE8-4F97-8038-FF6D38140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3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63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63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63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63D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63D1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63D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63D1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63D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63D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3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63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63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3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63D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3D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3D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3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63D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3D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219</Words>
  <Characters>1099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Korman Nava</dc:creator>
  <cp:keywords/>
  <dc:description/>
  <cp:lastModifiedBy>נדב אשכנזי</cp:lastModifiedBy>
  <cp:revision>2</cp:revision>
  <dcterms:created xsi:type="dcterms:W3CDTF">2026-07-26T13:17:00Z</dcterms:created>
  <dcterms:modified xsi:type="dcterms:W3CDTF">2026-07-26T13:17:00Z</dcterms:modified>
</cp:coreProperties>
</file>