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93D9" w14:textId="77777777" w:rsidR="0051000E" w:rsidRDefault="00EA1EE1">
      <w:pPr>
        <w:jc w:val="center"/>
        <w:rPr>
          <w:rFonts w:ascii="Arial" w:hAnsi="Arial"/>
          <w:sz w:val="32"/>
          <w:szCs w:val="32"/>
        </w:rPr>
      </w:pPr>
      <w:r>
        <w:rPr>
          <w:rFonts w:ascii="Arial" w:hAnsi="Arial"/>
          <w:b/>
          <w:bCs/>
          <w:sz w:val="32"/>
          <w:szCs w:val="32"/>
          <w:rtl/>
        </w:rPr>
        <w:t>חוק החוזים (חלק כללי), התשל"ג-1973</w:t>
      </w:r>
    </w:p>
    <w:p w14:paraId="12C193DA" w14:textId="77777777" w:rsidR="0051000E" w:rsidRDefault="0051000E">
      <w:pPr>
        <w:jc w:val="left"/>
        <w:rPr>
          <w:rFonts w:ascii="Arial" w:hAnsi="Arial"/>
          <w:b/>
          <w:bCs/>
          <w:sz w:val="24"/>
          <w:szCs w:val="24"/>
          <w:rtl/>
        </w:rPr>
      </w:pPr>
    </w:p>
    <w:p w14:paraId="12C193DB" w14:textId="77777777" w:rsidR="0051000E" w:rsidRDefault="00EA1EE1">
      <w:pPr>
        <w:jc w:val="left"/>
        <w:rPr>
          <w:rFonts w:ascii="Arial" w:hAnsi="Arial"/>
          <w:b/>
          <w:bCs/>
          <w:sz w:val="28"/>
          <w:szCs w:val="28"/>
          <w:u w:val="single"/>
          <w:rtl/>
        </w:rPr>
      </w:pPr>
      <w:bookmarkStart w:id="0" w:name="B00000047"/>
      <w:r>
        <w:rPr>
          <w:rFonts w:ascii="Arial" w:hAnsi="Arial"/>
          <w:b/>
          <w:bCs/>
          <w:sz w:val="28"/>
          <w:szCs w:val="28"/>
          <w:u w:val="single"/>
          <w:rtl/>
        </w:rPr>
        <w:t>פרק א': כריתת החוזה</w:t>
      </w:r>
    </w:p>
    <w:p w14:paraId="12C193DC" w14:textId="77777777" w:rsidR="0051000E" w:rsidRDefault="00EA1EE1">
      <w:pPr>
        <w:jc w:val="left"/>
        <w:rPr>
          <w:rFonts w:ascii="Arial" w:hAnsi="Arial"/>
          <w:b/>
          <w:bCs/>
          <w:sz w:val="22"/>
          <w:szCs w:val="22"/>
          <w:rtl/>
        </w:rPr>
      </w:pPr>
      <w:bookmarkStart w:id="1" w:name="A00000069"/>
      <w:bookmarkEnd w:id="0"/>
      <w:r>
        <w:rPr>
          <w:rFonts w:ascii="Arial" w:hAnsi="Arial"/>
          <w:b/>
          <w:bCs/>
          <w:sz w:val="22"/>
          <w:szCs w:val="22"/>
          <w:rtl/>
        </w:rPr>
        <w:t>כריתת חוזה - כיצד</w:t>
      </w:r>
    </w:p>
    <w:bookmarkEnd w:id="1"/>
    <w:p w14:paraId="12C193DD"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w:t>
      </w:r>
      <w:r>
        <w:rPr>
          <w:rFonts w:ascii="Arial" w:hAnsi="Arial"/>
          <w:sz w:val="22"/>
          <w:szCs w:val="22"/>
          <w:rtl/>
        </w:rPr>
        <w:tab/>
        <w:t>חוזה נכרת בדרך של הצעה וקיבול לפי הוראות פרק זה.</w:t>
      </w:r>
    </w:p>
    <w:p w14:paraId="12C193DE" w14:textId="77777777" w:rsidR="0051000E" w:rsidRDefault="00EA1EE1">
      <w:pPr>
        <w:jc w:val="left"/>
        <w:rPr>
          <w:rFonts w:ascii="Arial" w:hAnsi="Arial"/>
          <w:b/>
          <w:bCs/>
          <w:sz w:val="22"/>
          <w:szCs w:val="22"/>
          <w:rtl/>
        </w:rPr>
      </w:pPr>
      <w:bookmarkStart w:id="2" w:name="A00000140"/>
      <w:r>
        <w:rPr>
          <w:rFonts w:ascii="Arial" w:hAnsi="Arial"/>
          <w:b/>
          <w:bCs/>
          <w:sz w:val="22"/>
          <w:szCs w:val="22"/>
          <w:rtl/>
        </w:rPr>
        <w:t>הצעה</w:t>
      </w:r>
    </w:p>
    <w:bookmarkEnd w:id="2"/>
    <w:p w14:paraId="12C193DF"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2.</w:t>
      </w:r>
      <w:r>
        <w:rPr>
          <w:rFonts w:ascii="Arial" w:hAnsi="Arial"/>
          <w:sz w:val="22"/>
          <w:szCs w:val="22"/>
          <w:rtl/>
        </w:rPr>
        <w:tab/>
        <w:t xml:space="preserve">פנייתו של אדם לחברו היא בגדר הצעה, אם היא מעידה על גמירת דעתו של המציע להתקשר עם הניצע בחוזה והיא </w:t>
      </w:r>
      <w:proofErr w:type="spellStart"/>
      <w:r>
        <w:rPr>
          <w:rFonts w:ascii="Arial" w:hAnsi="Arial"/>
          <w:sz w:val="22"/>
          <w:szCs w:val="22"/>
          <w:rtl/>
        </w:rPr>
        <w:t>מסויימת</w:t>
      </w:r>
      <w:proofErr w:type="spellEnd"/>
      <w:r>
        <w:rPr>
          <w:rFonts w:ascii="Arial" w:hAnsi="Arial"/>
          <w:sz w:val="22"/>
          <w:szCs w:val="22"/>
          <w:rtl/>
        </w:rPr>
        <w:t xml:space="preserve"> כדי אפשרות לכרות את החוזה בקיבול ההצעה; הפנייה יכול שתהיה לציבור.</w:t>
      </w:r>
    </w:p>
    <w:p w14:paraId="12C193E0" w14:textId="77777777" w:rsidR="0051000E" w:rsidRDefault="00EA1EE1">
      <w:pPr>
        <w:jc w:val="left"/>
        <w:rPr>
          <w:rFonts w:ascii="Arial" w:hAnsi="Arial"/>
          <w:b/>
          <w:bCs/>
          <w:sz w:val="22"/>
          <w:szCs w:val="22"/>
          <w:rtl/>
        </w:rPr>
      </w:pPr>
      <w:bookmarkStart w:id="3" w:name="A00000321"/>
      <w:r>
        <w:rPr>
          <w:rFonts w:ascii="Arial" w:hAnsi="Arial"/>
          <w:b/>
          <w:bCs/>
          <w:sz w:val="22"/>
          <w:szCs w:val="22"/>
          <w:rtl/>
        </w:rPr>
        <w:t>חזרה מן ההצעה</w:t>
      </w:r>
    </w:p>
    <w:bookmarkEnd w:id="3"/>
    <w:p w14:paraId="12C193E1"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3.</w:t>
      </w:r>
      <w:r>
        <w:rPr>
          <w:rFonts w:ascii="Arial" w:hAnsi="Arial"/>
          <w:sz w:val="22"/>
          <w:szCs w:val="22"/>
          <w:rtl/>
        </w:rPr>
        <w:tab/>
        <w:t>(א)</w:t>
      </w:r>
      <w:r>
        <w:rPr>
          <w:rFonts w:ascii="Arial" w:hAnsi="Arial"/>
          <w:sz w:val="22"/>
          <w:szCs w:val="22"/>
          <w:rtl/>
        </w:rPr>
        <w:tab/>
        <w:t>המציע רשאי לחזור בו מן ההצעה בהודעה לניצע, ובלבד שהודעת החזרה נמסרה לניצע לפני שנתן הודעת קיבול.</w:t>
      </w:r>
    </w:p>
    <w:p w14:paraId="12C193E2"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(ב)</w:t>
      </w:r>
      <w:r>
        <w:rPr>
          <w:rFonts w:ascii="Arial" w:hAnsi="Arial"/>
          <w:sz w:val="22"/>
          <w:szCs w:val="22"/>
          <w:rtl/>
        </w:rPr>
        <w:tab/>
      </w:r>
      <w:r>
        <w:rPr>
          <w:rFonts w:ascii="Arial" w:hAnsi="Arial"/>
          <w:sz w:val="22"/>
          <w:szCs w:val="22"/>
          <w:rtl/>
        </w:rPr>
        <w:t>קבע המציע שהצעתו היא ללא חזרה, או שקבע מועד לקיבולה, אין הוא רשאי לחזור בו ממנה לאחר שנמסרה לניצע.</w:t>
      </w:r>
    </w:p>
    <w:p w14:paraId="12C193E3" w14:textId="77777777" w:rsidR="0051000E" w:rsidRDefault="00EA1EE1">
      <w:pPr>
        <w:jc w:val="left"/>
        <w:rPr>
          <w:rFonts w:ascii="Arial" w:hAnsi="Arial"/>
          <w:b/>
          <w:bCs/>
          <w:sz w:val="22"/>
          <w:szCs w:val="22"/>
          <w:rtl/>
        </w:rPr>
      </w:pPr>
      <w:bookmarkStart w:id="4" w:name="A00000543"/>
      <w:r>
        <w:rPr>
          <w:rFonts w:ascii="Arial" w:hAnsi="Arial"/>
          <w:b/>
          <w:bCs/>
          <w:sz w:val="22"/>
          <w:szCs w:val="22"/>
          <w:rtl/>
        </w:rPr>
        <w:t>פקיעת ההצעה</w:t>
      </w:r>
    </w:p>
    <w:bookmarkEnd w:id="4"/>
    <w:p w14:paraId="12C193E4"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4.</w:t>
      </w:r>
      <w:r>
        <w:rPr>
          <w:rFonts w:ascii="Arial" w:hAnsi="Arial"/>
          <w:sz w:val="22"/>
          <w:szCs w:val="22"/>
          <w:rtl/>
        </w:rPr>
        <w:tab/>
        <w:t>ההצעה פוקעת -</w:t>
      </w:r>
    </w:p>
    <w:p w14:paraId="12C193E5" w14:textId="77777777" w:rsidR="0051000E" w:rsidRDefault="00EA1EE1">
      <w:pPr>
        <w:tabs>
          <w:tab w:val="left" w:pos="1253"/>
        </w:tabs>
        <w:spacing w:after="40"/>
        <w:ind w:left="907"/>
        <w:rPr>
          <w:rFonts w:ascii="Arial" w:hAnsi="Arial"/>
          <w:sz w:val="22"/>
          <w:szCs w:val="22"/>
          <w:rtl/>
        </w:rPr>
      </w:pPr>
      <w:r>
        <w:rPr>
          <w:rFonts w:ascii="Arial" w:hAnsi="Arial"/>
          <w:sz w:val="22"/>
          <w:szCs w:val="22"/>
          <w:rtl/>
        </w:rPr>
        <w:t>(1)</w:t>
      </w:r>
      <w:r>
        <w:rPr>
          <w:rFonts w:ascii="Arial" w:hAnsi="Arial"/>
          <w:sz w:val="22"/>
          <w:szCs w:val="22"/>
          <w:rtl/>
        </w:rPr>
        <w:tab/>
        <w:t>כשדחה אותה הניצע או עבר המועד לקיבולה;</w:t>
      </w:r>
    </w:p>
    <w:p w14:paraId="12C193E6" w14:textId="77777777" w:rsidR="0051000E" w:rsidRDefault="00EA1EE1">
      <w:pPr>
        <w:tabs>
          <w:tab w:val="left" w:pos="1253"/>
        </w:tabs>
        <w:spacing w:after="40"/>
        <w:ind w:left="907"/>
        <w:rPr>
          <w:rFonts w:ascii="Arial" w:hAnsi="Arial"/>
          <w:sz w:val="22"/>
          <w:szCs w:val="22"/>
          <w:rtl/>
        </w:rPr>
      </w:pPr>
      <w:r>
        <w:rPr>
          <w:rFonts w:ascii="Arial" w:hAnsi="Arial"/>
          <w:sz w:val="22"/>
          <w:szCs w:val="22"/>
          <w:rtl/>
        </w:rPr>
        <w:t>(2)</w:t>
      </w:r>
      <w:r>
        <w:rPr>
          <w:rFonts w:ascii="Arial" w:hAnsi="Arial"/>
          <w:sz w:val="22"/>
          <w:szCs w:val="22"/>
          <w:rtl/>
        </w:rPr>
        <w:tab/>
        <w:t>כשמת המציע או הניצע או כשנעשה אחד מהם פסול-דין או ניתן נגדו צו לקבלת נכסים או צו פירוק, והכל לפני מתן הודעת הקיבול.</w:t>
      </w:r>
    </w:p>
    <w:p w14:paraId="12C193E7" w14:textId="77777777" w:rsidR="0051000E" w:rsidRDefault="00EA1EE1">
      <w:pPr>
        <w:jc w:val="left"/>
        <w:rPr>
          <w:rFonts w:ascii="Arial" w:hAnsi="Arial"/>
          <w:b/>
          <w:bCs/>
          <w:sz w:val="22"/>
          <w:szCs w:val="22"/>
          <w:rtl/>
        </w:rPr>
      </w:pPr>
      <w:bookmarkStart w:id="5" w:name="A00000736"/>
      <w:r>
        <w:rPr>
          <w:rFonts w:ascii="Arial" w:hAnsi="Arial"/>
          <w:b/>
          <w:bCs/>
          <w:sz w:val="22"/>
          <w:szCs w:val="22"/>
          <w:rtl/>
        </w:rPr>
        <w:t>קיבול</w:t>
      </w:r>
    </w:p>
    <w:bookmarkEnd w:id="5"/>
    <w:p w14:paraId="12C193E8"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5.</w:t>
      </w:r>
      <w:r>
        <w:rPr>
          <w:rFonts w:ascii="Arial" w:hAnsi="Arial"/>
          <w:sz w:val="22"/>
          <w:szCs w:val="22"/>
          <w:rtl/>
        </w:rPr>
        <w:tab/>
        <w:t>הקיבול יהיה בהודעת הניצע שנמסרה למציע והמעידה על גמירת דעתו של הניצע להתקשר עם המציע בחוזה לפי ההצעה.</w:t>
      </w:r>
    </w:p>
    <w:p w14:paraId="12C193E9" w14:textId="77777777" w:rsidR="0051000E" w:rsidRDefault="00EA1EE1">
      <w:pPr>
        <w:jc w:val="left"/>
        <w:rPr>
          <w:rFonts w:ascii="Arial" w:hAnsi="Arial"/>
          <w:b/>
          <w:bCs/>
          <w:sz w:val="22"/>
          <w:szCs w:val="22"/>
          <w:rtl/>
        </w:rPr>
      </w:pPr>
      <w:bookmarkStart w:id="6" w:name="A00000848"/>
      <w:r>
        <w:rPr>
          <w:rFonts w:ascii="Arial" w:hAnsi="Arial"/>
          <w:b/>
          <w:bCs/>
          <w:sz w:val="22"/>
          <w:szCs w:val="22"/>
          <w:rtl/>
        </w:rPr>
        <w:t>קיבול דרך התנהגות</w:t>
      </w:r>
    </w:p>
    <w:bookmarkEnd w:id="6"/>
    <w:p w14:paraId="12C193EA"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6.</w:t>
      </w:r>
      <w:r>
        <w:rPr>
          <w:rFonts w:ascii="Arial" w:hAnsi="Arial"/>
          <w:sz w:val="22"/>
          <w:szCs w:val="22"/>
          <w:rtl/>
        </w:rPr>
        <w:tab/>
        <w:t>(א)</w:t>
      </w:r>
      <w:r>
        <w:rPr>
          <w:rFonts w:ascii="Arial" w:hAnsi="Arial"/>
          <w:sz w:val="22"/>
          <w:szCs w:val="22"/>
          <w:rtl/>
        </w:rPr>
        <w:tab/>
      </w:r>
      <w:r>
        <w:rPr>
          <w:rFonts w:ascii="Arial" w:hAnsi="Arial"/>
          <w:sz w:val="22"/>
          <w:szCs w:val="22"/>
          <w:rtl/>
        </w:rPr>
        <w:t xml:space="preserve">הקיבול יכול שיהיה במעשה לביצוע החוזה או בהתנהגות אחרת, אם דרכים אלה של קיבול משתמעות מן ההצעה; </w:t>
      </w:r>
      <w:proofErr w:type="spellStart"/>
      <w:r>
        <w:rPr>
          <w:rFonts w:ascii="Arial" w:hAnsi="Arial"/>
          <w:sz w:val="22"/>
          <w:szCs w:val="22"/>
          <w:rtl/>
        </w:rPr>
        <w:t>ולענין</w:t>
      </w:r>
      <w:proofErr w:type="spellEnd"/>
      <w:r>
        <w:rPr>
          <w:rFonts w:ascii="Arial" w:hAnsi="Arial"/>
          <w:sz w:val="22"/>
          <w:szCs w:val="22"/>
          <w:rtl/>
        </w:rPr>
        <w:t xml:space="preserve"> סעיפים 3(א) ו-4(2), התנהגות כאמור דינה כדין מתן הודעת קיבול.</w:t>
      </w:r>
    </w:p>
    <w:p w14:paraId="12C193EB"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(ב)</w:t>
      </w:r>
      <w:r>
        <w:rPr>
          <w:rFonts w:ascii="Arial" w:hAnsi="Arial"/>
          <w:sz w:val="22"/>
          <w:szCs w:val="22"/>
          <w:rtl/>
        </w:rPr>
        <w:tab/>
        <w:t>קביעת המציע שהעדר תגובה מצד הניצע ייחשב לקיבול, אין לה תוקף.</w:t>
      </w:r>
    </w:p>
    <w:p w14:paraId="12C193EC" w14:textId="77777777" w:rsidR="0051000E" w:rsidRDefault="00EA1EE1">
      <w:pPr>
        <w:jc w:val="left"/>
        <w:rPr>
          <w:rFonts w:ascii="Arial" w:hAnsi="Arial"/>
          <w:b/>
          <w:bCs/>
          <w:sz w:val="22"/>
          <w:szCs w:val="22"/>
          <w:rtl/>
        </w:rPr>
      </w:pPr>
      <w:bookmarkStart w:id="7" w:name="A00001102"/>
      <w:r>
        <w:rPr>
          <w:rFonts w:ascii="Arial" w:hAnsi="Arial"/>
          <w:b/>
          <w:bCs/>
          <w:sz w:val="22"/>
          <w:szCs w:val="22"/>
          <w:rtl/>
        </w:rPr>
        <w:t>חזקת קיבול</w:t>
      </w:r>
    </w:p>
    <w:bookmarkEnd w:id="7"/>
    <w:p w14:paraId="12C193ED"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7.</w:t>
      </w:r>
      <w:r>
        <w:rPr>
          <w:rFonts w:ascii="Arial" w:hAnsi="Arial"/>
          <w:sz w:val="22"/>
          <w:szCs w:val="22"/>
          <w:rtl/>
        </w:rPr>
        <w:tab/>
        <w:t>הצעה שאין בה אלא כדי לזכות את הניצע, חזקה עליו שקיבל אותה, זולת אם הודיע למציע על התנגדותו תוך זמן סביר לאחר שנודע לו עליה.</w:t>
      </w:r>
    </w:p>
    <w:p w14:paraId="12C193EE" w14:textId="77777777" w:rsidR="0051000E" w:rsidRDefault="00EA1EE1">
      <w:pPr>
        <w:jc w:val="left"/>
        <w:rPr>
          <w:rFonts w:ascii="Arial" w:hAnsi="Arial"/>
          <w:b/>
          <w:bCs/>
          <w:sz w:val="22"/>
          <w:szCs w:val="22"/>
          <w:rtl/>
        </w:rPr>
      </w:pPr>
      <w:bookmarkStart w:id="8" w:name="A00001241"/>
      <w:r>
        <w:rPr>
          <w:rFonts w:ascii="Arial" w:hAnsi="Arial"/>
          <w:b/>
          <w:bCs/>
          <w:sz w:val="22"/>
          <w:szCs w:val="22"/>
          <w:rtl/>
        </w:rPr>
        <w:t>מועד הקיבול</w:t>
      </w:r>
    </w:p>
    <w:bookmarkEnd w:id="8"/>
    <w:p w14:paraId="12C193EF"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8.</w:t>
      </w:r>
      <w:r>
        <w:rPr>
          <w:rFonts w:ascii="Arial" w:hAnsi="Arial"/>
          <w:sz w:val="22"/>
          <w:szCs w:val="22"/>
          <w:rtl/>
        </w:rPr>
        <w:tab/>
        <w:t>(א)</w:t>
      </w:r>
      <w:r>
        <w:rPr>
          <w:rFonts w:ascii="Arial" w:hAnsi="Arial"/>
          <w:sz w:val="22"/>
          <w:szCs w:val="22"/>
          <w:rtl/>
        </w:rPr>
        <w:tab/>
        <w:t>אין לקבל הצעה אלא תוך התקופה שנקבעה לכך בהצעה, ובאין תקופה כזאת - תוך זמן סביר.</w:t>
      </w:r>
    </w:p>
    <w:p w14:paraId="12C193F0"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(ב)</w:t>
      </w:r>
      <w:r>
        <w:rPr>
          <w:rFonts w:ascii="Arial" w:hAnsi="Arial"/>
          <w:sz w:val="22"/>
          <w:szCs w:val="22"/>
          <w:rtl/>
        </w:rPr>
        <w:tab/>
      </w:r>
      <w:r>
        <w:rPr>
          <w:rFonts w:ascii="Arial" w:hAnsi="Arial"/>
          <w:sz w:val="22"/>
          <w:szCs w:val="22"/>
          <w:rtl/>
        </w:rPr>
        <w:t xml:space="preserve">נתן הניצע הודעת קיבול בעוד מועד, אך הודעתו נמסרה למציע באיחור מחמת סיבה שאינה תלויה בניצע ולא </w:t>
      </w:r>
      <w:proofErr w:type="spellStart"/>
      <w:r>
        <w:rPr>
          <w:rFonts w:ascii="Arial" w:hAnsi="Arial"/>
          <w:sz w:val="22"/>
          <w:szCs w:val="22"/>
          <w:rtl/>
        </w:rPr>
        <w:t>היתה</w:t>
      </w:r>
      <w:proofErr w:type="spellEnd"/>
      <w:r>
        <w:rPr>
          <w:rFonts w:ascii="Arial" w:hAnsi="Arial"/>
          <w:sz w:val="22"/>
          <w:szCs w:val="22"/>
          <w:rtl/>
        </w:rPr>
        <w:t xml:space="preserve"> ידועה לו, נכרת החוזה, זולת אם הודיע המציע לניצע על דחיית הקיבול מיד לאחר שנמסרה לו הודעת הקיבול.</w:t>
      </w:r>
    </w:p>
    <w:p w14:paraId="12C193F1" w14:textId="77777777" w:rsidR="0051000E" w:rsidRDefault="00EA1EE1">
      <w:pPr>
        <w:jc w:val="left"/>
        <w:rPr>
          <w:rFonts w:ascii="Arial" w:hAnsi="Arial"/>
          <w:b/>
          <w:bCs/>
          <w:sz w:val="22"/>
          <w:szCs w:val="22"/>
          <w:rtl/>
        </w:rPr>
      </w:pPr>
      <w:bookmarkStart w:id="9" w:name="A00001541"/>
      <w:r>
        <w:rPr>
          <w:rFonts w:ascii="Arial" w:hAnsi="Arial"/>
          <w:b/>
          <w:bCs/>
          <w:sz w:val="22"/>
          <w:szCs w:val="22"/>
          <w:rtl/>
        </w:rPr>
        <w:t>קיבול לאחר פקיעה</w:t>
      </w:r>
    </w:p>
    <w:bookmarkEnd w:id="9"/>
    <w:p w14:paraId="12C193F2"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9.</w:t>
      </w:r>
      <w:r>
        <w:rPr>
          <w:rFonts w:ascii="Arial" w:hAnsi="Arial"/>
          <w:sz w:val="22"/>
          <w:szCs w:val="22"/>
          <w:rtl/>
        </w:rPr>
        <w:tab/>
        <w:t>קיבול של הצעה לאחר שפקעה, כמוהו כהצעה חדשה.</w:t>
      </w:r>
    </w:p>
    <w:p w14:paraId="12C193F3" w14:textId="77777777" w:rsidR="0051000E" w:rsidRDefault="00EA1EE1">
      <w:pPr>
        <w:jc w:val="left"/>
        <w:rPr>
          <w:rFonts w:ascii="Arial" w:hAnsi="Arial"/>
          <w:b/>
          <w:bCs/>
          <w:sz w:val="22"/>
          <w:szCs w:val="22"/>
          <w:rtl/>
        </w:rPr>
      </w:pPr>
      <w:bookmarkStart w:id="10" w:name="A00001606"/>
      <w:r>
        <w:rPr>
          <w:rFonts w:ascii="Arial" w:hAnsi="Arial"/>
          <w:b/>
          <w:bCs/>
          <w:sz w:val="22"/>
          <w:szCs w:val="22"/>
          <w:rtl/>
        </w:rPr>
        <w:t>חזרה מן הקיבול</w:t>
      </w:r>
    </w:p>
    <w:bookmarkEnd w:id="10"/>
    <w:p w14:paraId="12C193F4"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10.</w:t>
      </w:r>
      <w:r>
        <w:rPr>
          <w:rFonts w:ascii="Arial" w:hAnsi="Arial"/>
          <w:sz w:val="22"/>
          <w:szCs w:val="22"/>
          <w:rtl/>
        </w:rPr>
        <w:tab/>
        <w:t>הניצע רשאי לחזור בו מן הקיבול בהודעה למציע, ובלבד שהודעת החזרה נמסרה למציע לא לאחר שנמסרה לו הודעת הקיבול או שנודע לו על קיבול בדרך האמורה בסעיף 6(א).</w:t>
      </w:r>
    </w:p>
    <w:p w14:paraId="12C193F5" w14:textId="77777777" w:rsidR="0051000E" w:rsidRDefault="00EA1EE1">
      <w:pPr>
        <w:jc w:val="left"/>
        <w:rPr>
          <w:rFonts w:ascii="Arial" w:hAnsi="Arial"/>
          <w:b/>
          <w:bCs/>
          <w:sz w:val="22"/>
          <w:szCs w:val="22"/>
          <w:rtl/>
        </w:rPr>
      </w:pPr>
      <w:bookmarkStart w:id="11" w:name="A00001777"/>
      <w:r>
        <w:rPr>
          <w:rFonts w:ascii="Arial" w:hAnsi="Arial"/>
          <w:b/>
          <w:bCs/>
          <w:sz w:val="22"/>
          <w:szCs w:val="22"/>
          <w:rtl/>
        </w:rPr>
        <w:t>קיבול תוך שינוי</w:t>
      </w:r>
    </w:p>
    <w:bookmarkEnd w:id="11"/>
    <w:p w14:paraId="12C193F6"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11.</w:t>
      </w:r>
      <w:r>
        <w:rPr>
          <w:rFonts w:ascii="Arial" w:hAnsi="Arial"/>
          <w:sz w:val="22"/>
          <w:szCs w:val="22"/>
          <w:rtl/>
        </w:rPr>
        <w:tab/>
      </w:r>
      <w:r>
        <w:rPr>
          <w:rFonts w:ascii="Arial" w:hAnsi="Arial"/>
          <w:sz w:val="22"/>
          <w:szCs w:val="22"/>
          <w:rtl/>
        </w:rPr>
        <w:t>קיבול שיש בו תוספת, הגבלה או שינוי אחר לעומת ההצעה, כמוהו כהצעה חדשה.</w:t>
      </w:r>
    </w:p>
    <w:p w14:paraId="12C193F7" w14:textId="77777777" w:rsidR="0051000E" w:rsidRDefault="00EA1EE1">
      <w:pPr>
        <w:jc w:val="left"/>
        <w:rPr>
          <w:rFonts w:ascii="Arial" w:hAnsi="Arial"/>
          <w:b/>
          <w:bCs/>
          <w:sz w:val="22"/>
          <w:szCs w:val="22"/>
          <w:rtl/>
        </w:rPr>
      </w:pPr>
      <w:bookmarkStart w:id="12" w:name="A00001868"/>
      <w:r>
        <w:rPr>
          <w:rFonts w:ascii="Arial" w:hAnsi="Arial"/>
          <w:b/>
          <w:bCs/>
          <w:sz w:val="22"/>
          <w:szCs w:val="22"/>
          <w:rtl/>
        </w:rPr>
        <w:t>תום-לב במשא ומתן</w:t>
      </w:r>
    </w:p>
    <w:bookmarkEnd w:id="12"/>
    <w:p w14:paraId="12C193F8"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12.</w:t>
      </w:r>
      <w:r>
        <w:rPr>
          <w:rFonts w:ascii="Arial" w:hAnsi="Arial"/>
          <w:sz w:val="22"/>
          <w:szCs w:val="22"/>
          <w:rtl/>
        </w:rPr>
        <w:tab/>
        <w:t>(א)</w:t>
      </w:r>
      <w:r>
        <w:rPr>
          <w:rFonts w:ascii="Arial" w:hAnsi="Arial"/>
          <w:sz w:val="22"/>
          <w:szCs w:val="22"/>
          <w:rtl/>
        </w:rPr>
        <w:tab/>
        <w:t>במשא ומתן לקראת כריתתו של חוזה חייב אדם לנהוג בדרך מקובלת ובתום-לב.</w:t>
      </w:r>
    </w:p>
    <w:p w14:paraId="12C193F9"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(ב)</w:t>
      </w:r>
      <w:r>
        <w:rPr>
          <w:rFonts w:ascii="Arial" w:hAnsi="Arial"/>
          <w:sz w:val="22"/>
          <w:szCs w:val="22"/>
          <w:rtl/>
        </w:rPr>
        <w:tab/>
        <w:t xml:space="preserve">צד שלא נהג בדרך מקובלת ולא בתום-לב חייב לצד השני פיצויים בעד הנזק שנגרם לו עקב המשא ומתן או עקב כריתת החוזה, והוראות סעיפים 10, 13 ו-14 לחוק החוזים (תרופות בשל הפרת חוזה), התשל"א-1970, יחולו בשינויים </w:t>
      </w:r>
      <w:proofErr w:type="spellStart"/>
      <w:r>
        <w:rPr>
          <w:rFonts w:ascii="Arial" w:hAnsi="Arial"/>
          <w:sz w:val="22"/>
          <w:szCs w:val="22"/>
          <w:rtl/>
        </w:rPr>
        <w:t>המחוייבים</w:t>
      </w:r>
      <w:proofErr w:type="spellEnd"/>
      <w:r>
        <w:rPr>
          <w:rFonts w:ascii="Arial" w:hAnsi="Arial"/>
          <w:sz w:val="22"/>
          <w:szCs w:val="22"/>
          <w:rtl/>
        </w:rPr>
        <w:t>.</w:t>
      </w:r>
    </w:p>
    <w:p w14:paraId="12C193FA" w14:textId="77777777" w:rsidR="0051000E" w:rsidRDefault="0051000E">
      <w:pPr>
        <w:tabs>
          <w:tab w:val="left" w:pos="562"/>
          <w:tab w:val="left" w:pos="907"/>
        </w:tabs>
        <w:spacing w:after="40"/>
        <w:ind w:firstLine="562"/>
        <w:rPr>
          <w:rFonts w:ascii="Arial" w:hAnsi="Arial"/>
          <w:b/>
          <w:bCs/>
          <w:sz w:val="28"/>
          <w:szCs w:val="28"/>
          <w:u w:val="single"/>
          <w:rtl/>
        </w:rPr>
      </w:pPr>
    </w:p>
    <w:p w14:paraId="04517D77" w14:textId="77777777" w:rsidR="0062116C" w:rsidRDefault="0062116C">
      <w:pPr>
        <w:jc w:val="left"/>
        <w:rPr>
          <w:rFonts w:ascii="Arial" w:hAnsi="Arial"/>
          <w:b/>
          <w:bCs/>
          <w:sz w:val="28"/>
          <w:szCs w:val="28"/>
          <w:u w:val="single"/>
          <w:rtl/>
        </w:rPr>
      </w:pPr>
      <w:bookmarkStart w:id="13" w:name="B00002177"/>
    </w:p>
    <w:p w14:paraId="504E606C" w14:textId="77777777" w:rsidR="0062116C" w:rsidRDefault="0062116C">
      <w:pPr>
        <w:jc w:val="left"/>
        <w:rPr>
          <w:rFonts w:ascii="Arial" w:hAnsi="Arial"/>
          <w:b/>
          <w:bCs/>
          <w:sz w:val="28"/>
          <w:szCs w:val="28"/>
          <w:u w:val="single"/>
          <w:rtl/>
        </w:rPr>
      </w:pPr>
    </w:p>
    <w:p w14:paraId="4EBD0B2D" w14:textId="77777777" w:rsidR="0062116C" w:rsidRDefault="0062116C">
      <w:pPr>
        <w:jc w:val="left"/>
        <w:rPr>
          <w:rFonts w:ascii="Arial" w:hAnsi="Arial"/>
          <w:b/>
          <w:bCs/>
          <w:sz w:val="28"/>
          <w:szCs w:val="28"/>
          <w:u w:val="single"/>
          <w:rtl/>
        </w:rPr>
      </w:pPr>
    </w:p>
    <w:p w14:paraId="743D47DD" w14:textId="77777777" w:rsidR="0062116C" w:rsidRDefault="0062116C">
      <w:pPr>
        <w:jc w:val="left"/>
        <w:rPr>
          <w:rFonts w:ascii="Arial" w:hAnsi="Arial"/>
          <w:b/>
          <w:bCs/>
          <w:sz w:val="28"/>
          <w:szCs w:val="28"/>
          <w:u w:val="single"/>
          <w:rtl/>
        </w:rPr>
      </w:pPr>
    </w:p>
    <w:p w14:paraId="7546EB70" w14:textId="77777777" w:rsidR="0062116C" w:rsidRDefault="0062116C">
      <w:pPr>
        <w:jc w:val="left"/>
        <w:rPr>
          <w:rFonts w:ascii="Arial" w:hAnsi="Arial"/>
          <w:b/>
          <w:bCs/>
          <w:sz w:val="28"/>
          <w:szCs w:val="28"/>
          <w:u w:val="single"/>
          <w:rtl/>
        </w:rPr>
      </w:pPr>
    </w:p>
    <w:p w14:paraId="22BC2B96" w14:textId="77777777" w:rsidR="0062116C" w:rsidRDefault="0062116C">
      <w:pPr>
        <w:jc w:val="left"/>
        <w:rPr>
          <w:rFonts w:ascii="Arial" w:hAnsi="Arial"/>
          <w:b/>
          <w:bCs/>
          <w:sz w:val="28"/>
          <w:szCs w:val="28"/>
          <w:u w:val="single"/>
          <w:rtl/>
        </w:rPr>
      </w:pPr>
    </w:p>
    <w:p w14:paraId="75E7BA7A" w14:textId="77777777" w:rsidR="0062116C" w:rsidRDefault="0062116C">
      <w:pPr>
        <w:jc w:val="left"/>
        <w:rPr>
          <w:rFonts w:ascii="Arial" w:hAnsi="Arial"/>
          <w:b/>
          <w:bCs/>
          <w:sz w:val="28"/>
          <w:szCs w:val="28"/>
          <w:u w:val="single"/>
          <w:rtl/>
        </w:rPr>
      </w:pPr>
    </w:p>
    <w:p w14:paraId="08D86831" w14:textId="77777777" w:rsidR="0062116C" w:rsidRDefault="0062116C">
      <w:pPr>
        <w:jc w:val="left"/>
        <w:rPr>
          <w:rFonts w:ascii="Arial" w:hAnsi="Arial"/>
          <w:b/>
          <w:bCs/>
          <w:sz w:val="28"/>
          <w:szCs w:val="28"/>
          <w:u w:val="single"/>
          <w:rtl/>
        </w:rPr>
      </w:pPr>
    </w:p>
    <w:p w14:paraId="372C5990" w14:textId="77777777" w:rsidR="0062116C" w:rsidRDefault="0062116C">
      <w:pPr>
        <w:jc w:val="left"/>
        <w:rPr>
          <w:rFonts w:ascii="Arial" w:hAnsi="Arial"/>
          <w:b/>
          <w:bCs/>
          <w:sz w:val="28"/>
          <w:szCs w:val="28"/>
          <w:u w:val="single"/>
          <w:rtl/>
        </w:rPr>
      </w:pPr>
    </w:p>
    <w:p w14:paraId="0A5B363D" w14:textId="77777777" w:rsidR="0062116C" w:rsidRDefault="0062116C">
      <w:pPr>
        <w:jc w:val="left"/>
        <w:rPr>
          <w:rFonts w:ascii="Arial" w:hAnsi="Arial"/>
          <w:b/>
          <w:bCs/>
          <w:sz w:val="28"/>
          <w:szCs w:val="28"/>
          <w:u w:val="single"/>
          <w:rtl/>
        </w:rPr>
      </w:pPr>
    </w:p>
    <w:p w14:paraId="12C193FB" w14:textId="3B74C94C" w:rsidR="0051000E" w:rsidRDefault="00EA1EE1">
      <w:pPr>
        <w:jc w:val="left"/>
        <w:rPr>
          <w:rFonts w:ascii="Arial" w:hAnsi="Arial"/>
          <w:sz w:val="22"/>
          <w:szCs w:val="22"/>
          <w:rtl/>
        </w:rPr>
      </w:pPr>
      <w:r>
        <w:rPr>
          <w:rFonts w:ascii="Arial" w:hAnsi="Arial"/>
          <w:b/>
          <w:bCs/>
          <w:sz w:val="28"/>
          <w:szCs w:val="28"/>
          <w:u w:val="single"/>
          <w:rtl/>
        </w:rPr>
        <w:lastRenderedPageBreak/>
        <w:t>פרק ב': ביטול החוזה בשל פגם בכריתתו</w:t>
      </w:r>
      <w:bookmarkEnd w:id="13"/>
    </w:p>
    <w:p w14:paraId="12C193FC" w14:textId="77777777" w:rsidR="0051000E" w:rsidRDefault="00EA1EE1">
      <w:pPr>
        <w:jc w:val="left"/>
        <w:rPr>
          <w:rFonts w:ascii="Arial" w:hAnsi="Arial"/>
          <w:b/>
          <w:bCs/>
          <w:sz w:val="22"/>
          <w:szCs w:val="22"/>
          <w:rtl/>
        </w:rPr>
      </w:pPr>
      <w:bookmarkStart w:id="14" w:name="A00002345"/>
      <w:r>
        <w:rPr>
          <w:rFonts w:ascii="Arial" w:hAnsi="Arial"/>
          <w:b/>
          <w:bCs/>
          <w:sz w:val="22"/>
          <w:szCs w:val="22"/>
          <w:rtl/>
        </w:rPr>
        <w:t>טעות</w:t>
      </w:r>
    </w:p>
    <w:bookmarkEnd w:id="14"/>
    <w:p w14:paraId="12C193FD"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14.</w:t>
      </w:r>
      <w:r>
        <w:rPr>
          <w:rFonts w:ascii="Arial" w:hAnsi="Arial"/>
          <w:sz w:val="22"/>
          <w:szCs w:val="22"/>
          <w:rtl/>
        </w:rPr>
        <w:tab/>
        <w:t>(א)</w:t>
      </w:r>
      <w:r>
        <w:rPr>
          <w:rFonts w:ascii="Arial" w:hAnsi="Arial"/>
          <w:sz w:val="22"/>
          <w:szCs w:val="22"/>
          <w:rtl/>
        </w:rPr>
        <w:tab/>
      </w:r>
      <w:r>
        <w:rPr>
          <w:rFonts w:ascii="Arial" w:hAnsi="Arial"/>
          <w:sz w:val="22"/>
          <w:szCs w:val="22"/>
          <w:rtl/>
        </w:rPr>
        <w:t>מי שהתקשר בחוזה עקב טעות וניתן להניח שלולא הטעות לא היה מתקשר בחוזה והצד השני ידע או היה עליו לדעת על כך, רשאי לבטל את החוזה.</w:t>
      </w:r>
    </w:p>
    <w:p w14:paraId="12C193FE"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(ב)</w:t>
      </w:r>
      <w:r>
        <w:rPr>
          <w:rFonts w:ascii="Arial" w:hAnsi="Arial"/>
          <w:sz w:val="22"/>
          <w:szCs w:val="22"/>
          <w:rtl/>
        </w:rPr>
        <w:tab/>
        <w:t>מי שהתקשר בחוזה עקב טעות וניתן להניח שלולא הטעות לא היה מתקשר בחוזה והצד השני לא ידע ולא היה עליו לדעת על כך, רשאי בית המשפט, לפי בקשת הצד שטעה, לבטל את החוזה, אם ראה שמן הצדק לעשות זאת; עשה כן, רשאי בית המשפט לחייב את הצד שטעה בפיצויים בעד הנזק שנגרם לצד השני עקב כריתת החוזה.</w:t>
      </w:r>
    </w:p>
    <w:p w14:paraId="12C193FF"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(ג)</w:t>
      </w:r>
      <w:r>
        <w:rPr>
          <w:rFonts w:ascii="Arial" w:hAnsi="Arial"/>
          <w:sz w:val="22"/>
          <w:szCs w:val="22"/>
          <w:rtl/>
        </w:rPr>
        <w:tab/>
      </w:r>
      <w:r>
        <w:rPr>
          <w:rFonts w:ascii="Arial" w:hAnsi="Arial"/>
          <w:sz w:val="22"/>
          <w:szCs w:val="22"/>
          <w:rtl/>
        </w:rPr>
        <w:t>טעות אינה עילה לביטול החוזה לפי סעיף זה, אם ניתן לקיים את החוזה בתיקון הטעות והצד השני הודיע, לפני שבוטל החוזה, שהוא מוכן לעשות כן.</w:t>
      </w:r>
    </w:p>
    <w:p w14:paraId="12C19400"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(ד)</w:t>
      </w:r>
      <w:r>
        <w:rPr>
          <w:rFonts w:ascii="Arial" w:hAnsi="Arial"/>
          <w:sz w:val="22"/>
          <w:szCs w:val="22"/>
          <w:rtl/>
        </w:rPr>
        <w:tab/>
        <w:t xml:space="preserve">"טעות", </w:t>
      </w:r>
      <w:proofErr w:type="spellStart"/>
      <w:r>
        <w:rPr>
          <w:rFonts w:ascii="Arial" w:hAnsi="Arial"/>
          <w:sz w:val="22"/>
          <w:szCs w:val="22"/>
          <w:rtl/>
        </w:rPr>
        <w:t>לענין</w:t>
      </w:r>
      <w:proofErr w:type="spellEnd"/>
      <w:r>
        <w:rPr>
          <w:rFonts w:ascii="Arial" w:hAnsi="Arial"/>
          <w:sz w:val="22"/>
          <w:szCs w:val="22"/>
          <w:rtl/>
        </w:rPr>
        <w:t xml:space="preserve"> סעיף זה וסעיף 15 - בין בעובדה ובין בחוק, להוציא טעות שאינה אלא בכדאיות </w:t>
      </w:r>
      <w:proofErr w:type="spellStart"/>
      <w:r>
        <w:rPr>
          <w:rFonts w:ascii="Arial" w:hAnsi="Arial"/>
          <w:sz w:val="22"/>
          <w:szCs w:val="22"/>
          <w:rtl/>
        </w:rPr>
        <w:t>העיסקה</w:t>
      </w:r>
      <w:proofErr w:type="spellEnd"/>
      <w:r>
        <w:rPr>
          <w:rFonts w:ascii="Arial" w:hAnsi="Arial"/>
          <w:sz w:val="22"/>
          <w:szCs w:val="22"/>
          <w:rtl/>
        </w:rPr>
        <w:t>.</w:t>
      </w:r>
    </w:p>
    <w:p w14:paraId="12C19401" w14:textId="77777777" w:rsidR="0051000E" w:rsidRDefault="00EA1EE1">
      <w:pPr>
        <w:jc w:val="left"/>
        <w:rPr>
          <w:rFonts w:ascii="Arial" w:hAnsi="Arial"/>
          <w:b/>
          <w:bCs/>
          <w:sz w:val="22"/>
          <w:szCs w:val="22"/>
          <w:rtl/>
        </w:rPr>
      </w:pPr>
      <w:bookmarkStart w:id="15" w:name="A00003000"/>
      <w:r>
        <w:rPr>
          <w:rFonts w:ascii="Arial" w:hAnsi="Arial"/>
          <w:b/>
          <w:bCs/>
          <w:sz w:val="22"/>
          <w:szCs w:val="22"/>
          <w:rtl/>
        </w:rPr>
        <w:t>הטעיה</w:t>
      </w:r>
    </w:p>
    <w:bookmarkEnd w:id="15"/>
    <w:p w14:paraId="12C19402"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15.</w:t>
      </w:r>
      <w:r>
        <w:rPr>
          <w:rFonts w:ascii="Arial" w:hAnsi="Arial"/>
          <w:sz w:val="22"/>
          <w:szCs w:val="22"/>
          <w:rtl/>
        </w:rPr>
        <w:tab/>
        <w:t xml:space="preserve">מי שהתקשר בחוזה עקב טעות שהיא תוצאת הטעיה שהטעהו הצד השני או אחר מטעמו, רשאי לבטל את החוזה; </w:t>
      </w:r>
      <w:proofErr w:type="spellStart"/>
      <w:r>
        <w:rPr>
          <w:rFonts w:ascii="Arial" w:hAnsi="Arial"/>
          <w:sz w:val="22"/>
          <w:szCs w:val="22"/>
          <w:rtl/>
        </w:rPr>
        <w:t>לענין</w:t>
      </w:r>
      <w:proofErr w:type="spellEnd"/>
      <w:r>
        <w:rPr>
          <w:rFonts w:ascii="Arial" w:hAnsi="Arial"/>
          <w:sz w:val="22"/>
          <w:szCs w:val="22"/>
          <w:rtl/>
        </w:rPr>
        <w:t xml:space="preserve"> זה "הטעיה" - לרבות אי-גילוין של עובדות אשר לפי דין, לפי נוהג או לפי הנסיבות היה על הצד השני לגלותן.</w:t>
      </w:r>
    </w:p>
    <w:p w14:paraId="12C19403" w14:textId="77777777" w:rsidR="0051000E" w:rsidRDefault="00EA1EE1">
      <w:pPr>
        <w:jc w:val="left"/>
        <w:rPr>
          <w:rFonts w:ascii="Arial" w:hAnsi="Arial"/>
          <w:b/>
          <w:bCs/>
          <w:sz w:val="22"/>
          <w:szCs w:val="22"/>
          <w:rtl/>
        </w:rPr>
      </w:pPr>
      <w:bookmarkStart w:id="16" w:name="A00003209"/>
      <w:r>
        <w:rPr>
          <w:rFonts w:ascii="Arial" w:hAnsi="Arial"/>
          <w:b/>
          <w:bCs/>
          <w:sz w:val="22"/>
          <w:szCs w:val="22"/>
          <w:rtl/>
        </w:rPr>
        <w:t>טעות סופר</w:t>
      </w:r>
    </w:p>
    <w:bookmarkEnd w:id="16"/>
    <w:p w14:paraId="12C19404"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16.</w:t>
      </w:r>
      <w:r>
        <w:rPr>
          <w:rFonts w:ascii="Arial" w:hAnsi="Arial"/>
          <w:sz w:val="22"/>
          <w:szCs w:val="22"/>
          <w:rtl/>
        </w:rPr>
        <w:tab/>
      </w:r>
      <w:r>
        <w:rPr>
          <w:rFonts w:ascii="Arial" w:hAnsi="Arial"/>
          <w:sz w:val="22"/>
          <w:szCs w:val="22"/>
          <w:rtl/>
        </w:rPr>
        <w:t xml:space="preserve">נפלה בחוזה טעות סופר או טעות כיוצא בה, יתוקן החוזה לפי </w:t>
      </w:r>
      <w:proofErr w:type="spellStart"/>
      <w:r>
        <w:rPr>
          <w:rFonts w:ascii="Arial" w:hAnsi="Arial"/>
          <w:sz w:val="22"/>
          <w:szCs w:val="22"/>
          <w:rtl/>
        </w:rPr>
        <w:t>אומד</w:t>
      </w:r>
      <w:proofErr w:type="spellEnd"/>
      <w:r>
        <w:rPr>
          <w:rFonts w:ascii="Arial" w:hAnsi="Arial"/>
          <w:sz w:val="22"/>
          <w:szCs w:val="22"/>
          <w:rtl/>
        </w:rPr>
        <w:t xml:space="preserve"> דעת הצדדים ואין הטעות עילה לביטול החוזה.</w:t>
      </w:r>
    </w:p>
    <w:p w14:paraId="12C19405" w14:textId="77777777" w:rsidR="0051000E" w:rsidRDefault="00EA1EE1">
      <w:pPr>
        <w:jc w:val="left"/>
        <w:rPr>
          <w:rFonts w:ascii="Arial" w:hAnsi="Arial"/>
          <w:b/>
          <w:bCs/>
          <w:sz w:val="22"/>
          <w:szCs w:val="22"/>
          <w:rtl/>
        </w:rPr>
      </w:pPr>
      <w:bookmarkStart w:id="17" w:name="A00003325"/>
      <w:r>
        <w:rPr>
          <w:rFonts w:ascii="Arial" w:hAnsi="Arial"/>
          <w:b/>
          <w:bCs/>
          <w:sz w:val="22"/>
          <w:szCs w:val="22"/>
          <w:rtl/>
        </w:rPr>
        <w:t>כפיה</w:t>
      </w:r>
    </w:p>
    <w:bookmarkEnd w:id="17"/>
    <w:p w14:paraId="12C19406"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17.</w:t>
      </w:r>
      <w:r>
        <w:rPr>
          <w:rFonts w:ascii="Arial" w:hAnsi="Arial"/>
          <w:sz w:val="22"/>
          <w:szCs w:val="22"/>
          <w:rtl/>
        </w:rPr>
        <w:tab/>
        <w:t>(א)</w:t>
      </w:r>
      <w:r>
        <w:rPr>
          <w:rFonts w:ascii="Arial" w:hAnsi="Arial"/>
          <w:sz w:val="22"/>
          <w:szCs w:val="22"/>
          <w:rtl/>
        </w:rPr>
        <w:tab/>
        <w:t>מי שהתקשר בחוזה עקב כפיה שכפה עליו הצד השני או אחר מטעמו, בכוח או באיום, רשאי לבטל את החוזה.</w:t>
      </w:r>
    </w:p>
    <w:p w14:paraId="12C19407" w14:textId="77777777" w:rsidR="0051000E" w:rsidRDefault="00EA1EE1">
      <w:pPr>
        <w:tabs>
          <w:tab w:val="left" w:pos="562"/>
          <w:tab w:val="left" w:pos="907"/>
        </w:tabs>
        <w:spacing w:after="40"/>
        <w:ind w:firstLine="562"/>
        <w:rPr>
          <w:rFonts w:ascii="Arial" w:hAnsi="Arial"/>
          <w:sz w:val="22"/>
          <w:szCs w:val="22"/>
          <w:rtl/>
        </w:rPr>
      </w:pPr>
      <w:r>
        <w:rPr>
          <w:rFonts w:ascii="Arial" w:hAnsi="Arial"/>
          <w:sz w:val="22"/>
          <w:szCs w:val="22"/>
          <w:rtl/>
        </w:rPr>
        <w:t>(ב)</w:t>
      </w:r>
      <w:r>
        <w:rPr>
          <w:rFonts w:ascii="Arial" w:hAnsi="Arial"/>
          <w:sz w:val="22"/>
          <w:szCs w:val="22"/>
          <w:rtl/>
        </w:rPr>
        <w:tab/>
        <w:t xml:space="preserve">אזהרה בתום-לב על הפעלתה של זכות אינה בגדר איום </w:t>
      </w:r>
      <w:proofErr w:type="spellStart"/>
      <w:r>
        <w:rPr>
          <w:rFonts w:ascii="Arial" w:hAnsi="Arial"/>
          <w:sz w:val="22"/>
          <w:szCs w:val="22"/>
          <w:rtl/>
        </w:rPr>
        <w:t>לענין</w:t>
      </w:r>
      <w:proofErr w:type="spellEnd"/>
      <w:r>
        <w:rPr>
          <w:rFonts w:ascii="Arial" w:hAnsi="Arial"/>
          <w:sz w:val="22"/>
          <w:szCs w:val="22"/>
          <w:rtl/>
        </w:rPr>
        <w:t xml:space="preserve"> סעיף זה.</w:t>
      </w:r>
    </w:p>
    <w:p w14:paraId="12C19408" w14:textId="77777777" w:rsidR="0051000E" w:rsidRDefault="00EA1EE1">
      <w:pPr>
        <w:jc w:val="left"/>
        <w:rPr>
          <w:rFonts w:ascii="Arial" w:hAnsi="Arial"/>
          <w:b/>
          <w:bCs/>
          <w:sz w:val="22"/>
          <w:szCs w:val="22"/>
          <w:rtl/>
        </w:rPr>
      </w:pPr>
      <w:bookmarkStart w:id="18" w:name="A00003687"/>
      <w:r>
        <w:rPr>
          <w:rFonts w:ascii="Arial" w:hAnsi="Arial"/>
          <w:b/>
          <w:bCs/>
          <w:sz w:val="22"/>
          <w:szCs w:val="22"/>
          <w:rtl/>
        </w:rPr>
        <w:t>ביטול חלקי</w:t>
      </w:r>
    </w:p>
    <w:bookmarkEnd w:id="18"/>
    <w:p w14:paraId="12C19409"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19.</w:t>
      </w:r>
      <w:r>
        <w:rPr>
          <w:rFonts w:ascii="Arial" w:hAnsi="Arial"/>
          <w:sz w:val="22"/>
          <w:szCs w:val="22"/>
          <w:rtl/>
        </w:rPr>
        <w:tab/>
        <w:t>ניתן החוזה להפרדה לחלקים ועילת הביטול נוגעת רק לאחד מחלקיו, ניתן לביטול אותו חלק בלבד; אולם אם יש להניח שהצד הרשאי לבטל לא היה מתקשר בחוזה לולא העילה, רשאי הוא לבטל את החלק האמור או את החוזה כולו.</w:t>
      </w:r>
    </w:p>
    <w:p w14:paraId="12C1940A" w14:textId="77777777" w:rsidR="0051000E" w:rsidRDefault="00EA1EE1">
      <w:pPr>
        <w:jc w:val="left"/>
        <w:rPr>
          <w:rFonts w:ascii="Arial" w:hAnsi="Arial"/>
          <w:b/>
          <w:bCs/>
          <w:sz w:val="22"/>
          <w:szCs w:val="22"/>
          <w:rtl/>
        </w:rPr>
      </w:pPr>
      <w:bookmarkStart w:id="19" w:name="A00003900"/>
      <w:r>
        <w:rPr>
          <w:rFonts w:ascii="Arial" w:hAnsi="Arial"/>
          <w:b/>
          <w:bCs/>
          <w:sz w:val="22"/>
          <w:szCs w:val="22"/>
          <w:rtl/>
        </w:rPr>
        <w:t>דרך הביטול</w:t>
      </w:r>
    </w:p>
    <w:bookmarkEnd w:id="19"/>
    <w:p w14:paraId="12C1940B"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20.</w:t>
      </w:r>
      <w:r>
        <w:rPr>
          <w:rFonts w:ascii="Arial" w:hAnsi="Arial"/>
          <w:sz w:val="22"/>
          <w:szCs w:val="22"/>
          <w:rtl/>
        </w:rPr>
        <w:tab/>
      </w:r>
      <w:r>
        <w:rPr>
          <w:rFonts w:ascii="Arial" w:hAnsi="Arial"/>
          <w:sz w:val="22"/>
          <w:szCs w:val="22"/>
          <w:rtl/>
        </w:rPr>
        <w:t xml:space="preserve">ביטול החוזה יהיה בהודעת המתקשר לצד השני תוך זמן סביר לאחר שנודע לו על עילת הביטול, ובמקרה של כפיה - תוך זמן סביר לאחר שנודע לו שפסקה </w:t>
      </w:r>
      <w:proofErr w:type="spellStart"/>
      <w:r>
        <w:rPr>
          <w:rFonts w:ascii="Arial" w:hAnsi="Arial"/>
          <w:sz w:val="22"/>
          <w:szCs w:val="22"/>
          <w:rtl/>
        </w:rPr>
        <w:t>הכפיה</w:t>
      </w:r>
      <w:proofErr w:type="spellEnd"/>
      <w:r>
        <w:rPr>
          <w:rFonts w:ascii="Arial" w:hAnsi="Arial"/>
          <w:sz w:val="22"/>
          <w:szCs w:val="22"/>
          <w:rtl/>
        </w:rPr>
        <w:t>.</w:t>
      </w:r>
    </w:p>
    <w:p w14:paraId="12C1940C" w14:textId="77777777" w:rsidR="0051000E" w:rsidRDefault="00EA1EE1">
      <w:pPr>
        <w:jc w:val="left"/>
        <w:rPr>
          <w:rFonts w:ascii="Arial" w:hAnsi="Arial"/>
          <w:b/>
          <w:bCs/>
          <w:sz w:val="22"/>
          <w:szCs w:val="22"/>
          <w:rtl/>
        </w:rPr>
      </w:pPr>
      <w:bookmarkStart w:id="20" w:name="A00004056"/>
      <w:r>
        <w:rPr>
          <w:rFonts w:ascii="Arial" w:hAnsi="Arial"/>
          <w:b/>
          <w:bCs/>
          <w:sz w:val="22"/>
          <w:szCs w:val="22"/>
          <w:rtl/>
        </w:rPr>
        <w:t>השבה לאחר ביטול</w:t>
      </w:r>
    </w:p>
    <w:bookmarkEnd w:id="20"/>
    <w:p w14:paraId="12C1940D" w14:textId="77777777" w:rsidR="0051000E" w:rsidRDefault="00EA1EE1">
      <w:pPr>
        <w:tabs>
          <w:tab w:val="left" w:pos="562"/>
          <w:tab w:val="left" w:pos="907"/>
        </w:tabs>
        <w:spacing w:after="40"/>
        <w:rPr>
          <w:rFonts w:ascii="Arial" w:hAnsi="Arial"/>
          <w:sz w:val="22"/>
          <w:szCs w:val="22"/>
          <w:rtl/>
        </w:rPr>
      </w:pPr>
      <w:r>
        <w:rPr>
          <w:rFonts w:ascii="Arial" w:hAnsi="Arial"/>
          <w:sz w:val="22"/>
          <w:szCs w:val="22"/>
          <w:rtl/>
        </w:rPr>
        <w:t>21.</w:t>
      </w:r>
      <w:r>
        <w:rPr>
          <w:rFonts w:ascii="Arial" w:hAnsi="Arial"/>
          <w:sz w:val="22"/>
          <w:szCs w:val="22"/>
          <w:rtl/>
        </w:rPr>
        <w:tab/>
        <w:t xml:space="preserve">משבוטל החוזה, חייב כל צד להשיב לצד השני מה שקיבל על פי החוזה, ואם ההשבה </w:t>
      </w:r>
      <w:proofErr w:type="spellStart"/>
      <w:r>
        <w:rPr>
          <w:rFonts w:ascii="Arial" w:hAnsi="Arial"/>
          <w:sz w:val="22"/>
          <w:szCs w:val="22"/>
          <w:rtl/>
        </w:rPr>
        <w:t>היתה</w:t>
      </w:r>
      <w:proofErr w:type="spellEnd"/>
      <w:r>
        <w:rPr>
          <w:rFonts w:ascii="Arial" w:hAnsi="Arial"/>
          <w:sz w:val="22"/>
          <w:szCs w:val="22"/>
          <w:rtl/>
        </w:rPr>
        <w:t xml:space="preserve"> בלתי אפשרית או בלתי סבירה - לשלם לו את שוויו של מה שקיבל.</w:t>
      </w:r>
    </w:p>
    <w:p w14:paraId="12C1940E" w14:textId="77777777" w:rsidR="0051000E" w:rsidRDefault="00EA1EE1">
      <w:pPr>
        <w:jc w:val="left"/>
        <w:rPr>
          <w:rFonts w:ascii="Arial" w:hAnsi="Arial"/>
          <w:b/>
          <w:bCs/>
          <w:sz w:val="22"/>
          <w:szCs w:val="22"/>
          <w:rtl/>
        </w:rPr>
      </w:pPr>
      <w:bookmarkStart w:id="21" w:name="A00004212"/>
      <w:r>
        <w:rPr>
          <w:rFonts w:ascii="Arial" w:hAnsi="Arial"/>
          <w:b/>
          <w:bCs/>
          <w:sz w:val="22"/>
          <w:szCs w:val="22"/>
          <w:rtl/>
        </w:rPr>
        <w:t>שמירת תרופות</w:t>
      </w:r>
    </w:p>
    <w:bookmarkEnd w:id="21"/>
    <w:p w14:paraId="12C1940F" w14:textId="77777777" w:rsidR="0051000E" w:rsidRDefault="00EA1EE1">
      <w:pPr>
        <w:tabs>
          <w:tab w:val="left" w:pos="562"/>
          <w:tab w:val="left" w:pos="907"/>
        </w:tabs>
        <w:spacing w:after="40"/>
        <w:jc w:val="left"/>
        <w:rPr>
          <w:rFonts w:ascii="Arial" w:hAnsi="Arial"/>
          <w:sz w:val="22"/>
          <w:szCs w:val="22"/>
          <w:rtl/>
        </w:rPr>
      </w:pPr>
      <w:r>
        <w:rPr>
          <w:rFonts w:ascii="Arial" w:hAnsi="Arial"/>
          <w:sz w:val="22"/>
          <w:szCs w:val="22"/>
          <w:rtl/>
        </w:rPr>
        <w:t>22.</w:t>
      </w:r>
      <w:r>
        <w:rPr>
          <w:rFonts w:ascii="Arial" w:hAnsi="Arial"/>
          <w:sz w:val="22"/>
          <w:szCs w:val="22"/>
          <w:rtl/>
        </w:rPr>
        <w:tab/>
        <w:t>אין בהוראות פרק זה כדי לגרוע מכל תרופה אחרת.</w:t>
      </w:r>
    </w:p>
    <w:p w14:paraId="12C19410" w14:textId="77777777" w:rsidR="0051000E" w:rsidRDefault="0051000E">
      <w:pPr>
        <w:tabs>
          <w:tab w:val="left" w:pos="562"/>
          <w:tab w:val="left" w:pos="907"/>
        </w:tabs>
        <w:spacing w:after="40"/>
        <w:jc w:val="left"/>
        <w:rPr>
          <w:rFonts w:ascii="Arial" w:hAnsi="Arial"/>
          <w:b/>
          <w:bCs/>
          <w:sz w:val="24"/>
          <w:szCs w:val="24"/>
          <w:u w:val="single"/>
          <w:rtl/>
        </w:rPr>
      </w:pPr>
    </w:p>
    <w:p w14:paraId="12C19411" w14:textId="1324A15E" w:rsidR="0051000E" w:rsidRDefault="00EA1EE1">
      <w:pPr>
        <w:jc w:val="left"/>
        <w:rPr>
          <w:sz w:val="22"/>
          <w:szCs w:val="22"/>
          <w:rtl/>
        </w:rPr>
      </w:pPr>
      <w:r>
        <w:rPr>
          <w:b/>
          <w:bCs/>
          <w:sz w:val="28"/>
          <w:szCs w:val="28"/>
          <w:rtl/>
        </w:rPr>
        <w:t>פרק ג' : צורת החוזה ותכנו</w:t>
      </w:r>
      <w:r>
        <w:rPr>
          <w:sz w:val="22"/>
          <w:szCs w:val="22"/>
          <w:rtl/>
        </w:rPr>
        <w:t xml:space="preserve"> </w:t>
      </w:r>
    </w:p>
    <w:p w14:paraId="5F04A811" w14:textId="1BACD428" w:rsidR="0062116C" w:rsidRDefault="00EA1EE1" w:rsidP="0062116C">
      <w:pPr>
        <w:jc w:val="left"/>
        <w:rPr>
          <w:b/>
          <w:bCs/>
          <w:sz w:val="28"/>
          <w:szCs w:val="28"/>
          <w:rtl/>
          <w:lang w:eastAsia="en-US"/>
        </w:rPr>
      </w:pPr>
      <w:r>
        <w:rPr>
          <w:sz w:val="22"/>
          <w:szCs w:val="22"/>
          <w:rtl/>
        </w:rPr>
        <w:t xml:space="preserve">23. צורת חוזה </w:t>
      </w:r>
      <w:r>
        <w:rPr>
          <w:sz w:val="22"/>
          <w:szCs w:val="22"/>
          <w:rtl/>
        </w:rPr>
        <w:br/>
      </w:r>
      <w:proofErr w:type="spellStart"/>
      <w:r>
        <w:rPr>
          <w:sz w:val="22"/>
          <w:szCs w:val="22"/>
          <w:rtl/>
        </w:rPr>
        <w:t>חוזה</w:t>
      </w:r>
      <w:proofErr w:type="spellEnd"/>
      <w:r>
        <w:rPr>
          <w:sz w:val="22"/>
          <w:szCs w:val="22"/>
          <w:rtl/>
        </w:rPr>
        <w:t xml:space="preserve"> יכול שייעשה בעל פה, בכתב או בצורה אחרת, זולת אם </w:t>
      </w:r>
      <w:proofErr w:type="spellStart"/>
      <w:r>
        <w:rPr>
          <w:sz w:val="22"/>
          <w:szCs w:val="22"/>
          <w:rtl/>
        </w:rPr>
        <w:t>היתה</w:t>
      </w:r>
      <w:proofErr w:type="spellEnd"/>
      <w:r>
        <w:rPr>
          <w:sz w:val="22"/>
          <w:szCs w:val="22"/>
          <w:rtl/>
        </w:rPr>
        <w:t xml:space="preserve"> צורה </w:t>
      </w:r>
      <w:proofErr w:type="spellStart"/>
      <w:r>
        <w:rPr>
          <w:sz w:val="22"/>
          <w:szCs w:val="22"/>
          <w:rtl/>
        </w:rPr>
        <w:t>מסויימת</w:t>
      </w:r>
      <w:proofErr w:type="spellEnd"/>
      <w:r>
        <w:rPr>
          <w:sz w:val="22"/>
          <w:szCs w:val="22"/>
          <w:rtl/>
        </w:rPr>
        <w:t xml:space="preserve"> תנאי לתקפו על פי חוק או הסכם בין הצדדים. </w:t>
      </w:r>
      <w:r>
        <w:rPr>
          <w:sz w:val="22"/>
          <w:szCs w:val="22"/>
          <w:rtl/>
        </w:rPr>
        <w:br/>
        <w:t xml:space="preserve">  </w:t>
      </w:r>
      <w:r>
        <w:rPr>
          <w:sz w:val="22"/>
          <w:szCs w:val="22"/>
          <w:rtl/>
        </w:rPr>
        <w:br/>
        <w:t xml:space="preserve"> 24. תכנו של חוזה </w:t>
      </w:r>
      <w:r>
        <w:rPr>
          <w:sz w:val="22"/>
          <w:szCs w:val="22"/>
          <w:rtl/>
        </w:rPr>
        <w:br/>
        <w:t xml:space="preserve">תכנו של חוזה יכול שיהיה ככל אשר הסכימו הצדדים. </w:t>
      </w:r>
      <w:r>
        <w:rPr>
          <w:sz w:val="22"/>
          <w:szCs w:val="22"/>
          <w:rtl/>
        </w:rPr>
        <w:br/>
        <w:t xml:space="preserve">    </w:t>
      </w:r>
      <w:r>
        <w:rPr>
          <w:sz w:val="22"/>
          <w:szCs w:val="22"/>
          <w:rtl/>
        </w:rPr>
        <w:br/>
        <w:t xml:space="preserve"> 27. חוזה על תנאי </w:t>
      </w:r>
      <w:r>
        <w:rPr>
          <w:sz w:val="22"/>
          <w:szCs w:val="22"/>
          <w:rtl/>
        </w:rPr>
        <w:br/>
        <w:t xml:space="preserve">(א)   חוזה יכול שיהיה תלוי בהתקיים תנאי (להלן - תנאי מתלה) או שיחדל בהתקיים תנאי (להלן - תנאי מפסיק). </w:t>
      </w:r>
      <w:r>
        <w:rPr>
          <w:sz w:val="22"/>
          <w:szCs w:val="22"/>
          <w:rtl/>
        </w:rPr>
        <w:br/>
        <w:t xml:space="preserve">(ב)   חוזה שהיה טעון הסכמת אדם שלישי או </w:t>
      </w:r>
      <w:proofErr w:type="spellStart"/>
      <w:r>
        <w:rPr>
          <w:sz w:val="22"/>
          <w:szCs w:val="22"/>
          <w:rtl/>
        </w:rPr>
        <w:t>רשיון</w:t>
      </w:r>
      <w:proofErr w:type="spellEnd"/>
      <w:r>
        <w:rPr>
          <w:sz w:val="22"/>
          <w:szCs w:val="22"/>
          <w:rtl/>
        </w:rPr>
        <w:t xml:space="preserve"> על פי חיקוק, חזקה שקבלת ההסכמה או </w:t>
      </w:r>
      <w:proofErr w:type="spellStart"/>
      <w:r>
        <w:rPr>
          <w:sz w:val="22"/>
          <w:szCs w:val="22"/>
          <w:rtl/>
        </w:rPr>
        <w:t>הרשיון</w:t>
      </w:r>
      <w:proofErr w:type="spellEnd"/>
      <w:r>
        <w:rPr>
          <w:sz w:val="22"/>
          <w:szCs w:val="22"/>
          <w:rtl/>
        </w:rPr>
        <w:t xml:space="preserve"> הוא תנאי מתלה. </w:t>
      </w:r>
      <w:r>
        <w:rPr>
          <w:sz w:val="22"/>
          <w:szCs w:val="22"/>
          <w:rtl/>
        </w:rPr>
        <w:br/>
        <w:t xml:space="preserve">(ג)   חוזה שהיה מותנה בתנאי מתלה, זכאי כל צד </w:t>
      </w:r>
      <w:proofErr w:type="spellStart"/>
      <w:r>
        <w:rPr>
          <w:sz w:val="22"/>
          <w:szCs w:val="22"/>
          <w:rtl/>
        </w:rPr>
        <w:t>לסעדים</w:t>
      </w:r>
      <w:proofErr w:type="spellEnd"/>
      <w:r>
        <w:rPr>
          <w:sz w:val="22"/>
          <w:szCs w:val="22"/>
          <w:rtl/>
        </w:rPr>
        <w:t xml:space="preserve"> לשם מניעת הפרתו, אף לפני שנתקיים התנאי. </w:t>
      </w:r>
      <w:r>
        <w:rPr>
          <w:sz w:val="22"/>
          <w:szCs w:val="22"/>
          <w:rtl/>
        </w:rPr>
        <w:br/>
        <w:t xml:space="preserve">    </w:t>
      </w:r>
      <w:r>
        <w:rPr>
          <w:sz w:val="22"/>
          <w:szCs w:val="22"/>
          <w:rtl/>
        </w:rPr>
        <w:br/>
        <w:t xml:space="preserve"> 29. בטלות החוזה או ההתנאה </w:t>
      </w:r>
      <w:r>
        <w:rPr>
          <w:sz w:val="22"/>
          <w:szCs w:val="22"/>
          <w:rtl/>
        </w:rPr>
        <w:br/>
      </w:r>
      <w:r>
        <w:rPr>
          <w:sz w:val="22"/>
          <w:szCs w:val="22"/>
          <w:rtl/>
        </w:rPr>
        <w:t xml:space="preserve">היה חוזה מותנה בתנאי והתנאי לא נתקיים תוך התקופה שנקבעה לכך, ובאין תקופה כזאת - תוך זמן סביר מכריתת החוזה, הרי אם היה זה תנאי מתלה - מתבטל החוזה, ואם תנאי מפסיק - מתבטלת ההתנאה. </w:t>
      </w:r>
      <w:r>
        <w:rPr>
          <w:sz w:val="22"/>
          <w:szCs w:val="22"/>
          <w:rtl/>
        </w:rPr>
        <w:br/>
        <w:t xml:space="preserve">  </w:t>
      </w:r>
      <w:r>
        <w:rPr>
          <w:sz w:val="22"/>
          <w:szCs w:val="22"/>
          <w:rtl/>
        </w:rPr>
        <w:br/>
        <w:t xml:space="preserve"> 30. חוזה פסול </w:t>
      </w:r>
      <w:r>
        <w:rPr>
          <w:sz w:val="22"/>
          <w:szCs w:val="22"/>
          <w:rtl/>
        </w:rPr>
        <w:br/>
        <w:t xml:space="preserve">חוזה שכריתתו, תכנו או מטרתו הם בלתי חוקיים, בלתי מוסריים או סותרים את תקנת הציבור - בטל. </w:t>
      </w:r>
    </w:p>
    <w:p w14:paraId="112A78EB" w14:textId="77777777" w:rsidR="0062116C" w:rsidRDefault="0062116C" w:rsidP="0062116C">
      <w:pPr>
        <w:jc w:val="left"/>
        <w:rPr>
          <w:b/>
          <w:bCs/>
          <w:sz w:val="28"/>
          <w:szCs w:val="28"/>
          <w:rtl/>
          <w:lang w:eastAsia="en-US"/>
        </w:rPr>
      </w:pPr>
    </w:p>
    <w:p w14:paraId="12C19414" w14:textId="61BE5D0D" w:rsidR="0051000E" w:rsidRDefault="00EA1EE1">
      <w:pPr>
        <w:keepNext/>
        <w:spacing w:before="72"/>
        <w:rPr>
          <w:sz w:val="28"/>
          <w:szCs w:val="28"/>
          <w:lang w:eastAsia="en-US"/>
        </w:rPr>
      </w:pPr>
      <w:r>
        <w:rPr>
          <w:rFonts w:hint="cs"/>
          <w:b/>
          <w:bCs/>
          <w:sz w:val="28"/>
          <w:szCs w:val="28"/>
          <w:rtl/>
          <w:lang w:eastAsia="en-US"/>
        </w:rPr>
        <w:lastRenderedPageBreak/>
        <w:t>פרק ה: קיום החוזה</w:t>
      </w:r>
    </w:p>
    <w:p w14:paraId="12C19415" w14:textId="77777777" w:rsidR="0051000E" w:rsidRDefault="00EA1EE1">
      <w:pPr>
        <w:spacing w:before="72"/>
        <w:jc w:val="left"/>
        <w:rPr>
          <w:sz w:val="22"/>
          <w:szCs w:val="22"/>
          <w:rtl/>
          <w:lang w:eastAsia="en-US"/>
        </w:rPr>
      </w:pPr>
      <w:bookmarkStart w:id="22" w:name="Seif39"/>
      <w:bookmarkEnd w:id="22"/>
      <w:r>
        <w:rPr>
          <w:rFonts w:ascii="Time New Roman" w:hAnsi="Time New Roman"/>
          <w:b/>
          <w:bCs/>
          <w:sz w:val="22"/>
          <w:szCs w:val="22"/>
          <w:rtl/>
          <w:lang w:eastAsia="en-US"/>
        </w:rPr>
        <w:t>קיום בתום לב</w:t>
      </w:r>
    </w:p>
    <w:p w14:paraId="12C19416" w14:textId="77777777" w:rsidR="0051000E" w:rsidRDefault="00EA1EE1">
      <w:pPr>
        <w:spacing w:before="72"/>
        <w:rPr>
          <w:sz w:val="22"/>
          <w:szCs w:val="22"/>
          <w:rtl/>
          <w:lang w:eastAsia="en-US"/>
        </w:rPr>
      </w:pPr>
      <w:r>
        <w:rPr>
          <w:rFonts w:hint="cs"/>
          <w:sz w:val="22"/>
          <w:szCs w:val="22"/>
          <w:rtl/>
          <w:lang w:eastAsia="en-US"/>
        </w:rPr>
        <w:t>39.   בקיום של חיוב הנובע מחוזה יש לנהוג בדרך מקובלת ובתום לב; והוא הדין לגבי השימוש בזכות הנובעת מחוזה.</w:t>
      </w:r>
    </w:p>
    <w:p w14:paraId="12C19417" w14:textId="77777777" w:rsidR="0051000E" w:rsidRDefault="00EA1EE1">
      <w:pPr>
        <w:spacing w:before="72"/>
        <w:jc w:val="left"/>
        <w:rPr>
          <w:sz w:val="22"/>
          <w:szCs w:val="22"/>
          <w:rtl/>
          <w:lang w:eastAsia="en-US"/>
        </w:rPr>
      </w:pPr>
      <w:bookmarkStart w:id="23" w:name="Seif40"/>
      <w:bookmarkEnd w:id="23"/>
      <w:r>
        <w:rPr>
          <w:rFonts w:ascii="Time New Roman" w:hAnsi="Time New Roman"/>
          <w:b/>
          <w:bCs/>
          <w:sz w:val="22"/>
          <w:szCs w:val="22"/>
          <w:rtl/>
          <w:lang w:eastAsia="en-US"/>
        </w:rPr>
        <w:t>קיום   בידי מי</w:t>
      </w:r>
    </w:p>
    <w:p w14:paraId="12C19418" w14:textId="77777777" w:rsidR="0051000E" w:rsidRDefault="00EA1EE1">
      <w:pPr>
        <w:spacing w:before="72"/>
        <w:rPr>
          <w:sz w:val="22"/>
          <w:szCs w:val="22"/>
          <w:rtl/>
          <w:lang w:eastAsia="en-US"/>
        </w:rPr>
      </w:pPr>
      <w:r>
        <w:rPr>
          <w:rFonts w:hint="cs"/>
          <w:sz w:val="22"/>
          <w:szCs w:val="22"/>
          <w:rtl/>
          <w:lang w:eastAsia="en-US"/>
        </w:rPr>
        <w:t>40.   חיוב יכול שיקויים בידי אדם שאיננו החייב, זולת אם לפי מהות החיוב, או לפי המוסכם בין הצדדים, על החייב לקיימו אישית.</w:t>
      </w:r>
    </w:p>
    <w:p w14:paraId="12C19419" w14:textId="77777777" w:rsidR="0051000E" w:rsidRDefault="00EA1EE1">
      <w:pPr>
        <w:spacing w:before="72"/>
        <w:jc w:val="left"/>
        <w:rPr>
          <w:sz w:val="22"/>
          <w:szCs w:val="22"/>
          <w:rtl/>
          <w:lang w:eastAsia="en-US"/>
        </w:rPr>
      </w:pPr>
      <w:bookmarkStart w:id="24" w:name="Seif41"/>
      <w:bookmarkEnd w:id="24"/>
      <w:r>
        <w:rPr>
          <w:rFonts w:ascii="Time New Roman" w:hAnsi="Time New Roman"/>
          <w:b/>
          <w:bCs/>
          <w:sz w:val="22"/>
          <w:szCs w:val="22"/>
          <w:rtl/>
          <w:lang w:eastAsia="en-US"/>
        </w:rPr>
        <w:t>מועד הקיום</w:t>
      </w:r>
    </w:p>
    <w:p w14:paraId="12C1941A" w14:textId="77777777" w:rsidR="0051000E" w:rsidRDefault="00EA1EE1">
      <w:pPr>
        <w:spacing w:before="72"/>
        <w:rPr>
          <w:sz w:val="22"/>
          <w:szCs w:val="22"/>
          <w:rtl/>
          <w:lang w:eastAsia="en-US"/>
        </w:rPr>
      </w:pPr>
      <w:r>
        <w:rPr>
          <w:rFonts w:hint="cs"/>
          <w:sz w:val="22"/>
          <w:szCs w:val="22"/>
          <w:rtl/>
          <w:lang w:eastAsia="en-US"/>
        </w:rPr>
        <w:t>41.   חיוב שלא הוסכם על מועד קיומו, יש לקיים זמן סביר לאחר כריתת החוזה, במועד שעליו הודיע הנושה לחייב זמן סביר מראש.</w:t>
      </w:r>
    </w:p>
    <w:p w14:paraId="12C1941B" w14:textId="77777777" w:rsidR="0051000E" w:rsidRDefault="0051000E">
      <w:pPr>
        <w:spacing w:before="72"/>
        <w:jc w:val="left"/>
        <w:rPr>
          <w:rFonts w:ascii="Time New Roman" w:hAnsi="Time New Roman"/>
          <w:b/>
          <w:bCs/>
          <w:sz w:val="22"/>
          <w:szCs w:val="22"/>
          <w:rtl/>
          <w:lang w:eastAsia="en-US"/>
        </w:rPr>
      </w:pPr>
      <w:bookmarkStart w:id="25" w:name="Seif42"/>
      <w:bookmarkEnd w:id="25"/>
    </w:p>
    <w:p w14:paraId="12C1941C" w14:textId="77777777" w:rsidR="0051000E" w:rsidRDefault="00EA1EE1">
      <w:pPr>
        <w:spacing w:before="72"/>
        <w:jc w:val="left"/>
        <w:rPr>
          <w:sz w:val="22"/>
          <w:szCs w:val="22"/>
          <w:rtl/>
          <w:lang w:eastAsia="en-US"/>
        </w:rPr>
      </w:pPr>
      <w:r>
        <w:rPr>
          <w:rFonts w:ascii="Time New Roman" w:hAnsi="Time New Roman"/>
          <w:b/>
          <w:bCs/>
          <w:sz w:val="22"/>
          <w:szCs w:val="22"/>
          <w:rtl/>
          <w:lang w:eastAsia="en-US"/>
        </w:rPr>
        <w:t>קיום מוקדם</w:t>
      </w:r>
    </w:p>
    <w:p w14:paraId="12C1941D" w14:textId="77777777" w:rsidR="0051000E" w:rsidRDefault="00EA1EE1">
      <w:pPr>
        <w:spacing w:before="72"/>
        <w:rPr>
          <w:sz w:val="22"/>
          <w:szCs w:val="22"/>
          <w:rtl/>
          <w:lang w:eastAsia="en-US"/>
        </w:rPr>
      </w:pPr>
      <w:r>
        <w:rPr>
          <w:rFonts w:hint="cs"/>
          <w:sz w:val="22"/>
          <w:szCs w:val="22"/>
          <w:rtl/>
          <w:lang w:eastAsia="en-US"/>
        </w:rPr>
        <w:t>42.   חיוב יכול שיקויים לפני מועדו, ובלבד שהודיע החייב לנושה על כך זמן סביר מראש והדבר לא יפגע בנושה.</w:t>
      </w:r>
    </w:p>
    <w:p w14:paraId="12C1941E" w14:textId="77777777" w:rsidR="0051000E" w:rsidRDefault="00EA1EE1">
      <w:pPr>
        <w:spacing w:before="72"/>
        <w:jc w:val="left"/>
        <w:rPr>
          <w:sz w:val="22"/>
          <w:szCs w:val="22"/>
          <w:rtl/>
          <w:lang w:eastAsia="en-US"/>
        </w:rPr>
      </w:pPr>
      <w:bookmarkStart w:id="26" w:name="Seif43"/>
      <w:bookmarkEnd w:id="26"/>
      <w:r>
        <w:rPr>
          <w:rFonts w:ascii="Time New Roman" w:hAnsi="Time New Roman"/>
          <w:b/>
          <w:bCs/>
          <w:sz w:val="22"/>
          <w:szCs w:val="22"/>
          <w:rtl/>
          <w:lang w:eastAsia="en-US"/>
        </w:rPr>
        <w:t>דחיית קיום</w:t>
      </w:r>
    </w:p>
    <w:p w14:paraId="12C1941F" w14:textId="77777777" w:rsidR="0051000E" w:rsidRDefault="00EA1EE1">
      <w:pPr>
        <w:spacing w:before="72"/>
        <w:rPr>
          <w:sz w:val="22"/>
          <w:szCs w:val="22"/>
          <w:rtl/>
          <w:lang w:eastAsia="en-US"/>
        </w:rPr>
      </w:pPr>
      <w:r>
        <w:rPr>
          <w:rFonts w:hint="cs"/>
          <w:sz w:val="22"/>
          <w:szCs w:val="22"/>
          <w:rtl/>
          <w:lang w:eastAsia="en-US"/>
        </w:rPr>
        <w:t>43.   (א)  המועד לקיומו של חוב נדחה –</w:t>
      </w:r>
    </w:p>
    <w:p w14:paraId="12C19420" w14:textId="77777777" w:rsidR="0051000E" w:rsidRDefault="00EA1EE1">
      <w:pPr>
        <w:spacing w:before="72"/>
        <w:ind w:left="1021"/>
        <w:rPr>
          <w:sz w:val="22"/>
          <w:szCs w:val="22"/>
          <w:rtl/>
          <w:lang w:eastAsia="en-US"/>
        </w:rPr>
      </w:pPr>
      <w:r>
        <w:rPr>
          <w:rFonts w:hint="cs"/>
          <w:sz w:val="22"/>
          <w:szCs w:val="22"/>
          <w:rtl/>
          <w:lang w:eastAsia="en-US"/>
        </w:rPr>
        <w:t>(1)   אם נמנע הקיום במועדו מסיבה תלויה בנושה - עד שהוסרה המניעה;</w:t>
      </w:r>
    </w:p>
    <w:p w14:paraId="12C19421" w14:textId="77777777" w:rsidR="0051000E" w:rsidRDefault="00EA1EE1">
      <w:pPr>
        <w:spacing w:before="72"/>
        <w:ind w:left="1021"/>
        <w:rPr>
          <w:sz w:val="22"/>
          <w:szCs w:val="22"/>
          <w:rtl/>
          <w:lang w:eastAsia="en-US"/>
        </w:rPr>
      </w:pPr>
      <w:r>
        <w:rPr>
          <w:rFonts w:hint="cs"/>
          <w:sz w:val="22"/>
          <w:szCs w:val="22"/>
          <w:rtl/>
          <w:lang w:eastAsia="en-US"/>
        </w:rPr>
        <w:t xml:space="preserve">(2)   אם תנאי לקיום הוא שיקויים תחילה חיובו של הנושה - עד </w:t>
      </w:r>
      <w:proofErr w:type="spellStart"/>
      <w:r>
        <w:rPr>
          <w:rFonts w:hint="cs"/>
          <w:sz w:val="22"/>
          <w:szCs w:val="22"/>
          <w:rtl/>
          <w:lang w:eastAsia="en-US"/>
        </w:rPr>
        <w:t>שקויים</w:t>
      </w:r>
      <w:proofErr w:type="spellEnd"/>
      <w:r>
        <w:rPr>
          <w:rFonts w:hint="cs"/>
          <w:sz w:val="22"/>
          <w:szCs w:val="22"/>
          <w:rtl/>
          <w:lang w:eastAsia="en-US"/>
        </w:rPr>
        <w:t xml:space="preserve"> אותו חיוב;</w:t>
      </w:r>
    </w:p>
    <w:p w14:paraId="12C19422" w14:textId="77777777" w:rsidR="0051000E" w:rsidRDefault="00EA1EE1">
      <w:pPr>
        <w:spacing w:before="72"/>
        <w:ind w:left="1021"/>
        <w:rPr>
          <w:sz w:val="22"/>
          <w:szCs w:val="22"/>
          <w:rtl/>
          <w:lang w:eastAsia="en-US"/>
        </w:rPr>
      </w:pPr>
      <w:r>
        <w:rPr>
          <w:rFonts w:hint="cs"/>
          <w:sz w:val="22"/>
          <w:szCs w:val="22"/>
          <w:rtl/>
          <w:lang w:eastAsia="en-US"/>
        </w:rPr>
        <w:t>(3)   אם על הצדדים לקיים חיוביהם בד בבד - כל עוד הנושה אינו מוכן לקיים את החיוב המוטל עליו.</w:t>
      </w:r>
    </w:p>
    <w:p w14:paraId="12C19423" w14:textId="77777777" w:rsidR="0051000E" w:rsidRDefault="00EA1EE1">
      <w:pPr>
        <w:spacing w:before="72"/>
        <w:rPr>
          <w:sz w:val="22"/>
          <w:szCs w:val="22"/>
          <w:rtl/>
          <w:lang w:eastAsia="en-US"/>
        </w:rPr>
      </w:pPr>
      <w:r>
        <w:rPr>
          <w:rFonts w:hint="cs"/>
          <w:sz w:val="22"/>
          <w:szCs w:val="22"/>
          <w:rtl/>
          <w:lang w:eastAsia="en-US"/>
        </w:rPr>
        <w:t>           (ב)  נדחה המועד לקיום החיוב כאמור בסעיף קטן (א), רשאי בית המשפט, אם ראה שמן הצדק לעשות כן, לחייב את הנושה בפיצויים בעד הנזק שנגרם לחייב עקב הדחיה, אף אם אין בדבר משום הפרת חוזה מצד הנושה, ואם היה על החייב לשלם תשלומים תקופתיים עד לקיום החיוב שמועדו נדחה - לפטור אותו מתשלומים אלה בתקופת הדחיה.</w:t>
      </w:r>
    </w:p>
    <w:p w14:paraId="12C19424" w14:textId="77777777" w:rsidR="0051000E" w:rsidRDefault="0051000E">
      <w:pPr>
        <w:spacing w:before="72"/>
        <w:jc w:val="left"/>
        <w:rPr>
          <w:rFonts w:ascii="Time New Roman" w:hAnsi="Time New Roman"/>
          <w:b/>
          <w:bCs/>
          <w:sz w:val="22"/>
          <w:szCs w:val="22"/>
          <w:rtl/>
          <w:lang w:eastAsia="en-US"/>
        </w:rPr>
      </w:pPr>
      <w:bookmarkStart w:id="27" w:name="Seif44"/>
      <w:bookmarkEnd w:id="27"/>
    </w:p>
    <w:p w14:paraId="12C19425" w14:textId="77777777" w:rsidR="0051000E" w:rsidRDefault="00EA1EE1">
      <w:pPr>
        <w:spacing w:before="72"/>
        <w:jc w:val="left"/>
        <w:rPr>
          <w:sz w:val="22"/>
          <w:szCs w:val="22"/>
          <w:rtl/>
          <w:lang w:eastAsia="en-US"/>
        </w:rPr>
      </w:pPr>
      <w:r>
        <w:rPr>
          <w:rFonts w:ascii="Time New Roman" w:hAnsi="Time New Roman"/>
          <w:b/>
          <w:bCs/>
          <w:sz w:val="22"/>
          <w:szCs w:val="22"/>
          <w:rtl/>
          <w:lang w:eastAsia="en-US"/>
        </w:rPr>
        <w:t>מקום הקיום</w:t>
      </w:r>
    </w:p>
    <w:p w14:paraId="12C19426" w14:textId="77777777" w:rsidR="0051000E" w:rsidRDefault="00EA1EE1">
      <w:pPr>
        <w:spacing w:before="72"/>
        <w:rPr>
          <w:sz w:val="22"/>
          <w:szCs w:val="22"/>
          <w:rtl/>
          <w:lang w:eastAsia="en-US"/>
        </w:rPr>
      </w:pPr>
      <w:r>
        <w:rPr>
          <w:rFonts w:hint="cs"/>
          <w:sz w:val="22"/>
          <w:szCs w:val="22"/>
          <w:rtl/>
          <w:lang w:eastAsia="en-US"/>
        </w:rPr>
        <w:t>44.   (א)  חיוב שלא הוסכם על מקום קיומו, יש לקיים במקום עסקו של הנושה, ואם אין לו מקום עסק - במקום מגוריו הקבוע.</w:t>
      </w:r>
    </w:p>
    <w:p w14:paraId="12C19427" w14:textId="77777777" w:rsidR="0051000E" w:rsidRDefault="00EA1EE1">
      <w:pPr>
        <w:spacing w:before="72"/>
        <w:rPr>
          <w:sz w:val="22"/>
          <w:szCs w:val="22"/>
          <w:rtl/>
          <w:lang w:eastAsia="en-US"/>
        </w:rPr>
      </w:pPr>
      <w:r>
        <w:rPr>
          <w:rFonts w:hint="cs"/>
          <w:sz w:val="22"/>
          <w:szCs w:val="22"/>
          <w:rtl/>
          <w:lang w:eastAsia="en-US"/>
        </w:rPr>
        <w:t xml:space="preserve">           (ב)  שינה הנושה את מקום עסקו או מקום מגוריו אחרי כריתת החוזה, </w:t>
      </w:r>
      <w:proofErr w:type="spellStart"/>
      <w:r>
        <w:rPr>
          <w:rFonts w:hint="cs"/>
          <w:sz w:val="22"/>
          <w:szCs w:val="22"/>
          <w:rtl/>
          <w:lang w:eastAsia="en-US"/>
        </w:rPr>
        <w:t>ישא</w:t>
      </w:r>
      <w:proofErr w:type="spellEnd"/>
      <w:r>
        <w:rPr>
          <w:rFonts w:hint="cs"/>
          <w:sz w:val="22"/>
          <w:szCs w:val="22"/>
          <w:rtl/>
          <w:lang w:eastAsia="en-US"/>
        </w:rPr>
        <w:t xml:space="preserve"> בהוצאות הנוספות הנובעות מקיום החיוב במקום החדש.</w:t>
      </w:r>
    </w:p>
    <w:p w14:paraId="12C19428" w14:textId="77777777" w:rsidR="0051000E" w:rsidRDefault="00EA1EE1">
      <w:pPr>
        <w:spacing w:before="72"/>
        <w:jc w:val="left"/>
        <w:rPr>
          <w:sz w:val="22"/>
          <w:szCs w:val="22"/>
          <w:rtl/>
          <w:lang w:eastAsia="en-US"/>
        </w:rPr>
      </w:pPr>
      <w:bookmarkStart w:id="28" w:name="Seif45"/>
      <w:bookmarkEnd w:id="28"/>
      <w:r>
        <w:rPr>
          <w:rFonts w:ascii="Time New Roman" w:hAnsi="Time New Roman"/>
          <w:b/>
          <w:bCs/>
          <w:sz w:val="22"/>
          <w:szCs w:val="22"/>
          <w:rtl/>
          <w:lang w:eastAsia="en-US"/>
        </w:rPr>
        <w:t>קיום בבינונית</w:t>
      </w:r>
    </w:p>
    <w:p w14:paraId="12C19429" w14:textId="77777777" w:rsidR="0051000E" w:rsidRDefault="00EA1EE1">
      <w:pPr>
        <w:spacing w:before="72"/>
        <w:rPr>
          <w:sz w:val="22"/>
          <w:szCs w:val="22"/>
          <w:rtl/>
          <w:lang w:eastAsia="en-US"/>
        </w:rPr>
      </w:pPr>
      <w:r>
        <w:rPr>
          <w:rFonts w:hint="cs"/>
          <w:sz w:val="22"/>
          <w:szCs w:val="22"/>
          <w:rtl/>
          <w:lang w:eastAsia="en-US"/>
        </w:rPr>
        <w:t>45.   חיוב למתן נכס או שירות שלא הוסכם על סוגם או טיבם, יש לקיים במתן נכס או שירות מסוג ומטיב בינונים.</w:t>
      </w:r>
    </w:p>
    <w:p w14:paraId="12C1942A" w14:textId="77777777" w:rsidR="0051000E" w:rsidRDefault="00EA1EE1">
      <w:pPr>
        <w:spacing w:before="72"/>
        <w:jc w:val="left"/>
        <w:rPr>
          <w:sz w:val="22"/>
          <w:szCs w:val="22"/>
          <w:rtl/>
          <w:lang w:eastAsia="en-US"/>
        </w:rPr>
      </w:pPr>
      <w:bookmarkStart w:id="29" w:name="Seif46"/>
      <w:bookmarkEnd w:id="29"/>
      <w:r>
        <w:rPr>
          <w:rFonts w:ascii="Time New Roman" w:hAnsi="Time New Roman"/>
          <w:b/>
          <w:bCs/>
          <w:sz w:val="22"/>
          <w:szCs w:val="22"/>
          <w:rtl/>
          <w:lang w:eastAsia="en-US"/>
        </w:rPr>
        <w:t>קיום בסכום ראוי</w:t>
      </w:r>
    </w:p>
    <w:p w14:paraId="12C1942B" w14:textId="77777777" w:rsidR="0051000E" w:rsidRDefault="00EA1EE1">
      <w:pPr>
        <w:spacing w:before="72"/>
        <w:rPr>
          <w:sz w:val="22"/>
          <w:szCs w:val="22"/>
          <w:rtl/>
          <w:lang w:eastAsia="en-US"/>
        </w:rPr>
      </w:pPr>
      <w:r>
        <w:rPr>
          <w:rFonts w:hint="cs"/>
          <w:sz w:val="22"/>
          <w:szCs w:val="22"/>
          <w:rtl/>
          <w:lang w:eastAsia="en-US"/>
        </w:rPr>
        <w:t>46.   חיוב לתשלום בעד נכס או שירות שלא הוסכם על שיעורו, יש לקיים בתשלום של סכום שהיה ראוי להשתלם לפי הנסיבות בעת כריתת החוזה.</w:t>
      </w:r>
    </w:p>
    <w:p w14:paraId="12C1942C" w14:textId="77777777" w:rsidR="0051000E" w:rsidRDefault="00EA1EE1">
      <w:pPr>
        <w:spacing w:before="72"/>
        <w:jc w:val="left"/>
        <w:rPr>
          <w:sz w:val="22"/>
          <w:szCs w:val="22"/>
          <w:rtl/>
          <w:lang w:eastAsia="en-US"/>
        </w:rPr>
      </w:pPr>
      <w:bookmarkStart w:id="30" w:name="Seif47"/>
      <w:bookmarkEnd w:id="30"/>
      <w:r>
        <w:rPr>
          <w:rFonts w:ascii="Time New Roman" w:hAnsi="Time New Roman"/>
          <w:b/>
          <w:bCs/>
          <w:sz w:val="22"/>
          <w:szCs w:val="22"/>
          <w:rtl/>
          <w:lang w:eastAsia="en-US"/>
        </w:rPr>
        <w:t>קיום במטבע ישראלי</w:t>
      </w:r>
    </w:p>
    <w:p w14:paraId="12C1942D" w14:textId="77777777" w:rsidR="0051000E" w:rsidRDefault="00EA1EE1">
      <w:pPr>
        <w:spacing w:before="72"/>
        <w:rPr>
          <w:sz w:val="22"/>
          <w:szCs w:val="22"/>
          <w:rtl/>
          <w:lang w:eastAsia="en-US"/>
        </w:rPr>
      </w:pPr>
      <w:r>
        <w:rPr>
          <w:rFonts w:hint="cs"/>
          <w:sz w:val="22"/>
          <w:szCs w:val="22"/>
          <w:rtl/>
          <w:lang w:eastAsia="en-US"/>
        </w:rPr>
        <w:t>47.   חיוב לשלם בארץ במטבע חוץ שתשלומו באותו מטבע אסור לפי הדין, יש לקיים בתשלום במטבע ישראלי, לפי שער החליפין הרשמי ביום התשלום.</w:t>
      </w:r>
    </w:p>
    <w:p w14:paraId="12C1942E" w14:textId="77777777" w:rsidR="0051000E" w:rsidRDefault="00EA1EE1">
      <w:pPr>
        <w:spacing w:before="72"/>
        <w:jc w:val="left"/>
        <w:rPr>
          <w:sz w:val="22"/>
          <w:szCs w:val="22"/>
          <w:rtl/>
          <w:lang w:eastAsia="en-US"/>
        </w:rPr>
      </w:pPr>
      <w:bookmarkStart w:id="31" w:name="Seif48"/>
      <w:bookmarkEnd w:id="31"/>
      <w:r>
        <w:rPr>
          <w:rFonts w:ascii="Time New Roman" w:hAnsi="Time New Roman"/>
          <w:b/>
          <w:bCs/>
          <w:sz w:val="22"/>
          <w:szCs w:val="22"/>
          <w:rtl/>
          <w:lang w:eastAsia="en-US"/>
        </w:rPr>
        <w:t>קיום על תנאי</w:t>
      </w:r>
    </w:p>
    <w:p w14:paraId="12C1942F" w14:textId="77777777" w:rsidR="0051000E" w:rsidRDefault="00EA1EE1">
      <w:pPr>
        <w:spacing w:before="72"/>
        <w:rPr>
          <w:sz w:val="22"/>
          <w:szCs w:val="22"/>
          <w:rtl/>
          <w:lang w:eastAsia="en-US"/>
        </w:rPr>
      </w:pPr>
      <w:r>
        <w:rPr>
          <w:rFonts w:hint="cs"/>
          <w:sz w:val="22"/>
          <w:szCs w:val="22"/>
          <w:rtl/>
          <w:lang w:eastAsia="en-US"/>
        </w:rPr>
        <w:t xml:space="preserve">48.   חיוב אשר לקיומו התחייב החייב כלפי הנושה בחיוב אחר, או שהעביר לו לשם כך זכות כלפי אדם שלישי, חזקה שלא התכוונו להפקיעו אלא אם </w:t>
      </w:r>
      <w:proofErr w:type="spellStart"/>
      <w:r>
        <w:rPr>
          <w:rFonts w:hint="cs"/>
          <w:sz w:val="22"/>
          <w:szCs w:val="22"/>
          <w:rtl/>
          <w:lang w:eastAsia="en-US"/>
        </w:rPr>
        <w:t>קויימו</w:t>
      </w:r>
      <w:proofErr w:type="spellEnd"/>
      <w:r>
        <w:rPr>
          <w:rFonts w:hint="cs"/>
          <w:sz w:val="22"/>
          <w:szCs w:val="22"/>
          <w:rtl/>
          <w:lang w:eastAsia="en-US"/>
        </w:rPr>
        <w:t xml:space="preserve"> החיוב האחר או הזכות.</w:t>
      </w:r>
    </w:p>
    <w:p w14:paraId="12C19430" w14:textId="77777777" w:rsidR="0051000E" w:rsidRDefault="00EA1EE1">
      <w:pPr>
        <w:spacing w:before="72"/>
        <w:jc w:val="left"/>
        <w:rPr>
          <w:sz w:val="22"/>
          <w:szCs w:val="22"/>
          <w:rtl/>
          <w:lang w:eastAsia="en-US"/>
        </w:rPr>
      </w:pPr>
      <w:bookmarkStart w:id="32" w:name="Seif49"/>
      <w:bookmarkEnd w:id="32"/>
      <w:r>
        <w:rPr>
          <w:rFonts w:ascii="Time New Roman" w:hAnsi="Time New Roman"/>
          <w:b/>
          <w:bCs/>
          <w:sz w:val="22"/>
          <w:szCs w:val="22"/>
          <w:rtl/>
          <w:lang w:eastAsia="en-US"/>
        </w:rPr>
        <w:t>זקיפת תשלומים בחיוב אחד</w:t>
      </w:r>
    </w:p>
    <w:p w14:paraId="12C19431" w14:textId="77777777" w:rsidR="0051000E" w:rsidRDefault="00EA1EE1">
      <w:pPr>
        <w:spacing w:before="72"/>
        <w:rPr>
          <w:sz w:val="22"/>
          <w:szCs w:val="22"/>
          <w:rtl/>
          <w:lang w:eastAsia="en-US"/>
        </w:rPr>
      </w:pPr>
      <w:r>
        <w:rPr>
          <w:rFonts w:hint="cs"/>
          <w:sz w:val="22"/>
          <w:szCs w:val="22"/>
          <w:rtl/>
          <w:lang w:eastAsia="en-US"/>
        </w:rPr>
        <w:t>49.   סכום שניתן לסילוקו של חיוב אחד, ייזקף תחילה לחשבון ההוצאות שנתחייב בהן החייב בשל אותו חיוב, לאחר מכן לחשבון הריבית ולבסוף לחשבון החיוב עצמו.</w:t>
      </w:r>
    </w:p>
    <w:p w14:paraId="12C19432" w14:textId="77777777" w:rsidR="0051000E" w:rsidRDefault="00EA1EE1">
      <w:pPr>
        <w:spacing w:before="72"/>
        <w:jc w:val="left"/>
        <w:rPr>
          <w:sz w:val="22"/>
          <w:szCs w:val="22"/>
          <w:rtl/>
          <w:lang w:eastAsia="en-US"/>
        </w:rPr>
      </w:pPr>
      <w:bookmarkStart w:id="33" w:name="Seif50"/>
      <w:bookmarkEnd w:id="33"/>
      <w:r>
        <w:rPr>
          <w:rFonts w:ascii="Time New Roman" w:hAnsi="Time New Roman"/>
          <w:b/>
          <w:bCs/>
          <w:sz w:val="22"/>
          <w:szCs w:val="22"/>
          <w:rtl/>
          <w:lang w:eastAsia="en-US"/>
        </w:rPr>
        <w:t>זקיפת תשלומים בחיובים אחדים</w:t>
      </w:r>
    </w:p>
    <w:p w14:paraId="12C19433" w14:textId="77777777" w:rsidR="0051000E" w:rsidRDefault="00EA1EE1">
      <w:pPr>
        <w:spacing w:before="72"/>
        <w:rPr>
          <w:sz w:val="22"/>
          <w:szCs w:val="22"/>
          <w:rtl/>
          <w:lang w:eastAsia="en-US"/>
        </w:rPr>
      </w:pPr>
      <w:r>
        <w:rPr>
          <w:rFonts w:hint="cs"/>
          <w:sz w:val="22"/>
          <w:szCs w:val="22"/>
          <w:rtl/>
          <w:lang w:eastAsia="en-US"/>
        </w:rPr>
        <w:t>50.   סכום שניתן לנושה שעה שהגיעו לו מן החייב חיובים אחדים, רשאי החייב, בעת התשלום, לציין את החיוב שלחשבונו ייזקף הסכום; לא עשה זאת, רשאי הנושה לעשות כן.</w:t>
      </w:r>
    </w:p>
    <w:p w14:paraId="12C19434" w14:textId="77777777" w:rsidR="0051000E" w:rsidRDefault="00EA1EE1">
      <w:pPr>
        <w:rPr>
          <w:sz w:val="22"/>
          <w:szCs w:val="22"/>
        </w:rPr>
      </w:pPr>
      <w:bookmarkStart w:id="34" w:name="Seif51"/>
      <w:bookmarkEnd w:id="34"/>
      <w:r>
        <w:rPr>
          <w:sz w:val="22"/>
          <w:szCs w:val="22"/>
          <w:rtl/>
        </w:rPr>
        <w:br/>
        <w:t> </w:t>
      </w:r>
    </w:p>
    <w:p w14:paraId="1AE42904" w14:textId="77777777" w:rsidR="0062116C" w:rsidRDefault="0062116C">
      <w:pPr>
        <w:jc w:val="left"/>
        <w:rPr>
          <w:b/>
          <w:bCs/>
          <w:sz w:val="28"/>
          <w:szCs w:val="28"/>
          <w:rtl/>
        </w:rPr>
      </w:pPr>
    </w:p>
    <w:p w14:paraId="115CAA9D" w14:textId="77777777" w:rsidR="0062116C" w:rsidRDefault="0062116C">
      <w:pPr>
        <w:jc w:val="left"/>
        <w:rPr>
          <w:b/>
          <w:bCs/>
          <w:sz w:val="28"/>
          <w:szCs w:val="28"/>
          <w:rtl/>
        </w:rPr>
      </w:pPr>
    </w:p>
    <w:p w14:paraId="12C19435" w14:textId="3E06439D" w:rsidR="0051000E" w:rsidRDefault="00EA1EE1">
      <w:pPr>
        <w:jc w:val="left"/>
        <w:rPr>
          <w:rFonts w:ascii="Arial" w:hAnsi="Arial"/>
          <w:b/>
          <w:bCs/>
          <w:sz w:val="32"/>
          <w:szCs w:val="32"/>
          <w:rtl/>
        </w:rPr>
      </w:pPr>
      <w:r>
        <w:rPr>
          <w:rFonts w:hint="cs"/>
          <w:b/>
          <w:bCs/>
          <w:sz w:val="28"/>
          <w:szCs w:val="28"/>
          <w:rtl/>
        </w:rPr>
        <w:lastRenderedPageBreak/>
        <w:t xml:space="preserve">פרק ו: </w:t>
      </w:r>
      <w:r>
        <w:rPr>
          <w:b/>
          <w:bCs/>
          <w:sz w:val="28"/>
          <w:szCs w:val="28"/>
          <w:rtl/>
        </w:rPr>
        <w:t>ריבוי חייבים ונושים</w:t>
      </w:r>
      <w:r>
        <w:rPr>
          <w:sz w:val="22"/>
          <w:szCs w:val="22"/>
          <w:rtl/>
        </w:rPr>
        <w:t xml:space="preserve"> </w:t>
      </w:r>
      <w:r>
        <w:rPr>
          <w:sz w:val="22"/>
          <w:szCs w:val="22"/>
          <w:rtl/>
        </w:rPr>
        <w:br/>
        <w:t xml:space="preserve">  </w:t>
      </w:r>
      <w:r>
        <w:rPr>
          <w:sz w:val="22"/>
          <w:szCs w:val="22"/>
          <w:rtl/>
        </w:rPr>
        <w:br/>
        <w:t xml:space="preserve"> 54. ריבוי חייבים </w:t>
      </w:r>
      <w:r>
        <w:rPr>
          <w:sz w:val="22"/>
          <w:szCs w:val="22"/>
          <w:rtl/>
        </w:rPr>
        <w:br/>
        <w:t xml:space="preserve">שנים שחייבים חיוב אחד, חזקה שהם חייבים יחד ולחוד. </w:t>
      </w:r>
      <w:r>
        <w:rPr>
          <w:sz w:val="22"/>
          <w:szCs w:val="22"/>
          <w:rtl/>
        </w:rPr>
        <w:br/>
        <w:t xml:space="preserve">  </w:t>
      </w:r>
      <w:r>
        <w:rPr>
          <w:sz w:val="22"/>
          <w:szCs w:val="22"/>
          <w:rtl/>
        </w:rPr>
        <w:br/>
        <w:t xml:space="preserve"> 55. חיוב יחד ולחוד </w:t>
      </w:r>
      <w:r>
        <w:rPr>
          <w:sz w:val="22"/>
          <w:szCs w:val="22"/>
          <w:rtl/>
        </w:rPr>
        <w:br/>
        <w:t xml:space="preserve">(א)   שנים שחייבים יחד ולחוד, רשאי הנושה לדרוש את קיום החיוב, כולו או מקצתו, משניהם כאחד, או מכל אחד מהם בנפרד, ובלבד שלא ייפרע יותר מן המגיע לו. </w:t>
      </w:r>
      <w:r>
        <w:rPr>
          <w:sz w:val="22"/>
          <w:szCs w:val="22"/>
          <w:rtl/>
        </w:rPr>
        <w:br/>
      </w:r>
      <w:r>
        <w:rPr>
          <w:sz w:val="22"/>
          <w:szCs w:val="22"/>
          <w:rtl/>
        </w:rPr>
        <w:t xml:space="preserve">(ב)   בטל או בוטל חיובו של אחד החייבים, בטל גם חיובו של השני, זולת אם הביטול נובע מפגם בכשרותו או בייצוגו של החייב האחד. </w:t>
      </w:r>
      <w:r>
        <w:rPr>
          <w:sz w:val="22"/>
          <w:szCs w:val="22"/>
          <w:rtl/>
        </w:rPr>
        <w:br/>
        <w:t xml:space="preserve">(ג)   הפטיר הנושה אחד החייבים מן החיוב, כולו או מקצתו - בוויתור, במחילה, בפשרה או בדרך אחרת - הופטר גם השני באותה מידה, זולת אם משתמעת מן ההפטר כוונה אחרת. </w:t>
      </w:r>
      <w:r>
        <w:rPr>
          <w:sz w:val="22"/>
          <w:szCs w:val="22"/>
          <w:rtl/>
        </w:rPr>
        <w:br/>
        <w:t xml:space="preserve">  </w:t>
      </w:r>
      <w:r>
        <w:rPr>
          <w:sz w:val="22"/>
          <w:szCs w:val="22"/>
          <w:rtl/>
        </w:rPr>
        <w:br/>
        <w:t xml:space="preserve"> 56. נטל החיוב בין החייבים </w:t>
      </w:r>
      <w:r>
        <w:rPr>
          <w:sz w:val="22"/>
          <w:szCs w:val="22"/>
          <w:rtl/>
        </w:rPr>
        <w:br/>
        <w:t xml:space="preserve">(א)   שנים שחייבים חיוב אחד, חזקה שהם נושאים בנטל החיוב בינם לבין עצמם בחלקים שווים. </w:t>
      </w:r>
      <w:r>
        <w:rPr>
          <w:sz w:val="22"/>
          <w:szCs w:val="22"/>
          <w:rtl/>
        </w:rPr>
        <w:br/>
        <w:t xml:space="preserve">(ב)   חייב שנתן לנושה לקיום החיוב יותר מכפי חלקו בנטל החיוב, זכאי לחזור על החייב השני ולהיפרע ממנו לפי חלקיהם. </w:t>
      </w:r>
      <w:r>
        <w:rPr>
          <w:sz w:val="22"/>
          <w:szCs w:val="22"/>
          <w:rtl/>
        </w:rPr>
        <w:br/>
      </w:r>
      <w:r>
        <w:rPr>
          <w:sz w:val="22"/>
          <w:szCs w:val="22"/>
          <w:rtl/>
        </w:rPr>
        <w:t xml:space="preserve">(ג)   היו יותר משני חייבים ואין אפשרות סבירה לחזור ולהיפרע מאחד מהם, </w:t>
      </w:r>
      <w:proofErr w:type="spellStart"/>
      <w:r>
        <w:rPr>
          <w:sz w:val="22"/>
          <w:szCs w:val="22"/>
          <w:rtl/>
        </w:rPr>
        <w:t>ישאו</w:t>
      </w:r>
      <w:proofErr w:type="spellEnd"/>
      <w:r>
        <w:rPr>
          <w:sz w:val="22"/>
          <w:szCs w:val="22"/>
          <w:rtl/>
        </w:rPr>
        <w:t xml:space="preserve"> בחלקו הנותרים, לפי חלקיהם. </w:t>
      </w:r>
      <w:r>
        <w:rPr>
          <w:sz w:val="22"/>
          <w:szCs w:val="22"/>
          <w:rtl/>
        </w:rPr>
        <w:br/>
        <w:t xml:space="preserve">(ד)   בוטל חיובו של חייב אחד כאמור בסעיף 55(ב) והביטול נובע מפגם בכשרותו או בייצוגו, אין לשני זכות לחזור עליו; הופטר חייב אחד כאמור בסעיף 55(ג) ואין בהפטר כדי לפטור את השני, אין בהפטר גם כדי לפגוע בזכות לחזור עליו לפי סעיף זה. </w:t>
      </w:r>
      <w:r>
        <w:rPr>
          <w:sz w:val="22"/>
          <w:szCs w:val="22"/>
          <w:rtl/>
        </w:rPr>
        <w:br/>
        <w:t xml:space="preserve">  </w:t>
      </w:r>
      <w:r>
        <w:rPr>
          <w:sz w:val="22"/>
          <w:szCs w:val="22"/>
          <w:rtl/>
        </w:rPr>
        <w:br/>
        <w:t xml:space="preserve"> 59. ריבוי נושים </w:t>
      </w:r>
      <w:r>
        <w:rPr>
          <w:sz w:val="22"/>
          <w:szCs w:val="22"/>
          <w:rtl/>
        </w:rPr>
        <w:br/>
      </w:r>
      <w:r>
        <w:rPr>
          <w:sz w:val="22"/>
          <w:szCs w:val="22"/>
          <w:rtl/>
        </w:rPr>
        <w:t xml:space="preserve">(א)   שנים שמגיע להם חיוב אחד, חזקה שכל אחד מהם רשאי לדרוש את קיומו, ובלבד שלא ייפרעו מהחייב יותר מן המגיע ממנו; החייב רשאי לקיים את החיוב כלפי אחד הנושים, לפי בחירתו, כל עוד לא ניתן פסק דין לטובת הנושה האחר. </w:t>
      </w:r>
      <w:r>
        <w:rPr>
          <w:sz w:val="22"/>
          <w:szCs w:val="22"/>
          <w:rtl/>
        </w:rPr>
        <w:br/>
        <w:t xml:space="preserve">(ב)   חזקה על הנושים שהם שותפים בחיוב בחלקים שווים; </w:t>
      </w:r>
      <w:proofErr w:type="spellStart"/>
      <w:r>
        <w:rPr>
          <w:sz w:val="22"/>
          <w:szCs w:val="22"/>
          <w:rtl/>
        </w:rPr>
        <w:t>קויים</w:t>
      </w:r>
      <w:proofErr w:type="spellEnd"/>
      <w:r>
        <w:rPr>
          <w:sz w:val="22"/>
          <w:szCs w:val="22"/>
          <w:rtl/>
        </w:rPr>
        <w:t xml:space="preserve"> החיוב כלפי אחד מהם, רשאי השני לדרוש ממנו את חלקו. </w:t>
      </w:r>
    </w:p>
    <w:p w14:paraId="12C1943A" w14:textId="77777777" w:rsidR="0051000E" w:rsidRDefault="0051000E">
      <w:pPr>
        <w:jc w:val="left"/>
        <w:rPr>
          <w:rFonts w:ascii="Time New Roman" w:hAnsi="Time New Roman"/>
          <w:b/>
          <w:bCs/>
          <w:sz w:val="28"/>
          <w:szCs w:val="28"/>
          <w:rtl/>
          <w:lang w:eastAsia="en-US"/>
        </w:rPr>
      </w:pPr>
    </w:p>
    <w:p w14:paraId="09EFE2D8" w14:textId="77777777" w:rsidR="00246C95" w:rsidRDefault="00246C95">
      <w:pPr>
        <w:jc w:val="left"/>
        <w:rPr>
          <w:rFonts w:ascii="Time New Roman" w:hAnsi="Time New Roman"/>
          <w:b/>
          <w:bCs/>
          <w:sz w:val="28"/>
          <w:szCs w:val="28"/>
          <w:rtl/>
          <w:lang w:eastAsia="en-US"/>
        </w:rPr>
      </w:pPr>
    </w:p>
    <w:p w14:paraId="2FD2D9E4" w14:textId="77777777" w:rsidR="00246C95" w:rsidRDefault="00246C95">
      <w:pPr>
        <w:jc w:val="left"/>
        <w:rPr>
          <w:rFonts w:ascii="Time New Roman" w:hAnsi="Time New Roman"/>
          <w:b/>
          <w:bCs/>
          <w:sz w:val="28"/>
          <w:szCs w:val="28"/>
          <w:rtl/>
          <w:lang w:eastAsia="en-US"/>
        </w:rPr>
      </w:pPr>
    </w:p>
    <w:p w14:paraId="10164F04" w14:textId="77777777" w:rsidR="00246C95" w:rsidRDefault="00246C95">
      <w:pPr>
        <w:jc w:val="left"/>
        <w:rPr>
          <w:rFonts w:ascii="Time New Roman" w:hAnsi="Time New Roman"/>
          <w:b/>
          <w:bCs/>
          <w:sz w:val="28"/>
          <w:szCs w:val="28"/>
          <w:rtl/>
          <w:lang w:eastAsia="en-US"/>
        </w:rPr>
      </w:pPr>
    </w:p>
    <w:p w14:paraId="756BA4E0" w14:textId="77777777" w:rsidR="00246C95" w:rsidRDefault="00246C95">
      <w:pPr>
        <w:jc w:val="left"/>
        <w:rPr>
          <w:rFonts w:ascii="Time New Roman" w:hAnsi="Time New Roman"/>
          <w:b/>
          <w:bCs/>
          <w:sz w:val="28"/>
          <w:szCs w:val="28"/>
          <w:rtl/>
          <w:lang w:eastAsia="en-US"/>
        </w:rPr>
      </w:pPr>
    </w:p>
    <w:p w14:paraId="6B36C468" w14:textId="77777777" w:rsidR="00246C95" w:rsidRDefault="00246C95">
      <w:pPr>
        <w:jc w:val="left"/>
        <w:rPr>
          <w:rFonts w:ascii="Time New Roman" w:hAnsi="Time New Roman"/>
          <w:b/>
          <w:bCs/>
          <w:sz w:val="28"/>
          <w:szCs w:val="28"/>
          <w:rtl/>
          <w:lang w:eastAsia="en-US"/>
        </w:rPr>
      </w:pPr>
    </w:p>
    <w:p w14:paraId="0B63BA80" w14:textId="77777777" w:rsidR="00246C95" w:rsidRDefault="00246C95">
      <w:pPr>
        <w:jc w:val="left"/>
        <w:rPr>
          <w:rFonts w:ascii="Time New Roman" w:hAnsi="Time New Roman"/>
          <w:b/>
          <w:bCs/>
          <w:sz w:val="28"/>
          <w:szCs w:val="28"/>
          <w:rtl/>
          <w:lang w:eastAsia="en-US"/>
        </w:rPr>
      </w:pPr>
    </w:p>
    <w:p w14:paraId="0B6F911B" w14:textId="77777777" w:rsidR="00246C95" w:rsidRDefault="00246C95">
      <w:pPr>
        <w:jc w:val="left"/>
        <w:rPr>
          <w:rFonts w:ascii="Time New Roman" w:hAnsi="Time New Roman"/>
          <w:b/>
          <w:bCs/>
          <w:sz w:val="28"/>
          <w:szCs w:val="28"/>
          <w:rtl/>
          <w:lang w:eastAsia="en-US"/>
        </w:rPr>
      </w:pPr>
    </w:p>
    <w:p w14:paraId="72B46F21" w14:textId="77777777" w:rsidR="00246C95" w:rsidRDefault="00246C95">
      <w:pPr>
        <w:jc w:val="left"/>
        <w:rPr>
          <w:rFonts w:ascii="Time New Roman" w:hAnsi="Time New Roman"/>
          <w:b/>
          <w:bCs/>
          <w:sz w:val="28"/>
          <w:szCs w:val="28"/>
          <w:rtl/>
          <w:lang w:eastAsia="en-US"/>
        </w:rPr>
      </w:pPr>
    </w:p>
    <w:p w14:paraId="317C569D" w14:textId="77777777" w:rsidR="00246C95" w:rsidRDefault="00246C95">
      <w:pPr>
        <w:jc w:val="left"/>
        <w:rPr>
          <w:rFonts w:ascii="Time New Roman" w:hAnsi="Time New Roman"/>
          <w:b/>
          <w:bCs/>
          <w:sz w:val="28"/>
          <w:szCs w:val="28"/>
          <w:rtl/>
          <w:lang w:eastAsia="en-US"/>
        </w:rPr>
      </w:pPr>
    </w:p>
    <w:p w14:paraId="2DE267A0" w14:textId="77777777" w:rsidR="00246C95" w:rsidRDefault="00246C95">
      <w:pPr>
        <w:jc w:val="left"/>
        <w:rPr>
          <w:rFonts w:ascii="Time New Roman" w:hAnsi="Time New Roman"/>
          <w:b/>
          <w:bCs/>
          <w:sz w:val="28"/>
          <w:szCs w:val="28"/>
          <w:rtl/>
          <w:lang w:eastAsia="en-US"/>
        </w:rPr>
      </w:pPr>
    </w:p>
    <w:p w14:paraId="7395C834" w14:textId="77777777" w:rsidR="00246C95" w:rsidRDefault="00246C95">
      <w:pPr>
        <w:jc w:val="left"/>
        <w:rPr>
          <w:rFonts w:ascii="Time New Roman" w:hAnsi="Time New Roman"/>
          <w:b/>
          <w:bCs/>
          <w:sz w:val="28"/>
          <w:szCs w:val="28"/>
          <w:rtl/>
          <w:lang w:eastAsia="en-US"/>
        </w:rPr>
      </w:pPr>
    </w:p>
    <w:p w14:paraId="12D76A81" w14:textId="77777777" w:rsidR="00246C95" w:rsidRDefault="00246C95">
      <w:pPr>
        <w:jc w:val="left"/>
        <w:rPr>
          <w:rFonts w:ascii="Time New Roman" w:hAnsi="Time New Roman"/>
          <w:b/>
          <w:bCs/>
          <w:sz w:val="28"/>
          <w:szCs w:val="28"/>
          <w:rtl/>
          <w:lang w:eastAsia="en-US"/>
        </w:rPr>
      </w:pPr>
    </w:p>
    <w:p w14:paraId="6995AE24" w14:textId="77777777" w:rsidR="00246C95" w:rsidRDefault="00246C95">
      <w:pPr>
        <w:jc w:val="left"/>
        <w:rPr>
          <w:rFonts w:ascii="Time New Roman" w:hAnsi="Time New Roman"/>
          <w:b/>
          <w:bCs/>
          <w:sz w:val="28"/>
          <w:szCs w:val="28"/>
          <w:rtl/>
          <w:lang w:eastAsia="en-US"/>
        </w:rPr>
      </w:pPr>
    </w:p>
    <w:p w14:paraId="62A68E85" w14:textId="77777777" w:rsidR="00246C95" w:rsidRDefault="00246C95">
      <w:pPr>
        <w:jc w:val="left"/>
        <w:rPr>
          <w:rFonts w:ascii="Time New Roman" w:hAnsi="Time New Roman"/>
          <w:b/>
          <w:bCs/>
          <w:sz w:val="28"/>
          <w:szCs w:val="28"/>
          <w:rtl/>
          <w:lang w:eastAsia="en-US"/>
        </w:rPr>
      </w:pPr>
    </w:p>
    <w:p w14:paraId="34F00C0B" w14:textId="77777777" w:rsidR="00246C95" w:rsidRDefault="00246C95">
      <w:pPr>
        <w:jc w:val="left"/>
        <w:rPr>
          <w:rFonts w:ascii="Time New Roman" w:hAnsi="Time New Roman"/>
          <w:b/>
          <w:bCs/>
          <w:sz w:val="28"/>
          <w:szCs w:val="28"/>
          <w:rtl/>
          <w:lang w:eastAsia="en-US"/>
        </w:rPr>
      </w:pPr>
    </w:p>
    <w:p w14:paraId="5372747B" w14:textId="77777777" w:rsidR="00246C95" w:rsidRDefault="00246C95">
      <w:pPr>
        <w:jc w:val="left"/>
        <w:rPr>
          <w:rFonts w:ascii="Time New Roman" w:hAnsi="Time New Roman"/>
          <w:b/>
          <w:bCs/>
          <w:sz w:val="28"/>
          <w:szCs w:val="28"/>
          <w:rtl/>
          <w:lang w:eastAsia="en-US"/>
        </w:rPr>
      </w:pPr>
    </w:p>
    <w:p w14:paraId="2EC57347" w14:textId="77777777" w:rsidR="00246C95" w:rsidRDefault="00246C95">
      <w:pPr>
        <w:jc w:val="left"/>
        <w:rPr>
          <w:rFonts w:ascii="Time New Roman" w:hAnsi="Time New Roman"/>
          <w:b/>
          <w:bCs/>
          <w:sz w:val="28"/>
          <w:szCs w:val="28"/>
          <w:rtl/>
          <w:lang w:eastAsia="en-US"/>
        </w:rPr>
      </w:pPr>
    </w:p>
    <w:p w14:paraId="3A831406" w14:textId="77777777" w:rsidR="00246C95" w:rsidRDefault="00246C95">
      <w:pPr>
        <w:jc w:val="left"/>
        <w:rPr>
          <w:rFonts w:ascii="Time New Roman" w:hAnsi="Time New Roman"/>
          <w:b/>
          <w:bCs/>
          <w:sz w:val="28"/>
          <w:szCs w:val="28"/>
          <w:rtl/>
          <w:lang w:eastAsia="en-US"/>
        </w:rPr>
      </w:pPr>
    </w:p>
    <w:p w14:paraId="1D7CF702" w14:textId="77777777" w:rsidR="00246C95" w:rsidRDefault="00246C95">
      <w:pPr>
        <w:jc w:val="left"/>
        <w:rPr>
          <w:rFonts w:ascii="Time New Roman" w:hAnsi="Time New Roman"/>
          <w:b/>
          <w:bCs/>
          <w:sz w:val="28"/>
          <w:szCs w:val="28"/>
          <w:rtl/>
          <w:lang w:eastAsia="en-US"/>
        </w:rPr>
      </w:pPr>
    </w:p>
    <w:p w14:paraId="0F074E69" w14:textId="77777777" w:rsidR="00246C95" w:rsidRDefault="00246C95">
      <w:pPr>
        <w:jc w:val="left"/>
        <w:rPr>
          <w:rFonts w:ascii="Time New Roman" w:hAnsi="Time New Roman"/>
          <w:b/>
          <w:bCs/>
          <w:sz w:val="28"/>
          <w:szCs w:val="28"/>
          <w:rtl/>
          <w:lang w:eastAsia="en-US"/>
        </w:rPr>
      </w:pPr>
    </w:p>
    <w:p w14:paraId="124A9F28" w14:textId="77777777" w:rsidR="00246C95" w:rsidRDefault="00246C95">
      <w:pPr>
        <w:jc w:val="left"/>
        <w:rPr>
          <w:rFonts w:ascii="Time New Roman" w:hAnsi="Time New Roman"/>
          <w:b/>
          <w:bCs/>
          <w:sz w:val="28"/>
          <w:szCs w:val="28"/>
          <w:rtl/>
          <w:lang w:eastAsia="en-US"/>
        </w:rPr>
      </w:pPr>
    </w:p>
    <w:p w14:paraId="4FFDB434" w14:textId="77777777" w:rsidR="00246C95" w:rsidRDefault="00246C95">
      <w:pPr>
        <w:jc w:val="left"/>
        <w:rPr>
          <w:rFonts w:ascii="Time New Roman" w:hAnsi="Time New Roman"/>
          <w:b/>
          <w:bCs/>
          <w:sz w:val="28"/>
          <w:szCs w:val="28"/>
          <w:rtl/>
          <w:lang w:eastAsia="en-US"/>
        </w:rPr>
      </w:pPr>
    </w:p>
    <w:p w14:paraId="6AB7B85C" w14:textId="77777777" w:rsidR="00246C95" w:rsidRDefault="00246C95">
      <w:pPr>
        <w:jc w:val="left"/>
        <w:rPr>
          <w:rFonts w:ascii="Time New Roman" w:hAnsi="Time New Roman"/>
          <w:b/>
          <w:bCs/>
          <w:sz w:val="28"/>
          <w:szCs w:val="28"/>
          <w:rtl/>
          <w:lang w:eastAsia="en-US"/>
        </w:rPr>
      </w:pPr>
    </w:p>
    <w:p w14:paraId="22A50A9C" w14:textId="77777777" w:rsidR="00246C95" w:rsidRDefault="00246C95">
      <w:pPr>
        <w:jc w:val="left"/>
        <w:rPr>
          <w:rFonts w:ascii="Time New Roman" w:hAnsi="Time New Roman"/>
          <w:b/>
          <w:bCs/>
          <w:sz w:val="28"/>
          <w:szCs w:val="28"/>
          <w:rtl/>
          <w:lang w:eastAsia="en-US"/>
        </w:rPr>
      </w:pPr>
    </w:p>
    <w:p w14:paraId="56F100E3" w14:textId="77777777" w:rsidR="00246C95" w:rsidRDefault="00246C95">
      <w:pPr>
        <w:jc w:val="left"/>
        <w:rPr>
          <w:rFonts w:ascii="Arial" w:hAnsi="Arial"/>
          <w:b/>
          <w:bCs/>
          <w:sz w:val="32"/>
          <w:szCs w:val="32"/>
          <w:rtl/>
        </w:rPr>
      </w:pPr>
    </w:p>
    <w:p w14:paraId="12C1943B" w14:textId="77777777" w:rsidR="0051000E" w:rsidRDefault="0051000E">
      <w:pPr>
        <w:jc w:val="left"/>
        <w:rPr>
          <w:rFonts w:ascii="Arial" w:hAnsi="Arial"/>
          <w:b/>
          <w:bCs/>
          <w:sz w:val="32"/>
          <w:szCs w:val="32"/>
          <w:rtl/>
        </w:rPr>
      </w:pPr>
    </w:p>
    <w:p w14:paraId="12C1943C" w14:textId="77777777" w:rsidR="0051000E" w:rsidRDefault="00EA1EE1">
      <w:pPr>
        <w:jc w:val="left"/>
        <w:rPr>
          <w:b/>
          <w:bCs/>
          <w:sz w:val="26"/>
          <w:szCs w:val="26"/>
          <w:rtl/>
        </w:rPr>
      </w:pPr>
      <w:r>
        <w:rPr>
          <w:rFonts w:ascii="Arial" w:hAnsi="Arial" w:hint="cs"/>
          <w:b/>
          <w:bCs/>
          <w:sz w:val="32"/>
          <w:szCs w:val="32"/>
          <w:rtl/>
        </w:rPr>
        <w:lastRenderedPageBreak/>
        <w:t>חוק החוזים (תרופות בשל הפרת חוזה), תשל"א-1970</w:t>
      </w:r>
    </w:p>
    <w:p w14:paraId="12C1943D" w14:textId="77777777" w:rsidR="0051000E" w:rsidRPr="00246C95" w:rsidRDefault="00EA1EE1">
      <w:pPr>
        <w:pStyle w:val="f27s"/>
        <w:bidi/>
        <w:spacing w:before="0" w:beforeAutospacing="0" w:after="0" w:afterAutospacing="0"/>
        <w:ind w:right="357"/>
        <w:textAlignment w:val="top"/>
        <w:rPr>
          <w:rFonts w:cs="David"/>
          <w:sz w:val="22"/>
          <w:szCs w:val="22"/>
          <w:u w:val="single"/>
          <w:rtl/>
        </w:rPr>
      </w:pPr>
      <w:r w:rsidRPr="00246C95">
        <w:rPr>
          <w:rFonts w:cs="David"/>
          <w:sz w:val="22"/>
          <w:szCs w:val="22"/>
          <w:u w:val="single"/>
          <w:rtl/>
        </w:rPr>
        <w:t xml:space="preserve">פרק א' : הוראות כלליות </w:t>
      </w:r>
    </w:p>
    <w:p w14:paraId="12C1943E" w14:textId="77777777" w:rsidR="0051000E" w:rsidRDefault="00EA1EE1">
      <w:pPr>
        <w:ind w:left="84"/>
        <w:textAlignment w:val="top"/>
        <w:rPr>
          <w:rFonts w:ascii="Arial" w:hAnsi="Arial"/>
          <w:sz w:val="22"/>
          <w:szCs w:val="22"/>
          <w:rtl/>
        </w:rPr>
      </w:pPr>
      <w:r>
        <w:rPr>
          <w:rStyle w:val="f27"/>
          <w:rFonts w:hint="cs"/>
          <w:sz w:val="22"/>
          <w:szCs w:val="22"/>
          <w:rtl/>
        </w:rPr>
        <w:t xml:space="preserve">   </w:t>
      </w:r>
      <w:r>
        <w:rPr>
          <w:rStyle w:val="f27p1"/>
          <w:rFonts w:ascii="Arial" w:hAnsi="Arial"/>
          <w:sz w:val="22"/>
          <w:szCs w:val="22"/>
          <w:rtl/>
        </w:rPr>
        <w:t>1.</w:t>
      </w:r>
      <w:r>
        <w:rPr>
          <w:rStyle w:val="f27p1"/>
          <w:rFonts w:ascii="Arial" w:hAnsi="Arial"/>
          <w:sz w:val="22"/>
          <w:szCs w:val="22"/>
          <w:rtl/>
        </w:rPr>
        <w:tab/>
        <w:t xml:space="preserve">הגדרות </w:t>
      </w:r>
    </w:p>
    <w:p w14:paraId="12C1943F"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(א) בחוק זה - </w:t>
      </w:r>
    </w:p>
    <w:p w14:paraId="12C19440"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"הפרה" - מעשה או מחדל שהם בניגוד לחוזה; </w:t>
      </w:r>
    </w:p>
    <w:p w14:paraId="12C19441"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w:t>
      </w:r>
      <w:r>
        <w:rPr>
          <w:rStyle w:val="f30"/>
          <w:rFonts w:ascii="Arial" w:hAnsi="Arial" w:hint="default"/>
          <w:sz w:val="22"/>
          <w:szCs w:val="22"/>
          <w:rtl/>
        </w:rPr>
        <w:t>נפגע</w:t>
      </w:r>
      <w:r>
        <w:rPr>
          <w:rFonts w:ascii="Arial" w:hAnsi="Arial" w:cs="David"/>
          <w:sz w:val="22"/>
          <w:szCs w:val="22"/>
          <w:rtl/>
        </w:rPr>
        <w:t xml:space="preserve">" - מי שזכאי לקיום החוזה שהופר; </w:t>
      </w:r>
    </w:p>
    <w:p w14:paraId="12C19442"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w:t>
      </w:r>
      <w:r>
        <w:rPr>
          <w:rStyle w:val="f30"/>
          <w:rFonts w:ascii="Arial" w:hAnsi="Arial" w:hint="default"/>
          <w:sz w:val="22"/>
          <w:szCs w:val="22"/>
          <w:rtl/>
        </w:rPr>
        <w:t>אכיפה</w:t>
      </w:r>
      <w:r>
        <w:rPr>
          <w:rFonts w:ascii="Arial" w:hAnsi="Arial" w:cs="David"/>
          <w:sz w:val="22"/>
          <w:szCs w:val="22"/>
          <w:rtl/>
        </w:rPr>
        <w:t xml:space="preserve">" - בין בצו לסילוק חיוב כספי או בצו עשה אחר ובין בצו לא-תעשה, לרבות צו לתיקון תוצאות ההפרה או לסילוקן; </w:t>
      </w:r>
    </w:p>
    <w:p w14:paraId="12C19443"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w:t>
      </w:r>
      <w:r>
        <w:rPr>
          <w:rStyle w:val="f30"/>
          <w:rFonts w:ascii="Arial" w:hAnsi="Arial" w:hint="default"/>
          <w:sz w:val="22"/>
          <w:szCs w:val="22"/>
          <w:rtl/>
        </w:rPr>
        <w:t>נזק</w:t>
      </w:r>
      <w:r>
        <w:rPr>
          <w:rFonts w:ascii="Arial" w:hAnsi="Arial" w:cs="David"/>
          <w:sz w:val="22"/>
          <w:szCs w:val="22"/>
          <w:rtl/>
        </w:rPr>
        <w:t xml:space="preserve">" - לרבות מניעת ריווח. </w:t>
      </w:r>
    </w:p>
    <w:p w14:paraId="12C19444"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(ב)כל מקום שמדובר בחוק זה בהפרת חוזה - גם הפרת חיוב מחיוביו במשמע. </w:t>
      </w:r>
    </w:p>
    <w:p w14:paraId="12C19445" w14:textId="77777777" w:rsidR="0051000E" w:rsidRDefault="00EA1EE1">
      <w:pPr>
        <w:ind w:left="84"/>
        <w:textAlignment w:val="top"/>
        <w:rPr>
          <w:sz w:val="22"/>
          <w:szCs w:val="22"/>
          <w:rtl/>
        </w:rPr>
      </w:pPr>
      <w:r>
        <w:rPr>
          <w:rStyle w:val="f27"/>
          <w:rFonts w:hint="cs"/>
          <w:sz w:val="22"/>
          <w:szCs w:val="22"/>
          <w:rtl/>
        </w:rPr>
        <w:t> </w:t>
      </w:r>
    </w:p>
    <w:p w14:paraId="12C19446"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2.</w:t>
      </w:r>
      <w:r>
        <w:rPr>
          <w:rStyle w:val="f27p1"/>
          <w:rFonts w:ascii="Arial" w:hAnsi="Arial" w:cs="David"/>
          <w:sz w:val="22"/>
          <w:szCs w:val="22"/>
          <w:rtl/>
        </w:rPr>
        <w:tab/>
        <w:t xml:space="preserve">תרופות הנפגע </w:t>
      </w:r>
    </w:p>
    <w:p w14:paraId="12C19447"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הופר חוזה, זכאי הנפגע לתבוע את אכיפתו או לבטל את החוזה, וזכאי הוא לפיצויים, בנוסף על אחת התרופות האמורות או במקומן, והכל לפי הוראות חוק זה. </w:t>
      </w:r>
    </w:p>
    <w:p w14:paraId="1FD36D71" w14:textId="77777777" w:rsidR="00246C95" w:rsidRDefault="00246C95">
      <w:pPr>
        <w:pStyle w:val="f27s"/>
        <w:bidi/>
        <w:spacing w:before="0" w:beforeAutospacing="0" w:after="0" w:afterAutospacing="0"/>
        <w:ind w:left="84"/>
        <w:textAlignment w:val="top"/>
        <w:rPr>
          <w:rFonts w:cs="David"/>
          <w:sz w:val="22"/>
          <w:szCs w:val="22"/>
          <w:rtl/>
        </w:rPr>
      </w:pPr>
    </w:p>
    <w:p w14:paraId="12C19448" w14:textId="76BBDB27" w:rsidR="0051000E" w:rsidRPr="00246C95" w:rsidRDefault="00EA1EE1" w:rsidP="00246C95">
      <w:pPr>
        <w:pStyle w:val="f27s"/>
        <w:bidi/>
        <w:spacing w:before="0" w:beforeAutospacing="0" w:after="0" w:afterAutospacing="0"/>
        <w:ind w:left="84"/>
        <w:textAlignment w:val="top"/>
        <w:rPr>
          <w:rFonts w:cs="David"/>
          <w:sz w:val="22"/>
          <w:szCs w:val="22"/>
          <w:u w:val="single"/>
          <w:rtl/>
        </w:rPr>
      </w:pPr>
      <w:r w:rsidRPr="00246C95">
        <w:rPr>
          <w:rFonts w:cs="David"/>
          <w:sz w:val="22"/>
          <w:szCs w:val="22"/>
          <w:u w:val="single"/>
          <w:rtl/>
        </w:rPr>
        <w:t xml:space="preserve">פרק ב' : התרופות </w:t>
      </w:r>
    </w:p>
    <w:p w14:paraId="12C19449" w14:textId="77777777" w:rsidR="0051000E" w:rsidRDefault="00EA1EE1">
      <w:pPr>
        <w:pStyle w:val="f27s"/>
        <w:bidi/>
        <w:spacing w:before="0" w:beforeAutospacing="0" w:after="0" w:afterAutospacing="0"/>
        <w:ind w:left="84"/>
        <w:textAlignment w:val="top"/>
        <w:rPr>
          <w:rFonts w:cs="David"/>
          <w:sz w:val="22"/>
          <w:szCs w:val="22"/>
          <w:rtl/>
        </w:rPr>
      </w:pPr>
      <w:r>
        <w:rPr>
          <w:rFonts w:cs="David"/>
          <w:sz w:val="22"/>
          <w:szCs w:val="22"/>
          <w:rtl/>
        </w:rPr>
        <w:t xml:space="preserve">סימן א' : אכיפת החוזה </w:t>
      </w:r>
    </w:p>
    <w:p w14:paraId="12C1944A" w14:textId="77777777" w:rsidR="0051000E" w:rsidRDefault="00EA1EE1">
      <w:pPr>
        <w:ind w:left="84"/>
        <w:textAlignment w:val="top"/>
        <w:rPr>
          <w:rFonts w:ascii="Arial" w:hAnsi="Arial"/>
          <w:sz w:val="22"/>
          <w:szCs w:val="22"/>
          <w:rtl/>
        </w:rPr>
      </w:pPr>
      <w:r>
        <w:rPr>
          <w:rStyle w:val="pid"/>
          <w:rFonts w:ascii="Arial" w:hAnsi="Arial" w:hint="cs"/>
          <w:sz w:val="22"/>
          <w:szCs w:val="22"/>
          <w:rtl/>
        </w:rPr>
        <w:t xml:space="preserve"> </w:t>
      </w:r>
      <w:r>
        <w:rPr>
          <w:rStyle w:val="f27p1"/>
          <w:rFonts w:ascii="Arial" w:hAnsi="Arial"/>
          <w:sz w:val="22"/>
          <w:szCs w:val="22"/>
          <w:rtl/>
        </w:rPr>
        <w:t>3.</w:t>
      </w:r>
      <w:r>
        <w:rPr>
          <w:rStyle w:val="f27p1"/>
          <w:rFonts w:ascii="Arial" w:hAnsi="Arial"/>
          <w:sz w:val="22"/>
          <w:szCs w:val="22"/>
          <w:rtl/>
        </w:rPr>
        <w:tab/>
        <w:t xml:space="preserve">הזכות לאכיפה </w:t>
      </w:r>
    </w:p>
    <w:p w14:paraId="12C1944B"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הנפגע זכאי לאכיפת החוזה, זולת אם נתקיימה אחת מאלה: </w:t>
      </w:r>
    </w:p>
    <w:p w14:paraId="12C1944C"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(1) החוזה אינו בר-ביצוע; </w:t>
      </w:r>
    </w:p>
    <w:p w14:paraId="12C1944D"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(2) אכיפת החוזה היא כפיה לעשות, או לקבל, עבודה אישית או שירות אישי; </w:t>
      </w:r>
    </w:p>
    <w:p w14:paraId="12C1944E"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(3) ביצוע צו האכיפה דורש מידה בלתי סבירה של פיקוח מטעם בית משפט או לשכת הוצאה לפועל; </w:t>
      </w:r>
    </w:p>
    <w:p w14:paraId="12C1944F"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(4) אכיפת החוזה היא בלתי צודקת בנסיבות </w:t>
      </w:r>
      <w:proofErr w:type="spellStart"/>
      <w:r>
        <w:rPr>
          <w:rFonts w:ascii="Arial" w:hAnsi="Arial" w:cs="David"/>
          <w:sz w:val="22"/>
          <w:szCs w:val="22"/>
          <w:rtl/>
        </w:rPr>
        <w:t>הענין</w:t>
      </w:r>
      <w:proofErr w:type="spellEnd"/>
      <w:r>
        <w:rPr>
          <w:rFonts w:ascii="Arial" w:hAnsi="Arial" w:cs="David"/>
          <w:sz w:val="22"/>
          <w:szCs w:val="22"/>
          <w:rtl/>
        </w:rPr>
        <w:t xml:space="preserve">. </w:t>
      </w:r>
    </w:p>
    <w:p w14:paraId="12C19450" w14:textId="77777777" w:rsidR="0051000E" w:rsidRDefault="0051000E">
      <w:pPr>
        <w:pStyle w:val="f27s"/>
        <w:bidi/>
        <w:spacing w:before="0" w:beforeAutospacing="0" w:after="0" w:afterAutospacing="0"/>
        <w:ind w:left="84"/>
        <w:textAlignment w:val="top"/>
        <w:rPr>
          <w:rFonts w:cs="David"/>
          <w:sz w:val="22"/>
          <w:szCs w:val="22"/>
          <w:rtl/>
        </w:rPr>
      </w:pPr>
    </w:p>
    <w:p w14:paraId="12C19451" w14:textId="77777777" w:rsidR="0051000E" w:rsidRDefault="00EA1EE1">
      <w:pPr>
        <w:pStyle w:val="f27s"/>
        <w:bidi/>
        <w:spacing w:before="0" w:beforeAutospacing="0" w:after="0" w:afterAutospacing="0"/>
        <w:ind w:left="84"/>
        <w:textAlignment w:val="top"/>
        <w:rPr>
          <w:rFonts w:cs="David"/>
          <w:sz w:val="22"/>
          <w:szCs w:val="22"/>
          <w:rtl/>
        </w:rPr>
      </w:pPr>
      <w:r>
        <w:rPr>
          <w:rFonts w:cs="David"/>
          <w:sz w:val="22"/>
          <w:szCs w:val="22"/>
          <w:rtl/>
        </w:rPr>
        <w:t xml:space="preserve">סימן ב' : ביטול החוזה </w:t>
      </w:r>
    </w:p>
    <w:p w14:paraId="12C19452" w14:textId="77777777" w:rsidR="0051000E" w:rsidRDefault="00EA1EE1">
      <w:pPr>
        <w:ind w:left="84"/>
        <w:textAlignment w:val="top"/>
        <w:rPr>
          <w:rFonts w:ascii="Arial" w:hAnsi="Arial"/>
          <w:sz w:val="22"/>
          <w:szCs w:val="22"/>
          <w:rtl/>
        </w:rPr>
      </w:pPr>
      <w:r>
        <w:rPr>
          <w:rStyle w:val="f27p1"/>
          <w:rFonts w:ascii="Arial" w:hAnsi="Arial"/>
          <w:sz w:val="22"/>
          <w:szCs w:val="22"/>
          <w:rtl/>
        </w:rPr>
        <w:t>6.</w:t>
      </w:r>
      <w:r>
        <w:rPr>
          <w:rStyle w:val="f27p1"/>
          <w:rFonts w:ascii="Arial" w:hAnsi="Arial"/>
          <w:sz w:val="22"/>
          <w:szCs w:val="22"/>
          <w:rtl/>
        </w:rPr>
        <w:tab/>
      </w:r>
      <w:r>
        <w:rPr>
          <w:rStyle w:val="f27p1"/>
          <w:rFonts w:ascii="Arial" w:hAnsi="Arial"/>
          <w:sz w:val="22"/>
          <w:szCs w:val="22"/>
          <w:rtl/>
        </w:rPr>
        <w:t xml:space="preserve">הגדרה </w:t>
      </w:r>
    </w:p>
    <w:p w14:paraId="12C19453" w14:textId="77777777" w:rsidR="0051000E" w:rsidRDefault="00EA1EE1">
      <w:pPr>
        <w:pStyle w:val="NormalWeb"/>
        <w:bidi/>
        <w:spacing w:before="0" w:beforeAutospacing="0" w:after="0" w:afterAutospacing="0"/>
        <w:ind w:left="84"/>
        <w:textAlignment w:val="top"/>
        <w:rPr>
          <w:rFonts w:ascii="Arial" w:hAnsi="Arial" w:cs="David"/>
          <w:sz w:val="22"/>
          <w:szCs w:val="22"/>
          <w:rtl/>
        </w:rPr>
      </w:pPr>
      <w:proofErr w:type="spellStart"/>
      <w:r>
        <w:rPr>
          <w:rFonts w:ascii="Arial" w:hAnsi="Arial" w:cs="David"/>
          <w:sz w:val="22"/>
          <w:szCs w:val="22"/>
          <w:rtl/>
        </w:rPr>
        <w:t>לענין</w:t>
      </w:r>
      <w:proofErr w:type="spellEnd"/>
      <w:r>
        <w:rPr>
          <w:rFonts w:ascii="Arial" w:hAnsi="Arial" w:cs="David"/>
          <w:sz w:val="22"/>
          <w:szCs w:val="22"/>
          <w:rtl/>
        </w:rPr>
        <w:t xml:space="preserve"> סימן זה, "הפרה יסודית" - הפרה שניתן להניח לגביה שאדם סביר לא היה מתקשר באותו חוזה אילו ראה מראש את ההפרה ותוצאותיה, או הפרה שהוסכם עליה בחוזה שתיחשב ליסודית; תניה גורפת בחוזה העושה הפרות להפרות יסודיות ללא הבחנה ביניהן, אין לה תוקף אלא אם </w:t>
      </w:r>
      <w:proofErr w:type="spellStart"/>
      <w:r>
        <w:rPr>
          <w:rFonts w:ascii="Arial" w:hAnsi="Arial" w:cs="David"/>
          <w:sz w:val="22"/>
          <w:szCs w:val="22"/>
          <w:rtl/>
        </w:rPr>
        <w:t>היתה</w:t>
      </w:r>
      <w:proofErr w:type="spellEnd"/>
      <w:r>
        <w:rPr>
          <w:rFonts w:ascii="Arial" w:hAnsi="Arial" w:cs="David"/>
          <w:sz w:val="22"/>
          <w:szCs w:val="22"/>
          <w:rtl/>
        </w:rPr>
        <w:t xml:space="preserve"> סבירה בעת כריתת החוזה. </w:t>
      </w:r>
    </w:p>
    <w:p w14:paraId="12C19454" w14:textId="77777777" w:rsidR="0051000E" w:rsidRDefault="00EA1EE1">
      <w:pPr>
        <w:ind w:left="84"/>
        <w:textAlignment w:val="top"/>
        <w:rPr>
          <w:sz w:val="22"/>
          <w:szCs w:val="22"/>
          <w:rtl/>
        </w:rPr>
      </w:pPr>
      <w:r>
        <w:rPr>
          <w:rStyle w:val="f27"/>
          <w:rFonts w:hint="cs"/>
          <w:sz w:val="22"/>
          <w:szCs w:val="22"/>
          <w:rtl/>
        </w:rPr>
        <w:t> </w:t>
      </w:r>
    </w:p>
    <w:p w14:paraId="12C19455"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7.</w:t>
      </w:r>
      <w:r>
        <w:rPr>
          <w:rStyle w:val="f27p1"/>
          <w:rFonts w:ascii="Arial" w:hAnsi="Arial" w:cs="David"/>
          <w:sz w:val="22"/>
          <w:szCs w:val="22"/>
          <w:rtl/>
        </w:rPr>
        <w:tab/>
        <w:t xml:space="preserve">הזכות לביטול </w:t>
      </w:r>
    </w:p>
    <w:p w14:paraId="12C19456"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(א) הנפגע זכאי לבטל את החוזה אם הפרת החוזה </w:t>
      </w:r>
      <w:proofErr w:type="spellStart"/>
      <w:r>
        <w:rPr>
          <w:rFonts w:ascii="Arial" w:hAnsi="Arial" w:cs="David"/>
          <w:sz w:val="22"/>
          <w:szCs w:val="22"/>
          <w:rtl/>
        </w:rPr>
        <w:t>היתה</w:t>
      </w:r>
      <w:proofErr w:type="spellEnd"/>
      <w:r>
        <w:rPr>
          <w:rFonts w:ascii="Arial" w:hAnsi="Arial" w:cs="David"/>
          <w:sz w:val="22"/>
          <w:szCs w:val="22"/>
          <w:rtl/>
        </w:rPr>
        <w:t xml:space="preserve"> יסודית. </w:t>
      </w:r>
    </w:p>
    <w:p w14:paraId="12C19457"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(ב)</w:t>
      </w:r>
      <w:proofErr w:type="spellStart"/>
      <w:r>
        <w:rPr>
          <w:rFonts w:ascii="Arial" w:hAnsi="Arial" w:cs="David"/>
          <w:sz w:val="22"/>
          <w:szCs w:val="22"/>
          <w:rtl/>
        </w:rPr>
        <w:t>היתה</w:t>
      </w:r>
      <w:proofErr w:type="spellEnd"/>
      <w:r>
        <w:rPr>
          <w:rFonts w:ascii="Arial" w:hAnsi="Arial" w:cs="David"/>
          <w:sz w:val="22"/>
          <w:szCs w:val="22"/>
          <w:rtl/>
        </w:rPr>
        <w:t xml:space="preserve"> הפרת החוזה לא יסודית, זכאי הנפגע לבטל את החוזה לאחר שנתן תחילה למפר ארכה לקיומו והחוזה לא </w:t>
      </w:r>
      <w:proofErr w:type="spellStart"/>
      <w:r>
        <w:rPr>
          <w:rFonts w:ascii="Arial" w:hAnsi="Arial" w:cs="David"/>
          <w:sz w:val="22"/>
          <w:szCs w:val="22"/>
          <w:rtl/>
        </w:rPr>
        <w:t>קויים</w:t>
      </w:r>
      <w:proofErr w:type="spellEnd"/>
      <w:r>
        <w:rPr>
          <w:rFonts w:ascii="Arial" w:hAnsi="Arial" w:cs="David"/>
          <w:sz w:val="22"/>
          <w:szCs w:val="22"/>
          <w:rtl/>
        </w:rPr>
        <w:t xml:space="preserve"> תוך זמן סביר לאחר מתן הארכה, זולת אם בנסיבות </w:t>
      </w:r>
      <w:proofErr w:type="spellStart"/>
      <w:r>
        <w:rPr>
          <w:rFonts w:ascii="Arial" w:hAnsi="Arial" w:cs="David"/>
          <w:sz w:val="22"/>
          <w:szCs w:val="22"/>
          <w:rtl/>
        </w:rPr>
        <w:t>הענין</w:t>
      </w:r>
      <w:proofErr w:type="spellEnd"/>
      <w:r>
        <w:rPr>
          <w:rFonts w:ascii="Arial" w:hAnsi="Arial" w:cs="David"/>
          <w:sz w:val="22"/>
          <w:szCs w:val="22"/>
          <w:rtl/>
        </w:rPr>
        <w:t xml:space="preserve"> היה ביטול החוזה בלתי צודק; לא תישמע טענה שביטול החוזה היה בלתי צודק אלא אם המפר התנגד לביטול תוך זמן סביר לאחר מתן הודעת הביטול. </w:t>
      </w:r>
    </w:p>
    <w:p w14:paraId="12C19458"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(ג)ניתן החוזה להפרדה לחלקים והופר אחד מחלקיו הפרה שיש בה עילה לביטול אותו חלק, אין הנפגע זכאי לבטל אלא את החלק שהופר; </w:t>
      </w:r>
      <w:proofErr w:type="spellStart"/>
      <w:r>
        <w:rPr>
          <w:rFonts w:ascii="Arial" w:hAnsi="Arial" w:cs="David"/>
          <w:sz w:val="22"/>
          <w:szCs w:val="22"/>
          <w:rtl/>
        </w:rPr>
        <w:t>היתה</w:t>
      </w:r>
      <w:proofErr w:type="spellEnd"/>
      <w:r>
        <w:rPr>
          <w:rFonts w:ascii="Arial" w:hAnsi="Arial" w:cs="David"/>
          <w:sz w:val="22"/>
          <w:szCs w:val="22"/>
          <w:rtl/>
        </w:rPr>
        <w:t xml:space="preserve"> בהפרה גם משום הפרה יסודית של כל החוזה, זכאי הנפגע לבטל את החלק שהופר או את החוזה כולו. </w:t>
      </w:r>
    </w:p>
    <w:p w14:paraId="12C19459" w14:textId="77777777" w:rsidR="0051000E" w:rsidRDefault="00EA1EE1">
      <w:pPr>
        <w:ind w:left="84"/>
        <w:textAlignment w:val="top"/>
        <w:rPr>
          <w:sz w:val="22"/>
          <w:szCs w:val="22"/>
          <w:rtl/>
        </w:rPr>
      </w:pPr>
      <w:r>
        <w:rPr>
          <w:rStyle w:val="f27"/>
          <w:rFonts w:hint="cs"/>
          <w:sz w:val="22"/>
          <w:szCs w:val="22"/>
          <w:rtl/>
        </w:rPr>
        <w:t> </w:t>
      </w:r>
    </w:p>
    <w:p w14:paraId="12C1945A"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8.</w:t>
      </w:r>
      <w:r>
        <w:rPr>
          <w:rStyle w:val="f27p1"/>
          <w:rFonts w:ascii="Arial" w:hAnsi="Arial" w:cs="David"/>
          <w:sz w:val="22"/>
          <w:szCs w:val="22"/>
          <w:rtl/>
        </w:rPr>
        <w:tab/>
      </w:r>
      <w:r>
        <w:rPr>
          <w:rStyle w:val="f27p1"/>
          <w:rFonts w:ascii="Arial" w:hAnsi="Arial" w:cs="David"/>
          <w:sz w:val="22"/>
          <w:szCs w:val="22"/>
          <w:rtl/>
        </w:rPr>
        <w:t xml:space="preserve">דרך הביטול </w:t>
      </w:r>
    </w:p>
    <w:p w14:paraId="12C1945B"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ביטול החוזה יהיה בהודעת הנפגע למפר תוך זמן סביר לאחר שנודע לו על ההפרה; אולם במקרה האמור בסעיף 7 (ב) ובכל מקרה אחר שהנפגע נתן למפר תחילה ארכה לקיום החוזה - תוך זמן סביר לאחר שחלפה הארכה. </w:t>
      </w:r>
    </w:p>
    <w:p w14:paraId="12C1945C" w14:textId="77777777" w:rsidR="0051000E" w:rsidRDefault="00EA1EE1">
      <w:pPr>
        <w:ind w:left="84"/>
        <w:textAlignment w:val="top"/>
        <w:rPr>
          <w:rStyle w:val="pid"/>
          <w:rFonts w:ascii="Arial" w:hAnsi="Arial"/>
          <w:sz w:val="22"/>
          <w:szCs w:val="22"/>
          <w:rtl/>
        </w:rPr>
      </w:pPr>
      <w:r>
        <w:rPr>
          <w:rStyle w:val="f27"/>
          <w:rFonts w:hint="cs"/>
          <w:sz w:val="22"/>
          <w:szCs w:val="22"/>
          <w:rtl/>
        </w:rPr>
        <w:t> </w:t>
      </w:r>
    </w:p>
    <w:p w14:paraId="12C1945D" w14:textId="77777777" w:rsidR="0051000E" w:rsidRDefault="00EA1EE1">
      <w:pPr>
        <w:ind w:left="84"/>
        <w:textAlignment w:val="top"/>
        <w:rPr>
          <w:rFonts w:ascii="Arial" w:hAnsi="Arial"/>
          <w:sz w:val="22"/>
          <w:szCs w:val="22"/>
          <w:rtl/>
        </w:rPr>
      </w:pPr>
      <w:r>
        <w:rPr>
          <w:rStyle w:val="pid"/>
          <w:rFonts w:ascii="Arial" w:hAnsi="Arial"/>
          <w:sz w:val="22"/>
          <w:szCs w:val="22"/>
          <w:rtl/>
        </w:rPr>
        <w:t> </w:t>
      </w:r>
      <w:r>
        <w:rPr>
          <w:rStyle w:val="f27p1"/>
          <w:rFonts w:ascii="Arial" w:hAnsi="Arial"/>
          <w:sz w:val="22"/>
          <w:szCs w:val="22"/>
          <w:rtl/>
        </w:rPr>
        <w:t>9.</w:t>
      </w:r>
      <w:r>
        <w:rPr>
          <w:rStyle w:val="f27p1"/>
          <w:rFonts w:ascii="Arial" w:hAnsi="Arial"/>
          <w:sz w:val="22"/>
          <w:szCs w:val="22"/>
          <w:rtl/>
        </w:rPr>
        <w:tab/>
        <w:t xml:space="preserve">השבה לאחר ביטול </w:t>
      </w:r>
    </w:p>
    <w:p w14:paraId="12C1945E"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(א) משבוטל החוזה, חייב המפר להשיב לנפגע מה שקיבל על פי החוזה, או לשלם לו את שוויו של מה שקיבל אם ההשבה </w:t>
      </w:r>
      <w:proofErr w:type="spellStart"/>
      <w:r>
        <w:rPr>
          <w:rFonts w:ascii="Arial" w:hAnsi="Arial" w:cs="David"/>
          <w:sz w:val="22"/>
          <w:szCs w:val="22"/>
          <w:rtl/>
        </w:rPr>
        <w:t>היתה</w:t>
      </w:r>
      <w:proofErr w:type="spellEnd"/>
      <w:r>
        <w:rPr>
          <w:rFonts w:ascii="Arial" w:hAnsi="Arial" w:cs="David"/>
          <w:sz w:val="22"/>
          <w:szCs w:val="22"/>
          <w:rtl/>
        </w:rPr>
        <w:t xml:space="preserve"> בלתי אפשרית או בלתי סבירה או שהנפגע בחר בכך; והנפגע חייב להשיב למפר מה שקיבל על פי החוזה, או לשלם לו את שוויו של מה שקיבל אם ההשבה </w:t>
      </w:r>
      <w:proofErr w:type="spellStart"/>
      <w:r>
        <w:rPr>
          <w:rFonts w:ascii="Arial" w:hAnsi="Arial" w:cs="David"/>
          <w:sz w:val="22"/>
          <w:szCs w:val="22"/>
          <w:rtl/>
        </w:rPr>
        <w:t>היתה</w:t>
      </w:r>
      <w:proofErr w:type="spellEnd"/>
      <w:r>
        <w:rPr>
          <w:rFonts w:ascii="Arial" w:hAnsi="Arial" w:cs="David"/>
          <w:sz w:val="22"/>
          <w:szCs w:val="22"/>
          <w:rtl/>
        </w:rPr>
        <w:t xml:space="preserve"> בלתי אפשרית או בלתי סבירה או שהנפגע בחר בכך. </w:t>
      </w:r>
    </w:p>
    <w:p w14:paraId="12C1945F"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(ב)בוטל החוזה בחלקו, יחולו הוראות סעיף קטן (א) על מה שהצדדים קיבלו על פי אותו חלק. </w:t>
      </w:r>
    </w:p>
    <w:p w14:paraId="12C19460" w14:textId="77777777" w:rsidR="0051000E" w:rsidRDefault="0051000E">
      <w:pPr>
        <w:pStyle w:val="f27s"/>
        <w:bidi/>
        <w:spacing w:before="0" w:beforeAutospacing="0" w:after="0" w:afterAutospacing="0"/>
        <w:textAlignment w:val="top"/>
        <w:rPr>
          <w:rFonts w:cs="David"/>
          <w:sz w:val="22"/>
          <w:szCs w:val="22"/>
          <w:rtl/>
        </w:rPr>
      </w:pPr>
    </w:p>
    <w:p w14:paraId="12C19462" w14:textId="77777777" w:rsidR="0051000E" w:rsidRDefault="0051000E">
      <w:pPr>
        <w:pStyle w:val="f27s"/>
        <w:bidi/>
        <w:spacing w:before="0" w:beforeAutospacing="0" w:after="0" w:afterAutospacing="0"/>
        <w:textAlignment w:val="top"/>
        <w:rPr>
          <w:rFonts w:cs="David"/>
          <w:sz w:val="22"/>
          <w:szCs w:val="22"/>
          <w:rtl/>
        </w:rPr>
      </w:pPr>
    </w:p>
    <w:p w14:paraId="5AF3297C" w14:textId="77777777" w:rsidR="00246C95" w:rsidRDefault="00246C95" w:rsidP="00246C95">
      <w:pPr>
        <w:pStyle w:val="f27s"/>
        <w:bidi/>
        <w:spacing w:before="0" w:beforeAutospacing="0" w:after="0" w:afterAutospacing="0"/>
        <w:textAlignment w:val="top"/>
        <w:rPr>
          <w:rFonts w:cs="David"/>
          <w:sz w:val="22"/>
          <w:szCs w:val="22"/>
          <w:rtl/>
        </w:rPr>
      </w:pPr>
    </w:p>
    <w:p w14:paraId="26F847CD" w14:textId="77777777" w:rsidR="00246C95" w:rsidRDefault="00246C95" w:rsidP="00246C95">
      <w:pPr>
        <w:pStyle w:val="f27s"/>
        <w:bidi/>
        <w:spacing w:before="0" w:beforeAutospacing="0" w:after="0" w:afterAutospacing="0"/>
        <w:textAlignment w:val="top"/>
        <w:rPr>
          <w:rFonts w:cs="David"/>
          <w:sz w:val="22"/>
          <w:szCs w:val="22"/>
          <w:rtl/>
        </w:rPr>
      </w:pPr>
    </w:p>
    <w:p w14:paraId="4BB7E87D" w14:textId="77777777" w:rsidR="00246C95" w:rsidRDefault="00246C95" w:rsidP="00246C95">
      <w:pPr>
        <w:pStyle w:val="f27s"/>
        <w:bidi/>
        <w:spacing w:before="0" w:beforeAutospacing="0" w:after="0" w:afterAutospacing="0"/>
        <w:textAlignment w:val="top"/>
        <w:rPr>
          <w:rFonts w:cs="David"/>
          <w:sz w:val="22"/>
          <w:szCs w:val="22"/>
          <w:rtl/>
        </w:rPr>
      </w:pPr>
    </w:p>
    <w:p w14:paraId="7A2671B7" w14:textId="77777777" w:rsidR="00246C95" w:rsidRDefault="00246C95" w:rsidP="00246C95">
      <w:pPr>
        <w:pStyle w:val="f27s"/>
        <w:bidi/>
        <w:spacing w:before="0" w:beforeAutospacing="0" w:after="0" w:afterAutospacing="0"/>
        <w:textAlignment w:val="top"/>
        <w:rPr>
          <w:rFonts w:cs="David"/>
          <w:sz w:val="22"/>
          <w:szCs w:val="22"/>
          <w:rtl/>
        </w:rPr>
      </w:pPr>
    </w:p>
    <w:p w14:paraId="12DB907E" w14:textId="77777777" w:rsidR="00246C95" w:rsidRDefault="00246C95" w:rsidP="00246C95">
      <w:pPr>
        <w:pStyle w:val="f27s"/>
        <w:bidi/>
        <w:spacing w:before="0" w:beforeAutospacing="0" w:after="0" w:afterAutospacing="0"/>
        <w:textAlignment w:val="top"/>
        <w:rPr>
          <w:rFonts w:cs="David"/>
          <w:sz w:val="22"/>
          <w:szCs w:val="22"/>
          <w:rtl/>
        </w:rPr>
      </w:pPr>
    </w:p>
    <w:p w14:paraId="7E2DB0BC" w14:textId="77777777" w:rsidR="00246C95" w:rsidRDefault="00246C95" w:rsidP="00246C95">
      <w:pPr>
        <w:pStyle w:val="f27s"/>
        <w:bidi/>
        <w:spacing w:before="0" w:beforeAutospacing="0" w:after="0" w:afterAutospacing="0"/>
        <w:textAlignment w:val="top"/>
        <w:rPr>
          <w:rFonts w:cs="David"/>
          <w:sz w:val="22"/>
          <w:szCs w:val="22"/>
          <w:rtl/>
        </w:rPr>
      </w:pPr>
    </w:p>
    <w:p w14:paraId="347FF43F" w14:textId="77777777" w:rsidR="00246C95" w:rsidRDefault="00246C95" w:rsidP="00246C95">
      <w:pPr>
        <w:pStyle w:val="f27s"/>
        <w:bidi/>
        <w:spacing w:before="0" w:beforeAutospacing="0" w:after="0" w:afterAutospacing="0"/>
        <w:textAlignment w:val="top"/>
        <w:rPr>
          <w:rFonts w:cs="David"/>
          <w:sz w:val="22"/>
          <w:szCs w:val="22"/>
          <w:rtl/>
        </w:rPr>
      </w:pPr>
    </w:p>
    <w:p w14:paraId="7D81BF9C" w14:textId="77777777" w:rsidR="00246C95" w:rsidRDefault="00246C95" w:rsidP="00246C95">
      <w:pPr>
        <w:pStyle w:val="f27s"/>
        <w:bidi/>
        <w:spacing w:before="0" w:beforeAutospacing="0" w:after="0" w:afterAutospacing="0"/>
        <w:textAlignment w:val="top"/>
        <w:rPr>
          <w:rFonts w:cs="David"/>
          <w:sz w:val="22"/>
          <w:szCs w:val="22"/>
          <w:rtl/>
        </w:rPr>
      </w:pPr>
    </w:p>
    <w:p w14:paraId="3184B133" w14:textId="77777777" w:rsidR="00246C95" w:rsidRDefault="00246C95" w:rsidP="00246C95">
      <w:pPr>
        <w:pStyle w:val="f27s"/>
        <w:bidi/>
        <w:spacing w:before="0" w:beforeAutospacing="0" w:after="0" w:afterAutospacing="0"/>
        <w:textAlignment w:val="top"/>
        <w:rPr>
          <w:rFonts w:cs="David"/>
          <w:sz w:val="22"/>
          <w:szCs w:val="22"/>
          <w:rtl/>
        </w:rPr>
      </w:pPr>
    </w:p>
    <w:p w14:paraId="12C19463" w14:textId="77777777" w:rsidR="0051000E" w:rsidRDefault="0051000E">
      <w:pPr>
        <w:pStyle w:val="f27s"/>
        <w:bidi/>
        <w:spacing w:before="0" w:beforeAutospacing="0" w:after="0" w:afterAutospacing="0"/>
        <w:textAlignment w:val="top"/>
        <w:rPr>
          <w:rFonts w:cs="David"/>
          <w:sz w:val="22"/>
          <w:szCs w:val="22"/>
          <w:rtl/>
        </w:rPr>
      </w:pPr>
    </w:p>
    <w:p w14:paraId="12C19464" w14:textId="77777777" w:rsidR="0051000E" w:rsidRDefault="00EA1EE1">
      <w:pPr>
        <w:pStyle w:val="f27s"/>
        <w:bidi/>
        <w:spacing w:before="0" w:beforeAutospacing="0" w:after="0" w:afterAutospacing="0"/>
        <w:textAlignment w:val="top"/>
        <w:rPr>
          <w:rFonts w:cs="David"/>
          <w:sz w:val="22"/>
          <w:szCs w:val="22"/>
          <w:rtl/>
        </w:rPr>
      </w:pPr>
      <w:r>
        <w:rPr>
          <w:rFonts w:cs="David"/>
          <w:sz w:val="22"/>
          <w:szCs w:val="22"/>
          <w:rtl/>
        </w:rPr>
        <w:lastRenderedPageBreak/>
        <w:t xml:space="preserve">סימן ג': פיצויים </w:t>
      </w:r>
    </w:p>
    <w:p w14:paraId="12C19465"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10.</w:t>
      </w:r>
      <w:r>
        <w:rPr>
          <w:rStyle w:val="f27p1"/>
          <w:rFonts w:ascii="Arial" w:hAnsi="Arial" w:cs="David"/>
          <w:sz w:val="22"/>
          <w:szCs w:val="22"/>
          <w:rtl/>
        </w:rPr>
        <w:tab/>
        <w:t xml:space="preserve">הזכות לפיצויים </w:t>
      </w:r>
    </w:p>
    <w:p w14:paraId="12C19466"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הנפגע זכאי לפיצויים בעד הנזק שנגרם לו עקב ההפרה ותוצאותיה ושהמפר ראה אותו או שהיה עליו לראותו מראש, בעת כריתת החוזה, כתוצאה מסתברת של ההפרה. </w:t>
      </w:r>
    </w:p>
    <w:p w14:paraId="12C19467"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11.</w:t>
      </w:r>
      <w:r>
        <w:rPr>
          <w:rStyle w:val="f27p1"/>
          <w:rFonts w:ascii="Arial" w:hAnsi="Arial" w:cs="David"/>
          <w:sz w:val="22"/>
          <w:szCs w:val="22"/>
          <w:rtl/>
        </w:rPr>
        <w:tab/>
        <w:t xml:space="preserve">פיצויים ללא הוכחת נזק </w:t>
      </w:r>
    </w:p>
    <w:p w14:paraId="12C19468"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(א) הופר חיוב לספק או לקבל נכס או שירות ובוטל החוזה בשל ההפרה, זכאי הנפגע, ללא הוכחת נזק, לפיצויים בסכום ההפרש שבין התמורה בעד הנכס או השירות לפי החוזה ובין </w:t>
      </w:r>
      <w:proofErr w:type="spellStart"/>
      <w:r>
        <w:rPr>
          <w:rFonts w:ascii="Arial" w:hAnsi="Arial" w:cs="David"/>
          <w:sz w:val="22"/>
          <w:szCs w:val="22"/>
          <w:rtl/>
        </w:rPr>
        <w:t>שוויים</w:t>
      </w:r>
      <w:proofErr w:type="spellEnd"/>
      <w:r>
        <w:rPr>
          <w:rFonts w:ascii="Arial" w:hAnsi="Arial" w:cs="David"/>
          <w:sz w:val="22"/>
          <w:szCs w:val="22"/>
          <w:rtl/>
        </w:rPr>
        <w:t xml:space="preserve"> ביום ביטול החוזה. </w:t>
      </w:r>
    </w:p>
    <w:p w14:paraId="12C19469"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(ב)הופר חיוב לשלם סכום כסף, זכאי הנפגע, ללא הוכחת נזק, לפיצויים בסכום הריבית על התשלום שבפיגור, מיום ההפרה ועד יום התשלום, בשיעור המלא לפי חוק פסיקת ריבית, תשכ"א-1961 </w:t>
      </w:r>
      <w:r>
        <w:rPr>
          <w:rStyle w:val="a5"/>
          <w:rFonts w:ascii="Arial" w:hAnsi="Arial" w:cs="David"/>
          <w:sz w:val="22"/>
          <w:szCs w:val="22"/>
          <w:rtl/>
        </w:rPr>
        <w:t>2</w:t>
      </w:r>
      <w:r>
        <w:rPr>
          <w:rFonts w:ascii="Arial" w:hAnsi="Arial" w:cs="David"/>
          <w:sz w:val="22"/>
          <w:szCs w:val="22"/>
          <w:rtl/>
        </w:rPr>
        <w:t xml:space="preserve">, אם לא קבע בית המשפט שיעור אחר. </w:t>
      </w:r>
    </w:p>
    <w:p w14:paraId="12C1946A"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13.</w:t>
      </w:r>
      <w:r>
        <w:rPr>
          <w:rStyle w:val="f27p1"/>
          <w:rFonts w:ascii="Arial" w:hAnsi="Arial" w:cs="David"/>
          <w:sz w:val="22"/>
          <w:szCs w:val="22"/>
          <w:rtl/>
        </w:rPr>
        <w:tab/>
        <w:t xml:space="preserve">פיצויים בעד נזק שאינו של ממון </w:t>
      </w:r>
    </w:p>
    <w:p w14:paraId="12C1946B"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גרמה הפרת החוזה נזק שאינו נזק ממון, רשאי בית המשפט לפסוק פיצויים בעד נזק זה בשיעור שייראה לו בנסיבות </w:t>
      </w:r>
      <w:proofErr w:type="spellStart"/>
      <w:r>
        <w:rPr>
          <w:rFonts w:ascii="Arial" w:hAnsi="Arial" w:cs="David"/>
          <w:sz w:val="22"/>
          <w:szCs w:val="22"/>
          <w:rtl/>
        </w:rPr>
        <w:t>הענין</w:t>
      </w:r>
      <w:proofErr w:type="spellEnd"/>
      <w:r>
        <w:rPr>
          <w:rFonts w:ascii="Arial" w:hAnsi="Arial" w:cs="David"/>
          <w:sz w:val="22"/>
          <w:szCs w:val="22"/>
          <w:rtl/>
        </w:rPr>
        <w:t xml:space="preserve">. </w:t>
      </w:r>
    </w:p>
    <w:p w14:paraId="12C1946C"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14.</w:t>
      </w:r>
      <w:r>
        <w:rPr>
          <w:rStyle w:val="f27p1"/>
          <w:rFonts w:ascii="Arial" w:hAnsi="Arial" w:cs="David"/>
          <w:sz w:val="22"/>
          <w:szCs w:val="22"/>
          <w:rtl/>
        </w:rPr>
        <w:tab/>
        <w:t xml:space="preserve">הקטנת הנזק </w:t>
      </w:r>
    </w:p>
    <w:p w14:paraId="12C1946D"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(א) אין המפר חייב בפיצויים לפי סעיפים </w:t>
      </w:r>
      <w:r>
        <w:rPr>
          <w:rFonts w:ascii="Arial" w:hAnsi="Arial" w:cs="David"/>
          <w:sz w:val="22"/>
          <w:szCs w:val="22"/>
        </w:rPr>
        <w:t>12 ,10</w:t>
      </w:r>
      <w:r>
        <w:rPr>
          <w:rFonts w:ascii="Arial" w:hAnsi="Arial" w:cs="David"/>
          <w:sz w:val="22"/>
          <w:szCs w:val="22"/>
          <w:rtl/>
        </w:rPr>
        <w:t xml:space="preserve"> ו-13 בעד נזק שהנפגע יכול היה, באמצעים סבירים, למנוע או להקטין. </w:t>
      </w:r>
    </w:p>
    <w:p w14:paraId="12C1946E"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(ב)הוציא הנפגע הוצאות סבירות למניעת הנזק או להקטנתו, או שהתחייב בהתחייבויות סבירות לשם כך, חייב המפר לשפות אותו עליהן, בין אם נמנע הנזק או הוקטן ובין אם לאו; היו ההוצאות או ההתחייבויות בלתי סבירות, חייב המפר בשיפוי כדי שיעורן הסביר בנסיבות </w:t>
      </w:r>
      <w:proofErr w:type="spellStart"/>
      <w:r>
        <w:rPr>
          <w:rFonts w:ascii="Arial" w:hAnsi="Arial" w:cs="David"/>
          <w:sz w:val="22"/>
          <w:szCs w:val="22"/>
          <w:rtl/>
        </w:rPr>
        <w:t>הענין</w:t>
      </w:r>
      <w:proofErr w:type="spellEnd"/>
      <w:r>
        <w:rPr>
          <w:rFonts w:ascii="Arial" w:hAnsi="Arial" w:cs="David"/>
          <w:sz w:val="22"/>
          <w:szCs w:val="22"/>
          <w:rtl/>
        </w:rPr>
        <w:t xml:space="preserve">. </w:t>
      </w:r>
    </w:p>
    <w:p w14:paraId="12C1946F"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15.</w:t>
      </w:r>
      <w:r>
        <w:rPr>
          <w:rStyle w:val="f27p1"/>
          <w:rFonts w:ascii="Arial" w:hAnsi="Arial" w:cs="David"/>
          <w:sz w:val="22"/>
          <w:szCs w:val="22"/>
          <w:rtl/>
        </w:rPr>
        <w:tab/>
        <w:t xml:space="preserve">פיצויים מוסכמים </w:t>
      </w:r>
    </w:p>
    <w:p w14:paraId="12C19470"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(א) הסכימו הצדדים מראש על שיעור פיצויים (להלן - פיצויים מוסכמים), יהיו הפיצויים כמוסכם, ללא הוכחת נזק; אולם רשאי בית המשפט להפחיתם אם מצא שהפיצויים נקבעו ללא כל יחס סביר לנזק שניתן היה לראותו מראש בעת כריתת החוזה כתוצאה מסתברת של ההפרה. </w:t>
      </w:r>
    </w:p>
    <w:p w14:paraId="12C19471"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(ב)הסכם על פיצויים מוסכמים אין בו כשלעצמו כדי לגרוע מזכותו של הנפגע לתבוע במקומם פיצויים לפי סעיפים 10 עד 14 או לגרוע מכל תרופה אחרת בשל הפרת החוזה. </w:t>
      </w:r>
    </w:p>
    <w:p w14:paraId="12C19472"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(ג)</w:t>
      </w:r>
      <w:proofErr w:type="spellStart"/>
      <w:r>
        <w:rPr>
          <w:rFonts w:ascii="Arial" w:hAnsi="Arial" w:cs="David"/>
          <w:sz w:val="22"/>
          <w:szCs w:val="22"/>
          <w:rtl/>
        </w:rPr>
        <w:t>לענין</w:t>
      </w:r>
      <w:proofErr w:type="spellEnd"/>
      <w:r>
        <w:rPr>
          <w:rFonts w:ascii="Arial" w:hAnsi="Arial" w:cs="David"/>
          <w:sz w:val="22"/>
          <w:szCs w:val="22"/>
          <w:rtl/>
        </w:rPr>
        <w:t xml:space="preserve"> סימן זה, סכומים שהמפר שילם לנפגע לפני הפרת החוזה והצדדים הסכימו מראש על חילוטם לטובת הנפגע, דינם כדין פיצויים מוסכמים. </w:t>
      </w:r>
    </w:p>
    <w:p w14:paraId="12C19473" w14:textId="77777777" w:rsidR="0051000E" w:rsidRDefault="0051000E">
      <w:pPr>
        <w:pStyle w:val="f27s"/>
        <w:bidi/>
        <w:spacing w:before="0" w:beforeAutospacing="0" w:after="0" w:afterAutospacing="0"/>
        <w:ind w:left="84"/>
        <w:textAlignment w:val="top"/>
        <w:rPr>
          <w:rFonts w:cs="David"/>
          <w:sz w:val="22"/>
          <w:szCs w:val="22"/>
          <w:rtl/>
        </w:rPr>
      </w:pPr>
    </w:p>
    <w:p w14:paraId="12C19474" w14:textId="77777777" w:rsidR="0051000E" w:rsidRPr="00246C95" w:rsidRDefault="00EA1EE1">
      <w:pPr>
        <w:pStyle w:val="f27s"/>
        <w:bidi/>
        <w:spacing w:before="0" w:beforeAutospacing="0" w:after="0" w:afterAutospacing="0"/>
        <w:ind w:left="84"/>
        <w:textAlignment w:val="top"/>
        <w:rPr>
          <w:rFonts w:cs="David"/>
          <w:sz w:val="22"/>
          <w:szCs w:val="22"/>
          <w:u w:val="single"/>
          <w:rtl/>
        </w:rPr>
      </w:pPr>
      <w:r w:rsidRPr="00246C95">
        <w:rPr>
          <w:rFonts w:cs="David"/>
          <w:sz w:val="22"/>
          <w:szCs w:val="22"/>
          <w:u w:val="single"/>
          <w:rtl/>
        </w:rPr>
        <w:t>פרק ג' : שונות</w:t>
      </w:r>
    </w:p>
    <w:p w14:paraId="12C19475" w14:textId="77777777" w:rsidR="0051000E" w:rsidRDefault="00EA1EE1">
      <w:pPr>
        <w:pStyle w:val="f27s"/>
        <w:bidi/>
        <w:spacing w:before="0" w:beforeAutospacing="0" w:after="0" w:afterAutospacing="0"/>
        <w:ind w:left="84"/>
        <w:textAlignment w:val="top"/>
        <w:rPr>
          <w:rFonts w:cs="David"/>
          <w:sz w:val="22"/>
          <w:szCs w:val="22"/>
          <w:rtl/>
        </w:rPr>
      </w:pPr>
      <w:r>
        <w:rPr>
          <w:rFonts w:cs="David"/>
          <w:sz w:val="22"/>
          <w:szCs w:val="22"/>
          <w:rtl/>
        </w:rPr>
        <w:t xml:space="preserve"> </w:t>
      </w:r>
    </w:p>
    <w:p w14:paraId="12C19476"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17.</w:t>
      </w:r>
      <w:r>
        <w:rPr>
          <w:rStyle w:val="f27p1"/>
          <w:rFonts w:ascii="Arial" w:hAnsi="Arial" w:cs="David"/>
          <w:sz w:val="22"/>
          <w:szCs w:val="22"/>
          <w:rtl/>
        </w:rPr>
        <w:tab/>
        <w:t xml:space="preserve">הפרה צפויה </w:t>
      </w:r>
    </w:p>
    <w:p w14:paraId="12C19477"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גילה צד לחוזה את דעתו שלא יקיים את החוזה, או </w:t>
      </w:r>
      <w:proofErr w:type="spellStart"/>
      <w:r>
        <w:rPr>
          <w:rFonts w:ascii="Arial" w:hAnsi="Arial" w:cs="David"/>
          <w:sz w:val="22"/>
          <w:szCs w:val="22"/>
          <w:rtl/>
        </w:rPr>
        <w:t>שנסתבר</w:t>
      </w:r>
      <w:proofErr w:type="spellEnd"/>
      <w:r>
        <w:rPr>
          <w:rFonts w:ascii="Arial" w:hAnsi="Arial" w:cs="David"/>
          <w:sz w:val="22"/>
          <w:szCs w:val="22"/>
          <w:rtl/>
        </w:rPr>
        <w:t xml:space="preserve"> מנסיבות </w:t>
      </w:r>
      <w:proofErr w:type="spellStart"/>
      <w:r>
        <w:rPr>
          <w:rFonts w:ascii="Arial" w:hAnsi="Arial" w:cs="David"/>
          <w:sz w:val="22"/>
          <w:szCs w:val="22"/>
          <w:rtl/>
        </w:rPr>
        <w:t>הענין</w:t>
      </w:r>
      <w:proofErr w:type="spellEnd"/>
      <w:r>
        <w:rPr>
          <w:rFonts w:ascii="Arial" w:hAnsi="Arial" w:cs="David"/>
          <w:sz w:val="22"/>
          <w:szCs w:val="22"/>
          <w:rtl/>
        </w:rPr>
        <w:t xml:space="preserve"> שלא יוכל או לא ירצה לקיימו, זכאי הצד השני לתרופות לפי חוק זה גם לפני המועד שנקבע לקיום החוזה, ובלבד שבית המשפט, </w:t>
      </w:r>
      <w:proofErr w:type="spellStart"/>
      <w:r>
        <w:rPr>
          <w:rFonts w:ascii="Arial" w:hAnsi="Arial" w:cs="David"/>
          <w:sz w:val="22"/>
          <w:szCs w:val="22"/>
          <w:rtl/>
        </w:rPr>
        <w:t>בנתנו</w:t>
      </w:r>
      <w:proofErr w:type="spellEnd"/>
      <w:r>
        <w:rPr>
          <w:rFonts w:ascii="Arial" w:hAnsi="Arial" w:cs="David"/>
          <w:sz w:val="22"/>
          <w:szCs w:val="22"/>
          <w:rtl/>
        </w:rPr>
        <w:t xml:space="preserve"> צו אכיפה, לא יורה שיש לבצע חיוב לפני המועד שנקבע לקיומו. </w:t>
      </w:r>
    </w:p>
    <w:p w14:paraId="12C19478" w14:textId="77777777" w:rsidR="0051000E" w:rsidRDefault="00EA1EE1">
      <w:pPr>
        <w:pStyle w:val="f27p"/>
        <w:bidi/>
        <w:spacing w:before="0" w:beforeAutospacing="0" w:after="0" w:afterAutospacing="0"/>
        <w:ind w:left="84" w:right="0"/>
        <w:textAlignment w:val="top"/>
        <w:rPr>
          <w:rFonts w:ascii="Arial" w:hAnsi="Arial" w:cs="David"/>
          <w:sz w:val="22"/>
          <w:szCs w:val="22"/>
          <w:rtl/>
        </w:rPr>
      </w:pPr>
      <w:r>
        <w:rPr>
          <w:rStyle w:val="pid"/>
          <w:rFonts w:ascii="Arial" w:hAnsi="Arial" w:cs="David"/>
          <w:sz w:val="22"/>
          <w:szCs w:val="22"/>
          <w:rtl/>
        </w:rPr>
        <w:t> </w:t>
      </w:r>
      <w:r>
        <w:rPr>
          <w:rStyle w:val="f27p1"/>
          <w:rFonts w:ascii="Arial" w:hAnsi="Arial" w:cs="David"/>
          <w:sz w:val="22"/>
          <w:szCs w:val="22"/>
          <w:rtl/>
        </w:rPr>
        <w:t>18.</w:t>
      </w:r>
      <w:r>
        <w:rPr>
          <w:rStyle w:val="f27p1"/>
          <w:rFonts w:ascii="Arial" w:hAnsi="Arial" w:cs="David"/>
          <w:sz w:val="22"/>
          <w:szCs w:val="22"/>
          <w:rtl/>
        </w:rPr>
        <w:tab/>
        <w:t xml:space="preserve">פטור בשל אונס או סיכול החוזה </w:t>
      </w:r>
    </w:p>
    <w:p w14:paraId="12C19479"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(א) </w:t>
      </w:r>
      <w:proofErr w:type="spellStart"/>
      <w:r>
        <w:rPr>
          <w:rFonts w:ascii="Arial" w:hAnsi="Arial" w:cs="David"/>
          <w:sz w:val="22"/>
          <w:szCs w:val="22"/>
          <w:rtl/>
        </w:rPr>
        <w:t>היתה</w:t>
      </w:r>
      <w:proofErr w:type="spellEnd"/>
      <w:r>
        <w:rPr>
          <w:rFonts w:ascii="Arial" w:hAnsi="Arial" w:cs="David"/>
          <w:sz w:val="22"/>
          <w:szCs w:val="22"/>
          <w:rtl/>
        </w:rPr>
        <w:t xml:space="preserve"> הפרת החוזה תוצאה מנסיבות שהמפר, בעת כריתת החוזה, לא ידע ולא היה עליו לדעת עליהן או שלא ראה ולא היה עליו לראותן מראש, ולא יכול היה למנען, וקיום החוזה באותן נסיבות הוא בלתי אפשרי או שונה באופן יסודי ממה שהוסכם עליו בין הצדדים, לא תהיה ההפרה עילה לאכיפת החוזה שהופר או לפיצויים. </w:t>
      </w:r>
    </w:p>
    <w:p w14:paraId="12C1947A" w14:textId="77777777" w:rsidR="0051000E" w:rsidRDefault="00EA1EE1">
      <w:pPr>
        <w:pStyle w:val="NormalWeb"/>
        <w:bidi/>
        <w:spacing w:before="0" w:beforeAutospacing="0" w:after="0" w:afterAutospacing="0"/>
        <w:ind w:left="84"/>
        <w:textAlignment w:val="top"/>
        <w:rPr>
          <w:rFonts w:ascii="Arial" w:hAnsi="Arial" w:cs="David"/>
          <w:sz w:val="22"/>
          <w:szCs w:val="22"/>
          <w:rtl/>
        </w:rPr>
      </w:pPr>
      <w:r>
        <w:rPr>
          <w:rFonts w:ascii="Arial" w:hAnsi="Arial" w:cs="David"/>
          <w:sz w:val="22"/>
          <w:szCs w:val="22"/>
          <w:rtl/>
        </w:rPr>
        <w:t xml:space="preserve">(ב)במקרים האמורים בסעיף קטן (א) רשאי בית המשפט, בין אם בוטל החוזה ובין אם לאו, לחייב כל צד להשיב לצד השני מה שקיבל על פי החוזה או, על פי בחירה כאמור בסעיף 9, לשלם לו את שוויו, ולחייב את המפר בשיפוי הנפגע על ההוצאות הסבירות שהוציא ועל ההתחייבויות שהתחייב בהן באופן סביר לשם קיום החוזה, והכל אם נראה לבית המשפט צודק לעשות כן בנסיבות </w:t>
      </w:r>
      <w:proofErr w:type="spellStart"/>
      <w:r>
        <w:rPr>
          <w:rFonts w:ascii="Arial" w:hAnsi="Arial" w:cs="David"/>
          <w:sz w:val="22"/>
          <w:szCs w:val="22"/>
          <w:rtl/>
        </w:rPr>
        <w:t>הענין</w:t>
      </w:r>
      <w:proofErr w:type="spellEnd"/>
      <w:r>
        <w:rPr>
          <w:rFonts w:ascii="Arial" w:hAnsi="Arial" w:cs="David"/>
          <w:sz w:val="22"/>
          <w:szCs w:val="22"/>
          <w:rtl/>
        </w:rPr>
        <w:t xml:space="preserve"> ובמידה שנראה לו. </w:t>
      </w:r>
    </w:p>
    <w:tbl>
      <w:tblPr>
        <w:bidiVisual/>
        <w:tblW w:w="5000" w:type="pct"/>
        <w:tblCellSpacing w:w="0" w:type="dxa"/>
        <w:tblCellMar>
          <w:left w:w="0" w:type="dxa"/>
          <w:right w:w="0" w:type="dxa"/>
        </w:tblCellMar>
        <w:tblLook w:val="04A0" w:firstRow="1" w:lastRow="0" w:firstColumn="1" w:lastColumn="0" w:noHBand="0" w:noVBand="1"/>
      </w:tblPr>
      <w:tblGrid>
        <w:gridCol w:w="8306"/>
      </w:tblGrid>
      <w:tr w:rsidR="0051000E" w14:paraId="12C1947D" w14:textId="77777777">
        <w:trPr>
          <w:tblCellSpacing w:w="0" w:type="dxa"/>
        </w:trPr>
        <w:tc>
          <w:tcPr>
            <w:tcW w:w="5000" w:type="pct"/>
            <w:tcMar>
              <w:top w:w="150" w:type="dxa"/>
              <w:left w:w="150" w:type="dxa"/>
              <w:bottom w:w="150" w:type="dxa"/>
              <w:right w:w="150" w:type="dxa"/>
            </w:tcMar>
          </w:tcPr>
          <w:p w14:paraId="12C1947C" w14:textId="77777777" w:rsidR="00246C95" w:rsidRDefault="00246C95">
            <w:pPr>
              <w:jc w:val="left"/>
              <w:textAlignment w:val="top"/>
              <w:rPr>
                <w:rFonts w:ascii="Arial" w:hAnsi="Arial"/>
                <w:sz w:val="22"/>
                <w:szCs w:val="22"/>
                <w:highlight w:val="yellow"/>
                <w:rtl/>
              </w:rPr>
            </w:pPr>
          </w:p>
        </w:tc>
      </w:tr>
      <w:tr w:rsidR="0051000E" w14:paraId="12C1947F" w14:textId="77777777">
        <w:trPr>
          <w:tblCellSpacing w:w="0" w:type="dxa"/>
        </w:trPr>
        <w:tc>
          <w:tcPr>
            <w:tcW w:w="5000" w:type="pct"/>
            <w:tcMar>
              <w:top w:w="150" w:type="dxa"/>
              <w:left w:w="150" w:type="dxa"/>
              <w:bottom w:w="150" w:type="dxa"/>
              <w:right w:w="150" w:type="dxa"/>
            </w:tcMar>
          </w:tcPr>
          <w:p w14:paraId="12C1947E" w14:textId="77777777" w:rsidR="0051000E" w:rsidRDefault="0051000E">
            <w:pPr>
              <w:jc w:val="left"/>
              <w:textAlignment w:val="top"/>
              <w:rPr>
                <w:rFonts w:ascii="Arial" w:hAnsi="Arial"/>
                <w:sz w:val="22"/>
                <w:szCs w:val="22"/>
                <w:highlight w:val="yellow"/>
                <w:rtl/>
              </w:rPr>
            </w:pPr>
            <w:bookmarkStart w:id="35" w:name="ref1106:1"/>
            <w:bookmarkStart w:id="36" w:name="jump1"/>
            <w:bookmarkStart w:id="37" w:name="clause1"/>
            <w:bookmarkEnd w:id="35"/>
            <w:bookmarkEnd w:id="36"/>
          </w:p>
        </w:tc>
        <w:bookmarkEnd w:id="37"/>
      </w:tr>
      <w:tr w:rsidR="0051000E" w14:paraId="12C1948B" w14:textId="77777777">
        <w:trPr>
          <w:tblCellSpacing w:w="0" w:type="dxa"/>
        </w:trPr>
        <w:tc>
          <w:tcPr>
            <w:tcW w:w="5000" w:type="pct"/>
            <w:tcMar>
              <w:top w:w="150" w:type="dxa"/>
              <w:left w:w="150" w:type="dxa"/>
              <w:bottom w:w="150" w:type="dxa"/>
              <w:right w:w="150" w:type="dxa"/>
            </w:tcMar>
          </w:tcPr>
          <w:p w14:paraId="12C19480" w14:textId="77777777" w:rsidR="0051000E" w:rsidRDefault="00EA1EE1">
            <w:pPr>
              <w:rPr>
                <w:b/>
                <w:bCs/>
                <w:sz w:val="32"/>
                <w:szCs w:val="32"/>
                <w:rtl/>
              </w:rPr>
            </w:pPr>
            <w:bookmarkStart w:id="38" w:name="jump2"/>
            <w:bookmarkStart w:id="39" w:name="ref1106:2"/>
            <w:bookmarkStart w:id="40" w:name="jump5"/>
            <w:bookmarkStart w:id="41" w:name="ref1106:5"/>
            <w:bookmarkStart w:id="42" w:name="clause5"/>
            <w:bookmarkEnd w:id="38"/>
            <w:bookmarkEnd w:id="39"/>
            <w:bookmarkEnd w:id="40"/>
            <w:bookmarkEnd w:id="41"/>
            <w:r>
              <w:rPr>
                <w:b/>
                <w:bCs/>
                <w:sz w:val="32"/>
                <w:szCs w:val="32"/>
                <w:rtl/>
              </w:rPr>
              <w:t xml:space="preserve">חוק המקרקעין, תשכ"ט-1969 </w:t>
            </w:r>
          </w:p>
          <w:p w14:paraId="12C19481" w14:textId="77777777" w:rsidR="0051000E" w:rsidRDefault="00EA1EE1">
            <w:pPr>
              <w:pStyle w:val="medium2-header"/>
              <w:keepLines w:val="0"/>
              <w:spacing w:before="72"/>
              <w:ind w:left="0" w:right="1134"/>
              <w:jc w:val="both"/>
              <w:rPr>
                <w:rFonts w:cs="FrankRuehl"/>
                <w:rtl/>
              </w:rPr>
            </w:pPr>
            <w:r>
              <w:rPr>
                <w:rFonts w:cs="FrankRuehl"/>
                <w:rtl/>
              </w:rPr>
              <w:t>פ</w:t>
            </w:r>
            <w:r>
              <w:rPr>
                <w:rFonts w:cs="FrankRuehl" w:hint="cs"/>
                <w:rtl/>
              </w:rPr>
              <w:t>ר</w:t>
            </w:r>
            <w:r>
              <w:rPr>
                <w:rFonts w:cs="FrankRuehl"/>
                <w:rtl/>
              </w:rPr>
              <w:t>ק</w:t>
            </w:r>
            <w:r>
              <w:rPr>
                <w:rFonts w:cs="FrankRuehl" w:hint="cs"/>
                <w:rtl/>
              </w:rPr>
              <w:t xml:space="preserve"> ב': עסקאו</w:t>
            </w:r>
            <w:r>
              <w:rPr>
                <w:rFonts w:cs="FrankRuehl"/>
                <w:rtl/>
              </w:rPr>
              <w:t>ת</w:t>
            </w:r>
            <w:r>
              <w:rPr>
                <w:rFonts w:cs="FrankRuehl" w:hint="cs"/>
                <w:rtl/>
              </w:rPr>
              <w:t xml:space="preserve"> </w:t>
            </w:r>
            <w:r>
              <w:rPr>
                <w:rFonts w:cs="FrankRuehl"/>
                <w:rtl/>
              </w:rPr>
              <w:t>ו</w:t>
            </w:r>
            <w:r>
              <w:rPr>
                <w:rFonts w:cs="FrankRuehl" w:hint="cs"/>
                <w:rtl/>
              </w:rPr>
              <w:t>רישומן</w:t>
            </w:r>
          </w:p>
          <w:p w14:paraId="12C19482" w14:textId="77777777" w:rsidR="0051000E" w:rsidRDefault="00EA1EE1">
            <w:pPr>
              <w:pStyle w:val="P00"/>
              <w:spacing w:before="72"/>
              <w:ind w:left="0"/>
              <w:rPr>
                <w:rFonts w:ascii="Arial" w:eastAsiaTheme="minorEastAsia" w:hAnsi="Arial" w:cs="David"/>
                <w:sz w:val="22"/>
                <w:szCs w:val="22"/>
                <w:rtl/>
                <w:lang w:eastAsia="en-US"/>
              </w:rPr>
            </w:pPr>
            <w:bookmarkStart w:id="43" w:name="Seif190"/>
            <w:bookmarkEnd w:id="43"/>
            <w:r>
              <w:rPr>
                <w:rFonts w:ascii="Arial" w:eastAsiaTheme="minorEastAsia" w:hAnsi="Arial" w:cs="David"/>
                <w:sz w:val="22"/>
                <w:szCs w:val="22"/>
                <w:rtl/>
                <w:lang w:eastAsia="en-US"/>
              </w:rPr>
              <w:t>6.</w:t>
            </w:r>
            <w:r>
              <w:rPr>
                <w:rFonts w:ascii="Arial" w:eastAsiaTheme="minorEastAsia" w:hAnsi="Arial" w:cs="David"/>
                <w:sz w:val="22"/>
                <w:szCs w:val="22"/>
                <w:rtl/>
                <w:lang w:eastAsia="en-US"/>
              </w:rPr>
              <w:tab/>
              <w:t>ע</w:t>
            </w:r>
            <w:r>
              <w:rPr>
                <w:rFonts w:ascii="Arial" w:eastAsiaTheme="minorEastAsia" w:hAnsi="Arial" w:cs="David" w:hint="cs"/>
                <w:sz w:val="22"/>
                <w:szCs w:val="22"/>
                <w:rtl/>
                <w:lang w:eastAsia="en-US"/>
              </w:rPr>
              <w:t>ס</w:t>
            </w:r>
            <w:r>
              <w:rPr>
                <w:rFonts w:ascii="Arial" w:eastAsiaTheme="minorEastAsia" w:hAnsi="Arial" w:cs="David"/>
                <w:sz w:val="22"/>
                <w:szCs w:val="22"/>
                <w:rtl/>
                <w:lang w:eastAsia="en-US"/>
              </w:rPr>
              <w:t>ק</w:t>
            </w:r>
            <w:r>
              <w:rPr>
                <w:rFonts w:ascii="Arial" w:eastAsiaTheme="minorEastAsia" w:hAnsi="Arial" w:cs="David" w:hint="cs"/>
                <w:sz w:val="22"/>
                <w:szCs w:val="22"/>
                <w:rtl/>
                <w:lang w:eastAsia="en-US"/>
              </w:rPr>
              <w:t>ה במקרקעין היא הקניה של בעלות או של זכות אחרת במקרקעין לפי רצון המקנה, למעט הורשה על פי צוואה.</w:t>
            </w:r>
          </w:p>
          <w:p w14:paraId="12C19483" w14:textId="77777777" w:rsidR="0051000E" w:rsidRDefault="00EA1EE1">
            <w:pPr>
              <w:pStyle w:val="P00"/>
              <w:spacing w:before="72"/>
              <w:ind w:left="0"/>
              <w:rPr>
                <w:rFonts w:ascii="Arial" w:eastAsiaTheme="minorEastAsia" w:hAnsi="Arial" w:cs="David"/>
                <w:sz w:val="22"/>
                <w:szCs w:val="22"/>
                <w:rtl/>
                <w:lang w:eastAsia="en-US"/>
              </w:rPr>
            </w:pPr>
            <w:bookmarkStart w:id="44" w:name="Seif191"/>
            <w:bookmarkEnd w:id="44"/>
            <w:r>
              <w:rPr>
                <w:rFonts w:ascii="Arial" w:eastAsiaTheme="minorEastAsia" w:hAnsi="Arial" w:cs="David"/>
                <w:sz w:val="22"/>
                <w:szCs w:val="22"/>
                <w:rtl/>
                <w:lang w:eastAsia="en-US"/>
              </w:rPr>
              <w:t>7.</w:t>
            </w:r>
            <w:r>
              <w:rPr>
                <w:rFonts w:ascii="Arial" w:eastAsiaTheme="minorEastAsia" w:hAnsi="Arial" w:cs="David"/>
                <w:sz w:val="22"/>
                <w:szCs w:val="22"/>
                <w:rtl/>
                <w:lang w:eastAsia="en-US"/>
              </w:rPr>
              <w:tab/>
              <w:t>(</w:t>
            </w:r>
            <w:r>
              <w:rPr>
                <w:rFonts w:ascii="Arial" w:eastAsiaTheme="minorEastAsia" w:hAnsi="Arial" w:cs="David" w:hint="cs"/>
                <w:sz w:val="22"/>
                <w:szCs w:val="22"/>
                <w:rtl/>
                <w:lang w:eastAsia="en-US"/>
              </w:rPr>
              <w:t>א</w:t>
            </w:r>
            <w:r>
              <w:rPr>
                <w:rFonts w:ascii="Arial" w:eastAsiaTheme="minorEastAsia" w:hAnsi="Arial" w:cs="David"/>
                <w:sz w:val="22"/>
                <w:szCs w:val="22"/>
                <w:rtl/>
                <w:lang w:eastAsia="en-US"/>
              </w:rPr>
              <w:t>)</w:t>
            </w:r>
            <w:r>
              <w:rPr>
                <w:rFonts w:ascii="Arial" w:eastAsiaTheme="minorEastAsia" w:hAnsi="Arial" w:cs="David"/>
                <w:sz w:val="22"/>
                <w:szCs w:val="22"/>
                <w:rtl/>
                <w:lang w:eastAsia="en-US"/>
              </w:rPr>
              <w:tab/>
            </w:r>
            <w:r>
              <w:rPr>
                <w:rFonts w:ascii="Arial" w:eastAsiaTheme="minorEastAsia" w:hAnsi="Arial" w:cs="David" w:hint="cs"/>
                <w:sz w:val="22"/>
                <w:szCs w:val="22"/>
                <w:rtl/>
                <w:lang w:eastAsia="en-US"/>
              </w:rPr>
              <w:t>ע</w:t>
            </w:r>
            <w:r>
              <w:rPr>
                <w:rFonts w:ascii="Arial" w:eastAsiaTheme="minorEastAsia" w:hAnsi="Arial" w:cs="David"/>
                <w:sz w:val="22"/>
                <w:szCs w:val="22"/>
                <w:rtl/>
                <w:lang w:eastAsia="en-US"/>
              </w:rPr>
              <w:t>ס</w:t>
            </w:r>
            <w:r>
              <w:rPr>
                <w:rFonts w:ascii="Arial" w:eastAsiaTheme="minorEastAsia" w:hAnsi="Arial" w:cs="David" w:hint="cs"/>
                <w:sz w:val="22"/>
                <w:szCs w:val="22"/>
                <w:rtl/>
                <w:lang w:eastAsia="en-US"/>
              </w:rPr>
              <w:t>קה במקרקעין טעונה רישום; העסקה נגמרת ברישום, ורואים את השעה שבה אישר הרשם את העסקה לרישום כשעת הרישום.</w:t>
            </w:r>
          </w:p>
          <w:p w14:paraId="12C19484" w14:textId="77777777" w:rsidR="0051000E" w:rsidRDefault="00EA1EE1">
            <w:pPr>
              <w:pStyle w:val="P00"/>
              <w:spacing w:before="72"/>
              <w:ind w:left="0"/>
              <w:rPr>
                <w:rFonts w:ascii="Arial" w:eastAsiaTheme="minorEastAsia" w:hAnsi="Arial" w:cs="David"/>
                <w:sz w:val="22"/>
                <w:szCs w:val="22"/>
                <w:rtl/>
                <w:lang w:eastAsia="en-US"/>
              </w:rPr>
            </w:pPr>
            <w:r>
              <w:rPr>
                <w:rFonts w:ascii="Arial" w:eastAsiaTheme="minorEastAsia" w:hAnsi="Arial" w:cs="David"/>
                <w:sz w:val="22"/>
                <w:szCs w:val="22"/>
                <w:rtl/>
                <w:lang w:eastAsia="en-US"/>
              </w:rPr>
              <w:tab/>
              <w:t>(</w:t>
            </w:r>
            <w:r>
              <w:rPr>
                <w:rFonts w:ascii="Arial" w:eastAsiaTheme="minorEastAsia" w:hAnsi="Arial" w:cs="David" w:hint="cs"/>
                <w:sz w:val="22"/>
                <w:szCs w:val="22"/>
                <w:rtl/>
                <w:lang w:eastAsia="en-US"/>
              </w:rPr>
              <w:t>ב)</w:t>
            </w:r>
            <w:r>
              <w:rPr>
                <w:rFonts w:ascii="Arial" w:eastAsiaTheme="minorEastAsia" w:hAnsi="Arial" w:cs="David"/>
                <w:sz w:val="22"/>
                <w:szCs w:val="22"/>
                <w:rtl/>
                <w:lang w:eastAsia="en-US"/>
              </w:rPr>
              <w:tab/>
            </w:r>
            <w:r>
              <w:rPr>
                <w:rFonts w:ascii="Arial" w:eastAsiaTheme="minorEastAsia" w:hAnsi="Arial" w:cs="David" w:hint="cs"/>
                <w:sz w:val="22"/>
                <w:szCs w:val="22"/>
                <w:rtl/>
                <w:lang w:eastAsia="en-US"/>
              </w:rPr>
              <w:t>ע</w:t>
            </w:r>
            <w:r>
              <w:rPr>
                <w:rFonts w:ascii="Arial" w:eastAsiaTheme="minorEastAsia" w:hAnsi="Arial" w:cs="David"/>
                <w:sz w:val="22"/>
                <w:szCs w:val="22"/>
                <w:rtl/>
                <w:lang w:eastAsia="en-US"/>
              </w:rPr>
              <w:t>ס</w:t>
            </w:r>
            <w:r>
              <w:rPr>
                <w:rFonts w:ascii="Arial" w:eastAsiaTheme="minorEastAsia" w:hAnsi="Arial" w:cs="David" w:hint="cs"/>
                <w:sz w:val="22"/>
                <w:szCs w:val="22"/>
                <w:rtl/>
                <w:lang w:eastAsia="en-US"/>
              </w:rPr>
              <w:t>קה שלא</w:t>
            </w:r>
            <w:r>
              <w:rPr>
                <w:rFonts w:ascii="Arial" w:eastAsiaTheme="minorEastAsia" w:hAnsi="Arial" w:cs="David"/>
                <w:sz w:val="22"/>
                <w:szCs w:val="22"/>
                <w:rtl/>
                <w:lang w:eastAsia="en-US"/>
              </w:rPr>
              <w:t xml:space="preserve"> נ</w:t>
            </w:r>
            <w:r>
              <w:rPr>
                <w:rFonts w:ascii="Arial" w:eastAsiaTheme="minorEastAsia" w:hAnsi="Arial" w:cs="David" w:hint="cs"/>
                <w:sz w:val="22"/>
                <w:szCs w:val="22"/>
                <w:rtl/>
                <w:lang w:eastAsia="en-US"/>
              </w:rPr>
              <w:t>גמרה ברישום רואים אותה כהתחייבות לעשות עסקה.</w:t>
            </w:r>
          </w:p>
          <w:p w14:paraId="12C19485" w14:textId="77777777" w:rsidR="0051000E" w:rsidRDefault="00EA1EE1">
            <w:pPr>
              <w:pStyle w:val="P00"/>
              <w:spacing w:before="72"/>
              <w:ind w:left="0"/>
              <w:rPr>
                <w:rFonts w:ascii="Arial" w:eastAsiaTheme="minorEastAsia" w:hAnsi="Arial" w:cs="David"/>
                <w:sz w:val="22"/>
                <w:szCs w:val="22"/>
                <w:rtl/>
                <w:lang w:eastAsia="en-US"/>
              </w:rPr>
            </w:pPr>
            <w:bookmarkStart w:id="45" w:name="Seif192"/>
            <w:bookmarkEnd w:id="45"/>
            <w:r>
              <w:rPr>
                <w:rFonts w:ascii="Arial" w:eastAsiaTheme="minorEastAsia" w:hAnsi="Arial" w:cs="David"/>
                <w:sz w:val="22"/>
                <w:szCs w:val="22"/>
                <w:rtl/>
                <w:lang w:eastAsia="en-US"/>
              </w:rPr>
              <w:t>8.</w:t>
            </w:r>
            <w:r>
              <w:rPr>
                <w:rFonts w:ascii="Arial" w:eastAsiaTheme="minorEastAsia" w:hAnsi="Arial" w:cs="David"/>
                <w:sz w:val="22"/>
                <w:szCs w:val="22"/>
                <w:rtl/>
                <w:lang w:eastAsia="en-US"/>
              </w:rPr>
              <w:tab/>
              <w:t>ה</w:t>
            </w:r>
            <w:r>
              <w:rPr>
                <w:rFonts w:ascii="Arial" w:eastAsiaTheme="minorEastAsia" w:hAnsi="Arial" w:cs="David" w:hint="cs"/>
                <w:sz w:val="22"/>
                <w:szCs w:val="22"/>
                <w:rtl/>
                <w:lang w:eastAsia="en-US"/>
              </w:rPr>
              <w:t>ת</w:t>
            </w:r>
            <w:r>
              <w:rPr>
                <w:rFonts w:ascii="Arial" w:eastAsiaTheme="minorEastAsia" w:hAnsi="Arial" w:cs="David"/>
                <w:sz w:val="22"/>
                <w:szCs w:val="22"/>
                <w:rtl/>
                <w:lang w:eastAsia="en-US"/>
              </w:rPr>
              <w:t>ח</w:t>
            </w:r>
            <w:r>
              <w:rPr>
                <w:rFonts w:ascii="Arial" w:eastAsiaTheme="minorEastAsia" w:hAnsi="Arial" w:cs="David" w:hint="cs"/>
                <w:sz w:val="22"/>
                <w:szCs w:val="22"/>
                <w:rtl/>
                <w:lang w:eastAsia="en-US"/>
              </w:rPr>
              <w:t>ייבות לעשות עסקה במקרקעין טעונה מסמך בכתב.</w:t>
            </w:r>
          </w:p>
          <w:p w14:paraId="12C19486" w14:textId="77777777" w:rsidR="0051000E" w:rsidRDefault="0051000E">
            <w:pPr>
              <w:pStyle w:val="NormalWeb"/>
              <w:bidi/>
              <w:spacing w:before="0" w:beforeAutospacing="0" w:after="0" w:afterAutospacing="0"/>
              <w:ind w:left="566" w:right="357" w:hanging="283"/>
              <w:textAlignment w:val="top"/>
              <w:rPr>
                <w:rFonts w:ascii="Arial" w:hAnsi="Arial" w:cs="David"/>
                <w:sz w:val="22"/>
                <w:szCs w:val="22"/>
                <w:highlight w:val="yellow"/>
                <w:rtl/>
              </w:rPr>
            </w:pPr>
            <w:bookmarkStart w:id="46" w:name="Seif193"/>
            <w:bookmarkEnd w:id="46"/>
          </w:p>
          <w:p w14:paraId="12C19487" w14:textId="77777777" w:rsidR="0051000E" w:rsidRDefault="0051000E">
            <w:pPr>
              <w:pStyle w:val="NormalWeb"/>
              <w:bidi/>
              <w:spacing w:before="0" w:beforeAutospacing="0" w:after="0" w:afterAutospacing="0"/>
              <w:ind w:left="566" w:hanging="283"/>
              <w:textAlignment w:val="top"/>
              <w:rPr>
                <w:rFonts w:ascii="Arial" w:hAnsi="Arial" w:cs="David"/>
                <w:sz w:val="22"/>
                <w:szCs w:val="22"/>
                <w:highlight w:val="yellow"/>
                <w:rtl/>
              </w:rPr>
            </w:pPr>
          </w:p>
          <w:p w14:paraId="12C19488" w14:textId="77777777" w:rsidR="0051000E" w:rsidRDefault="0051000E">
            <w:pPr>
              <w:pStyle w:val="NormalWeb"/>
              <w:bidi/>
              <w:spacing w:before="0" w:beforeAutospacing="0" w:after="0" w:afterAutospacing="0"/>
              <w:ind w:left="566" w:hanging="283"/>
              <w:textAlignment w:val="top"/>
              <w:rPr>
                <w:rFonts w:ascii="Arial" w:hAnsi="Arial" w:cs="David"/>
                <w:sz w:val="22"/>
                <w:szCs w:val="22"/>
                <w:highlight w:val="yellow"/>
                <w:rtl/>
              </w:rPr>
            </w:pPr>
          </w:p>
          <w:p w14:paraId="12C1948A" w14:textId="1B568F39" w:rsidR="0051000E" w:rsidRDefault="0051000E">
            <w:pPr>
              <w:jc w:val="left"/>
              <w:textAlignment w:val="top"/>
              <w:rPr>
                <w:rFonts w:ascii="Arial" w:hAnsi="Arial"/>
                <w:i/>
                <w:iCs/>
                <w:color w:val="B14E3A"/>
                <w:sz w:val="22"/>
                <w:szCs w:val="22"/>
                <w:rtl/>
              </w:rPr>
            </w:pPr>
            <w:bookmarkStart w:id="47" w:name="jump22"/>
            <w:bookmarkStart w:id="48" w:name="ref1106:20"/>
            <w:bookmarkStart w:id="49" w:name="ref1106:24"/>
            <w:bookmarkStart w:id="50" w:name="jump20"/>
            <w:bookmarkStart w:id="51" w:name="ref1106:22"/>
            <w:bookmarkStart w:id="52" w:name="jump26"/>
            <w:bookmarkStart w:id="53" w:name="jump24"/>
            <w:bookmarkStart w:id="54" w:name="ref1106:21A"/>
            <w:bookmarkStart w:id="55" w:name="jump6"/>
            <w:bookmarkEnd w:id="42"/>
            <w:bookmarkEnd w:id="47"/>
            <w:bookmarkEnd w:id="48"/>
            <w:bookmarkEnd w:id="49"/>
            <w:bookmarkEnd w:id="50"/>
            <w:bookmarkEnd w:id="51"/>
            <w:bookmarkEnd w:id="52"/>
            <w:bookmarkEnd w:id="53"/>
            <w:bookmarkEnd w:id="54"/>
            <w:bookmarkEnd w:id="55"/>
          </w:p>
        </w:tc>
      </w:tr>
    </w:tbl>
    <w:p w14:paraId="12C1948C" w14:textId="77777777" w:rsidR="0051000E" w:rsidRDefault="0051000E" w:rsidP="00246C95">
      <w:pPr>
        <w:pStyle w:val="NormalWeb"/>
        <w:bidi/>
        <w:spacing w:before="0" w:beforeAutospacing="0" w:after="0" w:afterAutospacing="0"/>
        <w:ind w:right="357"/>
        <w:textAlignment w:val="top"/>
        <w:rPr>
          <w:rFonts w:ascii="Arial" w:hAnsi="Arial" w:cs="David"/>
          <w:sz w:val="22"/>
          <w:szCs w:val="22"/>
        </w:rPr>
      </w:pPr>
    </w:p>
    <w:sectPr w:rsidR="0051000E">
      <w:foot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61E8F" w14:textId="77777777" w:rsidR="00EA1EE1" w:rsidRDefault="00EA1EE1">
      <w:r>
        <w:separator/>
      </w:r>
    </w:p>
  </w:endnote>
  <w:endnote w:type="continuationSeparator" w:id="0">
    <w:p w14:paraId="36B2A1C6" w14:textId="77777777" w:rsidR="00EA1EE1" w:rsidRDefault="00EA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 New Roman">
    <w:altName w:val="Segoe Print"/>
    <w:charset w:val="00"/>
    <w:family w:val="roman"/>
    <w:pitch w:val="default"/>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67243503"/>
    </w:sdtPr>
    <w:sdtEndPr/>
    <w:sdtContent>
      <w:p w14:paraId="12C1948D" w14:textId="77777777" w:rsidR="0051000E" w:rsidRDefault="00EA1EE1">
        <w:pPr>
          <w:pStyle w:val="a3"/>
          <w:jc w:val="center"/>
          <w:rPr>
            <w:rtl/>
            <w:cs/>
          </w:rPr>
        </w:pPr>
        <w:r>
          <w:fldChar w:fldCharType="begin"/>
        </w:r>
        <w:r>
          <w:rPr>
            <w:rtl/>
            <w:cs/>
          </w:rPr>
          <w:instrText xml:space="preserve">PAGE   </w:instrText>
        </w:r>
        <w:r>
          <w:rPr>
            <w:cs/>
          </w:rPr>
          <w:instrText>\</w:instrText>
        </w:r>
        <w:r>
          <w:rPr>
            <w:rtl/>
            <w:cs/>
          </w:rPr>
          <w:instrText xml:space="preserve">* </w:instrText>
        </w:r>
        <w:r>
          <w:rPr>
            <w:cs/>
          </w:rPr>
          <w:instrText>MERGEFORMAT</w:instrText>
        </w:r>
        <w:r>
          <w:fldChar w:fldCharType="separate"/>
        </w:r>
        <w:r>
          <w:rPr>
            <w:rtl/>
            <w:lang w:val="he-IL"/>
          </w:rPr>
          <w:t>10</w:t>
        </w:r>
        <w:r>
          <w:fldChar w:fldCharType="end"/>
        </w:r>
      </w:p>
    </w:sdtContent>
  </w:sdt>
  <w:p w14:paraId="12C1948E" w14:textId="77777777" w:rsidR="0051000E" w:rsidRDefault="0051000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065F" w14:textId="77777777" w:rsidR="00EA1EE1" w:rsidRDefault="00EA1EE1">
      <w:r>
        <w:separator/>
      </w:r>
    </w:p>
  </w:footnote>
  <w:footnote w:type="continuationSeparator" w:id="0">
    <w:p w14:paraId="72773117" w14:textId="77777777" w:rsidR="00EA1EE1" w:rsidRDefault="00EA1E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77A"/>
    <w:rsid w:val="00036F2A"/>
    <w:rsid w:val="0006034C"/>
    <w:rsid w:val="00072E1B"/>
    <w:rsid w:val="00082F67"/>
    <w:rsid w:val="00122F49"/>
    <w:rsid w:val="0022081C"/>
    <w:rsid w:val="00246C95"/>
    <w:rsid w:val="0026698B"/>
    <w:rsid w:val="002A3D7B"/>
    <w:rsid w:val="002F45B2"/>
    <w:rsid w:val="00321200"/>
    <w:rsid w:val="00346552"/>
    <w:rsid w:val="00350B9D"/>
    <w:rsid w:val="00390C9B"/>
    <w:rsid w:val="00407FCE"/>
    <w:rsid w:val="004910A7"/>
    <w:rsid w:val="0051000E"/>
    <w:rsid w:val="0056418E"/>
    <w:rsid w:val="00564B26"/>
    <w:rsid w:val="0059522C"/>
    <w:rsid w:val="0062116C"/>
    <w:rsid w:val="0064363B"/>
    <w:rsid w:val="00731E31"/>
    <w:rsid w:val="007537F0"/>
    <w:rsid w:val="007C077C"/>
    <w:rsid w:val="007F74EC"/>
    <w:rsid w:val="008B505E"/>
    <w:rsid w:val="00947B9E"/>
    <w:rsid w:val="009D4529"/>
    <w:rsid w:val="009D77B2"/>
    <w:rsid w:val="00A0064A"/>
    <w:rsid w:val="00A14214"/>
    <w:rsid w:val="00A32356"/>
    <w:rsid w:val="00A3279B"/>
    <w:rsid w:val="00A93AB9"/>
    <w:rsid w:val="00AA52FE"/>
    <w:rsid w:val="00B14AF6"/>
    <w:rsid w:val="00B2116E"/>
    <w:rsid w:val="00B95E96"/>
    <w:rsid w:val="00C444DC"/>
    <w:rsid w:val="00C701DD"/>
    <w:rsid w:val="00D62334"/>
    <w:rsid w:val="00D6777A"/>
    <w:rsid w:val="00D73E71"/>
    <w:rsid w:val="00E65BD2"/>
    <w:rsid w:val="00E95935"/>
    <w:rsid w:val="00EA1EE1"/>
    <w:rsid w:val="00EF64FA"/>
    <w:rsid w:val="00F32DA6"/>
    <w:rsid w:val="00F9704C"/>
    <w:rsid w:val="00FB3922"/>
    <w:rsid w:val="5E566D2F"/>
    <w:rsid w:val="6757152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C193D9"/>
  <w15:docId w15:val="{5A44F628-A6D3-4B44-9808-4CB289B3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jc w:val="both"/>
    </w:pPr>
    <w:rPr>
      <w:rFonts w:cs="David"/>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pPr>
  </w:style>
  <w:style w:type="character" w:styleId="a5">
    <w:name w:val="footnote reference"/>
    <w:basedOn w:val="a0"/>
    <w:uiPriority w:val="99"/>
    <w:unhideWhenUsed/>
    <w:qFormat/>
    <w:rPr>
      <w:sz w:val="14"/>
      <w:szCs w:val="14"/>
      <w:vertAlign w:val="superscript"/>
    </w:rPr>
  </w:style>
  <w:style w:type="paragraph" w:styleId="a6">
    <w:name w:val="header"/>
    <w:basedOn w:val="a"/>
    <w:link w:val="a7"/>
    <w:qFormat/>
    <w:pPr>
      <w:tabs>
        <w:tab w:val="center" w:pos="4153"/>
        <w:tab w:val="right" w:pos="8306"/>
      </w:tabs>
    </w:pPr>
  </w:style>
  <w:style w:type="character" w:styleId="Hyperlink">
    <w:name w:val="Hyperlink"/>
    <w:basedOn w:val="a0"/>
    <w:qFormat/>
    <w:rPr>
      <w:color w:val="0000FF"/>
      <w:u w:val="single"/>
    </w:rPr>
  </w:style>
  <w:style w:type="paragraph" w:styleId="NormalWeb">
    <w:name w:val="Normal (Web)"/>
    <w:basedOn w:val="a"/>
    <w:uiPriority w:val="99"/>
    <w:unhideWhenUsed/>
    <w:qFormat/>
    <w:pPr>
      <w:bidi w:val="0"/>
      <w:spacing w:before="100" w:beforeAutospacing="1" w:after="100" w:afterAutospacing="1"/>
      <w:jc w:val="left"/>
    </w:pPr>
    <w:rPr>
      <w:rFonts w:eastAsiaTheme="minorEastAsia" w:cs="Times New Roman"/>
      <w:sz w:val="24"/>
      <w:szCs w:val="24"/>
      <w:lang w:eastAsia="en-US"/>
    </w:rPr>
  </w:style>
  <w:style w:type="character" w:customStyle="1" w:styleId="a7">
    <w:name w:val="כותרת עליונה תו"/>
    <w:basedOn w:val="a0"/>
    <w:link w:val="a6"/>
    <w:qFormat/>
    <w:rPr>
      <w:rFonts w:cs="David"/>
      <w:lang w:eastAsia="he-IL"/>
    </w:rPr>
  </w:style>
  <w:style w:type="character" w:customStyle="1" w:styleId="a4">
    <w:name w:val="כותרת תחתונה תו"/>
    <w:basedOn w:val="a0"/>
    <w:link w:val="a3"/>
    <w:uiPriority w:val="99"/>
    <w:qFormat/>
    <w:rPr>
      <w:rFonts w:cs="David"/>
      <w:lang w:eastAsia="he-IL"/>
    </w:rPr>
  </w:style>
  <w:style w:type="paragraph" w:customStyle="1" w:styleId="f27p">
    <w:name w:val="f27p"/>
    <w:basedOn w:val="a"/>
    <w:qFormat/>
    <w:pPr>
      <w:bidi w:val="0"/>
      <w:spacing w:before="100" w:beforeAutospacing="1" w:after="100" w:afterAutospacing="1"/>
      <w:ind w:right="283"/>
      <w:jc w:val="left"/>
    </w:pPr>
    <w:rPr>
      <w:rFonts w:eastAsiaTheme="minorEastAsia" w:cs="Times New Roman"/>
      <w:sz w:val="24"/>
      <w:szCs w:val="24"/>
      <w:lang w:eastAsia="en-US"/>
    </w:rPr>
  </w:style>
  <w:style w:type="paragraph" w:customStyle="1" w:styleId="f27s">
    <w:name w:val="f27s"/>
    <w:basedOn w:val="a"/>
    <w:qFormat/>
    <w:pPr>
      <w:bidi w:val="0"/>
      <w:spacing w:before="100" w:beforeAutospacing="1" w:after="100" w:afterAutospacing="1"/>
      <w:jc w:val="center"/>
    </w:pPr>
    <w:rPr>
      <w:rFonts w:ascii="Arial" w:eastAsiaTheme="minorEastAsia" w:hAnsi="Arial" w:cs="Arial"/>
      <w:b/>
      <w:bCs/>
      <w:sz w:val="32"/>
      <w:szCs w:val="32"/>
      <w:lang w:eastAsia="en-US"/>
    </w:rPr>
  </w:style>
  <w:style w:type="character" w:customStyle="1" w:styleId="f27p1">
    <w:name w:val="f27p1"/>
    <w:basedOn w:val="a0"/>
    <w:qFormat/>
    <w:rPr>
      <w:b/>
      <w:bCs/>
    </w:rPr>
  </w:style>
  <w:style w:type="character" w:customStyle="1" w:styleId="f30">
    <w:name w:val="f30"/>
    <w:basedOn w:val="a0"/>
    <w:qFormat/>
    <w:rPr>
      <w:rFonts w:cs="David" w:hint="cs"/>
      <w:u w:val="single"/>
    </w:rPr>
  </w:style>
  <w:style w:type="character" w:customStyle="1" w:styleId="hakadkan1">
    <w:name w:val="hakadkan1"/>
    <w:basedOn w:val="a0"/>
    <w:qFormat/>
  </w:style>
  <w:style w:type="character" w:customStyle="1" w:styleId="f27">
    <w:name w:val="f27"/>
    <w:basedOn w:val="a0"/>
    <w:qFormat/>
  </w:style>
  <w:style w:type="character" w:customStyle="1" w:styleId="pid">
    <w:name w:val="pid"/>
    <w:basedOn w:val="a0"/>
    <w:qFormat/>
  </w:style>
  <w:style w:type="paragraph" w:customStyle="1" w:styleId="P00">
    <w:name w:val="P00"/>
    <w:qFormat/>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szCs w:val="26"/>
      <w:lang w:eastAsia="he-IL"/>
    </w:rPr>
  </w:style>
  <w:style w:type="character" w:customStyle="1" w:styleId="default">
    <w:name w:val="default"/>
    <w:basedOn w:val="a0"/>
    <w:qFormat/>
    <w:rPr>
      <w:rFonts w:ascii="Times New Roman" w:hAnsi="Times New Roman" w:cs="Times New Roman"/>
      <w:sz w:val="26"/>
      <w:szCs w:val="26"/>
    </w:rPr>
  </w:style>
  <w:style w:type="character" w:customStyle="1" w:styleId="big-number">
    <w:name w:val="big-number"/>
    <w:basedOn w:val="default"/>
    <w:qFormat/>
    <w:rPr>
      <w:rFonts w:ascii="Times New Roman" w:hAnsi="Times New Roman" w:cs="Times New Roman"/>
      <w:sz w:val="32"/>
      <w:szCs w:val="32"/>
    </w:rPr>
  </w:style>
  <w:style w:type="paragraph" w:customStyle="1" w:styleId="medium2-header">
    <w:name w:val="medium2-header"/>
    <w:basedOn w:val="a"/>
    <w:qFormat/>
    <w:pPr>
      <w:keepNext/>
      <w:keepLines/>
      <w:widowControl w:val="0"/>
      <w:tabs>
        <w:tab w:val="left" w:pos="624"/>
        <w:tab w:val="left" w:pos="1021"/>
        <w:tab w:val="left" w:pos="1474"/>
        <w:tab w:val="left" w:pos="1928"/>
        <w:tab w:val="left" w:pos="2381"/>
        <w:tab w:val="left" w:pos="2835"/>
      </w:tabs>
      <w:suppressAutoHyphens/>
      <w:autoSpaceDE w:val="0"/>
      <w:autoSpaceDN w:val="0"/>
      <w:spacing w:before="240"/>
      <w:ind w:left="2835"/>
      <w:jc w:val="center"/>
    </w:pPr>
    <w:rPr>
      <w:rFonts w:cs="Times New Roman"/>
      <w:bCs/>
      <w:sz w:val="24"/>
      <w:szCs w:val="24"/>
    </w:rPr>
  </w:style>
  <w:style w:type="paragraph" w:customStyle="1" w:styleId="P22">
    <w:name w:val="P22"/>
    <w:basedOn w:val="P00"/>
    <w:qFormat/>
    <w:pPr>
      <w:tabs>
        <w:tab w:val="clear" w:pos="624"/>
        <w:tab w:val="clear" w:pos="1021"/>
      </w:tabs>
      <w:ind w:right="1021"/>
    </w:pPr>
  </w:style>
  <w:style w:type="paragraph" w:customStyle="1" w:styleId="header-2">
    <w:name w:val="header-2"/>
    <w:basedOn w:val="P00"/>
    <w:qFormat/>
    <w:pPr>
      <w:keepNext/>
      <w:keepLines/>
      <w:tabs>
        <w:tab w:val="clear" w:pos="6259"/>
      </w:tabs>
      <w:spacing w:before="240"/>
      <w:jc w:val="center"/>
    </w:pPr>
    <w:rPr>
      <w:szCs w:val="20"/>
    </w:rPr>
  </w:style>
  <w:style w:type="paragraph" w:customStyle="1" w:styleId="p000">
    <w:name w:val="p00"/>
    <w:basedOn w:val="a"/>
    <w:qFormat/>
    <w:pPr>
      <w:bidi w:val="0"/>
      <w:spacing w:before="100" w:beforeAutospacing="1" w:after="100" w:afterAutospacing="1"/>
      <w:jc w:val="left"/>
    </w:pPr>
    <w:rPr>
      <w:rFonts w:cs="Times New Roman"/>
      <w:sz w:val="24"/>
      <w:szCs w:val="24"/>
      <w:lang w:eastAsia="en-US"/>
    </w:rPr>
  </w:style>
  <w:style w:type="paragraph" w:customStyle="1" w:styleId="p220">
    <w:name w:val="p22"/>
    <w:basedOn w:val="a"/>
    <w:qFormat/>
    <w:pPr>
      <w:bidi w:val="0"/>
      <w:spacing w:before="100" w:beforeAutospacing="1" w:after="100" w:afterAutospacing="1"/>
      <w:jc w:val="left"/>
    </w:pPr>
    <w:rPr>
      <w:rFonts w:cs="Times New Roman"/>
      <w:sz w:val="24"/>
      <w:szCs w:val="24"/>
      <w:lang w:eastAsia="en-US"/>
    </w:rPr>
  </w:style>
  <w:style w:type="paragraph" w:customStyle="1" w:styleId="page">
    <w:name w:val="page"/>
    <w:basedOn w:val="a"/>
    <w:qFormat/>
    <w:pPr>
      <w:bidi w:val="0"/>
      <w:spacing w:before="100" w:beforeAutospacing="1" w:after="100" w:afterAutospacing="1"/>
      <w:jc w:val="left"/>
    </w:pPr>
    <w:rPr>
      <w:rFonts w:cs="Times New Roman"/>
      <w:sz w:val="24"/>
      <w:szCs w:val="24"/>
      <w:lang w:eastAsia="en-US"/>
    </w:rPr>
  </w:style>
  <w:style w:type="paragraph" w:customStyle="1" w:styleId="p02">
    <w:name w:val="p02"/>
    <w:basedOn w:val="a"/>
    <w:qFormat/>
    <w:pPr>
      <w:bidi w:val="0"/>
      <w:spacing w:before="100" w:beforeAutospacing="1" w:after="100" w:afterAutospacing="1"/>
      <w:jc w:val="left"/>
    </w:pPr>
    <w:rPr>
      <w:rFonts w:cs="Times New Roman"/>
      <w:sz w:val="24"/>
      <w:szCs w:val="24"/>
      <w:lang w:eastAsia="en-US"/>
    </w:rPr>
  </w:style>
  <w:style w:type="paragraph" w:customStyle="1" w:styleId="p33">
    <w:name w:val="p33"/>
    <w:basedOn w:val="a"/>
    <w:qFormat/>
    <w:pPr>
      <w:bidi w:val="0"/>
      <w:spacing w:before="100" w:beforeAutospacing="1" w:after="100" w:afterAutospacing="1"/>
      <w:jc w:val="left"/>
    </w:pPr>
    <w:rPr>
      <w:rFonts w:cs="Times New Roman"/>
      <w:sz w:val="24"/>
      <w:szCs w:val="24"/>
      <w:lang w:eastAsia="en-US"/>
    </w:rPr>
  </w:style>
  <w:style w:type="paragraph" w:customStyle="1" w:styleId="f26">
    <w:name w:val="f26"/>
    <w:basedOn w:val="a"/>
    <w:qFormat/>
    <w:pPr>
      <w:bidi w:val="0"/>
      <w:spacing w:before="100" w:beforeAutospacing="1" w:after="100" w:afterAutospacing="1"/>
      <w:jc w:val="center"/>
    </w:pPr>
    <w:rPr>
      <w:rFonts w:eastAsiaTheme="minorEastAsia"/>
      <w:b/>
      <w:bCs/>
      <w:color w:val="5C2222"/>
      <w:sz w:val="24"/>
      <w:szCs w:val="24"/>
      <w:lang w:eastAsia="en-US"/>
    </w:rPr>
  </w:style>
  <w:style w:type="character" w:customStyle="1" w:styleId="stltitanpropertyset5511b1">
    <w:name w:val="stl_titan_propertyset_55_1_1b1"/>
    <w:basedOn w:val="a0"/>
    <w:qFormat/>
    <w:rPr>
      <w:caps/>
      <w:sz w:val="16"/>
      <w:szCs w:val="16"/>
      <w:vertAlign w:val="superscript"/>
    </w:rPr>
  </w:style>
  <w:style w:type="character" w:customStyle="1" w:styleId="stltitanpropertyset56111">
    <w:name w:val="stl_titan_propertyset_56_1_11"/>
    <w:basedOn w:val="a0"/>
    <w:qFormat/>
    <w:rPr>
      <w:b/>
      <w:bCs/>
    </w:rPr>
  </w:style>
  <w:style w:type="character" w:customStyle="1" w:styleId="stltitanpropertyset117111">
    <w:name w:val="stl_titan_propertyset_117_1_11"/>
    <w:basedOn w:val="a0"/>
    <w:qFormat/>
  </w:style>
  <w:style w:type="character" w:customStyle="1" w:styleId="stltitanpropertyset113111">
    <w:name w:val="stl_titan_propertyset_113_1_11"/>
    <w:basedOn w:val="a0"/>
    <w:qFormat/>
  </w:style>
  <w:style w:type="character" w:customStyle="1" w:styleId="apple-converted-space">
    <w:name w:val="apple-converted-spac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2322</Words>
  <Characters>11611</Characters>
  <Application>Microsoft Office Word</Application>
  <DocSecurity>0</DocSecurity>
  <Lines>96</Lines>
  <Paragraphs>27</Paragraphs>
  <ScaleCrop>false</ScaleCrop>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Idan Baroukh</cp:lastModifiedBy>
  <cp:revision>4</cp:revision>
  <cp:lastPrinted>2013-10-08T12:45:00Z</cp:lastPrinted>
  <dcterms:created xsi:type="dcterms:W3CDTF">2026-07-01T06:54:00Z</dcterms:created>
  <dcterms:modified xsi:type="dcterms:W3CDTF">2026-07-26T16:41:00Z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B5E7FAB477BA4874B8AF1A51C0732433_13</vt:lpwstr>
  </property>
  <property fmtid="{D5CDD505-2E9C-101B-9397-08002B2CF9AE}" pid="4" name="KSOTemplateDocerSaveRecord">
    <vt:lpwstr>eyJoZGlkIjoiNWE2YzY3NGVmZDk0MThiZDc5NThhYjEwZDNmY2RjMGYifQ==</vt:lpwstr>
  </property>
</Properties>
</file>