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Що потрібно від фонду перед запуском сайту</w:t>
      </w:r>
    </w:p>
    <w:p>
      <w:pPr>
        <w:pStyle w:val="Note"/>
      </w:pPr>
      <w:r>
        <w:t xml:space="preserve">Цей перелік згенеровано з поточної структури сайту, а не складено окремо, тому він не може відставати від того, що сайт уже вміє. Відповідайте прямо під кожним пунктом — порожні місця залишені навмисно.</w:t>
      </w:r>
    </w:p>
    <w:p>
      <w:pPr>
        <w:pStyle w:val="Heading1"/>
      </w:pPr>
      <w:r>
        <w:t xml:space="preserve">Організація</w:t>
      </w:r>
    </w:p>
    <w:p>
      <w:pPr>
        <w:ind w:left="360"/>
      </w:pPr>
      <w:r>
        <w:t xml:space="preserve">1. Повна юридична назва, ЄДРПОУ, дата реєстрації, ознака неприбутковості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2. Юридична та фактична адреси, телефон, публічні поштові скриньки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3. Склад наглядової ради з ролями; чи є правило щодо складу — і яке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4. Назва аудиторської фірми та рік останнього аудиту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Heading1"/>
      </w:pPr>
      <w:r>
        <w:t xml:space="preserve">Люди</w:t>
      </w:r>
    </w:p>
    <w:p>
      <w:pPr>
        <w:ind w:left="360"/>
      </w:pPr>
      <w:r>
        <w:t xml:space="preserve">5. Команда — імʼя, посада, кваліфікація, 2–3 речення біо на кожного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6. Фотографії персоналу й ради, зняті за письмовою згодою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7. Хто уповноважений говорити з пресою і з яких тем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8. Контакт відповідальної особи за safeguarding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Heading1"/>
      </w:pPr>
      <w:r>
        <w:t xml:space="preserve">Цифри</w:t>
      </w:r>
    </w:p>
    <w:p>
      <w:pPr>
        <w:ind w:left="360"/>
      </w:pPr>
      <w:r>
        <w:t xml:space="preserve">9. Показники за кожен рік окремо — люди, години, зміни, області, персонал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10. Чим саме вимірюється зміна стану і в які моменти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11. Що рахується в «зміну», а що ні — межа має бути письмовою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12. Чого досягти не вдалося, з цифрами — без цього розділу сайт втрачає найсильніше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Heading1"/>
      </w:pPr>
      <w:r>
        <w:t xml:space="preserve">Документи</w:t>
      </w:r>
    </w:p>
    <w:p>
      <w:pPr>
        <w:ind w:left="360"/>
      </w:pPr>
      <w:r>
        <w:t xml:space="preserve">13. Політики: PSEA, safeguarding, GBV, антифрод, кодекс поведінки, приватність, скарги, статут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14. Річні та фінансові звіти і висновок незалежного аудитора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15. Які документи мають англійську версію, а які лишаються локальними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Heading1"/>
      </w:pPr>
      <w:r>
        <w:t xml:space="preserve">Послуги</w:t>
      </w:r>
    </w:p>
    <w:p>
      <w:pPr>
        <w:ind w:left="360"/>
      </w:pPr>
      <w:r>
        <w:t xml:space="preserve">16. Напрями роботи з результатами, які фонд справді вимірює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17. Куди перенаправляти, коли фонд не підходить — перелік служб із причинами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18. Кризові лінії, актуальні на дату запуску, з графіком роботи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19. Реквізити для переказів і формулювання призначення платежу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Heading1"/>
      </w:pPr>
      <w:r>
        <w:t xml:space="preserve">Технічне</w:t>
      </w:r>
    </w:p>
    <w:p>
      <w:pPr>
        <w:ind w:left="360"/>
      </w:pPr>
      <w:r>
        <w:t xml:space="preserve">20. Домен і хостинг; чи приймає сайт платежі — це змінює модель розгортання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21. Поштові скриньки для кожної форми, зокрема окрема для safeguarding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22. Чи потрібна аналітика і яка саме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360"/>
      </w:pPr>
      <w:r>
        <w:t xml:space="preserve">23. Хто веде контент після запуску</w:t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ind w:left="720"/>
      </w:pPr>
      <w:r>
        <w:t xml:space="preserve"/>
      </w:r>
    </w:p>
    <w:p>
      <w:pPr>
        <w:pStyle w:val="Note"/>
      </w:pPr>
      <w:r>
        <w:t xml:space="preserve">Усього питань: 23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styleId="Title">
    <w:name w:val="Title"/>
    <w:pPr>
      <w:spacing w:after="160"/>
    </w:pPr>
    <w:rPr>
      <w:b/>
      <w:sz w:val="48"/>
      <w:color w:val="155E75"/>
    </w:rPr>
  </w:style>
  <w:style w:type="paragraph" w:styleId="Heading1">
    <w:name w:val="heading 1"/>
    <w:pPr>
      <w:spacing w:before="320" w:after="120"/>
    </w:pPr>
    <w:rPr>
      <w:b/>
      <w:sz w:val="30"/>
      <w:color w:val="155E75"/>
    </w:rPr>
  </w:style>
  <w:style w:type="paragraph" w:styleId="Note">
    <w:name w:val="Note"/>
    <w:pPr>
      <w:spacing w:after="240"/>
    </w:pPr>
    <w:rPr>
      <w:i/>
      <w:color w:val="47556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