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나눔고딕" w:hAnsi="나눔고딕" w:eastAsia="나눔고딕"/>
          <w:b/>
          <w:color w:val="2563EB"/>
          <w:sz w:val="16"/>
        </w:rPr>
        <w:t>02-02 · LEARNING HUB WORKBOOK</w:t>
      </w:r>
    </w:p>
    <w:p>
      <w:pPr>
        <w:spacing w:after="60"/>
      </w:pPr>
      <w:r>
        <w:rPr>
          <w:rFonts w:ascii="나눔고딕" w:hAnsi="나눔고딕" w:eastAsia="나눔고딕"/>
          <w:b/>
          <w:color w:val="0F172A"/>
          <w:sz w:val="40"/>
        </w:rPr>
        <w:t>사업계획서 로직체인 템플릿</w:t>
      </w:r>
    </w:p>
    <w:p>
      <w:pPr>
        <w:spacing w:after="140"/>
      </w:pPr>
      <w:r>
        <w:rPr>
          <w:rFonts w:ascii="나눔고딕" w:hAnsi="나눔고딕" w:eastAsia="나눔고딕"/>
          <w:color w:val="475569"/>
          <w:sz w:val="19"/>
        </w:rPr>
        <w:t>문제-목표-활동-산출-성과가 논리적으로 연결되는지 점검합니다.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FF6FF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1D4ED8"/>
                <w:sz w:val="17"/>
              </w:rPr>
              <w:t>작성 원칙 · 사실과 판단을 구분하고, AI가 만든 내용은 원자료와 함께 검증합니다.</w:t>
            </w:r>
          </w:p>
        </w:tc>
      </w:tr>
    </w:tbl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문제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해결하려는 문제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대상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근거 데이터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최종 목표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세부 목표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투입(Input)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예산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인력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협력자원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활동(Activity)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핵심 사업 활동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산출(Output)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즉시 생산되는 결과물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성과(Outcome)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단기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중기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장기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성과지표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지표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기준값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목표값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측정주기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위험·가정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주요 위험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성공을 위한 가정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나눔고딕" w:hAnsi="나눔고딕" w:eastAsia="나눔고딕"/>
        <w:color w:val="64748B"/>
        <w:sz w:val="15"/>
      </w:rPr>
      <w:t>Prompt First, App When Needed · Happy Brain Learning Hub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나눔고딕" w:hAnsi="나눔고딕" w:eastAsia="나눔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나눔고딕" w:hAnsi="나눔고딕" w:eastAsia="나눔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나눔고딕" w:hAnsi="나눔고딕" w:eastAsia="나눔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