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GULF HORIZON PROPERTY FUND</w:t>
      </w:r>
    </w:p>
    <w:p>
      <w:r>
        <w:t xml:space="preserve">PROSPECTUS</w:t>
      </w:r>
    </w:p>
    <w:p>
      <w:r>
        <w:t xml:space="preserve">(synthetic fixture for testing; not a real fund)</w:t>
      </w:r>
    </w:p>
    <w:p>
      <w:pPr>
        <w:numPr>
          <w:ilvl w:val="0"/>
          <w:numId w:val="1"/>
        </w:numPr>
      </w:pPr>
      <w:r>
        <w:t xml:space="preserve">THE FUND.</w:t>
      </w:r>
    </w:p>
    <w:p>
      <w:pPr>
        <w:numPr>
          <w:ilvl w:val="1"/>
          <w:numId w:val="1"/>
        </w:numPr>
      </w:pPr>
      <w:r>
        <w:t xml:space="preserve">Domicile and regulator. The Fund is a public property fund domiciled in the Dubai International Financial Centre and regulated by the Dubai Financial Services Authority under the Collective Investment Rules.</w:t>
      </w:r>
    </w:p>
    <w:p>
      <w:pPr>
        <w:numPr>
          <w:ilvl w:val="1"/>
          <w:numId w:val="1"/>
        </w:numPr>
      </w:pPr>
      <w:r>
        <w:t xml:space="preserve">Other authorities. Nothing in this Prospectus has been approved by the CMA or by any other authority outside the Dubai International Financial Centre.</w:t>
      </w:r>
    </w:p>
    <w:p>
      <w:pPr>
        <w:numPr>
          <w:ilvl w:val="0"/>
          <w:numId w:val="1"/>
        </w:numPr>
      </w:pPr>
      <w:r>
        <w:t xml:space="preserve">INVESTMENT AND BORROWING.</w:t>
      </w:r>
    </w:p>
    <w:p>
      <w:pPr>
        <w:numPr>
          <w:ilvl w:val="1"/>
          <w:numId w:val="1"/>
        </w:numPr>
      </w:pPr>
      <w:r>
        <w:t xml:space="preserve">Borrowing. The Fund may borrow up to sixty per cent (60%) of its gross asset value to finance acquisitions.</w:t>
      </w:r>
    </w:p>
    <w:p>
      <w:pPr>
        <w:numPr>
          <w:ilvl w:val="1"/>
          <w:numId w:val="1"/>
        </w:numPr>
      </w:pPr>
      <w:r>
        <w:t xml:space="preserve">Structure. The Fund is a closed-ended fund and its units will be listed within three years of the first offering.</w:t>
      </w:r>
    </w:p>
    <w:p>
      <w:pPr>
        <w:numPr>
          <w:ilvl w:val="0"/>
          <w:numId w:val="1"/>
        </w:numPr>
      </w:pPr>
      <w:r>
        <w:t xml:space="preserve">FEES.</w:t>
      </w:r>
    </w:p>
    <w:p>
      <w:pPr>
        <w:numPr>
          <w:ilvl w:val="1"/>
          <w:numId w:val="1"/>
        </w:numPr>
      </w:pPr>
      <w:r>
        <w:t xml:space="preserve">Management fee. The Fund Manager is entitled to a management fee of one and a quarter per cent (1.25%) of net asset value a year, payable quarterly.</w:t>
      </w:r>
    </w:p>
    <w:sectPr/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</w:lvl>
    <w:lvl w:ilvl="1">
      <w:start w:val="1"/>
      <w:numFmt w:val="decimal"/>
      <w:lvlText w:val="%1.%2"/>
    </w:lvl>
  </w:abstractNum>
  <w:num w:numId="1">
    <w:abstractNumId w:val="0"/>
  </w:num>
</w:numbering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/Relationships>
</file>