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rtl/>
        </w:rPr>
        <w:t xml:space="preserve">اتفاقية تسهيلات مرابحة</w:t>
      </w:r>
    </w:p>
    <w:p>
      <w:pPr>
        <w:bidi/>
      </w:pPr>
      <w:r>
        <w:rPr>
          <w:rtl/>
        </w:rPr>
        <w:t xml:space="preserve">بين بنك الريادة (المموّل) وشركة النرجس للتطوير العقاري (العميل)</w:t>
      </w:r>
    </w:p>
    <w:p>
      <w:pPr>
        <w:bidi/>
      </w:pPr>
      <w:r>
        <w:rPr>
          <w:rtl/>
        </w:rPr>
        <w:t xml:space="preserve">(نموذج اصطناعي لأغراض الاختبار، وليس اتفاقية حقيقية)</w:t>
      </w:r>
    </w:p>
    <w:p>
      <w:pPr>
        <w:numPr>
          <w:ilvl w:val="0"/>
          <w:numId w:val="1"/>
        </w:numPr>
        <w:bidi/>
      </w:pPr>
      <w:r>
        <w:rPr>
          <w:rtl/>
        </w:rPr>
        <w:t xml:space="preserve">التعريفات. يكون للكلمات والعبارات الآتية المعاني المبينة أمام كل منها:</w:t>
      </w:r>
    </w:p>
    <w:p>
      <w:pPr>
        <w:numPr>
          <w:ilvl w:val="1"/>
          <w:numId w:val="1"/>
        </w:numPr>
        <w:bidi/>
      </w:pPr>
      <w:r>
        <w:rPr>
          <w:rtl/>
        </w:rPr>
        <w:t xml:space="preserve">المشروع: مشروع حي النرجس السكني في مدينة الرياض بمساحة قابلة للبيع قدرها ٤٠٬٠٠٠ متر مربع.</w:t>
      </w:r>
    </w:p>
    <w:p>
      <w:pPr>
        <w:numPr>
          <w:ilvl w:val="1"/>
          <w:numId w:val="1"/>
        </w:numPr>
        <w:bidi/>
      </w:pPr>
      <w:r>
        <w:rPr>
          <w:rtl/>
        </w:rPr>
        <w:t xml:space="preserve">إجمالي تكلفة المشروع: مجموع تكلفة الأرض وضريبة التصرفات العقارية وتكاليف البناء ورسوم إدارة التطوير.</w:t>
      </w:r>
    </w:p>
    <w:p>
      <w:pPr>
        <w:numPr>
          <w:ilvl w:val="0"/>
          <w:numId w:val="1"/>
        </w:numPr>
        <w:bidi/>
      </w:pPr>
      <w:r>
        <w:rPr>
          <w:rtl/>
        </w:rPr>
        <w:t xml:space="preserve">التسهيل.</w:t>
      </w:r>
    </w:p>
    <w:p>
      <w:pPr>
        <w:numPr>
          <w:ilvl w:val="1"/>
          <w:numId w:val="1"/>
        </w:numPr>
        <w:bidi/>
      </w:pPr>
      <w:r>
        <w:rPr>
          <w:rtl/>
        </w:rPr>
        <w:t xml:space="preserve">مبلغ التسهيل: يلتزم المموّل بتوفير تسهيل مرابحة لا يتجاوز مبلغه خمسين بالمائة (50%) من إجمالي تكلفة المشروع.</w:t>
      </w:r>
    </w:p>
    <w:p>
      <w:pPr>
        <w:numPr>
          <w:ilvl w:val="1"/>
          <w:numId w:val="1"/>
        </w:numPr>
        <w:bidi/>
      </w:pPr>
      <w:r>
        <w:rPr>
          <w:rtl/>
        </w:rPr>
        <w:t xml:space="preserve">هامش الربح: يستحق للمموّل ربح المرابحة بمعدل ٧٫٥٪ سنوياً على الرصيد القائم، ويُرسمل الربح على رصيد التسهيل حتى السداد.</w:t>
      </w:r>
    </w:p>
    <w:p>
      <w:pPr>
        <w:numPr>
          <w:ilvl w:val="1"/>
          <w:numId w:val="1"/>
        </w:numPr>
        <w:bidi/>
      </w:pPr>
      <w:r>
        <w:rPr>
          <w:rtl/>
        </w:rPr>
        <w:t xml:space="preserve">رسوم الترتيب: يدفع العميل للمموّل رسوم ترتيب بنسبة واحد بالمائة (1%) من مبلغ التسهيل عند التوقيع.</w:t>
      </w:r>
    </w:p>
    <w:p>
      <w:pPr>
        <w:numPr>
          <w:ilvl w:val="0"/>
          <w:numId w:val="1"/>
        </w:numPr>
        <w:bidi/>
      </w:pPr>
      <w:r>
        <w:rPr>
          <w:rtl/>
        </w:rPr>
        <w:t xml:space="preserve">السداد والتعهدات.</w:t>
      </w:r>
    </w:p>
    <w:p>
      <w:pPr>
        <w:numPr>
          <w:ilvl w:val="1"/>
          <w:numId w:val="1"/>
        </w:numPr>
        <w:bidi/>
      </w:pPr>
      <w:r>
        <w:rPr>
          <w:rtl/>
        </w:rPr>
        <w:t xml:space="preserve">تاريخ السداد النهائي: يلتزم العميل بسداد كامل رصيد التسهيل والأرباح المستحقة في موعد أقصاه ٣٠ جمادى الآخرة ١٤٥٢هـ.</w:t>
      </w:r>
    </w:p>
    <w:p>
      <w:pPr>
        <w:numPr>
          <w:ilvl w:val="1"/>
          <w:numId w:val="1"/>
        </w:numPr>
        <w:bidi/>
      </w:pPr>
      <w:r>
        <w:rPr>
          <w:rtl/>
        </w:rPr>
        <w:t xml:space="preserve">تعهد الرصيد: يتعهد العميل بألا يتجاوز رصيد التسهيل شاملاً الأرباح المرسملة خمسين بالمائة (50%) من إجمالي تكلفة المشروع في أي وقت.</w:t>
      </w:r>
    </w:p>
    <w:p>
      <w:pPr>
        <w:numPr>
          <w:ilvl w:val="0"/>
          <w:numId w:val="1"/>
        </w:numPr>
        <w:bidi/>
      </w:pPr>
      <w:r>
        <w:rPr>
          <w:rtl/>
        </w:rPr>
        <w:t xml:space="preserve">أحكام عامة.</w:t>
      </w:r>
    </w:p>
    <w:p>
      <w:pPr>
        <w:numPr>
          <w:ilvl w:val="1"/>
          <w:numId w:val="1"/>
        </w:numPr>
        <w:bidi/>
      </w:pPr>
      <w:r>
        <w:rPr>
          <w:rtl/>
        </w:rPr>
        <w:t xml:space="preserve">القانون الواجب التطبيق: تخضع هذه الاتفاقية للأنظمة المعمول بها في المملكة العربية السعودية وأحكام الشريعة الإسلامية.</w:t>
      </w:r>
    </w:p>
    <w:p>
      <w:pPr>
        <w:numPr>
          <w:ilvl w:val="1"/>
          <w:numId w:val="1"/>
        </w:numPr>
        <w:bidi/>
      </w:pPr>
      <w:r>
        <w:rPr>
          <w:rtl/>
        </w:rPr>
        <w:t xml:space="preserve">تاريخ الاتفاقية: حُررت هذه الاتفاقية بتاريخ ١٤٤٨/٠٣/٠٤هـ الموافق ٢٠٢٦/٠٨/١٨م من نسختين أصليتين.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