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Refund policy</w:t>
      </w:r>
    </w:p>
    <w:tbl>
      <w:tr>
        <w:tc>
          <w:p>
            <w:r>
              <w:t>Window</w:t>
            </w:r>
          </w:p>
        </w:tc>
        <w:tc>
          <w:p>
            <w:r>
              <w:t>Days</w:t>
            </w:r>
          </w:p>
        </w:tc>
      </w:tr>
      <w:tr>
        <w:tc>
          <w:p>
            <w:r>
              <w:t>Standard</w:t>
            </w:r>
          </w:p>
        </w:tc>
        <w:tc>
          <w:p>
            <w:r>
              <w:t>30</w:t>
            </w:r>
          </w:p>
        </w:tc>
      </w:tr>
    </w:tbl>
  </w:body>
</w:document>
</file>