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E3464"/>
          <w:sz w:val="40"/>
          <w:szCs w:val="40"/>
        </w:rPr>
        <w:t xml:space="preserve">Script oral — Présentation GBS</w:t>
      </w:r>
    </w:p>
    <w:p>
      <w:pPr>
        <w:spacing w:after="80"/>
        <w:jc w:val="center"/>
      </w:pPr>
      <w:r>
        <w:rPr>
          <w:i/>
          <w:iCs/>
          <w:color w:val="555555"/>
          <w:sz w:val="24"/>
          <w:szCs w:val="24"/>
        </w:rPr>
        <w:t xml:space="preserve">Battle Météorage 2026 — Gradient Boosting Survival Analysis</w:t>
      </w:r>
    </w:p>
    <w:p>
      <w:pPr>
        <w:spacing w:after="240"/>
        <w:jc w:val="center"/>
      </w:pPr>
      <w:r>
        <w:rPr>
          <w:b/>
          <w:bCs/>
          <w:color w:val="D27000"/>
          <w:sz w:val="22"/>
          <w:szCs w:val="22"/>
        </w:rPr>
        <w:t xml:space="preserve">Durée cible : 8 minutes (19 slides)</w:t>
      </w:r>
    </w:p>
    <w:p>
      <w:pPr>
        <w:pBdr>
          <w:bottom w:val="single" w:color="CCCCCC" w:sz="6" w:space="1"/>
        </w:pBdr>
        <w:spacing w:after="120" w:before="120"/>
      </w:pPr>
      <w:r>
        <w:t xml:space="preserve"/>
      </w:r>
    </w:p>
    <w:p>
      <w:pPr>
        <w:pStyle w:val="Heading2"/>
        <w:spacing w:after="80" w:before="200"/>
      </w:pPr>
      <w:r>
        <w:rPr>
          <w:b/>
          <w:bCs/>
          <w:color w:val="0E3464"/>
          <w:sz w:val="26"/>
          <w:szCs w:val="26"/>
        </w:rPr>
        <w:t xml:space="preserve">Slide 1 — Titre</w:t>
      </w:r>
      <w:r>
        <w:rPr>
          <w:i/>
          <w:iCs/>
          <w:color w:val="D27000"/>
          <w:sz w:val="22"/>
          <w:szCs w:val="22"/>
        </w:rPr>
        <w:t xml:space="preserve">   (15 s)</w:t>
      </w:r>
    </w:p>
    <w:p>
      <w:pPr>
        <w:pBdr>
          <w:left w:val="single" w:color="0E3464" w:sz="18" w:space="12"/>
        </w:pBdr>
        <w:spacing w:after="100" w:line="300"/>
        <w:ind w:left="360"/>
      </w:pPr>
      <w:r>
        <w:rPr>
          <w:sz w:val="22"/>
          <w:szCs w:val="22"/>
        </w:rPr>
        <w:t xml:space="preserve">Bonjour. Je vais vous présenter notre approche pour la Battle Météorage 2026 : un modèle de Gradient Boosting Survival pour prédire la fin des alertes foudre dans les aéroports.</w:t>
      </w:r>
    </w:p>
    <w:p>
      <w:pPr>
        <w:pStyle w:val="Heading2"/>
        <w:spacing w:after="80" w:before="200"/>
      </w:pPr>
      <w:r>
        <w:rPr>
          <w:b/>
          <w:bCs/>
          <w:color w:val="0E3464"/>
          <w:sz w:val="26"/>
          <w:szCs w:val="26"/>
        </w:rPr>
        <w:t xml:space="preserve">Slide 2 — Plan</w:t>
      </w:r>
      <w:r>
        <w:rPr>
          <w:i/>
          <w:iCs/>
          <w:color w:val="D27000"/>
          <w:sz w:val="22"/>
          <w:szCs w:val="22"/>
        </w:rPr>
        <w:t xml:space="preserve">   (15 s)</w:t>
      </w:r>
    </w:p>
    <w:p>
      <w:pPr>
        <w:pBdr>
          <w:left w:val="single" w:color="0E3464" w:sz="18" w:space="12"/>
        </w:pBdr>
        <w:spacing w:after="100" w:line="300"/>
        <w:ind w:left="360"/>
      </w:pPr>
      <w:r>
        <w:rPr>
          <w:sz w:val="22"/>
          <w:szCs w:val="22"/>
        </w:rPr>
        <w:t xml:space="preserve">Je vais d'abord poser le problème, puis introduire l'analyse de survie, vous montrer le cheminement qui nous a menés au modèle GBS, et terminer par les résultats sur les données du jury.</w:t>
      </w:r>
    </w:p>
    <w:p>
      <w:pPr>
        <w:pStyle w:val="Heading2"/>
        <w:spacing w:after="80" w:before="200"/>
      </w:pPr>
      <w:r>
        <w:rPr>
          <w:b/>
          <w:bCs/>
          <w:color w:val="0E3464"/>
          <w:sz w:val="26"/>
          <w:szCs w:val="26"/>
        </w:rPr>
        <w:t xml:space="preserve">Slide 3 — Le problème</w:t>
      </w:r>
      <w:r>
        <w:rPr>
          <w:i/>
          <w:iCs/>
          <w:color w:val="D27000"/>
          <w:sz w:val="22"/>
          <w:szCs w:val="22"/>
        </w:rPr>
        <w:t xml:space="preserve">   (45 s)</w:t>
      </w:r>
    </w:p>
    <w:p>
      <w:pPr>
        <w:pBdr>
          <w:left w:val="single" w:color="0E3464" w:sz="18" w:space="12"/>
        </w:pBdr>
        <w:spacing w:after="100" w:line="300"/>
        <w:ind w:left="360"/>
      </w:pPr>
      <w:r>
        <w:rPr>
          <w:sz w:val="22"/>
          <w:szCs w:val="22"/>
        </w:rPr>
        <w:t xml:space="preserve">Aujourd'hui, Météorage applique une règle fixe : toute alerte est levée 30 minutes après le dernier éclair nuage-sol dans un rayon de 20 km. Chaque nouvel éclair remet le compteur à zéro.</w:t>
      </w:r>
    </w:p>
    <w:p>
      <w:pPr>
        <w:pBdr>
          <w:left w:val="single" w:color="0E3464" w:sz="18" w:space="12"/>
        </w:pBdr>
        <w:spacing w:after="100" w:line="300"/>
        <w:ind w:left="360"/>
      </w:pPr>
      <w:r>
        <w:rPr>
          <w:sz w:val="22"/>
          <w:szCs w:val="22"/>
        </w:rPr>
        <w:t xml:space="preserve">Cette règle est sûre mais coûteuse : elle bloque des aéroports entiers pendant des heures, alors que beaucoup d'orages sont déjà finis.</w:t>
      </w:r>
    </w:p>
    <w:p>
      <w:pPr>
        <w:pBdr>
          <w:left w:val="single" w:color="0E3464" w:sz="18" w:space="12"/>
        </w:pBdr>
        <w:spacing w:after="100" w:line="300"/>
        <w:ind w:left="360"/>
      </w:pPr>
      <w:r>
        <w:rPr>
          <w:sz w:val="22"/>
          <w:szCs w:val="22"/>
        </w:rPr>
        <w:t xml:space="preserve">Notre objectif : prédire la fin de l'orage avant les 30 minutes, tout en garantissant que le risque qu'un éclair dangereux survienne après la levée reste inférieur à 2 %. Sur ce schéma, le gain c'est l'écart entre t_pred et t_règle.</w:t>
      </w:r>
    </w:p>
    <w:p>
      <w:pPr>
        <w:pStyle w:val="Heading2"/>
        <w:spacing w:after="80" w:before="200"/>
      </w:pPr>
      <w:r>
        <w:rPr>
          <w:b/>
          <w:bCs/>
          <w:color w:val="0E3464"/>
          <w:sz w:val="26"/>
          <w:szCs w:val="26"/>
        </w:rPr>
        <w:t xml:space="preserve">Slide 4 — Analyse de survie</w:t>
      </w:r>
      <w:r>
        <w:rPr>
          <w:i/>
          <w:iCs/>
          <w:color w:val="D27000"/>
          <w:sz w:val="22"/>
          <w:szCs w:val="22"/>
        </w:rPr>
        <w:t xml:space="preserve">   (45 s)</w:t>
      </w:r>
    </w:p>
    <w:p>
      <w:pPr>
        <w:pBdr>
          <w:left w:val="single" w:color="0E3464" w:sz="18" w:space="12"/>
        </w:pBdr>
        <w:spacing w:after="100" w:line="300"/>
        <w:ind w:left="360"/>
      </w:pPr>
      <w:r>
        <w:rPr>
          <w:sz w:val="22"/>
          <w:szCs w:val="22"/>
        </w:rPr>
        <w:t xml:space="preserve">Pour ça, on modélise le temps de survie T, c'est-à-dire la durée jusqu'au prochain éclair. C'est exactement un problème de survie avec censure à droite : si l'alerte se ferme avant un nouvel éclair, on sait juste que T dépasse 30 minutes.</w:t>
      </w:r>
    </w:p>
    <w:p>
      <w:pPr>
        <w:pBdr>
          <w:left w:val="single" w:color="0E3464" w:sz="18" w:space="12"/>
        </w:pBdr>
        <w:spacing w:after="100" w:line="300"/>
        <w:ind w:left="360"/>
      </w:pPr>
      <w:r>
        <w:rPr>
          <w:sz w:val="22"/>
          <w:szCs w:val="22"/>
        </w:rPr>
        <w:t xml:space="preserve">L'objet central, c'est la fonction de survie S(t) = P(T &gt; t). Notre indicateur clé : S(30), la probabilité qu'aucun éclair ne survienne dans les 30 prochaines minutes. Et T*, c'est le premier instant où S(t) croise un seuil thêta qu'on calibre.</w:t>
      </w:r>
    </w:p>
    <w:p>
      <w:pPr>
        <w:pStyle w:val="Heading2"/>
        <w:spacing w:after="80" w:before="200"/>
      </w:pPr>
      <w:r>
        <w:rPr>
          <w:b/>
          <w:bCs/>
          <w:color w:val="0E3464"/>
          <w:sz w:val="26"/>
          <w:szCs w:val="26"/>
        </w:rPr>
        <w:t xml:space="preserve">Slide 5 — Les données</w:t>
      </w:r>
      <w:r>
        <w:rPr>
          <w:i/>
          <w:iCs/>
          <w:color w:val="D27000"/>
          <w:sz w:val="22"/>
          <w:szCs w:val="22"/>
        </w:rPr>
        <w:t xml:space="preserve">   (30 s)</w:t>
      </w:r>
    </w:p>
    <w:p>
      <w:pPr>
        <w:pBdr>
          <w:left w:val="single" w:color="0E3464" w:sz="18" w:space="12"/>
        </w:pBdr>
        <w:spacing w:after="100" w:line="300"/>
        <w:ind w:left="360"/>
      </w:pPr>
      <w:r>
        <w:rPr>
          <w:sz w:val="22"/>
          <w:szCs w:val="22"/>
        </w:rPr>
        <w:t xml:space="preserve">Nos données : une ligne par éclair CG, sur 5 aéroports (Ajaccio, Bastia, Biarritz, Nantes, Pise). 41 500 éclairs en train, 15 000 en test, et un jeu jury de 80 000 éclairs sur 2023-2025 jamais vus. Les colonnes clés sont la date, la distance, l'amplitude et l'ID d'alerte.</w:t>
      </w:r>
    </w:p>
    <w:p>
      <w:pPr>
        <w:pStyle w:val="Heading2"/>
        <w:spacing w:after="80" w:before="200"/>
      </w:pPr>
      <w:r>
        <w:rPr>
          <w:b/>
          <w:bCs/>
          <w:color w:val="0E3464"/>
          <w:sz w:val="26"/>
          <w:szCs w:val="26"/>
        </w:rPr>
        <w:t xml:space="preserve">Slide 6 — Étape 1 : distribution des éclairs</w:t>
      </w:r>
      <w:r>
        <w:rPr>
          <w:i/>
          <w:iCs/>
          <w:color w:val="D27000"/>
          <w:sz w:val="22"/>
          <w:szCs w:val="22"/>
        </w:rPr>
        <w:t xml:space="preserve">   (40 s)</w:t>
      </w:r>
    </w:p>
    <w:p>
      <w:pPr>
        <w:pBdr>
          <w:left w:val="single" w:color="0E3464" w:sz="18" w:space="12"/>
        </w:pBdr>
        <w:spacing w:after="100" w:line="300"/>
        <w:ind w:left="360"/>
      </w:pPr>
      <w:r>
        <w:rPr>
          <w:sz w:val="22"/>
          <w:szCs w:val="22"/>
        </w:rPr>
        <w:t xml:space="preserve">Avant de modéliser, on explore. Trois constats forts.</w:t>
      </w:r>
    </w:p>
    <w:p>
      <w:pPr>
        <w:pBdr>
          <w:left w:val="single" w:color="0E3464" w:sz="18" w:space="12"/>
        </w:pBdr>
        <w:spacing w:after="100" w:line="300"/>
        <w:ind w:left="360"/>
      </w:pPr>
      <w:r>
        <w:rPr>
          <w:sz w:val="22"/>
          <w:szCs w:val="22"/>
        </w:rPr>
        <w:t xml:space="preserve">Un : énorme hétérogénéité entre aéroports. Pise concentre 13 500 éclairs, Nantes seulement 2 600. Il faut absolument une feature aéroport.</w:t>
      </w:r>
    </w:p>
    <w:p>
      <w:pPr>
        <w:pBdr>
          <w:left w:val="single" w:color="0E3464" w:sz="18" w:space="12"/>
        </w:pBdr>
        <w:spacing w:after="100" w:line="300"/>
        <w:ind w:left="360"/>
      </w:pPr>
      <w:r>
        <w:rPr>
          <w:sz w:val="22"/>
          <w:szCs w:val="22"/>
        </w:rPr>
        <w:t xml:space="preserve">Deux : saisonnalité massive : plus de 60 % des éclairs en juillet-août.</w:t>
      </w:r>
    </w:p>
    <w:p>
      <w:pPr>
        <w:pBdr>
          <w:left w:val="single" w:color="0E3464" w:sz="18" w:space="12"/>
        </w:pBdr>
        <w:spacing w:after="100" w:line="300"/>
        <w:ind w:left="360"/>
      </w:pPr>
      <w:r>
        <w:rPr>
          <w:sz w:val="22"/>
          <w:szCs w:val="22"/>
        </w:rPr>
        <w:t xml:space="preserve">Trois : pic horaire net entre 12h et 15h UTC, typique de la convection de l'après-midi.</w:t>
      </w:r>
    </w:p>
    <w:p>
      <w:pPr>
        <w:pBdr>
          <w:left w:val="single" w:color="0E3464" w:sz="18" w:space="12"/>
        </w:pBdr>
        <w:spacing w:after="100" w:line="300"/>
        <w:ind w:left="360"/>
      </w:pPr>
      <w:r>
        <w:rPr>
          <w:sz w:val="22"/>
          <w:szCs w:val="22"/>
        </w:rPr>
        <w:t xml:space="preserve">Donc on encode l'aéroport, et on utilise des features cycliques sinus/cosinus pour l'heure et le jour de l'année.</w:t>
      </w:r>
    </w:p>
    <w:p>
      <w:pPr>
        <w:pStyle w:val="Heading2"/>
        <w:spacing w:after="80" w:before="200"/>
      </w:pPr>
      <w:r>
        <w:rPr>
          <w:b/>
          <w:bCs/>
          <w:color w:val="0E3464"/>
          <w:sz w:val="26"/>
          <w:szCs w:val="26"/>
        </w:rPr>
        <w:t xml:space="preserve">Slide 7 — Étape 2 : variable cible T_i</w:t>
      </w:r>
      <w:r>
        <w:rPr>
          <w:i/>
          <w:iCs/>
          <w:color w:val="D27000"/>
          <w:sz w:val="22"/>
          <w:szCs w:val="22"/>
        </w:rPr>
        <w:t xml:space="preserve">   (30 s)</w:t>
      </w:r>
    </w:p>
    <w:p>
      <w:pPr>
        <w:pBdr>
          <w:left w:val="single" w:color="0E3464" w:sz="18" w:space="12"/>
        </w:pBdr>
        <w:spacing w:after="100" w:line="300"/>
        <w:ind w:left="360"/>
      </w:pPr>
      <w:r>
        <w:rPr>
          <w:sz w:val="22"/>
          <w:szCs w:val="22"/>
        </w:rPr>
        <w:t xml:space="preserve">On construit ensuite la variable cible T_i : pour chaque éclair, le délai jusqu'au suivant dans la même alerte. Censuré à 30 minutes sinon.</w:t>
      </w:r>
    </w:p>
    <w:p>
      <w:pPr>
        <w:pBdr>
          <w:left w:val="single" w:color="0E3464" w:sz="18" w:space="12"/>
        </w:pBdr>
        <w:spacing w:after="100" w:line="300"/>
        <w:ind w:left="360"/>
      </w:pPr>
      <w:r>
        <w:rPr>
          <w:sz w:val="22"/>
          <w:szCs w:val="22"/>
        </w:rPr>
        <w:t xml:space="preserve">Résultat marquant : 95 % d'événements observés, seulement 4,6 % censurés. Autrement dit, la grande majorité des éclairs sont suivis très vite par un autre. La censure est faible mais bien présente.</w:t>
      </w:r>
    </w:p>
    <w:p>
      <w:pPr>
        <w:pStyle w:val="Heading2"/>
        <w:spacing w:after="80" w:before="200"/>
      </w:pPr>
      <w:r>
        <w:rPr>
          <w:b/>
          <w:bCs/>
          <w:color w:val="0E3464"/>
          <w:sz w:val="26"/>
          <w:szCs w:val="26"/>
        </w:rPr>
        <w:t xml:space="preserve">Slide 8 — Étape 3 : Kaplan-Meier global</w:t>
      </w:r>
      <w:r>
        <w:rPr>
          <w:i/>
          <w:iCs/>
          <w:color w:val="D27000"/>
          <w:sz w:val="22"/>
          <w:szCs w:val="22"/>
        </w:rPr>
        <w:t xml:space="preserve">   (50 s)</w:t>
      </w:r>
    </w:p>
    <w:p>
      <w:pPr>
        <w:pBdr>
          <w:left w:val="single" w:color="0E3464" w:sz="18" w:space="12"/>
        </w:pBdr>
        <w:spacing w:after="100" w:line="300"/>
        <w:ind w:left="360"/>
      </w:pPr>
      <w:r>
        <w:rPr>
          <w:sz w:val="22"/>
          <w:szCs w:val="22"/>
        </w:rPr>
        <w:t xml:space="preserve">Premier modèle naturel : Kaplan-Meier global, une seule courbe pour tout le monde.</w:t>
      </w:r>
    </w:p>
    <w:p>
      <w:pPr>
        <w:pBdr>
          <w:left w:val="single" w:color="0E3464" w:sz="18" w:space="12"/>
        </w:pBdr>
        <w:spacing w:after="100" w:line="300"/>
        <w:ind w:left="360"/>
      </w:pPr>
      <w:r>
        <w:rPr>
          <w:sz w:val="22"/>
          <w:szCs w:val="22"/>
        </w:rPr>
        <w:t xml:space="preserve">Vous voyez ici la courbe estimée. À 2 % de risque, T* vaut 28,3 minutes, soit un gain de 1,7 minute seulement sur la règle des 30 minutes. Quasi-rien.</w:t>
      </w:r>
    </w:p>
    <w:p>
      <w:pPr>
        <w:pBdr>
          <w:left w:val="single" w:color="0E3464" w:sz="18" w:space="12"/>
        </w:pBdr>
        <w:spacing w:after="100" w:line="300"/>
        <w:ind w:left="360"/>
      </w:pPr>
      <w:r>
        <w:rPr>
          <w:sz w:val="22"/>
          <w:szCs w:val="22"/>
        </w:rPr>
        <w:t xml:space="preserve">Le problème : KM est une moyenne. Il ne distingue pas un orage finissant d'un orage actif. Pour un même temps écoulé, il donne la même probabilité à tous les éclairs.</w:t>
      </w:r>
    </w:p>
    <w:p>
      <w:pPr>
        <w:pBdr>
          <w:left w:val="single" w:color="0E3464" w:sz="18" w:space="12"/>
        </w:pBdr>
        <w:spacing w:after="100" w:line="300"/>
        <w:ind w:left="360"/>
      </w:pPr>
      <w:r>
        <w:rPr>
          <w:sz w:val="22"/>
          <w:szCs w:val="22"/>
        </w:rPr>
        <w:t xml:space="preserve">C'est ce qui motive le passage à un modèle conditionnel : il faut S(t | x_i), propre à chaque éclair.</w:t>
      </w:r>
    </w:p>
    <w:p>
      <w:pPr>
        <w:pStyle w:val="Heading2"/>
        <w:spacing w:after="80" w:before="200"/>
      </w:pPr>
      <w:r>
        <w:rPr>
          <w:b/>
          <w:bCs/>
          <w:color w:val="0E3464"/>
          <w:sz w:val="26"/>
          <w:szCs w:val="26"/>
        </w:rPr>
        <w:t xml:space="preserve">Slide 9 — Étape 4 : KM par strate</w:t>
      </w:r>
      <w:r>
        <w:rPr>
          <w:i/>
          <w:iCs/>
          <w:color w:val="D27000"/>
          <w:sz w:val="22"/>
          <w:szCs w:val="22"/>
        </w:rPr>
        <w:t xml:space="preserve">   (30 s)</w:t>
      </w:r>
    </w:p>
    <w:p>
      <w:pPr>
        <w:pBdr>
          <w:left w:val="single" w:color="0E3464" w:sz="18" w:space="12"/>
        </w:pBdr>
        <w:spacing w:after="100" w:line="300"/>
        <w:ind w:left="360"/>
      </w:pPr>
      <w:r>
        <w:rPr>
          <w:sz w:val="22"/>
          <w:szCs w:val="22"/>
        </w:rPr>
        <w:t xml:space="preserve">Et la variabilité est bien réelle. Si on stratifie KM par aéroport ou par saison, les courbes diffèrent fortement. Donc un modèle qui exploite ces variables va capter du signal. C'est exactement ce que fait le Gradient Boosting Survival.</w:t>
      </w:r>
    </w:p>
    <w:p>
      <w:pPr>
        <w:pStyle w:val="Heading2"/>
        <w:spacing w:after="80" w:before="200"/>
      </w:pPr>
      <w:r>
        <w:rPr>
          <w:b/>
          <w:bCs/>
          <w:color w:val="0E3464"/>
          <w:sz w:val="26"/>
          <w:szCs w:val="26"/>
        </w:rPr>
        <w:t xml:space="preserve">Slide 10 — Features</w:t>
      </w:r>
      <w:r>
        <w:rPr>
          <w:i/>
          <w:iCs/>
          <w:color w:val="D27000"/>
          <w:sz w:val="22"/>
          <w:szCs w:val="22"/>
        </w:rPr>
        <w:t xml:space="preserve">   (30 s)</w:t>
      </w:r>
    </w:p>
    <w:p>
      <w:pPr>
        <w:pBdr>
          <w:left w:val="single" w:color="0E3464" w:sz="18" w:space="12"/>
        </w:pBdr>
        <w:spacing w:after="100" w:line="300"/>
        <w:ind w:left="360"/>
      </w:pPr>
      <w:r>
        <w:rPr>
          <w:sz w:val="22"/>
          <w:szCs w:val="22"/>
        </w:rPr>
        <w:t xml:space="preserve">On a construit 13 features réparties en 4 familles : les temporelles cycliques, la cadence et fréquence des éclairs, la distance à l'aéroport (instantanée, moyenne et minimale), et le rang dans l'alerte.</w:t>
      </w:r>
    </w:p>
    <w:p>
      <w:pPr>
        <w:pStyle w:val="Heading2"/>
        <w:spacing w:after="80" w:before="200"/>
      </w:pPr>
      <w:r>
        <w:rPr>
          <w:b/>
          <w:bCs/>
          <w:color w:val="0E3464"/>
          <w:sz w:val="26"/>
          <w:szCs w:val="26"/>
        </w:rPr>
        <w:t xml:space="preserve">Slide 11 — Le modèle GBS</w:t>
      </w:r>
      <w:r>
        <w:rPr>
          <w:i/>
          <w:iCs/>
          <w:color w:val="D27000"/>
          <w:sz w:val="22"/>
          <w:szCs w:val="22"/>
        </w:rPr>
        <w:t xml:space="preserve">   (45 s)</w:t>
      </w:r>
    </w:p>
    <w:p>
      <w:pPr>
        <w:pBdr>
          <w:left w:val="single" w:color="0E3464" w:sz="18" w:space="12"/>
        </w:pBdr>
        <w:spacing w:after="100" w:line="300"/>
        <w:ind w:left="360"/>
      </w:pPr>
      <w:r>
        <w:rPr>
          <w:sz w:val="22"/>
          <w:szCs w:val="22"/>
        </w:rPr>
        <w:t xml:space="preserve">Le GBS, c'est un ensemble d'arbres de décision boostés où chaque arbre corrige le résidu de la log-vraisemblance de Cox du précédent. Au final, on obtient une fonction de survie individualisée, sans imposer de forme paramétrique.</w:t>
      </w:r>
    </w:p>
    <w:p>
      <w:pPr>
        <w:pBdr>
          <w:left w:val="single" w:color="0E3464" w:sz="18" w:space="12"/>
        </w:pBdr>
        <w:spacing w:after="100" w:line="300"/>
        <w:ind w:left="360"/>
      </w:pPr>
      <w:r>
        <w:rPr>
          <w:sz w:val="22"/>
          <w:szCs w:val="22"/>
        </w:rPr>
        <w:t xml:space="preserve">Les hyperparamètres ont été optimisés par GridSearch : 50 arbres, learning rate 0,15, profondeur 3.</w:t>
      </w:r>
    </w:p>
    <w:p>
      <w:pPr>
        <w:pBdr>
          <w:left w:val="single" w:color="0E3464" w:sz="18" w:space="12"/>
        </w:pBdr>
        <w:spacing w:after="100" w:line="300"/>
        <w:ind w:left="360"/>
      </w:pPr>
      <w:r>
        <w:rPr>
          <w:sz w:val="22"/>
          <w:szCs w:val="22"/>
        </w:rPr>
        <w:t xml:space="preserve">Le mécanisme de décision : pour chaque éclair on calcule la confiance S(30 | x_i). Si elle dépasse le seuil thêta, on calcule l'horizon T* individuel, et la fin d'alerte globale c'est le minimum sur tous les éclairs confiants. Très conservateur.</w:t>
      </w:r>
    </w:p>
    <w:p>
      <w:pPr>
        <w:pStyle w:val="Heading2"/>
        <w:spacing w:after="80" w:before="200"/>
      </w:pPr>
      <w:r>
        <w:rPr>
          <w:b/>
          <w:bCs/>
          <w:color w:val="0E3464"/>
          <w:sz w:val="26"/>
          <w:szCs w:val="26"/>
        </w:rPr>
        <w:t xml:space="preserve">Slide 12 — Validation</w:t>
      </w:r>
      <w:r>
        <w:rPr>
          <w:i/>
          <w:iCs/>
          <w:color w:val="D27000"/>
          <w:sz w:val="22"/>
          <w:szCs w:val="22"/>
        </w:rPr>
        <w:t xml:space="preserve">   (25 s)</w:t>
      </w:r>
    </w:p>
    <w:p>
      <w:pPr>
        <w:pBdr>
          <w:left w:val="single" w:color="0E3464" w:sz="18" w:space="12"/>
        </w:pBdr>
        <w:spacing w:after="100" w:line="300"/>
        <w:ind w:left="360"/>
      </w:pPr>
      <w:r>
        <w:rPr>
          <w:sz w:val="22"/>
          <w:szCs w:val="22"/>
        </w:rPr>
        <w:t xml:space="preserve">En validation sur 2021-2022, on obtient un C-index de 0,742 en test contre 0,776 en train. L'écart est très faible : pas de surapprentissage. Et 0,742, c'est largement au-dessus de l'aléatoire à 0,5.</w:t>
      </w:r>
    </w:p>
    <w:p>
      <w:pPr>
        <w:pStyle w:val="Heading2"/>
        <w:spacing w:after="80" w:before="200"/>
      </w:pPr>
      <w:r>
        <w:rPr>
          <w:b/>
          <w:bCs/>
          <w:color w:val="0E3464"/>
          <w:sz w:val="26"/>
          <w:szCs w:val="26"/>
        </w:rPr>
        <w:t xml:space="preserve">Slide 13 — Résultats jury</w:t>
      </w:r>
      <w:r>
        <w:rPr>
          <w:i/>
          <w:iCs/>
          <w:color w:val="D27000"/>
          <w:sz w:val="22"/>
          <w:szCs w:val="22"/>
        </w:rPr>
        <w:t xml:space="preserve">   (45 s)</w:t>
      </w:r>
    </w:p>
    <w:p>
      <w:pPr>
        <w:pBdr>
          <w:left w:val="single" w:color="0E3464" w:sz="18" w:space="12"/>
        </w:pBdr>
        <w:spacing w:after="100" w:line="300"/>
        <w:ind w:left="360"/>
      </w:pPr>
      <w:r>
        <w:rPr>
          <w:sz w:val="22"/>
          <w:szCs w:val="22"/>
        </w:rPr>
        <w:t xml:space="preserve">Sur le jeu jury 2023-2025, complètement indépendant : 1 352 alertes évaluées.</w:t>
      </w:r>
    </w:p>
    <w:p>
      <w:pPr>
        <w:pBdr>
          <w:left w:val="single" w:color="0E3464" w:sz="18" w:space="12"/>
        </w:pBdr>
        <w:spacing w:after="100" w:line="300"/>
        <w:ind w:left="360"/>
      </w:pPr>
      <w:r>
        <w:rPr>
          <w:sz w:val="22"/>
          <w:szCs w:val="22"/>
        </w:rPr>
        <w:t xml:space="preserve">Le modèle économise 103,5 heures d'immobilisation aéroportuaire, pour un risque de 0,10 % d'éclair dangereux. C'est 20 fois en dessous de la limite de 2 % fixée par le jury. Seulement 2 éclairs manqués sur près de 2 000.</w:t>
      </w:r>
    </w:p>
    <w:p>
      <w:pPr>
        <w:pStyle w:val="Heading2"/>
        <w:spacing w:after="80" w:before="200"/>
      </w:pPr>
      <w:r>
        <w:rPr>
          <w:b/>
          <w:bCs/>
          <w:color w:val="0E3464"/>
          <w:sz w:val="26"/>
          <w:szCs w:val="26"/>
        </w:rPr>
        <w:t xml:space="preserve">Slide 14 — Comparaison Weibull / GBS</w:t>
      </w:r>
      <w:r>
        <w:rPr>
          <w:i/>
          <w:iCs/>
          <w:color w:val="D27000"/>
          <w:sz w:val="22"/>
          <w:szCs w:val="22"/>
        </w:rPr>
        <w:t xml:space="preserve">   (30 s)</w:t>
      </w:r>
    </w:p>
    <w:p>
      <w:pPr>
        <w:pBdr>
          <w:left w:val="single" w:color="0E3464" w:sz="18" w:space="12"/>
        </w:pBdr>
        <w:spacing w:after="100" w:line="300"/>
        <w:ind w:left="360"/>
      </w:pPr>
      <w:r>
        <w:rPr>
          <w:sz w:val="22"/>
          <w:szCs w:val="22"/>
        </w:rPr>
        <w:t xml:space="preserve">Comparaison rapide avec l'approche Weibull AFT de l'autre binôme. Le Weibull est paramétrique, maximise le gain brut (environ 330 heures). Le GBS est non-paramétrique, plus prudent : moins de gain mais 6 fois moins de risque. Les deux approches sont complémentaires.</w:t>
      </w:r>
    </w:p>
    <w:p>
      <w:pPr>
        <w:pStyle w:val="Heading2"/>
        <w:spacing w:after="80" w:before="200"/>
      </w:pPr>
      <w:r>
        <w:rPr>
          <w:b/>
          <w:bCs/>
          <w:color w:val="0E3464"/>
          <w:sz w:val="26"/>
          <w:szCs w:val="26"/>
        </w:rPr>
        <w:t xml:space="preserve">Slide 15 — Conclusion</w:t>
      </w:r>
      <w:r>
        <w:rPr>
          <w:i/>
          <w:iCs/>
          <w:color w:val="D27000"/>
          <w:sz w:val="22"/>
          <w:szCs w:val="22"/>
        </w:rPr>
        <w:t xml:space="preserve">   (30 s)</w:t>
      </w:r>
    </w:p>
    <w:p>
      <w:pPr>
        <w:pBdr>
          <w:left w:val="single" w:color="0E3464" w:sz="18" w:space="12"/>
        </w:pBdr>
        <w:spacing w:after="100" w:line="300"/>
        <w:ind w:left="360"/>
      </w:pPr>
      <w:r>
        <w:rPr>
          <w:sz w:val="22"/>
          <w:szCs w:val="22"/>
        </w:rPr>
        <w:t xml:space="preserve">En résumé, le GBS apporte trois choses : une fonction de survie individuelle, 103 heures économisées, et un risque très en dessous de la limite.</w:t>
      </w:r>
    </w:p>
    <w:p>
      <w:pPr>
        <w:pBdr>
          <w:left w:val="single" w:color="0E3464" w:sz="18" w:space="12"/>
        </w:pBdr>
        <w:spacing w:after="100" w:line="300"/>
        <w:ind w:left="360"/>
      </w:pPr>
      <w:r>
        <w:rPr>
          <w:sz w:val="22"/>
          <w:szCs w:val="22"/>
        </w:rPr>
        <w:t xml:space="preserve">En perspective : un modèle hybride GBS + Weibull, et l'intégration de la direction de déplacement de l'orage qu'aucun des deux ne capture.</w:t>
      </w:r>
    </w:p>
    <w:p>
      <w:pPr>
        <w:pStyle w:val="Heading2"/>
        <w:spacing w:after="80" w:before="200"/>
      </w:pPr>
      <w:r>
        <w:rPr>
          <w:b/>
          <w:bCs/>
          <w:color w:val="0E3464"/>
          <w:sz w:val="26"/>
          <w:szCs w:val="26"/>
        </w:rPr>
        <w:t xml:space="preserve">Slide 16 — Formules</w:t>
      </w:r>
      <w:r>
        <w:rPr>
          <w:i/>
          <w:iCs/>
          <w:color w:val="D27000"/>
          <w:sz w:val="22"/>
          <w:szCs w:val="22"/>
        </w:rPr>
        <w:t xml:space="preserve">   (30 s)</w:t>
      </w:r>
    </w:p>
    <w:p>
      <w:pPr>
        <w:pBdr>
          <w:left w:val="single" w:color="0E3464" w:sz="18" w:space="12"/>
        </w:pBdr>
        <w:spacing w:after="100" w:line="300"/>
        <w:ind w:left="360"/>
      </w:pPr>
      <w:r>
        <w:rPr>
          <w:sz w:val="22"/>
          <w:szCs w:val="22"/>
        </w:rPr>
        <w:t xml:space="preserve">Pour les curieux, la formalisation : on est sur un modèle de Cox à risques proportionnels. Le boosting minimise la log-vraisemblance partielle par descente de gradient sur des arbres. La survie est estimée via l'estimateur de Breslow pour le risque de base.</w:t>
      </w:r>
    </w:p>
    <w:p>
      <w:pPr>
        <w:pStyle w:val="Heading2"/>
        <w:spacing w:after="80" w:before="200"/>
      </w:pPr>
      <w:r>
        <w:rPr>
          <w:b/>
          <w:bCs/>
          <w:color w:val="0E3464"/>
          <w:sz w:val="26"/>
          <w:szCs w:val="26"/>
        </w:rPr>
        <w:t xml:space="preserve">Slide 17 — Algorithme</w:t>
      </w:r>
      <w:r>
        <w:rPr>
          <w:i/>
          <w:iCs/>
          <w:color w:val="D27000"/>
          <w:sz w:val="22"/>
          <w:szCs w:val="22"/>
        </w:rPr>
        <w:t xml:space="preserve">   (25 s)</w:t>
      </w:r>
    </w:p>
    <w:p>
      <w:pPr>
        <w:pBdr>
          <w:left w:val="single" w:color="0E3464" w:sz="18" w:space="12"/>
        </w:pBdr>
        <w:spacing w:after="100" w:line="300"/>
        <w:ind w:left="360"/>
      </w:pPr>
      <w:r>
        <w:rPr>
          <w:sz w:val="22"/>
          <w:szCs w:val="22"/>
        </w:rPr>
        <w:t xml:space="preserve">Et voici l'algorithme complet en pseudocode : pour chaque nouvel éclair, on calcule les features, on prédit S(t | x_i), on évalue la confiance, et on décide. La décision globale est le minimum des horizons individuels, garantie de prudence.</w:t>
      </w:r>
    </w:p>
    <w:p>
      <w:pPr>
        <w:pStyle w:val="Heading2"/>
        <w:spacing w:after="80" w:before="200"/>
      </w:pPr>
      <w:r>
        <w:rPr>
          <w:b/>
          <w:bCs/>
          <w:color w:val="0E3464"/>
          <w:sz w:val="26"/>
          <w:szCs w:val="26"/>
        </w:rPr>
        <w:t xml:space="preserve">Slide 18 — Références</w:t>
      </w:r>
      <w:r>
        <w:rPr>
          <w:i/>
          <w:iCs/>
          <w:color w:val="D27000"/>
          <w:sz w:val="22"/>
          <w:szCs w:val="22"/>
        </w:rPr>
        <w:t xml:space="preserve">   (15 s)</w:t>
      </w:r>
    </w:p>
    <w:p>
      <w:pPr>
        <w:pBdr>
          <w:left w:val="single" w:color="0E3464" w:sz="18" w:space="12"/>
        </w:pBdr>
        <w:spacing w:after="100" w:line="300"/>
        <w:ind w:left="360"/>
      </w:pPr>
      <w:r>
        <w:rPr>
          <w:sz w:val="22"/>
          <w:szCs w:val="22"/>
        </w:rPr>
        <w:t xml:space="preserve">Les références principales : Cox 1972, Kaplan-Meier 1958, Friedman 2001 pour le boosting, et l'implémentation scikit-survival de Pölsterl 2020.</w:t>
      </w:r>
    </w:p>
    <w:p>
      <w:pPr>
        <w:pStyle w:val="Heading2"/>
        <w:spacing w:after="80" w:before="200"/>
      </w:pPr>
      <w:r>
        <w:rPr>
          <w:b/>
          <w:bCs/>
          <w:color w:val="0E3464"/>
          <w:sz w:val="26"/>
          <w:szCs w:val="26"/>
        </w:rPr>
        <w:t xml:space="preserve">Slide 19 — Merci</w:t>
      </w:r>
      <w:r>
        <w:rPr>
          <w:i/>
          <w:iCs/>
          <w:color w:val="D27000"/>
          <w:sz w:val="22"/>
          <w:szCs w:val="22"/>
        </w:rPr>
        <w:t xml:space="preserve">   (5 s)</w:t>
      </w:r>
    </w:p>
    <w:p>
      <w:pPr>
        <w:pBdr>
          <w:left w:val="single" w:color="0E3464" w:sz="18" w:space="12"/>
        </w:pBdr>
        <w:spacing w:after="100" w:line="300"/>
        <w:ind w:left="360"/>
      </w:pPr>
      <w:r>
        <w:rPr>
          <w:sz w:val="22"/>
          <w:szCs w:val="22"/>
        </w:rPr>
        <w:t xml:space="preserve">Merci pour votre attention, je suis prêt à répondre à vos questions.</w:t>
      </w:r>
    </w:p>
    <w:p>
      <w:pPr>
        <w:pBdr>
          <w:bottom w:val="single" w:color="CCCCCC" w:sz="6" w:space="1"/>
        </w:pBdr>
        <w:spacing w:after="120" w:before="120"/>
      </w:pPr>
      <w:r>
        <w:t xml:space="preserve"/>
      </w:r>
    </w:p>
    <w:p>
      <w:pPr>
        <w:pStyle w:val="Heading1"/>
        <w:spacing w:after="120" w:before="240"/>
      </w:pPr>
      <w:r>
        <w:rPr>
          <w:b/>
          <w:bCs/>
          <w:color w:val="0E3464"/>
          <w:sz w:val="32"/>
          <w:szCs w:val="32"/>
        </w:rPr>
        <w:t xml:space="preserve">Récapitulatif des temps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00"/>
      </w:tblGrid>
      <w:tr>
        <w:tc>
          <w:tcPr>
            <w:tcW w:type="dxa" w:w="4000"/>
            <w:tcBorders>
              <w:top w:val="single" w:color="888888" w:sz="4"/>
              <w:left w:val="single" w:color="888888" w:sz="4"/>
              <w:bottom w:val="single" w:color="888888" w:sz="4"/>
              <w:right w:val="single" w:color="888888" w:sz="4"/>
            </w:tcBorders>
            <w:shd w:fill="0E3464" w:val="clear"/>
            <w:tcMar>
              <w:top w:type="dxa" w:w="80"/>
              <w:left w:type="dxa" w:w="120"/>
              <w:bottom w:type="dxa" w:w="80"/>
              <w:right w:type="dxa" w:w="120"/>
            </w:tcMar>
          </w:tcPr>
          <w:p>
            <w:r>
              <w:rPr>
                <w:b/>
                <w:bCs/>
                <w:color w:val="FFFFFF"/>
                <w:sz w:val="22"/>
                <w:szCs w:val="22"/>
              </w:rPr>
              <w:t xml:space="preserve">Section</w:t>
            </w:r>
          </w:p>
        </w:tc>
        <w:tc>
          <w:tcPr>
            <w:tcW w:type="dxa" w:w="2000"/>
            <w:tcBorders>
              <w:top w:val="single" w:color="888888" w:sz="4"/>
              <w:left w:val="single" w:color="888888" w:sz="4"/>
              <w:bottom w:val="single" w:color="888888" w:sz="4"/>
              <w:right w:val="single" w:color="888888" w:sz="4"/>
            </w:tcBorders>
            <w:shd w:fill="0E3464" w:val="clear"/>
            <w:tcMar>
              <w:top w:type="dxa" w:w="80"/>
              <w:left w:type="dxa" w:w="120"/>
              <w:bottom w:type="dxa" w:w="80"/>
              <w:right w:type="dxa" w:w="120"/>
            </w:tcMar>
          </w:tcPr>
          <w:p>
            <w:r>
              <w:rPr>
                <w:b/>
                <w:bCs/>
                <w:color w:val="FFFFFF"/>
                <w:sz w:val="22"/>
                <w:szCs w:val="22"/>
              </w:rPr>
              <w:t xml:space="preserve">Slides</w:t>
            </w:r>
          </w:p>
        </w:tc>
        <w:tc>
          <w:tcPr>
            <w:tcW w:type="dxa" w:w="3000"/>
            <w:tcBorders>
              <w:top w:val="single" w:color="888888" w:sz="4"/>
              <w:left w:val="single" w:color="888888" w:sz="4"/>
              <w:bottom w:val="single" w:color="888888" w:sz="4"/>
              <w:right w:val="single" w:color="888888" w:sz="4"/>
            </w:tcBorders>
            <w:shd w:fill="0E3464" w:val="clear"/>
            <w:tcMar>
              <w:top w:type="dxa" w:w="80"/>
              <w:left w:type="dxa" w:w="120"/>
              <w:bottom w:type="dxa" w:w="80"/>
              <w:right w:type="dxa" w:w="120"/>
            </w:tcMar>
          </w:tcPr>
          <w:p>
            <w:r>
              <w:rPr>
                <w:b/>
                <w:bCs/>
                <w:color w:val="FFFFFF"/>
                <w:sz w:val="22"/>
                <w:szCs w:val="22"/>
              </w:rPr>
              <w:t xml:space="preserve">Temps</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Introduction</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1-2</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30 s</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Problème + survie</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3-4</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 min 30</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Données + exploration</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5-9</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3 min</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Modèle + validation</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10-12</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 min 40</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Résultats + conclusion</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13-15</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 min 45</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Annexes (algo, références)</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16-18</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 min 10</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Merci</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19</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b w:val="false"/>
                <w:bCs w:val="false"/>
                <w:color w:val="000000"/>
                <w:sz w:val="22"/>
                <w:szCs w:val="22"/>
              </w:rPr>
              <w:t xml:space="preserve">5 s</w:t>
            </w:r>
          </w:p>
        </w:tc>
      </w:tr>
      <w:tr>
        <w:tc>
          <w:tcPr>
            <w:tcW w:type="dxa" w:w="4000"/>
            <w:tcBorders>
              <w:top w:val="single" w:color="888888" w:sz="4"/>
              <w:left w:val="single" w:color="888888" w:sz="4"/>
              <w:bottom w:val="single" w:color="888888" w:sz="4"/>
              <w:right w:val="single" w:color="888888" w:sz="4"/>
            </w:tcBorders>
            <w:shd w:fill="FFE9C7" w:val="clear"/>
            <w:tcMar>
              <w:top w:type="dxa" w:w="80"/>
              <w:left w:type="dxa" w:w="120"/>
              <w:bottom w:type="dxa" w:w="80"/>
              <w:right w:type="dxa" w:w="120"/>
            </w:tcMar>
          </w:tcPr>
          <w:p>
            <w:r>
              <w:rPr>
                <w:b/>
                <w:bCs/>
                <w:color w:val="000000"/>
                <w:sz w:val="22"/>
                <w:szCs w:val="22"/>
              </w:rPr>
              <w:t xml:space="preserve">TOTAL</w:t>
            </w:r>
          </w:p>
        </w:tc>
        <w:tc>
          <w:tcPr>
            <w:tcW w:type="dxa" w:w="2000"/>
            <w:tcBorders>
              <w:top w:val="single" w:color="888888" w:sz="4"/>
              <w:left w:val="single" w:color="888888" w:sz="4"/>
              <w:bottom w:val="single" w:color="888888" w:sz="4"/>
              <w:right w:val="single" w:color="888888" w:sz="4"/>
            </w:tcBorders>
            <w:shd w:fill="FFE9C7" w:val="clear"/>
            <w:tcMar>
              <w:top w:type="dxa" w:w="80"/>
              <w:left w:type="dxa" w:w="120"/>
              <w:bottom w:type="dxa" w:w="80"/>
              <w:right w:type="dxa" w:w="120"/>
            </w:tcMar>
          </w:tcPr>
          <w:p>
            <w:r>
              <w:rPr>
                <w:b/>
                <w:bCs/>
                <w:color w:val="000000"/>
                <w:sz w:val="22"/>
                <w:szCs w:val="22"/>
              </w:rPr>
              <w:t xml:space="preserve">19 slides</w:t>
            </w:r>
          </w:p>
        </w:tc>
        <w:tc>
          <w:tcPr>
            <w:tcW w:type="dxa" w:w="3000"/>
            <w:tcBorders>
              <w:top w:val="single" w:color="888888" w:sz="4"/>
              <w:left w:val="single" w:color="888888" w:sz="4"/>
              <w:bottom w:val="single" w:color="888888" w:sz="4"/>
              <w:right w:val="single" w:color="888888" w:sz="4"/>
            </w:tcBorders>
            <w:shd w:fill="FFE9C7" w:val="clear"/>
            <w:tcMar>
              <w:top w:type="dxa" w:w="80"/>
              <w:left w:type="dxa" w:w="120"/>
              <w:bottom w:type="dxa" w:w="80"/>
              <w:right w:type="dxa" w:w="120"/>
            </w:tcMar>
          </w:tcPr>
          <w:p>
            <w:r>
              <w:rPr>
                <w:b/>
                <w:bCs/>
                <w:color w:val="000000"/>
                <w:sz w:val="22"/>
                <w:szCs w:val="22"/>
              </w:rPr>
              <w:t xml:space="preserve">~ 8 min</w:t>
            </w:r>
          </w:p>
        </w:tc>
      </w:tr>
    </w:tbl>
    <w:p>
      <w:pPr>
        <w:pStyle w:val="Heading1"/>
        <w:spacing w:after="120" w:before="240"/>
      </w:pPr>
      <w:r>
        <w:rPr>
          <w:b/>
          <w:bCs/>
          <w:color w:val="0E3464"/>
          <w:sz w:val="32"/>
          <w:szCs w:val="32"/>
        </w:rPr>
        <w:t xml:space="preserve">Conseils de débit</w:t>
      </w:r>
    </w:p>
    <w:p>
      <w:pPr>
        <w:pStyle w:val="ListParagraph"/>
        <w:numPr>
          <w:ilvl w:val="0"/>
          <w:numId w:val="1"/>
        </w:numPr>
        <w:spacing w:after="80"/>
      </w:pPr>
      <w:r>
        <w:rPr>
          <w:sz w:val="22"/>
          <w:szCs w:val="22"/>
        </w:rPr>
        <w:t xml:space="preserve">Parler calmement, ne pas accélérer sur les slides 6-9 (le cœur du raisonnement).</w:t>
      </w:r>
    </w:p>
    <w:p>
      <w:pPr>
        <w:pStyle w:val="ListParagraph"/>
        <w:numPr>
          <w:ilvl w:val="0"/>
          <w:numId w:val="1"/>
        </w:numPr>
        <w:spacing w:after="80"/>
      </w:pPr>
      <w:r>
        <w:rPr>
          <w:sz w:val="22"/>
          <w:szCs w:val="22"/>
        </w:rPr>
        <w:t xml:space="preserve">Pointer la courbe sur slide 8 : le 1,7 min de KM doit choquer.</w:t>
      </w:r>
    </w:p>
    <w:p>
      <w:pPr>
        <w:pStyle w:val="ListParagraph"/>
        <w:numPr>
          <w:ilvl w:val="0"/>
          <w:numId w:val="1"/>
        </w:numPr>
        <w:spacing w:after="80"/>
      </w:pPr>
      <w:r>
        <w:rPr>
          <w:sz w:val="22"/>
          <w:szCs w:val="22"/>
        </w:rPr>
        <w:t xml:space="preserve">Sur slide 13, insister sur le « 20 fois sous la limite ».</w:t>
      </w:r>
    </w:p>
    <w:p>
      <w:pPr>
        <w:pStyle w:val="ListParagraph"/>
        <w:numPr>
          <w:ilvl w:val="0"/>
          <w:numId w:val="1"/>
        </w:numPr>
        <w:spacing w:after="80"/>
      </w:pPr>
      <w:r>
        <w:rPr>
          <w:sz w:val="22"/>
          <w:szCs w:val="22"/>
        </w:rPr>
        <w:t xml:space="preserve">Si dépassement, raccourcir slide 16 (formules) : le visuel suffit.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2026-05-22T05:48:16.700Z</dcterms:created>
  <dcterms:modified xsi:type="dcterms:W3CDTF">2026-05-22T05:48:16.703Z</dcterms:modified>
</cp:coreProperties>
</file>

<file path=docProps/custom.xml><?xml version="1.0" encoding="utf-8"?>
<Properties xmlns="http://schemas.openxmlformats.org/officeDocument/2006/custom-properties" xmlns:vt="http://schemas.openxmlformats.org/officeDocument/2006/docPropsVTypes"/>
</file>