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PROGRAM SZKOLENIOWY DLA NOWEGO HANDLOWCA - PRESCOT</w:t>
      </w:r>
    </w:p>
    <w:p>
      <w:r>
        <w:t>Poniższy dokument zawiera 3 kluczowe plany wdrożeniowe (scenariusze), które pozwalają na kompleksowe przeszkolenie nowej osoby z zakresu produktów, systemów i strategii sprzedaży w ekosystemie Prescot.</w:t>
      </w:r>
    </w:p>
    <w:p>
      <w:pPr>
        <w:pStyle w:val="Heading1"/>
      </w:pPr>
      <w:r>
        <w:t>PLAN 1: "TECHNICZNY EKSPERT" (Scenariusz Głębokiej Wiedzy)</w:t>
      </w:r>
    </w:p>
    <w:p>
      <w:r>
        <w:t>Cel: Zrozumienie specyfikacji technicznej i niezawodności komponentów.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Moduł</w:t>
            </w:r>
          </w:p>
        </w:tc>
        <w:tc>
          <w:tcPr>
            <w:tcW w:type="dxa" w:w="4320"/>
          </w:tcPr>
          <w:p>
            <w:r>
              <w:t>Kluczowe zagadnienia</w:t>
            </w:r>
          </w:p>
        </w:tc>
      </w:tr>
      <w:tr>
        <w:tc>
          <w:tcPr>
            <w:tcW w:type="dxa" w:w="4320"/>
          </w:tcPr>
          <w:p>
            <w:r>
              <w:t>TAŚMY LED (Fundament)</w:t>
            </w:r>
          </w:p>
        </w:tc>
        <w:tc>
          <w:tcPr>
            <w:tcW w:type="dxa" w:w="4320"/>
          </w:tcPr>
          <w:p>
            <w:r>
              <w:t>Delux (budżet), Premium PL (produkcja w Polsce, powtarzalność barw), Premium COB (bez efektu kropek, 3 lata gwarancji).</w:t>
            </w:r>
          </w:p>
        </w:tc>
      </w:tr>
      <w:tr>
        <w:tc>
          <w:tcPr>
            <w:tcW w:type="dxa" w:w="4320"/>
          </w:tcPr>
          <w:p>
            <w:r>
              <w:t>ZASILANIE (Serce Systemu)</w:t>
            </w:r>
          </w:p>
        </w:tc>
        <w:tc>
          <w:tcPr>
            <w:tcW w:type="dxa" w:w="4320"/>
          </w:tcPr>
          <w:p>
            <w:r>
              <w:t>Scharfer (High-End, 5-7 lat gwarancji), Prescot (optymalizacja kosztów).</w:t>
            </w:r>
          </w:p>
        </w:tc>
      </w:tr>
      <w:tr>
        <w:tc>
          <w:tcPr>
            <w:tcW w:type="dxa" w:w="4320"/>
          </w:tcPr>
          <w:p>
            <w:r>
              <w:t>PROFILE ALUMINIOWE</w:t>
            </w:r>
          </w:p>
        </w:tc>
        <w:tc>
          <w:tcPr>
            <w:tcW w:type="dxa" w:w="4320"/>
          </w:tcPr>
          <w:p>
            <w:r>
              <w:t>Systemy Kluś – dobór osłon, zaślepek, sposoby montażu (radiatory).</w:t>
            </w:r>
          </w:p>
        </w:tc>
      </w:tr>
      <w:tr>
        <w:tc>
          <w:tcPr>
            <w:tcW w:type="dxa" w:w="4320"/>
          </w:tcPr>
          <w:p>
            <w:r>
              <w:t>STEROWANIE</w:t>
            </w:r>
          </w:p>
        </w:tc>
        <w:tc>
          <w:tcPr>
            <w:tcW w:type="dxa" w:w="4320"/>
          </w:tcPr>
          <w:p>
            <w:r>
              <w:t>Mi-Light / MiBoxer: Parowanie, strefy, piloty i aplikacje.</w:t>
            </w:r>
          </w:p>
        </w:tc>
      </w:tr>
      <w:tr>
        <w:tc>
          <w:tcPr>
            <w:tcW w:type="dxa" w:w="4320"/>
          </w:tcPr>
          <w:p>
            <w:r>
              <w:t>AKCESORIA I ŹRÓDŁA</w:t>
            </w:r>
          </w:p>
        </w:tc>
        <w:tc>
          <w:tcPr>
            <w:tcW w:type="dxa" w:w="4320"/>
          </w:tcPr>
          <w:p>
            <w:r>
              <w:t>Złączki i przewodny Prescot (0.75mm), żarówki AR, świetlówki LED.</w:t>
            </w:r>
          </w:p>
        </w:tc>
      </w:tr>
    </w:tbl>
    <w:p>
      <w:r>
        <w:br w:type="page"/>
      </w:r>
    </w:p>
    <w:p>
      <w:pPr>
        <w:pStyle w:val="Heading1"/>
      </w:pPr>
      <w:r>
        <w:t>PLAN 2: "PROJEKTOWY ARCHITEKT" (Scenariusz Systemowy)</w:t>
      </w:r>
    </w:p>
    <w:p>
      <w:r>
        <w:t>Cel: Nauka składania gotowych zestawów z dostępnych podzespołów.</w:t>
      </w:r>
    </w:p>
    <w:p>
      <w:pPr>
        <w:pStyle w:val="ListBullet"/>
      </w:pPr>
      <w:r>
        <w:t>KROK 1: Wybór źródła (Taśmy) - Dopasowanie do budżetu i estetyki (Delux / Premium PL / COB).</w:t>
      </w:r>
    </w:p>
    <w:p>
      <w:pPr>
        <w:pStyle w:val="ListBullet"/>
      </w:pPr>
      <w:r>
        <w:t>KROK 2: Dobór Oprawy (Profile) - Integracja z profilami Kluś (aspekt chłodzenia i designu).</w:t>
      </w:r>
    </w:p>
    <w:p>
      <w:pPr>
        <w:pStyle w:val="ListBullet"/>
      </w:pPr>
      <w:r>
        <w:t>KROK 3: System Zasilania - Obliczanie mocy: (Metraż * Moc taśmy) * 1.2 (zapas 20%). Wybór 24V dla stabilności.</w:t>
      </w:r>
    </w:p>
    <w:p>
      <w:pPr>
        <w:pStyle w:val="ListBullet"/>
      </w:pPr>
      <w:r>
        <w:t>KROK 4: Inteligencja (Mi-Light) - Dobór sterowników radiowych i strefowych.</w:t>
      </w:r>
    </w:p>
    <w:p>
      <w:pPr>
        <w:pStyle w:val="ListBullet"/>
      </w:pPr>
      <w:r>
        <w:t>KROK 5: Wykończenie - Sprzedaż dodatkowa (akcesoria montażowe, oprawy punktowe AR).</w:t>
      </w:r>
    </w:p>
    <w:p>
      <w:pPr>
        <w:pStyle w:val="Heading2"/>
      </w:pPr>
      <w:r>
        <w:t>Technika TCO (Total Cost of Ownership)</w:t>
      </w:r>
    </w:p>
    <w:p>
      <w:r>
        <w:t>Argument dla klienta: Tanie LED (wymiana co rok + koszty ekipy) vs Prescot (praca 7 lat). Inwestujesz raz, oszczędzasz na serwisie.</w:t>
      </w:r>
    </w:p>
    <w:p>
      <w:pPr>
        <w:pStyle w:val="Heading1"/>
      </w:pPr>
      <w:r>
        <w:t>PLAN 3: "STRATEGICZNY HANDLOWIEC" (Psychologia i Narzędzia)</w:t>
      </w:r>
    </w:p>
    <w:p>
      <w:r>
        <w:t>Cel: Maksymalizacja marży i wykorzystanie narzędzi wsparcia sprzedaży.</w:t>
      </w:r>
    </w:p>
    <w:p>
      <w:pPr>
        <w:pStyle w:val="ListNumber"/>
      </w:pPr>
      <w:r>
        <w:t>Hierarchia Gwarancji: COB (3 lata), Scharfer (do 7 lat) - to nasze tarcze przed konkurencją.</w:t>
      </w:r>
    </w:p>
    <w:p>
      <w:pPr>
        <w:pStyle w:val="ListNumber"/>
      </w:pPr>
      <w:r>
        <w:t>USP: Realne parametry (nasze 10W to 10W, a nie 6W na papierze).</w:t>
      </w:r>
    </w:p>
    <w:p>
      <w:pPr>
        <w:pStyle w:val="ListNumber"/>
      </w:pPr>
      <w:r>
        <w:t>Narzędzia WWW: tasmaled.com.pl/tasmyled (język korzyści), prescot.pl (inspiracje).</w:t>
      </w:r>
    </w:p>
    <w:p>
      <w:pPr>
        <w:pStyle w:val="ListNumber"/>
      </w:pPr>
      <w:r>
        <w:t>Standard B2B: Terminowość i pewność dostawy są ważniejsze niż najniższa cena.</w:t>
      </w:r>
    </w:p>
    <w:p>
      <w:r>
        <w:br/>
        <w:t>Stopka: Wygenerowano przez system Antigravity Prescot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