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Boi</w:t>
      </w:r>
    </w:p>
    <w:bookmarkStart w:id="20" w:name="colors"/>
    <w:p>
      <w:pPr>
        <w:pStyle w:val="Heading2"/>
      </w:pPr>
      <w:r>
        <w:t xml:space="preserve">1 Colors</w:t>
      </w:r>
    </w:p>
    <w:p>
      <w:pPr>
        <w:numPr>
          <w:ilvl w:val="0"/>
          <w:numId w:val="1001"/>
        </w:numPr>
        <w:pStyle w:val="Compact"/>
      </w:pPr>
      <w:r>
        <w:t xml:space="preserve">Red</w:t>
      </w:r>
    </w:p>
    <w:p>
      <w:pPr>
        <w:numPr>
          <w:ilvl w:val="0"/>
          <w:numId w:val="1001"/>
        </w:numPr>
        <w:pStyle w:val="Compact"/>
      </w:pPr>
      <w:r>
        <w:t xml:space="preserve">Green</w:t>
      </w:r>
    </w:p>
    <w:p>
      <w:pPr>
        <w:numPr>
          <w:ilvl w:val="0"/>
          <w:numId w:val="1001"/>
        </w:numPr>
        <w:pStyle w:val="Compact"/>
      </w:pPr>
      <w:r>
        <w:t xml:space="preserve">Blue</w:t>
      </w:r>
    </w:p>
    <w:bookmarkEnd w:id="20"/>
    <w:bookmarkStart w:id="21" w:name="shapes"/>
    <w:p>
      <w:pPr>
        <w:pStyle w:val="Heading2"/>
      </w:pPr>
      <w:r>
        <w:t xml:space="preserve">2 Shapes</w:t>
      </w:r>
    </w:p>
    <w:p>
      <w:pPr>
        <w:numPr>
          <w:ilvl w:val="0"/>
          <w:numId w:val="1002"/>
        </w:numPr>
        <w:pStyle w:val="Compact"/>
      </w:pPr>
      <w:r>
        <w:t xml:space="preserve">Square</w:t>
      </w:r>
    </w:p>
    <w:p>
      <w:pPr>
        <w:numPr>
          <w:ilvl w:val="0"/>
          <w:numId w:val="1002"/>
        </w:numPr>
        <w:pStyle w:val="Compact"/>
      </w:pPr>
      <w:r>
        <w:t xml:space="preserve">Circle</w:t>
      </w:r>
    </w:p>
    <w:p>
      <w:pPr>
        <w:numPr>
          <w:ilvl w:val="0"/>
          <w:numId w:val="1002"/>
        </w:numPr>
        <w:pStyle w:val="Compact"/>
      </w:pPr>
      <w:r>
        <w:t xml:space="preserve">Triangle</w:t>
      </w:r>
    </w:p>
    <w:bookmarkEnd w:id="21"/>
    <w:bookmarkStart w:id="22" w:name="textures"/>
    <w:p>
      <w:pPr>
        <w:pStyle w:val="Heading2"/>
      </w:pPr>
      <w:r>
        <w:t xml:space="preserve">3 Textures</w:t>
      </w:r>
    </w:p>
    <w:p>
      <w:pPr>
        <w:numPr>
          <w:ilvl w:val="0"/>
          <w:numId w:val="1003"/>
        </w:numPr>
        <w:pStyle w:val="Compact"/>
      </w:pPr>
      <w:r>
        <w:t xml:space="preserve">Smooth</w:t>
      </w:r>
    </w:p>
    <w:p>
      <w:pPr>
        <w:numPr>
          <w:ilvl w:val="0"/>
          <w:numId w:val="1003"/>
        </w:numPr>
        <w:pStyle w:val="Compact"/>
      </w:pPr>
      <w:r>
        <w:t xml:space="preserve">Bumpy</w:t>
      </w:r>
    </w:p>
    <w:p>
      <w:pPr>
        <w:numPr>
          <w:ilvl w:val="0"/>
          <w:numId w:val="1003"/>
        </w:numPr>
        <w:pStyle w:val="Compact"/>
      </w:pPr>
      <w:r>
        <w:t xml:space="preserve">Fuzzy</w:t>
      </w:r>
    </w:p>
    <w:bookmarkEnd w:id="22"/>
    <w:bookmarkStart w:id="23" w:name="overview"/>
    <w:p>
      <w:pPr>
        <w:pStyle w:val="Heading2"/>
      </w:pPr>
      <w:r>
        <w:t xml:space="preserve">4 Overview</w:t>
      </w:r>
    </w:p>
    <w:p>
      <w:pPr>
        <w:pStyle w:val="FirstParagraph"/>
      </w:pPr>
      <w:r>
        <w:t xml:space="preserve">Knuth says always be literate</w:t>
      </w:r>
      <w:r>
        <w:t xml:space="preserve"> </w:t>
      </w:r>
      <w:r>
        <w:t xml:space="preserve">[@knuth1984]</w:t>
      </w:r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2</w:t>
      </w:r>
    </w:p>
    <w:bookmarkEnd w:id="23"/>
    <w:bookmarkStart w:id="24" w:name="overview1"/>
    <w:p>
      <w:pPr>
        <w:pStyle w:val="Heading2"/>
      </w:pPr>
      <w:r>
        <w:t xml:space="preserve">5 Overview1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simple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in</w:t>
      </w:r>
      <w:r>
        <w:t xml:space="preserve"> </w:t>
      </w:r>
      <w:hyperlink w:anchor="sec-plot">
        <w:r>
          <w:rPr>
            <w:rStyle w:val="Hyperlink"/>
          </w:rPr>
          <w:t xml:space="preserve">Section 6</w:t>
        </w:r>
      </w:hyperlink>
      <w:r>
        <w:t xml:space="preserve"> </w:t>
      </w:r>
      <w:r>
        <w:t xml:space="preserve">for a demonstration of a simple plot.</w:t>
      </w:r>
    </w:p>
    <w:p>
      <w:pPr>
        <w:pStyle w:val="BodyText"/>
      </w:pPr>
      <w:r>
        <w:t xml:space="preserve">See</w:t>
      </w:r>
      <w:r>
        <w:t xml:space="preserve"> </w:t>
      </w:r>
      <w:hyperlink w:anchor="eq-stddev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to better understand standard deviation.</w:t>
      </w:r>
    </w:p>
    <w:bookmarkEnd w:id="24"/>
    <w:bookmarkStart w:id="29" w:name="sec-plot"/>
    <w:p>
      <w:pPr>
        <w:pStyle w:val="Heading2"/>
      </w:pPr>
      <w:r>
        <w:t xml:space="preserve">6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plt.plot([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simple"/>
          <w:p>
            <w:pPr>
              <w:pStyle w:val="Figure"/>
              <w:jc w:val="center"/>
            </w:pPr>
            <w:r>
              <w:drawing>
                <wp:inline>
                  <wp:extent cx="3971925" cy="3209925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imple-output-1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1925" cy="3209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Simple Plot</w:t>
            </w:r>
          </w:p>
          <w:bookmarkEnd w:id="28"/>
        </w:tc>
      </w:tr>
    </w:tbl>
    <w:bookmarkEnd w:id="29"/>
    <w:bookmarkStart w:id="31" w:name="sec-equation"/>
    <w:p>
      <w:pPr>
        <w:pStyle w:val="Heading2"/>
      </w:pPr>
      <w:r>
        <w:t xml:space="preserve">7 Equation</w:t>
      </w:r>
    </w:p>
    <w:p>
      <w:pPr>
        <w:pStyle w:val="FirstParagraph"/>
      </w:pPr>
      <w:bookmarkStart w:id="30" w:name="eq-stddev"/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bar>
                            <m:barPr>
                              <m:pos m:val="top"/>
                            </m:barPr>
                            <m:e>
                              <m: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ra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0"/>
    </w:p>
    <w:bookmarkEnd w:id="31"/>
    <w:bookmarkStart w:id="37" w:name="placing-colorbars"/>
    <w:p>
      <w:pPr>
        <w:pStyle w:val="Heading2"/>
      </w:pPr>
      <w:r>
        <w:t xml:space="preserve">8 Placing Colorbars</w:t>
      </w:r>
    </w:p>
    <w:p>
      <w:pPr>
        <w:pStyle w:val="FirstParagraph"/>
      </w:pPr>
      <w:r>
        <w:t xml:space="preserve">Colorbars indicate the quantitative extent of image data.</w:t>
      </w:r>
      <w:r>
        <w:t xml:space="preserve"> </w:t>
      </w:r>
      <w:r>
        <w:t xml:space="preserve">Placing in a figure is non-trivial because room needs to</w:t>
      </w:r>
      <w:r>
        <w:t xml:space="preserve"> </w:t>
      </w:r>
      <w:r>
        <w:t xml:space="preserve">be made for them. The simplest case is just attaching a</w:t>
      </w:r>
      <w:r>
        <w:t xml:space="preserve"> </w:t>
      </w:r>
      <w:r>
        <w:t xml:space="preserve">colorbar to each axes:</w:t>
      </w:r>
      <w:r>
        <w:rPr>
          <w:rStyle w:val="FootnoteReference"/>
        </w:rPr>
        <w:footnoteReference w:id="32"/>
      </w:r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fig, axs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fig.set_size_inches(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cmaps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'RdBu_r'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axs[row, col]</w:t>
      </w:r>
      <w:r>
        <w:br/>
      </w:r>
      <w:r>
        <w:rPr>
          <w:rStyle w:val="NormalTok"/>
        </w:rPr>
        <w:t xml:space="preserve">        pcm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ax.pcolormesh(</w:t>
      </w:r>
      <w:r>
        <w:br/>
      </w:r>
      <w:r>
        <w:rPr>
          <w:rStyle w:val="NormalTok"/>
        </w:rPr>
        <w:t xml:space="preserve">          np.random.random((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(col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cmap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cmaps[col]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fig.colorbar(pcm,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26971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references"/>
    <w:p>
      <w:pPr>
        <w:pStyle w:val="Heading2"/>
      </w:pPr>
      <w:r>
        <w:t xml:space="preserve">9 References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 the</w:t>
      </w:r>
      <w:r>
        <w:t xml:space="preserve"> </w:t>
      </w:r>
      <w:hyperlink r:id="rId33">
        <w:r>
          <w:rPr>
            <w:rStyle w:val="Hyperlink"/>
          </w:rPr>
          <w:t xml:space="preserve">Matplotlib Gallery</w:t>
        </w:r>
      </w:hyperlink>
      <w:r>
        <w:t xml:space="preserve"> </w:t>
      </w:r>
      <w:r>
        <w:t xml:space="preserve">to explore colorbars further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25" Target="media/rId25.png" /><Relationship Type="http://schemas.openxmlformats.org/officeDocument/2006/relationships/hyperlink" Id="rId33" Target="https://matplotlib.org/stable/gallery/subplots_axes_and_figures/colorbar_placemen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matplotlib.org/stable/gallery/subplots_axes_and_figures/colorbar_placemen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Document</dc:title>
  <dc:creator>Boi</dc:creator>
  <cp:keywords/>
  <dcterms:created xsi:type="dcterms:W3CDTF">2022-09-19T18:27:28Z</dcterms:created>
  <dcterms:modified xsi:type="dcterms:W3CDTF">2022-09-19T18:27:28Z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mage">
    <vt:lpwstr>quarto.png</vt:lpwstr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itle-block-banner">
    <vt:lpwstr>True</vt:lpwstr>
  </property>
  <property fmtid="{D5CDD505-2E9C-101B-9397-08002B2CF9AE}" pid="11" name="toc-title">
    <vt:lpwstr>Table of contents</vt:lpwstr>
  </property>
  <property fmtid="{D5CDD505-2E9C-101B-9397-08002B2CF9AE}" pid="12" name="website">
    <vt:lpwstr/>
  </property>
</Properties>
</file>