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60090" w14:textId="381927AB" w:rsidR="001F7F04" w:rsidRDefault="001F7F04" w:rsidP="001F7F04">
      <w:pPr>
        <w:pStyle w:val="TitleLine"/>
      </w:pPr>
      <w:r>
        <w:t>County health Rankings 201</w:t>
      </w:r>
      <w:r w:rsidR="00EA6DE9">
        <w:t>0</w:t>
      </w:r>
      <w:r>
        <w:t>: Codebook for Analytic datasets</w:t>
      </w:r>
    </w:p>
    <w:p w14:paraId="218323F9" w14:textId="77777777" w:rsidR="00686493" w:rsidRDefault="00686493" w:rsidP="00686493">
      <w:pPr>
        <w:spacing w:after="120"/>
      </w:pPr>
      <w:r>
        <w:t xml:space="preserve">The SAS and CSV files provided at </w:t>
      </w:r>
      <w:hyperlink r:id="rId8" w:history="1">
        <w:r w:rsidRPr="00D61D8D">
          <w:rPr>
            <w:rStyle w:val="Hyperlink"/>
          </w:rPr>
          <w:t>http://www.countyhealthrankings.org/rankings/data</w:t>
        </w:r>
      </w:hyperlink>
      <w:r>
        <w:t xml:space="preserve"> contain the measure value, numerator, denominator and confidence intervals, where available, for all </w:t>
      </w:r>
      <w:r w:rsidRPr="004B3120">
        <w:t>County Health Rankings</w:t>
      </w:r>
      <w:r w:rsidRPr="00552A18">
        <w:t xml:space="preserve"> </w:t>
      </w:r>
      <w:r>
        <w:t xml:space="preserve">ranked and unranked measures for each county in the nation. </w:t>
      </w:r>
    </w:p>
    <w:p w14:paraId="3F07D95B" w14:textId="41267B7F" w:rsidR="00686493" w:rsidRPr="0010009A" w:rsidRDefault="00686493" w:rsidP="00686493">
      <w:pPr>
        <w:spacing w:after="120"/>
        <w:rPr>
          <w:b/>
        </w:rPr>
      </w:pPr>
      <w:r>
        <w:t xml:space="preserve">This codebook and documentation </w:t>
      </w:r>
      <w:proofErr w:type="gramStart"/>
      <w:r>
        <w:t>provides</w:t>
      </w:r>
      <w:proofErr w:type="gramEnd"/>
      <w:r>
        <w:t xml:space="preserve"> the name of each variable, its data source and the years of data.</w:t>
      </w:r>
      <w:r w:rsidRPr="00822406">
        <w:rPr>
          <w:b/>
        </w:rPr>
        <w:t xml:space="preserve"> </w:t>
      </w:r>
      <w:r w:rsidRPr="00822406">
        <w:t xml:space="preserve">For the full detailed list of variable names, please see the </w:t>
      </w:r>
      <w:r>
        <w:t>file</w:t>
      </w:r>
      <w:r w:rsidRPr="00822406">
        <w:t xml:space="preserve"> titled “DataDictionary</w:t>
      </w:r>
      <w:r w:rsidR="00700C4F">
        <w:t>_2</w:t>
      </w:r>
      <w:r w:rsidRPr="00822406">
        <w:t>01</w:t>
      </w:r>
      <w:r w:rsidR="00EA6DE9">
        <w:t>0</w:t>
      </w:r>
      <w:r w:rsidRPr="00822406">
        <w:t>.”</w:t>
      </w:r>
    </w:p>
    <w:p w14:paraId="2B2A3FFE" w14:textId="77777777" w:rsidR="00686493" w:rsidRDefault="00686493" w:rsidP="00686493">
      <w:pPr>
        <w:spacing w:after="120"/>
      </w:pPr>
      <w:r w:rsidRPr="0010009A">
        <w:rPr>
          <w:b/>
          <w:u w:val="single"/>
        </w:rPr>
        <w:t>Standard variable format</w:t>
      </w:r>
    </w:p>
    <w:p w14:paraId="0EE5B524" w14:textId="63557486" w:rsidR="00686493" w:rsidRDefault="00686493" w:rsidP="00686493">
      <w:pPr>
        <w:spacing w:after="120"/>
      </w:pPr>
      <w:r w:rsidRPr="00FD44C6">
        <w:t>Each measure variable name is coded with a measure ID.</w:t>
      </w:r>
      <w:r>
        <w:t xml:space="preserve"> These measure IDs can be found in the tables at the end of the documentation</w:t>
      </w:r>
      <w:r w:rsidR="00F913F1">
        <w:t xml:space="preserve"> and in the </w:t>
      </w:r>
      <w:proofErr w:type="gramStart"/>
      <w:r w:rsidR="00F913F1">
        <w:t>data</w:t>
      </w:r>
      <w:proofErr w:type="gramEnd"/>
      <w:r w:rsidR="00F913F1">
        <w:t xml:space="preserve"> dictionary referenced above. You will find at least five variables for each measure:</w:t>
      </w:r>
    </w:p>
    <w:p w14:paraId="1D62CC98" w14:textId="77777777" w:rsidR="00686493" w:rsidRDefault="00686493" w:rsidP="00686493">
      <w:pPr>
        <w:spacing w:after="120"/>
        <w:ind w:left="720"/>
      </w:pPr>
      <w:r>
        <w:t xml:space="preserve">Measure value coded as </w:t>
      </w:r>
      <w:proofErr w:type="gramStart"/>
      <w:r>
        <w:t>v(</w:t>
      </w:r>
      <w:proofErr w:type="gramEnd"/>
      <w:r>
        <w:t>measure id)_</w:t>
      </w:r>
      <w:proofErr w:type="spellStart"/>
      <w:r>
        <w:t>rawvalue</w:t>
      </w:r>
      <w:proofErr w:type="spellEnd"/>
      <w:r>
        <w:t xml:space="preserve"> </w:t>
      </w:r>
      <w:r>
        <w:br/>
        <w:t>Numerator coded as v(measure id)_numerator</w:t>
      </w:r>
      <w:r>
        <w:br/>
        <w:t>Denominator coded as v(measure id)_denominator</w:t>
      </w:r>
      <w:r>
        <w:br/>
        <w:t>Lower bound of 95% confidence interval coded as v(measure id)_</w:t>
      </w:r>
      <w:proofErr w:type="spellStart"/>
      <w:r>
        <w:t>cilow</w:t>
      </w:r>
      <w:proofErr w:type="spellEnd"/>
      <w:r>
        <w:br/>
        <w:t>Upper bound of 95% confidence interval coded as v(measure id)_</w:t>
      </w:r>
      <w:proofErr w:type="spellStart"/>
      <w:r>
        <w:t>cihigh</w:t>
      </w:r>
      <w:proofErr w:type="spellEnd"/>
    </w:p>
    <w:p w14:paraId="724FA4A1" w14:textId="4F27B8F9" w:rsidR="00686493" w:rsidRPr="004B3120" w:rsidRDefault="00686493" w:rsidP="00686493">
      <w:pPr>
        <w:spacing w:after="120"/>
        <w:rPr>
          <w:b/>
          <w:u w:val="single"/>
        </w:rPr>
      </w:pPr>
      <w:r w:rsidRPr="004B3120">
        <w:rPr>
          <w:b/>
          <w:u w:val="single"/>
        </w:rPr>
        <w:t>Non-standard measure variable</w:t>
      </w:r>
    </w:p>
    <w:p w14:paraId="67465CB1" w14:textId="09D65F0B" w:rsidR="00EA6DE9" w:rsidRDefault="00EA6DE9" w:rsidP="00D61D8D">
      <w:pPr>
        <w:spacing w:after="120"/>
      </w:pPr>
      <w:r>
        <w:rPr>
          <w:b/>
        </w:rPr>
        <w:t>Primary care physicians</w:t>
      </w:r>
      <w:r w:rsidR="00686493" w:rsidRPr="004B3120">
        <w:rPr>
          <w:b/>
        </w:rPr>
        <w:t>:</w:t>
      </w:r>
      <w:r w:rsidR="00686493">
        <w:t xml:space="preserve"> </w:t>
      </w:r>
      <w:r>
        <w:t xml:space="preserve">This </w:t>
      </w:r>
      <w:r w:rsidR="00686493" w:rsidRPr="00FC12F9">
        <w:t>measure</w:t>
      </w:r>
      <w:r>
        <w:t xml:space="preserve"> has </w:t>
      </w:r>
      <w:r w:rsidR="00686493" w:rsidRPr="00FC12F9">
        <w:t>a “ratio” variable included</w:t>
      </w:r>
      <w:r w:rsidR="00686493">
        <w:t xml:space="preserve">. </w:t>
      </w:r>
      <w:r>
        <w:t xml:space="preserve">This variable name is </w:t>
      </w:r>
      <w:r w:rsidR="00686493">
        <w:t>v004_other_data_1</w:t>
      </w:r>
      <w:r>
        <w:t>. It indicates the</w:t>
      </w:r>
      <w:r w:rsidR="00B9752C">
        <w:t xml:space="preserve"> ratio of </w:t>
      </w:r>
      <w:proofErr w:type="spellStart"/>
      <w:r w:rsidR="00BC4867">
        <w:t>population:n</w:t>
      </w:r>
      <w:r w:rsidR="00B9752C">
        <w:t>umber</w:t>
      </w:r>
      <w:proofErr w:type="spellEnd"/>
      <w:r w:rsidR="00B9752C">
        <w:t xml:space="preserve"> of providers </w:t>
      </w:r>
      <w:bookmarkStart w:id="0" w:name="_GoBack"/>
      <w:bookmarkEnd w:id="0"/>
      <w:r w:rsidR="00B9752C">
        <w:t xml:space="preserve">on the website. </w:t>
      </w:r>
    </w:p>
    <w:p w14:paraId="351CB6D2" w14:textId="196DE5C4" w:rsidR="00B9752C" w:rsidRDefault="00B9752C" w:rsidP="00D61D8D">
      <w:pPr>
        <w:spacing w:after="120"/>
      </w:pPr>
      <w:r>
        <w:t xml:space="preserve">However, </w:t>
      </w:r>
      <w:r w:rsidR="00266CD8">
        <w:t xml:space="preserve">in calculating the rankings, </w:t>
      </w:r>
      <w:r>
        <w:t xml:space="preserve">we use the actual </w:t>
      </w:r>
      <w:r w:rsidRPr="0058472A">
        <w:rPr>
          <w:i/>
        </w:rPr>
        <w:t>rate</w:t>
      </w:r>
      <w:r>
        <w:t xml:space="preserve"> of number of providers/</w:t>
      </w:r>
      <w:r w:rsidR="00427746">
        <w:t xml:space="preserve">100,000 </w:t>
      </w:r>
      <w:r>
        <w:t xml:space="preserve">population. </w:t>
      </w:r>
      <w:r w:rsidR="003E6518">
        <w:t>We include both the rate (</w:t>
      </w:r>
      <w:r>
        <w:t xml:space="preserve">as the </w:t>
      </w:r>
      <w:r w:rsidR="003923B5">
        <w:t>v004_raw</w:t>
      </w:r>
      <w:r>
        <w:t xml:space="preserve">value variable), and the </w:t>
      </w:r>
      <w:r w:rsidRPr="0058472A">
        <w:rPr>
          <w:i/>
        </w:rPr>
        <w:t>ratio</w:t>
      </w:r>
      <w:r>
        <w:t xml:space="preserve">, </w:t>
      </w:r>
      <w:r w:rsidR="003923B5">
        <w:t>as v004_other_data_1</w:t>
      </w:r>
      <w:r>
        <w:t xml:space="preserve">. If you </w:t>
      </w:r>
      <w:r w:rsidR="00266CD8">
        <w:t xml:space="preserve">are trying </w:t>
      </w:r>
      <w:r>
        <w:t xml:space="preserve">to </w:t>
      </w:r>
      <w:r w:rsidR="003E6518">
        <w:t>replicate the rankings, you should use the rate rather than the ratio.</w:t>
      </w:r>
    </w:p>
    <w:p w14:paraId="4243001A" w14:textId="77777777" w:rsidR="00EA6DE9" w:rsidRDefault="00EA6DE9" w:rsidP="00D61D8D">
      <w:pPr>
        <w:spacing w:after="120"/>
      </w:pPr>
    </w:p>
    <w:p w14:paraId="0232B408" w14:textId="77777777" w:rsidR="001F7F04" w:rsidRPr="00014791" w:rsidRDefault="001F7F04" w:rsidP="00933FA1">
      <w:pPr>
        <w:spacing w:after="120"/>
        <w:rPr>
          <w:b/>
        </w:rPr>
      </w:pPr>
      <w:r w:rsidRPr="00014791">
        <w:rPr>
          <w:b/>
        </w:rPr>
        <w:t xml:space="preserve">For information about how the County Health Rankings are calculated, and more </w:t>
      </w:r>
      <w:proofErr w:type="gramStart"/>
      <w:r w:rsidRPr="00014791">
        <w:rPr>
          <w:b/>
        </w:rPr>
        <w:t>in depth</w:t>
      </w:r>
      <w:proofErr w:type="gramEnd"/>
      <w:r w:rsidRPr="00014791">
        <w:rPr>
          <w:b/>
        </w:rPr>
        <w:t xml:space="preserve"> descriptions of each of the measures, please visit </w:t>
      </w:r>
      <w:hyperlink r:id="rId9" w:history="1">
        <w:r w:rsidRPr="00014791">
          <w:rPr>
            <w:rStyle w:val="Hyperlink"/>
            <w:b/>
          </w:rPr>
          <w:t>www.countyhealthrankings.org</w:t>
        </w:r>
      </w:hyperlink>
      <w:r w:rsidRPr="00014791">
        <w:rPr>
          <w:b/>
        </w:rPr>
        <w:br w:type="page"/>
      </w:r>
    </w:p>
    <w:p w14:paraId="6E314AAE" w14:textId="7FD9D8FE" w:rsidR="00802A5F" w:rsidRDefault="00C70F2F" w:rsidP="00802A5F">
      <w:pPr>
        <w:pStyle w:val="Subtitle"/>
        <w:spacing w:after="240"/>
        <w:ind w:left="-806" w:right="-806"/>
      </w:pPr>
      <w:r>
        <w:lastRenderedPageBreak/>
        <w:t>201</w:t>
      </w:r>
      <w:r w:rsidR="00EA6DE9">
        <w:t>0</w:t>
      </w:r>
      <w:r w:rsidR="00802A5F">
        <w:t xml:space="preserve"> Measures &amp; Data Sources</w:t>
      </w:r>
    </w:p>
    <w:tbl>
      <w:tblPr>
        <w:tblW w:w="10260" w:type="dxa"/>
        <w:tblInd w:w="-3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710"/>
        <w:gridCol w:w="2700"/>
        <w:gridCol w:w="4320"/>
        <w:gridCol w:w="1530"/>
      </w:tblGrid>
      <w:tr w:rsidR="001E2AD4" w14:paraId="02C0DCBE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14:paraId="148CB6B3" w14:textId="77777777" w:rsidR="001E2AD4" w:rsidRDefault="001E2AD4" w:rsidP="00080CF6">
            <w:pPr>
              <w:pStyle w:val="SourceTableContent"/>
              <w:rPr>
                <w:b/>
                <w:sz w:val="18"/>
              </w:rPr>
            </w:pP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7549B163" w14:textId="2623DCA7" w:rsidR="001E2AD4" w:rsidRDefault="001E2AD4" w:rsidP="00080CF6">
            <w:pPr>
              <w:pStyle w:val="SourceTableHeading"/>
            </w:pPr>
            <w:r>
              <w:t>Measure (ID)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2727244B" w14:textId="77777777" w:rsidR="001E2AD4" w:rsidRDefault="001E2AD4" w:rsidP="00080CF6">
            <w:pPr>
              <w:pStyle w:val="SourceTableHeading"/>
            </w:pPr>
            <w:r>
              <w:t>Data Source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23A81881" w14:textId="77777777" w:rsidR="001E2AD4" w:rsidRDefault="001E2AD4" w:rsidP="00080CF6">
            <w:pPr>
              <w:pStyle w:val="SourceTableHeading-Right"/>
            </w:pPr>
            <w:r>
              <w:t xml:space="preserve">Years of Data </w:t>
            </w:r>
          </w:p>
        </w:tc>
      </w:tr>
      <w:tr w:rsidR="001E2AD4" w14:paraId="435390BF" w14:textId="77777777" w:rsidTr="00B83FDA">
        <w:tc>
          <w:tcPr>
            <w:tcW w:w="1026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729659" w:fill="auto"/>
            <w:hideMark/>
          </w:tcPr>
          <w:p w14:paraId="3BE10A43" w14:textId="77777777" w:rsidR="001E2AD4" w:rsidRDefault="001E2AD4" w:rsidP="00080CF6">
            <w:pPr>
              <w:pStyle w:val="SourceTableHeading-White"/>
            </w:pPr>
            <w:r>
              <w:t>HEALTH OUTCOMES</w:t>
            </w:r>
          </w:p>
        </w:tc>
      </w:tr>
      <w:tr w:rsidR="001E2AD4" w14:paraId="2AF87F93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hideMark/>
          </w:tcPr>
          <w:p w14:paraId="77E4C926" w14:textId="77777777" w:rsidR="001E2AD4" w:rsidRDefault="001E2AD4" w:rsidP="00080CF6">
            <w:pPr>
              <w:pStyle w:val="SourceTableHeading-Small"/>
            </w:pPr>
            <w:r>
              <w:t>Mortality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1F05A7E0" w14:textId="25544208" w:rsidR="001E2AD4" w:rsidRDefault="001E2AD4" w:rsidP="00080CF6">
            <w:pPr>
              <w:pStyle w:val="SourceTableContent"/>
            </w:pPr>
            <w:r>
              <w:t>Premature death (1)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3705F399" w14:textId="77777777" w:rsidR="001E2AD4" w:rsidRDefault="001E2AD4" w:rsidP="00080CF6">
            <w:pPr>
              <w:pStyle w:val="SourceTableContent"/>
            </w:pPr>
            <w:r>
              <w:t>National Center for Health Statistics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7A5F0966" w14:textId="570E0D25" w:rsidR="001E2AD4" w:rsidRDefault="001E2AD4" w:rsidP="00080CF6">
            <w:pPr>
              <w:pStyle w:val="SourceTableContent-Right"/>
            </w:pPr>
            <w:r>
              <w:t>2004-2006</w:t>
            </w:r>
          </w:p>
        </w:tc>
      </w:tr>
      <w:tr w:rsidR="001E2AD4" w14:paraId="3921BDD0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hideMark/>
          </w:tcPr>
          <w:p w14:paraId="1A42E513" w14:textId="77777777" w:rsidR="001E2AD4" w:rsidRDefault="001E2AD4" w:rsidP="00080CF6">
            <w:pPr>
              <w:pStyle w:val="SourceTableHeading-Small"/>
            </w:pPr>
            <w:r>
              <w:t>Morbidity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135AC5FF" w14:textId="00673374" w:rsidR="001E2AD4" w:rsidRDefault="001E2AD4" w:rsidP="00080CF6">
            <w:pPr>
              <w:pStyle w:val="SourceTableContent"/>
            </w:pPr>
            <w:r>
              <w:t>Poor or fair health (2)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1C6A950A" w14:textId="77777777" w:rsidR="001E2AD4" w:rsidRDefault="001E2AD4" w:rsidP="00080CF6">
            <w:pPr>
              <w:pStyle w:val="SourceTableContent"/>
              <w:rPr>
                <w:szCs w:val="17"/>
              </w:rPr>
            </w:pPr>
            <w:r>
              <w:t>Behavioral Risk Factor Surveillance System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3FE46C76" w14:textId="7775243A" w:rsidR="001E2AD4" w:rsidRDefault="001E2AD4" w:rsidP="00080CF6">
            <w:pPr>
              <w:pStyle w:val="SourceTableContent-Right"/>
            </w:pPr>
            <w:r>
              <w:t>2002-2008</w:t>
            </w:r>
          </w:p>
        </w:tc>
      </w:tr>
      <w:tr w:rsidR="001E2AD4" w14:paraId="3159F12E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E7BB152" w14:textId="77777777" w:rsidR="001E2AD4" w:rsidRDefault="001E2AD4" w:rsidP="00080CF6">
            <w:pPr>
              <w:pStyle w:val="SourceTableContent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4E920C" w14:textId="4688EFCC" w:rsidR="001E2AD4" w:rsidRDefault="001E2AD4" w:rsidP="00080CF6">
            <w:pPr>
              <w:pStyle w:val="SourceTableContent"/>
            </w:pPr>
            <w:r>
              <w:t>Poor physical health days (36)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5A87B" w14:textId="77777777" w:rsidR="001E2AD4" w:rsidRDefault="001E2AD4" w:rsidP="00080CF6">
            <w:pPr>
              <w:pStyle w:val="SourceTableContent"/>
              <w:rPr>
                <w:szCs w:val="17"/>
              </w:rPr>
            </w:pPr>
            <w:r>
              <w:t>Behavioral Risk Factor Surveillance System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6A6A6"/>
            </w:tcBorders>
            <w:hideMark/>
          </w:tcPr>
          <w:p w14:paraId="625D5385" w14:textId="1C820CEA" w:rsidR="001E2AD4" w:rsidRDefault="001E2AD4" w:rsidP="00080CF6">
            <w:pPr>
              <w:pStyle w:val="SourceTableContent-Right"/>
            </w:pPr>
            <w:r>
              <w:t>2002-2008</w:t>
            </w:r>
          </w:p>
        </w:tc>
      </w:tr>
      <w:tr w:rsidR="001E2AD4" w14:paraId="7138CB82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2863FB6" w14:textId="77777777" w:rsidR="001E2AD4" w:rsidRDefault="001E2AD4" w:rsidP="00080CF6">
            <w:pPr>
              <w:pStyle w:val="SourceTableContent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70654" w14:textId="0C661A72" w:rsidR="001E2AD4" w:rsidRDefault="001E2AD4" w:rsidP="00080CF6">
            <w:pPr>
              <w:pStyle w:val="SourceTableContent"/>
            </w:pPr>
            <w:r>
              <w:t>Poor mental health days (42)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A9CDB" w14:textId="77777777" w:rsidR="001E2AD4" w:rsidRDefault="001E2AD4" w:rsidP="00080CF6">
            <w:pPr>
              <w:pStyle w:val="SourceTableContent"/>
              <w:rPr>
                <w:szCs w:val="17"/>
              </w:rPr>
            </w:pPr>
            <w:r>
              <w:t>Behavioral Risk Factor Surveillance System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6A6A6"/>
            </w:tcBorders>
            <w:hideMark/>
          </w:tcPr>
          <w:p w14:paraId="05F05D52" w14:textId="6F013EC1" w:rsidR="001E2AD4" w:rsidRDefault="001E2AD4" w:rsidP="00080CF6">
            <w:pPr>
              <w:pStyle w:val="SourceTableContent-Right"/>
            </w:pPr>
            <w:r>
              <w:t>2002-2008</w:t>
            </w:r>
          </w:p>
        </w:tc>
      </w:tr>
      <w:tr w:rsidR="001E2AD4" w14:paraId="32B3BD69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</w:tcPr>
          <w:p w14:paraId="2AE42753" w14:textId="77777777" w:rsidR="001E2AD4" w:rsidRDefault="001E2AD4" w:rsidP="00080CF6">
            <w:pPr>
              <w:pStyle w:val="SourceTableContent"/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0DC5609D" w14:textId="21EEDD0B" w:rsidR="001E2AD4" w:rsidRDefault="001E2AD4" w:rsidP="00080CF6">
            <w:pPr>
              <w:pStyle w:val="SourceTableContent"/>
            </w:pPr>
            <w:r>
              <w:t>Low birthweight (37)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6818291F" w14:textId="77777777" w:rsidR="001E2AD4" w:rsidRDefault="001E2AD4" w:rsidP="00080CF6">
            <w:pPr>
              <w:pStyle w:val="SourceTableContent"/>
              <w:rPr>
                <w:szCs w:val="17"/>
              </w:rPr>
            </w:pPr>
            <w:r>
              <w:t>National Center for Health Statistics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01EE6C0C" w14:textId="1396ADAD" w:rsidR="001E2AD4" w:rsidRDefault="001E2AD4" w:rsidP="00080CF6">
            <w:pPr>
              <w:pStyle w:val="SourceTableContent-Right"/>
            </w:pPr>
            <w:r>
              <w:t>2000-2006</w:t>
            </w:r>
          </w:p>
        </w:tc>
      </w:tr>
      <w:tr w:rsidR="001E2AD4" w14:paraId="3510CC9B" w14:textId="77777777" w:rsidTr="00B83FDA">
        <w:tc>
          <w:tcPr>
            <w:tcW w:w="1026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3E5484" w:fill="auto"/>
            <w:hideMark/>
          </w:tcPr>
          <w:p w14:paraId="34762FB4" w14:textId="77777777" w:rsidR="001E2AD4" w:rsidRDefault="001E2AD4" w:rsidP="00080CF6">
            <w:pPr>
              <w:pStyle w:val="SourceTableHeading-White"/>
            </w:pPr>
            <w:r>
              <w:t>HEALTH FACTORS</w:t>
            </w:r>
          </w:p>
        </w:tc>
      </w:tr>
      <w:tr w:rsidR="001E2AD4" w14:paraId="15066998" w14:textId="77777777" w:rsidTr="00B83FDA">
        <w:tc>
          <w:tcPr>
            <w:tcW w:w="1026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6E2EB"/>
            <w:hideMark/>
          </w:tcPr>
          <w:p w14:paraId="60862355" w14:textId="77777777" w:rsidR="001E2AD4" w:rsidRDefault="001E2AD4" w:rsidP="00080CF6">
            <w:pPr>
              <w:pStyle w:val="SourceTableHeading-Small"/>
            </w:pPr>
            <w:r>
              <w:t>HEALTH BEHAVIORS</w:t>
            </w:r>
          </w:p>
        </w:tc>
      </w:tr>
      <w:tr w:rsidR="001E2AD4" w14:paraId="34EE418C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hideMark/>
          </w:tcPr>
          <w:p w14:paraId="320DAD68" w14:textId="77777777" w:rsidR="001E2AD4" w:rsidRDefault="001E2AD4" w:rsidP="00080CF6">
            <w:pPr>
              <w:pStyle w:val="SourceTableHeading-Small"/>
            </w:pPr>
            <w:r>
              <w:t>Tobacco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51C249AB" w14:textId="078A20CE" w:rsidR="001E2AD4" w:rsidRDefault="001E2AD4" w:rsidP="00080CF6">
            <w:pPr>
              <w:pStyle w:val="SourceTableContent"/>
            </w:pPr>
            <w:r>
              <w:t>Adult smoking (9)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25910BA0" w14:textId="77777777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t>Behavioral Risk Factor Surveillance System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4877BF2F" w14:textId="0D23E8B2" w:rsidR="001E2AD4" w:rsidRDefault="001E2AD4" w:rsidP="00080CF6">
            <w:pPr>
              <w:pStyle w:val="SourceTableContent-Right"/>
            </w:pPr>
            <w:r>
              <w:t>2002-2008</w:t>
            </w:r>
          </w:p>
        </w:tc>
      </w:tr>
      <w:tr w:rsidR="001E2AD4" w14:paraId="1BDF0977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hideMark/>
          </w:tcPr>
          <w:p w14:paraId="335558AC" w14:textId="77777777" w:rsidR="001E2AD4" w:rsidRDefault="001E2AD4" w:rsidP="00080CF6">
            <w:pPr>
              <w:pStyle w:val="SourceTableHeading-Small"/>
            </w:pPr>
            <w:r>
              <w:t>Diet and Exercise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6C379CE4" w14:textId="677AF879" w:rsidR="001E2AD4" w:rsidRDefault="001E2AD4" w:rsidP="00080CF6">
            <w:pPr>
              <w:pStyle w:val="SourceTableContent"/>
            </w:pPr>
            <w:r>
              <w:t>Adult obesity (11)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2C8AD1F0" w14:textId="748D744F" w:rsidR="001E2AD4" w:rsidRDefault="00B8139F" w:rsidP="00080CF6">
            <w:pPr>
              <w:pStyle w:val="SourceTableContent"/>
              <w:rPr>
                <w:rFonts w:cs="Arial"/>
              </w:rPr>
            </w:pPr>
            <w:r w:rsidRPr="00B8139F">
              <w:rPr>
                <w:rFonts w:cs="Arial"/>
              </w:rPr>
              <w:t>CDC Diabetes Interactive Atlas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64A4A872" w14:textId="23A60FFF" w:rsidR="001E2AD4" w:rsidRDefault="001E2AD4" w:rsidP="00080CF6">
            <w:pPr>
              <w:pStyle w:val="SourceTableContent-Right"/>
            </w:pPr>
            <w:r>
              <w:t>2007</w:t>
            </w:r>
          </w:p>
        </w:tc>
      </w:tr>
      <w:tr w:rsidR="001E2AD4" w14:paraId="309A1A72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hideMark/>
          </w:tcPr>
          <w:p w14:paraId="567ACADC" w14:textId="77777777" w:rsidR="001E2AD4" w:rsidRDefault="001E2AD4" w:rsidP="00080CF6">
            <w:pPr>
              <w:pStyle w:val="SourceTableHeading-Small"/>
            </w:pPr>
            <w:r>
              <w:t>Alcohol Use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3FC52F57" w14:textId="590EEFFC" w:rsidR="001E2AD4" w:rsidRDefault="001E2AD4" w:rsidP="00080CF6">
            <w:pPr>
              <w:pStyle w:val="SourceTableContent"/>
            </w:pPr>
            <w:r>
              <w:t>Binge drinking (12)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0AB5F925" w14:textId="77777777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t>Behavioral Risk Factor Surveillance System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0223C06F" w14:textId="1E83219F" w:rsidR="001E2AD4" w:rsidRDefault="001E2AD4" w:rsidP="00080CF6">
            <w:pPr>
              <w:pStyle w:val="SourceTableContent-Right"/>
            </w:pPr>
            <w:r>
              <w:t>2002-2008</w:t>
            </w:r>
          </w:p>
        </w:tc>
      </w:tr>
      <w:tr w:rsidR="001E2AD4" w14:paraId="5FA3123D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</w:tcPr>
          <w:p w14:paraId="22F56321" w14:textId="77777777" w:rsidR="001E2AD4" w:rsidRDefault="001E2AD4" w:rsidP="00080CF6">
            <w:pPr>
              <w:pStyle w:val="SourceTableContent"/>
              <w:rPr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3AE8C00E" w14:textId="52D6CBC1" w:rsidR="001E2AD4" w:rsidRDefault="001E2AD4" w:rsidP="00080CF6">
            <w:pPr>
              <w:pStyle w:val="SourceTableContent"/>
            </w:pPr>
            <w:r>
              <w:t>Motor vehicle crash death rate (39)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0E1CB57A" w14:textId="77777777" w:rsidR="001E2AD4" w:rsidRDefault="001E2AD4" w:rsidP="00080CF6">
            <w:pPr>
              <w:pStyle w:val="SourceTableContent"/>
            </w:pPr>
            <w:r>
              <w:t>National Center for Health Statistics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7E6ABB5E" w14:textId="73B50235" w:rsidR="001E2AD4" w:rsidRDefault="001E2AD4" w:rsidP="00080CF6">
            <w:pPr>
              <w:pStyle w:val="SourceTableContent-Right"/>
            </w:pPr>
            <w:r>
              <w:t>2000-2006</w:t>
            </w:r>
          </w:p>
        </w:tc>
      </w:tr>
      <w:tr w:rsidR="001E2AD4" w14:paraId="47B7CC9A" w14:textId="77777777" w:rsidTr="00B83FDA">
        <w:tc>
          <w:tcPr>
            <w:tcW w:w="1710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hideMark/>
          </w:tcPr>
          <w:p w14:paraId="0DFF8934" w14:textId="77777777" w:rsidR="001E2AD4" w:rsidRDefault="001E2AD4" w:rsidP="00080CF6">
            <w:pPr>
              <w:pStyle w:val="SourceTableHeading-Small"/>
            </w:pPr>
            <w:r>
              <w:t>High Risk Sexual Behavior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1F3F379B" w14:textId="1EB32681" w:rsidR="001E2AD4" w:rsidRDefault="001E2AD4" w:rsidP="00080CF6">
            <w:pPr>
              <w:pStyle w:val="SourceTableContent"/>
            </w:pPr>
            <w:r>
              <w:t>Chlamydia rate (45)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5744F320" w14:textId="77777777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rPr>
                <w:rFonts w:cs="Arial"/>
              </w:rPr>
              <w:t>National Center for Hepatitis, HIV, STD and TB Prevention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0B2FE6D9" w14:textId="6EE5B64D" w:rsidR="001E2AD4" w:rsidRDefault="001E2AD4" w:rsidP="00080CF6">
            <w:pPr>
              <w:pStyle w:val="SourceTableContent-Right"/>
            </w:pPr>
            <w:r>
              <w:t>2007</w:t>
            </w:r>
          </w:p>
        </w:tc>
      </w:tr>
      <w:tr w:rsidR="001E2AD4" w14:paraId="40A6F9AD" w14:textId="77777777" w:rsidTr="00B83FDA">
        <w:tc>
          <w:tcPr>
            <w:tcW w:w="1710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  <w:hideMark/>
          </w:tcPr>
          <w:p w14:paraId="71310B81" w14:textId="77777777" w:rsidR="001E2AD4" w:rsidRDefault="001E2AD4" w:rsidP="00080CF6">
            <w:pPr>
              <w:rPr>
                <w:rFonts w:ascii="Arial" w:eastAsia="Calibri" w:hAnsi="Arial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019352B9" w14:textId="4C7D5456" w:rsidR="001E2AD4" w:rsidRDefault="001E2AD4" w:rsidP="00080CF6">
            <w:pPr>
              <w:pStyle w:val="SourceTableContent"/>
            </w:pPr>
            <w:r>
              <w:t>Teen birth rate (14)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0BD92441" w14:textId="77777777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rPr>
                <w:rFonts w:cs="Arial"/>
              </w:rPr>
              <w:t>National Center for Health Statistics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24508910" w14:textId="62250102" w:rsidR="001E2AD4" w:rsidRDefault="001E2AD4" w:rsidP="00080CF6">
            <w:pPr>
              <w:pStyle w:val="SourceTableContent-Right"/>
            </w:pPr>
            <w:r>
              <w:t>2000-2006</w:t>
            </w:r>
          </w:p>
        </w:tc>
      </w:tr>
      <w:tr w:rsidR="001E2AD4" w14:paraId="07B3E5FB" w14:textId="77777777" w:rsidTr="00B83FDA">
        <w:tc>
          <w:tcPr>
            <w:tcW w:w="1026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6E2EB"/>
            <w:hideMark/>
          </w:tcPr>
          <w:p w14:paraId="60C52F49" w14:textId="77777777" w:rsidR="001E2AD4" w:rsidRDefault="001E2AD4" w:rsidP="00080CF6">
            <w:pPr>
              <w:pStyle w:val="SourceTableHeading-Small"/>
            </w:pPr>
            <w:r>
              <w:t>CLINICAL CARE</w:t>
            </w:r>
          </w:p>
        </w:tc>
      </w:tr>
      <w:tr w:rsidR="001E2AD4" w14:paraId="6BE7816A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hideMark/>
          </w:tcPr>
          <w:p w14:paraId="1B8A7539" w14:textId="77777777" w:rsidR="001E2AD4" w:rsidRDefault="001E2AD4" w:rsidP="00080CF6">
            <w:pPr>
              <w:pStyle w:val="SourceTableHeading-Small"/>
            </w:pPr>
            <w:r>
              <w:t>Access to Care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29BFD789" w14:textId="1C1056F1" w:rsidR="001E2AD4" w:rsidRDefault="001E2AD4" w:rsidP="00080CF6">
            <w:pPr>
              <w:pStyle w:val="SourceTableContent"/>
            </w:pPr>
            <w:r>
              <w:t>Uninsured adults (3)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3FBC75B7" w14:textId="77777777" w:rsidR="001E2AD4" w:rsidRDefault="001E2AD4" w:rsidP="00080CF6">
            <w:pPr>
              <w:pStyle w:val="SourceTableContent"/>
              <w:rPr>
                <w:b/>
                <w:bCs/>
                <w:color w:val="FFFFFF"/>
                <w:sz w:val="20"/>
                <w:szCs w:val="20"/>
              </w:rPr>
            </w:pPr>
            <w:r>
              <w:t>Small Area Health Insurance Estimates, U.S. Census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vAlign w:val="center"/>
            <w:hideMark/>
          </w:tcPr>
          <w:p w14:paraId="3BFCCA3E" w14:textId="2210DCD0" w:rsidR="001E2AD4" w:rsidRDefault="001E2AD4" w:rsidP="00080CF6">
            <w:pPr>
              <w:pStyle w:val="SourceTableContent-Right"/>
              <w:rPr>
                <w:b/>
                <w:bCs/>
                <w:color w:val="FFFFFF"/>
                <w:sz w:val="20"/>
              </w:rPr>
            </w:pPr>
            <w:r>
              <w:t>200</w:t>
            </w:r>
            <w:r w:rsidR="00471A92">
              <w:t>5</w:t>
            </w:r>
          </w:p>
        </w:tc>
      </w:tr>
      <w:tr w:rsidR="001E2AD4" w14:paraId="0F386548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</w:tcPr>
          <w:p w14:paraId="2B5CB7FE" w14:textId="77777777" w:rsidR="001E2AD4" w:rsidRDefault="001E2AD4" w:rsidP="00080CF6">
            <w:pPr>
              <w:pStyle w:val="SourceTableContent"/>
              <w:rPr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F0B681D" w14:textId="7312FC44" w:rsidR="001E2AD4" w:rsidRDefault="001E2AD4" w:rsidP="00080CF6">
            <w:pPr>
              <w:pStyle w:val="SourceTableContent"/>
            </w:pPr>
            <w:r>
              <w:t xml:space="preserve">Primary care </w:t>
            </w:r>
            <w:r w:rsidR="00FB2B37">
              <w:t>physicians</w:t>
            </w:r>
            <w:r w:rsidR="00471A92">
              <w:t xml:space="preserve"> (4)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3A5D609" w14:textId="77777777" w:rsidR="001E2AD4" w:rsidRDefault="001E2AD4" w:rsidP="00080CF6">
            <w:pPr>
              <w:pStyle w:val="SourceTableContent"/>
            </w:pPr>
            <w:r>
              <w:t>Health Resources &amp; Services Administration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C10E545" w14:textId="57F9B42B" w:rsidR="001E2AD4" w:rsidRDefault="001E2AD4" w:rsidP="00080CF6">
            <w:pPr>
              <w:pStyle w:val="SourceTableContent-Right"/>
            </w:pPr>
            <w:r>
              <w:t>200</w:t>
            </w:r>
            <w:r w:rsidR="00471A92">
              <w:t>6</w:t>
            </w:r>
          </w:p>
        </w:tc>
      </w:tr>
      <w:tr w:rsidR="001E2AD4" w14:paraId="0BD687CB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hideMark/>
          </w:tcPr>
          <w:p w14:paraId="01922D23" w14:textId="77777777" w:rsidR="001E2AD4" w:rsidRDefault="001E2AD4" w:rsidP="00080CF6">
            <w:pPr>
              <w:pStyle w:val="SourceTableHeading-Small"/>
            </w:pPr>
            <w:r>
              <w:t>Quality of Care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5FDA511C" w14:textId="1CF27EA0" w:rsidR="001E2AD4" w:rsidRDefault="001E2AD4" w:rsidP="00080CF6">
            <w:pPr>
              <w:pStyle w:val="SourceTableContent"/>
            </w:pPr>
            <w:r>
              <w:t>Preventable hospital stays</w:t>
            </w:r>
            <w:r w:rsidR="00471A92">
              <w:t xml:space="preserve"> (5)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55667E42" w14:textId="03541C54" w:rsidR="001E2AD4" w:rsidRDefault="004C6F24" w:rsidP="00080CF6">
            <w:pPr>
              <w:pStyle w:val="SourceTableContent"/>
            </w:pPr>
            <w:r>
              <w:t>Dartmouth Atlas of Health Care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58067C2C" w14:textId="7DC85A73" w:rsidR="001E2AD4" w:rsidRDefault="00471A92" w:rsidP="00080CF6">
            <w:pPr>
              <w:pStyle w:val="SourceTableContent-Right"/>
            </w:pPr>
            <w:r>
              <w:t>2005-</w:t>
            </w:r>
            <w:r w:rsidR="001E2AD4">
              <w:t>2006</w:t>
            </w:r>
          </w:p>
        </w:tc>
      </w:tr>
      <w:tr w:rsidR="001E2AD4" w14:paraId="0CE027E8" w14:textId="77777777" w:rsidTr="00B83FDA">
        <w:trPr>
          <w:trHeight w:val="261"/>
        </w:trPr>
        <w:tc>
          <w:tcPr>
            <w:tcW w:w="171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40242820" w14:textId="77777777" w:rsidR="001E2AD4" w:rsidRDefault="001E2AD4" w:rsidP="00080CF6">
            <w:pPr>
              <w:pStyle w:val="SourceTableContent"/>
              <w:rPr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242200" w14:textId="76CA6025" w:rsidR="001E2AD4" w:rsidRDefault="001E2AD4" w:rsidP="00080CF6">
            <w:pPr>
              <w:pStyle w:val="SourceTableContent"/>
            </w:pPr>
            <w:r>
              <w:t>Diabetic screening</w:t>
            </w:r>
            <w:r w:rsidR="00471A92">
              <w:t xml:space="preserve"> (7)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3933B0" w14:textId="1AE768BF" w:rsidR="001E2AD4" w:rsidRDefault="004C6F24" w:rsidP="00080CF6">
            <w:pPr>
              <w:pStyle w:val="SourceTableContent"/>
            </w:pPr>
            <w:r>
              <w:t>Dartmouth Atlas of Health Care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6A6A6"/>
            </w:tcBorders>
            <w:hideMark/>
          </w:tcPr>
          <w:p w14:paraId="7480D108" w14:textId="2628E3A7" w:rsidR="001E2AD4" w:rsidRDefault="00471A92" w:rsidP="00080CF6">
            <w:pPr>
              <w:pStyle w:val="SourceTableContent-Right"/>
            </w:pPr>
            <w:r>
              <w:t>2003-2006</w:t>
            </w:r>
          </w:p>
        </w:tc>
      </w:tr>
      <w:tr w:rsidR="001E2AD4" w14:paraId="5673FA32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</w:tcPr>
          <w:p w14:paraId="1C324413" w14:textId="77777777" w:rsidR="001E2AD4" w:rsidRDefault="001E2AD4" w:rsidP="00080CF6">
            <w:pPr>
              <w:pStyle w:val="SourceTableContent"/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4F6A4DF1" w14:textId="280D8E03" w:rsidR="001E2AD4" w:rsidRDefault="001E2AD4" w:rsidP="00080CF6">
            <w:pPr>
              <w:pStyle w:val="SourceTableContent"/>
            </w:pPr>
            <w:r>
              <w:t>Hospice use (38)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3C3CE381" w14:textId="2E9856A2" w:rsidR="001E2AD4" w:rsidRDefault="004C6F24" w:rsidP="00080CF6">
            <w:pPr>
              <w:pStyle w:val="SourceTableContent"/>
            </w:pPr>
            <w:r>
              <w:t>Dartmouth Atlas of Health Care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06F0943F" w14:textId="1A1F0A70" w:rsidR="001E2AD4" w:rsidRDefault="00E202CB" w:rsidP="00080CF6">
            <w:pPr>
              <w:pStyle w:val="SourceTableContent-Right"/>
            </w:pPr>
            <w:r>
              <w:t>2001-2006</w:t>
            </w:r>
          </w:p>
        </w:tc>
      </w:tr>
      <w:tr w:rsidR="001E2AD4" w14:paraId="15AE73DD" w14:textId="77777777" w:rsidTr="00B83FDA">
        <w:tc>
          <w:tcPr>
            <w:tcW w:w="1026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6E2EB"/>
            <w:hideMark/>
          </w:tcPr>
          <w:p w14:paraId="4F2D3DF3" w14:textId="77777777" w:rsidR="001E2AD4" w:rsidRDefault="001E2AD4" w:rsidP="00080CF6">
            <w:pPr>
              <w:pStyle w:val="SourceTableHeading-Small"/>
            </w:pPr>
            <w:r>
              <w:t>SOCIOECONOMIC FACTORS</w:t>
            </w:r>
          </w:p>
        </w:tc>
      </w:tr>
      <w:tr w:rsidR="001E2AD4" w14:paraId="4450875C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hideMark/>
          </w:tcPr>
          <w:p w14:paraId="609F9DEE" w14:textId="77777777" w:rsidR="001E2AD4" w:rsidRDefault="001E2AD4" w:rsidP="00080CF6">
            <w:pPr>
              <w:pStyle w:val="SourceTableHeading-Small"/>
            </w:pPr>
            <w:r>
              <w:t>Education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667A9996" w14:textId="2DE8FA22" w:rsidR="001E2AD4" w:rsidRDefault="001E2AD4" w:rsidP="00080CF6">
            <w:pPr>
              <w:pStyle w:val="SourceTableContent"/>
            </w:pPr>
            <w:r>
              <w:t xml:space="preserve">High school graduation </w:t>
            </w:r>
            <w:r w:rsidR="00471A92">
              <w:t>(21)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0862FF70" w14:textId="69490078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rPr>
                <w:rFonts w:cs="Arial"/>
              </w:rPr>
              <w:t>National Center for Education Statistics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vAlign w:val="center"/>
            <w:hideMark/>
          </w:tcPr>
          <w:p w14:paraId="58EE2D66" w14:textId="61705805" w:rsidR="001E2AD4" w:rsidRDefault="00471A92" w:rsidP="00080CF6">
            <w:pPr>
              <w:pStyle w:val="SourceTableContent-Right"/>
            </w:pPr>
            <w:r>
              <w:t>2005-2006</w:t>
            </w:r>
          </w:p>
        </w:tc>
      </w:tr>
      <w:tr w:rsidR="001E2AD4" w14:paraId="569ED0B1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</w:tcPr>
          <w:p w14:paraId="60659E13" w14:textId="77777777" w:rsidR="001E2AD4" w:rsidRDefault="001E2AD4" w:rsidP="00080CF6">
            <w:pPr>
              <w:pStyle w:val="SourceTableContent"/>
              <w:rPr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56E2DF2" w14:textId="04EB0DF1" w:rsidR="001E2AD4" w:rsidRDefault="00471A92" w:rsidP="00080CF6">
            <w:pPr>
              <w:pStyle w:val="SourceTableContent"/>
            </w:pPr>
            <w:r>
              <w:t>College degrees (22)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EE57E18" w14:textId="77777777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rPr>
                <w:rFonts w:cs="Arial"/>
              </w:rPr>
              <w:t>American Community Survey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5234F1D" w14:textId="55B64087" w:rsidR="001E2AD4" w:rsidRDefault="001E2AD4" w:rsidP="00080CF6">
            <w:pPr>
              <w:pStyle w:val="SourceTableContent-Right"/>
            </w:pPr>
            <w:r>
              <w:t>2005-200</w:t>
            </w:r>
            <w:r w:rsidR="00471A92">
              <w:t>7</w:t>
            </w:r>
          </w:p>
        </w:tc>
      </w:tr>
      <w:tr w:rsidR="001E2AD4" w14:paraId="77E8ACB3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  <w:hideMark/>
          </w:tcPr>
          <w:p w14:paraId="25B9093E" w14:textId="77777777" w:rsidR="001E2AD4" w:rsidRDefault="001E2AD4" w:rsidP="00080CF6">
            <w:pPr>
              <w:pStyle w:val="SourceTableHeading-Small"/>
            </w:pPr>
            <w:r>
              <w:t>Employment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46A45B6D" w14:textId="653718C5" w:rsidR="001E2AD4" w:rsidRDefault="001E2AD4" w:rsidP="00080CF6">
            <w:pPr>
              <w:pStyle w:val="SourceTableContent"/>
            </w:pPr>
            <w:r>
              <w:t>Unemployment</w:t>
            </w:r>
            <w:r w:rsidR="00471A92">
              <w:t xml:space="preserve"> (23)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hideMark/>
          </w:tcPr>
          <w:p w14:paraId="2A543E83" w14:textId="77777777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rPr>
                <w:rFonts w:cs="Arial"/>
              </w:rPr>
              <w:t>Bureau of Labor Statistics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7CEF003A" w14:textId="52F0674B" w:rsidR="001E2AD4" w:rsidRDefault="001E2AD4" w:rsidP="00080CF6">
            <w:pPr>
              <w:pStyle w:val="SourceTableContent-Right"/>
            </w:pPr>
            <w:r>
              <w:t>200</w:t>
            </w:r>
            <w:r w:rsidR="00471A92">
              <w:t>8</w:t>
            </w:r>
          </w:p>
        </w:tc>
      </w:tr>
      <w:tr w:rsidR="001E2AD4" w14:paraId="55BB8888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hideMark/>
          </w:tcPr>
          <w:p w14:paraId="34364424" w14:textId="77777777" w:rsidR="001E2AD4" w:rsidRDefault="001E2AD4" w:rsidP="00080CF6">
            <w:pPr>
              <w:pStyle w:val="SourceTableHeading-Small"/>
            </w:pPr>
            <w:r>
              <w:t>Income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20E0EF53" w14:textId="5305257D" w:rsidR="001E2AD4" w:rsidRDefault="001E2AD4" w:rsidP="00080CF6">
            <w:pPr>
              <w:pStyle w:val="SourceTableContent"/>
            </w:pPr>
            <w:r>
              <w:t>Children in poverty</w:t>
            </w:r>
            <w:r w:rsidR="00471A92">
              <w:t xml:space="preserve"> (24)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7049F93F" w14:textId="77777777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rPr>
                <w:rFonts w:cs="Arial"/>
              </w:rPr>
              <w:t>Small Area Income and Poverty Estimates, U.S. Census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vAlign w:val="center"/>
            <w:hideMark/>
          </w:tcPr>
          <w:p w14:paraId="60EBEBA2" w14:textId="77777777" w:rsidR="001E2AD4" w:rsidRDefault="001E2AD4" w:rsidP="00080CF6">
            <w:pPr>
              <w:pStyle w:val="SourceTableContent-Right"/>
            </w:pPr>
            <w:r>
              <w:t>2007</w:t>
            </w:r>
          </w:p>
        </w:tc>
      </w:tr>
      <w:tr w:rsidR="001E2AD4" w14:paraId="0827FED5" w14:textId="77777777" w:rsidTr="00B83FDA">
        <w:tc>
          <w:tcPr>
            <w:tcW w:w="1710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hideMark/>
          </w:tcPr>
          <w:p w14:paraId="1671ABB7" w14:textId="77777777" w:rsidR="001E2AD4" w:rsidRDefault="001E2AD4" w:rsidP="00080CF6">
            <w:pPr>
              <w:pStyle w:val="SourceTableHeading-Small"/>
            </w:pPr>
            <w:r>
              <w:t>Family and Social Support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21D54AF2" w14:textId="2B7FBC29" w:rsidR="001E2AD4" w:rsidRDefault="001E2AD4" w:rsidP="00080CF6">
            <w:pPr>
              <w:pStyle w:val="SourceTableContent"/>
            </w:pPr>
            <w:r>
              <w:t>Inadequate social support</w:t>
            </w:r>
            <w:r w:rsidR="00471A92">
              <w:t xml:space="preserve"> (40)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0EA8F9FD" w14:textId="77777777" w:rsidR="001E2AD4" w:rsidRDefault="001E2AD4" w:rsidP="00080CF6">
            <w:pPr>
              <w:pStyle w:val="SourceTableContent"/>
            </w:pPr>
            <w:r>
              <w:t>Behavioral Risk Factor Surveillance System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038B0ABF" w14:textId="79DD16DB" w:rsidR="001E2AD4" w:rsidRDefault="001E2AD4" w:rsidP="00080CF6">
            <w:pPr>
              <w:pStyle w:val="SourceTableContent-Right"/>
            </w:pPr>
            <w:r>
              <w:t>2005-200</w:t>
            </w:r>
            <w:r w:rsidR="00471A92">
              <w:t>8</w:t>
            </w:r>
          </w:p>
        </w:tc>
      </w:tr>
      <w:tr w:rsidR="001E2AD4" w14:paraId="6C3BF04E" w14:textId="77777777" w:rsidTr="00B83FDA">
        <w:tc>
          <w:tcPr>
            <w:tcW w:w="1710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  <w:hideMark/>
          </w:tcPr>
          <w:p w14:paraId="0167E2C3" w14:textId="77777777" w:rsidR="001E2AD4" w:rsidRDefault="001E2AD4" w:rsidP="00080CF6">
            <w:pPr>
              <w:rPr>
                <w:rFonts w:ascii="Arial" w:eastAsia="Calibri" w:hAnsi="Arial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0972FADB" w14:textId="01CB58BD" w:rsidR="001E2AD4" w:rsidRDefault="001E2AD4" w:rsidP="00080CF6">
            <w:pPr>
              <w:pStyle w:val="SourceTableContent"/>
            </w:pPr>
            <w:r>
              <w:t>Single-parent households</w:t>
            </w:r>
            <w:r w:rsidR="00471A92">
              <w:t xml:space="preserve"> (</w:t>
            </w:r>
            <w:r w:rsidR="004C6F24">
              <w:t>28</w:t>
            </w:r>
            <w:r w:rsidR="00471A92">
              <w:t>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1B0E56E3" w14:textId="77777777" w:rsidR="001E2AD4" w:rsidRDefault="001E2AD4" w:rsidP="00080CF6">
            <w:pPr>
              <w:pStyle w:val="SourceTableContent"/>
            </w:pPr>
            <w:r>
              <w:rPr>
                <w:rFonts w:cs="Arial"/>
              </w:rPr>
              <w:t>American Community Survey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102811B4" w14:textId="1AF23144" w:rsidR="001E2AD4" w:rsidRDefault="00E26FC4" w:rsidP="00080CF6">
            <w:pPr>
              <w:pStyle w:val="SourceTableContent-Right"/>
            </w:pPr>
            <w:r>
              <w:t>2005-2007</w:t>
            </w:r>
          </w:p>
        </w:tc>
      </w:tr>
      <w:tr w:rsidR="001E2AD4" w14:paraId="6CF11E1B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hideMark/>
          </w:tcPr>
          <w:p w14:paraId="527ED496" w14:textId="77777777" w:rsidR="001E2AD4" w:rsidRDefault="001E2AD4" w:rsidP="00080CF6">
            <w:pPr>
              <w:pStyle w:val="SourceTableHeading-Small"/>
            </w:pPr>
            <w:r>
              <w:t>Community Safety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66AE6478" w14:textId="6DFF5F50" w:rsidR="001E2AD4" w:rsidRDefault="001E2AD4" w:rsidP="00080CF6">
            <w:pPr>
              <w:pStyle w:val="SourceTableContent"/>
            </w:pPr>
            <w:r>
              <w:t>Violent crime</w:t>
            </w:r>
            <w:r w:rsidR="00471A92">
              <w:t xml:space="preserve"> (43)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4B513199" w14:textId="2CFC8705" w:rsidR="001E2AD4" w:rsidRDefault="001E2AD4" w:rsidP="00080CF6">
            <w:pPr>
              <w:pStyle w:val="SourceTableContent"/>
            </w:pPr>
            <w:r>
              <w:rPr>
                <w:rFonts w:cs="Arial"/>
              </w:rPr>
              <w:t>Uniform Crime Reporting</w:t>
            </w:r>
            <w:r w:rsidR="00D64094">
              <w:rPr>
                <w:rFonts w:cs="Arial"/>
              </w:rPr>
              <w:t xml:space="preserve"> - FBI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04E8AAE7" w14:textId="51B48689" w:rsidR="001E2AD4" w:rsidRDefault="001E2AD4" w:rsidP="00080CF6">
            <w:pPr>
              <w:pStyle w:val="SourceTableContent-Right"/>
            </w:pPr>
            <w:r>
              <w:t>200</w:t>
            </w:r>
            <w:r w:rsidR="00471A92">
              <w:t>5</w:t>
            </w:r>
            <w:r>
              <w:t>-200</w:t>
            </w:r>
            <w:r w:rsidR="00471A92">
              <w:t>7</w:t>
            </w:r>
          </w:p>
        </w:tc>
      </w:tr>
      <w:tr w:rsidR="00471A92" w14:paraId="6C5988DE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14:paraId="0109D4FF" w14:textId="77777777" w:rsidR="00471A92" w:rsidRDefault="00471A92" w:rsidP="00080CF6">
            <w:pPr>
              <w:pStyle w:val="SourceTableHeading-Small"/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713CE92A" w14:textId="6284F0D2" w:rsidR="00471A92" w:rsidRDefault="00471A92" w:rsidP="00080CF6">
            <w:pPr>
              <w:pStyle w:val="SourceTableContent"/>
            </w:pPr>
            <w:r>
              <w:t>Homicides (15)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48C9E8BE" w14:textId="52F67D4F" w:rsidR="00471A92" w:rsidRDefault="00471A92" w:rsidP="00080CF6">
            <w:pPr>
              <w:pStyle w:val="SourceTableContent"/>
              <w:rPr>
                <w:rFonts w:cs="Arial"/>
              </w:rPr>
            </w:pPr>
            <w:r w:rsidRPr="00471A92">
              <w:rPr>
                <w:rFonts w:cs="Arial"/>
              </w:rPr>
              <w:t>National Center for Health Statistics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04F2A967" w14:textId="46541987" w:rsidR="00471A92" w:rsidRDefault="00471A92" w:rsidP="00080CF6">
            <w:pPr>
              <w:pStyle w:val="SourceTableContent-Right"/>
            </w:pPr>
            <w:r w:rsidRPr="00471A92">
              <w:t>2000-2006</w:t>
            </w:r>
          </w:p>
        </w:tc>
      </w:tr>
      <w:tr w:rsidR="001E2AD4" w14:paraId="651E7E9D" w14:textId="77777777" w:rsidTr="00B83FDA">
        <w:tc>
          <w:tcPr>
            <w:tcW w:w="1026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6E2EB"/>
            <w:hideMark/>
          </w:tcPr>
          <w:p w14:paraId="791CE8DE" w14:textId="77777777" w:rsidR="001E2AD4" w:rsidRDefault="001E2AD4" w:rsidP="00080CF6">
            <w:pPr>
              <w:pStyle w:val="SourceTableHeading-Small"/>
            </w:pPr>
            <w:r>
              <w:t>PHYSICAL ENVIRONMENT</w:t>
            </w:r>
          </w:p>
        </w:tc>
      </w:tr>
      <w:tr w:rsidR="001E2AD4" w14:paraId="4AFBA21F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hideMark/>
          </w:tcPr>
          <w:p w14:paraId="5DEC3183" w14:textId="77777777" w:rsidR="001E2AD4" w:rsidRDefault="001E2AD4" w:rsidP="00080CF6">
            <w:pPr>
              <w:pStyle w:val="SourceTableContent"/>
              <w:rPr>
                <w:b/>
              </w:rPr>
            </w:pPr>
            <w:r>
              <w:rPr>
                <w:rStyle w:val="SourceTableHeading-SmallChar"/>
              </w:rPr>
              <w:t>Air Quality</w:t>
            </w:r>
            <w:r>
              <w:rPr>
                <w:rStyle w:val="FootnoteRef-Bold"/>
              </w:rPr>
              <w:footnoteReference w:id="2"/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49345EAF" w14:textId="249CFCBD" w:rsidR="001E2AD4" w:rsidRDefault="001E2AD4" w:rsidP="00080CF6">
            <w:pPr>
              <w:pStyle w:val="SourceTableContent"/>
            </w:pPr>
            <w:r>
              <w:t>Air pollution-particulate matter days</w:t>
            </w:r>
            <w:r w:rsidR="00B83FDA">
              <w:t xml:space="preserve"> (</w:t>
            </w:r>
            <w:r w:rsidR="004C6F24">
              <w:t>46</w:t>
            </w:r>
            <w:r w:rsidR="00B83FDA">
              <w:t>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79212F38" w14:textId="5D36C5CF" w:rsidR="001E2AD4" w:rsidRDefault="00B83FDA" w:rsidP="00080CF6">
            <w:pPr>
              <w:pStyle w:val="SourceTableContent"/>
            </w:pPr>
            <w:r w:rsidRPr="00B83FDA">
              <w:rPr>
                <w:rFonts w:cs="Arial"/>
              </w:rPr>
              <w:t>Environmental Public Health Tracking Network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091D7AC6" w14:textId="5824C687" w:rsidR="001E2AD4" w:rsidRDefault="001E2AD4" w:rsidP="00080CF6">
            <w:pPr>
              <w:pStyle w:val="SourceTableContent-Right"/>
            </w:pPr>
            <w:r>
              <w:t>200</w:t>
            </w:r>
            <w:r w:rsidR="00B83FDA">
              <w:t>5</w:t>
            </w:r>
          </w:p>
        </w:tc>
      </w:tr>
      <w:tr w:rsidR="001E2AD4" w14:paraId="69DA415F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</w:tcPr>
          <w:p w14:paraId="32874ED6" w14:textId="77777777" w:rsidR="001E2AD4" w:rsidRDefault="001E2AD4" w:rsidP="00080CF6">
            <w:pPr>
              <w:pStyle w:val="SourceTableContent"/>
              <w:rPr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0BE83DD7" w14:textId="0A757A73" w:rsidR="001E2AD4" w:rsidRDefault="001E2AD4" w:rsidP="00080CF6">
            <w:pPr>
              <w:pStyle w:val="SourceTableContent"/>
            </w:pPr>
            <w:r>
              <w:t>Air pollution-ozone days</w:t>
            </w:r>
            <w:r w:rsidR="00B83FDA">
              <w:t xml:space="preserve"> (29)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67990944" w14:textId="15B505BF" w:rsidR="001E2AD4" w:rsidRDefault="00B83FDA" w:rsidP="00080CF6">
            <w:pPr>
              <w:pStyle w:val="SourceTableContent"/>
            </w:pPr>
            <w:r w:rsidRPr="00B83FDA">
              <w:rPr>
                <w:rFonts w:cs="Arial"/>
              </w:rPr>
              <w:t>Environmental Public Health Tracking Network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75055D53" w14:textId="5D9F8DB5" w:rsidR="001E2AD4" w:rsidRDefault="001E2AD4" w:rsidP="00080CF6">
            <w:pPr>
              <w:pStyle w:val="SourceTableContent-Right"/>
            </w:pPr>
            <w:r>
              <w:t>200</w:t>
            </w:r>
            <w:r w:rsidR="00B83FDA">
              <w:t>5</w:t>
            </w:r>
          </w:p>
        </w:tc>
      </w:tr>
      <w:tr w:rsidR="001E2AD4" w14:paraId="61E85BC2" w14:textId="77777777" w:rsidTr="00B83FDA"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hideMark/>
          </w:tcPr>
          <w:p w14:paraId="750ABC0A" w14:textId="77777777" w:rsidR="001E2AD4" w:rsidRDefault="001E2AD4" w:rsidP="00080CF6">
            <w:pPr>
              <w:pStyle w:val="SourceTableHeading-Small"/>
            </w:pPr>
            <w:r>
              <w:t>Built Environment</w:t>
            </w:r>
          </w:p>
        </w:tc>
        <w:tc>
          <w:tcPr>
            <w:tcW w:w="270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37DCC65E" w14:textId="17DC539C" w:rsidR="001E2AD4" w:rsidRDefault="001E2AD4" w:rsidP="00080CF6">
            <w:pPr>
              <w:pStyle w:val="SourceTableContent"/>
            </w:pPr>
            <w:r>
              <w:t>Access to healthy foods</w:t>
            </w:r>
            <w:r w:rsidR="00B83FDA">
              <w:t xml:space="preserve"> (30)</w:t>
            </w:r>
          </w:p>
        </w:tc>
        <w:tc>
          <w:tcPr>
            <w:tcW w:w="4320" w:type="dxa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2BB2CC02" w14:textId="2576045C" w:rsidR="001E2AD4" w:rsidRDefault="00B83FDA" w:rsidP="00080CF6">
            <w:pPr>
              <w:pStyle w:val="SourceTableContent"/>
              <w:rPr>
                <w:rFonts w:cs="Arial"/>
              </w:rPr>
            </w:pPr>
            <w:r>
              <w:rPr>
                <w:rFonts w:cs="Arial"/>
              </w:rPr>
              <w:t>Census County</w:t>
            </w:r>
            <w:r w:rsidR="001E2AD4">
              <w:rPr>
                <w:rFonts w:cs="Arial"/>
              </w:rPr>
              <w:t xml:space="preserve"> Business Patterns</w:t>
            </w:r>
          </w:p>
        </w:tc>
        <w:tc>
          <w:tcPr>
            <w:tcW w:w="1530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054923A0" w14:textId="69ADEF65" w:rsidR="001E2AD4" w:rsidRDefault="001E2AD4" w:rsidP="00080CF6">
            <w:pPr>
              <w:pStyle w:val="SourceTableContent-Right"/>
            </w:pPr>
            <w:r>
              <w:t>200</w:t>
            </w:r>
            <w:r w:rsidR="00B83FDA">
              <w:t>6</w:t>
            </w:r>
          </w:p>
        </w:tc>
      </w:tr>
      <w:tr w:rsidR="001E2AD4" w14:paraId="46EB58B1" w14:textId="77777777" w:rsidTr="00B83FDA">
        <w:tc>
          <w:tcPr>
            <w:tcW w:w="171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</w:tcPr>
          <w:p w14:paraId="2A1508E1" w14:textId="77777777" w:rsidR="001E2AD4" w:rsidRDefault="001E2AD4" w:rsidP="00080CF6">
            <w:pPr>
              <w:pStyle w:val="SourceTableContent"/>
              <w:rPr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04026CB2" w14:textId="17431F70" w:rsidR="001E2AD4" w:rsidRDefault="00B83FDA" w:rsidP="00080CF6">
            <w:pPr>
              <w:pStyle w:val="SourceTableContent"/>
            </w:pPr>
            <w:r>
              <w:t>Liquor store density (41)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6A6A6"/>
              <w:right w:val="nil"/>
            </w:tcBorders>
            <w:hideMark/>
          </w:tcPr>
          <w:p w14:paraId="6C108AAE" w14:textId="77777777" w:rsidR="001E2AD4" w:rsidRDefault="001E2AD4" w:rsidP="00080CF6">
            <w:pPr>
              <w:pStyle w:val="SourceTableContent"/>
              <w:rPr>
                <w:rFonts w:cs="Arial"/>
              </w:rPr>
            </w:pPr>
            <w:r>
              <w:rPr>
                <w:rFonts w:cs="Arial"/>
              </w:rPr>
              <w:t>Census County Business Patterns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51A520E2" w14:textId="6BBB1984" w:rsidR="001E2AD4" w:rsidRDefault="003938A5" w:rsidP="00080CF6">
            <w:pPr>
              <w:pStyle w:val="SourceTableContent-Right"/>
            </w:pPr>
            <w:r>
              <w:t>2006</w:t>
            </w:r>
          </w:p>
        </w:tc>
      </w:tr>
    </w:tbl>
    <w:p w14:paraId="7263C543" w14:textId="610F4CB8" w:rsidR="00251144" w:rsidRPr="00251144" w:rsidRDefault="00251144" w:rsidP="00E26FC4">
      <w:pPr>
        <w:rPr>
          <w:rFonts w:asciiTheme="majorHAnsi" w:eastAsiaTheme="majorEastAsia" w:hAnsiTheme="majorHAnsi" w:cstheme="majorBidi"/>
          <w:i/>
          <w:iCs/>
          <w:color w:val="003763" w:themeColor="accent4"/>
          <w:spacing w:val="15"/>
          <w:sz w:val="16"/>
          <w:szCs w:val="16"/>
        </w:rPr>
      </w:pPr>
    </w:p>
    <w:sectPr w:rsidR="00251144" w:rsidRPr="00251144" w:rsidSect="00802A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304" w:right="1440" w:bottom="1008" w:left="1440" w:header="1800" w:footer="432" w:gutter="0"/>
      <w:pgNumType w:start="1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8C120" w14:textId="77777777" w:rsidR="0001650E" w:rsidRDefault="0001650E" w:rsidP="004A7C1D">
      <w:r>
        <w:separator/>
      </w:r>
    </w:p>
  </w:endnote>
  <w:endnote w:type="continuationSeparator" w:id="0">
    <w:p w14:paraId="395A0826" w14:textId="77777777" w:rsidR="0001650E" w:rsidRDefault="0001650E" w:rsidP="004A7C1D">
      <w:r>
        <w:continuationSeparator/>
      </w:r>
    </w:p>
  </w:endnote>
  <w:endnote w:type="continuationNotice" w:id="1">
    <w:p w14:paraId="267E90C0" w14:textId="77777777" w:rsidR="0001650E" w:rsidRDefault="00016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Narrow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thamNarrow-Book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 Std Bl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 BE Regular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24B8E" w14:textId="77777777" w:rsidR="00E24A16" w:rsidRDefault="00E24A16" w:rsidP="001952E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C97F5E" w14:textId="77777777" w:rsidR="00E24A16" w:rsidRDefault="00E24A16" w:rsidP="001952EC">
    <w:pPr>
      <w:pStyle w:val="Footer"/>
      <w:ind w:firstLine="360"/>
      <w:rPr>
        <w:rStyle w:val="PageNumber"/>
      </w:rPr>
    </w:pPr>
  </w:p>
  <w:p w14:paraId="0A2831DD" w14:textId="77777777" w:rsidR="00E24A16" w:rsidRDefault="00E24A16" w:rsidP="004A7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5A978" w14:textId="77777777" w:rsidR="00E24A16" w:rsidRPr="001952EC" w:rsidRDefault="00E24A16" w:rsidP="001952EC">
    <w:pPr>
      <w:pStyle w:val="Footer"/>
      <w:framePr w:wrap="around" w:vAnchor="text" w:hAnchor="margin" w:y="1"/>
      <w:rPr>
        <w:rStyle w:val="PageNumber"/>
        <w:b/>
      </w:rPr>
    </w:pPr>
    <w:r w:rsidRPr="001952EC">
      <w:rPr>
        <w:rStyle w:val="PageNumber"/>
        <w:b/>
      </w:rPr>
      <w:fldChar w:fldCharType="begin"/>
    </w:r>
    <w:r w:rsidRPr="001952EC">
      <w:rPr>
        <w:rStyle w:val="PageNumber"/>
        <w:b/>
      </w:rPr>
      <w:instrText xml:space="preserve">PAGE  </w:instrText>
    </w:r>
    <w:r w:rsidRPr="001952EC">
      <w:rPr>
        <w:rStyle w:val="PageNumber"/>
        <w:b/>
      </w:rPr>
      <w:fldChar w:fldCharType="separate"/>
    </w:r>
    <w:r w:rsidR="0080651C">
      <w:rPr>
        <w:rStyle w:val="PageNumber"/>
        <w:b/>
        <w:noProof/>
      </w:rPr>
      <w:t>2</w:t>
    </w:r>
    <w:r w:rsidRPr="001952EC">
      <w:rPr>
        <w:rStyle w:val="PageNumber"/>
        <w:b/>
      </w:rPr>
      <w:fldChar w:fldCharType="end"/>
    </w:r>
  </w:p>
  <w:p w14:paraId="29235615" w14:textId="77777777" w:rsidR="00E24A16" w:rsidRPr="008E6FB7" w:rsidRDefault="00E24A16" w:rsidP="001952EC">
    <w:pPr>
      <w:pStyle w:val="Footer"/>
      <w:ind w:firstLine="360"/>
      <w:rPr>
        <w:i/>
        <w:spacing w:val="10"/>
        <w:sz w:val="24"/>
        <w:szCs w:val="24"/>
      </w:rPr>
    </w:pPr>
    <w:r w:rsidRPr="008E6FB7">
      <w:rPr>
        <w:i/>
        <w:color w:val="F15A25" w:themeColor="accent1"/>
        <w:spacing w:val="10"/>
        <w:sz w:val="24"/>
        <w:szCs w:val="24"/>
      </w:rPr>
      <w:t>www.countyhealthrankings.org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01B7A" w14:textId="77777777" w:rsidR="00E24A16" w:rsidRPr="00A419EA" w:rsidRDefault="00E24A16" w:rsidP="00663B5F">
    <w:pPr>
      <w:pStyle w:val="Heading2"/>
    </w:pPr>
    <w:r w:rsidRPr="00A419EA">
      <w:rPr>
        <w:noProof/>
        <w:lang w:eastAsia="en-US"/>
      </w:rPr>
      <w:drawing>
        <wp:anchor distT="0" distB="0" distL="114300" distR="114300" simplePos="0" relativeHeight="251667456" behindDoc="1" locked="0" layoutInCell="1" allowOverlap="1" wp14:anchorId="11CE089E" wp14:editId="282D5EFB">
          <wp:simplePos x="0" y="0"/>
          <wp:positionH relativeFrom="column">
            <wp:posOffset>-1047750</wp:posOffset>
          </wp:positionH>
          <wp:positionV relativeFrom="paragraph">
            <wp:posOffset>-406400</wp:posOffset>
          </wp:positionV>
          <wp:extent cx="7763172" cy="1005840"/>
          <wp:effectExtent l="0" t="0" r="0" b="0"/>
          <wp:wrapTopAndBottom/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3172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697B" w14:textId="77777777" w:rsidR="0001650E" w:rsidRDefault="0001650E" w:rsidP="004A7C1D">
      <w:r>
        <w:separator/>
      </w:r>
    </w:p>
  </w:footnote>
  <w:footnote w:type="continuationSeparator" w:id="0">
    <w:p w14:paraId="629351D4" w14:textId="77777777" w:rsidR="0001650E" w:rsidRDefault="0001650E" w:rsidP="004A7C1D">
      <w:r>
        <w:continuationSeparator/>
      </w:r>
    </w:p>
  </w:footnote>
  <w:footnote w:type="continuationNotice" w:id="1">
    <w:p w14:paraId="32515698" w14:textId="77777777" w:rsidR="0001650E" w:rsidRDefault="0001650E"/>
  </w:footnote>
  <w:footnote w:id="2">
    <w:p w14:paraId="7E185D55" w14:textId="77777777" w:rsidR="001E2AD4" w:rsidRDefault="001E2AD4" w:rsidP="001E2AD4">
      <w:pPr>
        <w:pStyle w:val="body"/>
      </w:pPr>
      <w:r>
        <w:rPr>
          <w:rStyle w:val="FootnoteReference"/>
        </w:rPr>
        <w:footnoteRef/>
      </w:r>
      <w:r>
        <w:t xml:space="preserve">   Not available for AK and HI.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56694" w14:textId="77777777" w:rsidR="00E24A16" w:rsidRDefault="00E24A16">
    <w:pPr>
      <w:pStyle w:val="Header"/>
    </w:pPr>
    <w:r w:rsidRPr="001E574F">
      <w:rPr>
        <w:noProof/>
        <w:lang w:eastAsia="en-US"/>
      </w:rPr>
      <w:drawing>
        <wp:anchor distT="0" distB="0" distL="114300" distR="114300" simplePos="0" relativeHeight="251670528" behindDoc="0" locked="0" layoutInCell="1" allowOverlap="1" wp14:anchorId="48F47A23" wp14:editId="65FE67A1">
          <wp:simplePos x="0" y="0"/>
          <wp:positionH relativeFrom="column">
            <wp:posOffset>-1133475</wp:posOffset>
          </wp:positionH>
          <wp:positionV relativeFrom="paragraph">
            <wp:posOffset>-1143000</wp:posOffset>
          </wp:positionV>
          <wp:extent cx="7808595" cy="1407795"/>
          <wp:effectExtent l="0" t="0" r="1905" b="1905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ed:ART:HEALTH POLICY:2012:CHRR Word Template:chrr_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140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02AE" w14:textId="77777777" w:rsidR="00E24A16" w:rsidRDefault="00E24A16">
    <w:pPr>
      <w:pStyle w:val="Header"/>
    </w:pPr>
    <w:r w:rsidRPr="008829E4"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6BDA804D" wp14:editId="3878EAA2">
          <wp:simplePos x="0" y="0"/>
          <wp:positionH relativeFrom="column">
            <wp:posOffset>-1143000</wp:posOffset>
          </wp:positionH>
          <wp:positionV relativeFrom="paragraph">
            <wp:posOffset>-1143000</wp:posOffset>
          </wp:positionV>
          <wp:extent cx="7863840" cy="1417320"/>
          <wp:effectExtent l="0" t="0" r="3810" b="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ed:ART:HEALTH POLICY:2012:CHRR Word Template:chrr_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141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CA05B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34F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074D8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7767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E0E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BFAB4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0C9E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9000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2B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748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8820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BF05A4"/>
    <w:multiLevelType w:val="hybridMultilevel"/>
    <w:tmpl w:val="0C349976"/>
    <w:lvl w:ilvl="0" w:tplc="23ACD11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6B6452"/>
    <w:multiLevelType w:val="hybridMultilevel"/>
    <w:tmpl w:val="F19A39FA"/>
    <w:lvl w:ilvl="0" w:tplc="D8B8AE02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B3BEA"/>
    <w:multiLevelType w:val="hybridMultilevel"/>
    <w:tmpl w:val="8D00D86C"/>
    <w:lvl w:ilvl="0" w:tplc="5C2A16B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6041DA"/>
    <w:multiLevelType w:val="hybridMultilevel"/>
    <w:tmpl w:val="8C763394"/>
    <w:lvl w:ilvl="0" w:tplc="53D227F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20719"/>
    <w:multiLevelType w:val="multilevel"/>
    <w:tmpl w:val="81F06BFE"/>
    <w:lvl w:ilvl="0">
      <w:start w:val="1"/>
      <w:numFmt w:val="decimal"/>
      <w:lvlText w:val="%1."/>
      <w:lvlJc w:val="left"/>
      <w:pPr>
        <w:ind w:left="0" w:firstLine="0"/>
      </w:pPr>
      <w:rPr>
        <w:rFonts w:ascii="Helvetica" w:hAnsi="Helvetica" w:hint="default"/>
        <w:b w:val="0"/>
        <w:i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D37429"/>
    <w:multiLevelType w:val="multilevel"/>
    <w:tmpl w:val="B3AA2BAE"/>
    <w:lvl w:ilvl="0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B170B"/>
    <w:multiLevelType w:val="multilevel"/>
    <w:tmpl w:val="50DEB97C"/>
    <w:lvl w:ilvl="0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3C38DE"/>
    <w:multiLevelType w:val="multilevel"/>
    <w:tmpl w:val="E46EE42C"/>
    <w:lvl w:ilvl="0">
      <w:start w:val="1"/>
      <w:numFmt w:val="decimal"/>
      <w:lvlText w:val="%1."/>
      <w:lvlJc w:val="left"/>
      <w:pPr>
        <w:ind w:left="0" w:firstLine="0"/>
      </w:pPr>
      <w:rPr>
        <w:rFonts w:ascii="Helvetica" w:hAnsi="Helvetica" w:hint="default"/>
        <w:b w:val="0"/>
        <w:i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96E01"/>
    <w:multiLevelType w:val="multilevel"/>
    <w:tmpl w:val="8D00D86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CB036A"/>
    <w:multiLevelType w:val="hybridMultilevel"/>
    <w:tmpl w:val="6532BB72"/>
    <w:lvl w:ilvl="0" w:tplc="F5F0BA9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267E7BED"/>
    <w:multiLevelType w:val="hybridMultilevel"/>
    <w:tmpl w:val="1CA422E8"/>
    <w:lvl w:ilvl="0" w:tplc="BEE6382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41EF1"/>
    <w:multiLevelType w:val="hybridMultilevel"/>
    <w:tmpl w:val="53A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2B4C01"/>
    <w:multiLevelType w:val="multilevel"/>
    <w:tmpl w:val="8C76339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61706E"/>
    <w:multiLevelType w:val="multilevel"/>
    <w:tmpl w:val="42EE198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Georgia" w:hAnsi="Georgia" w:hint="default"/>
        <w:b w:val="0"/>
        <w:i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27162"/>
    <w:multiLevelType w:val="hybridMultilevel"/>
    <w:tmpl w:val="2250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6C011F"/>
    <w:multiLevelType w:val="hybridMultilevel"/>
    <w:tmpl w:val="50DEB97C"/>
    <w:lvl w:ilvl="0" w:tplc="85209C40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04242"/>
    <w:multiLevelType w:val="hybridMultilevel"/>
    <w:tmpl w:val="3A1A46C4"/>
    <w:lvl w:ilvl="0" w:tplc="7B306AAA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92C6B"/>
    <w:multiLevelType w:val="multilevel"/>
    <w:tmpl w:val="B3AA2BAE"/>
    <w:lvl w:ilvl="0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D60BD7"/>
    <w:multiLevelType w:val="multilevel"/>
    <w:tmpl w:val="7004ADBE"/>
    <w:lvl w:ilvl="0">
      <w:start w:val="1"/>
      <w:numFmt w:val="decimal"/>
      <w:lvlText w:val="%1."/>
      <w:lvlJc w:val="left"/>
      <w:pPr>
        <w:ind w:left="0" w:firstLine="0"/>
      </w:pPr>
      <w:rPr>
        <w:rFonts w:ascii="Georgia" w:hAnsi="Georgia" w:hint="default"/>
        <w:b w:val="0"/>
        <w:i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BF4BAC"/>
    <w:multiLevelType w:val="multilevel"/>
    <w:tmpl w:val="42EE198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Georgia" w:hAnsi="Georgia" w:hint="default"/>
        <w:b w:val="0"/>
        <w:i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45518B"/>
    <w:multiLevelType w:val="hybridMultilevel"/>
    <w:tmpl w:val="01381C80"/>
    <w:lvl w:ilvl="0" w:tplc="0C2EBCE2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42DC451E"/>
    <w:multiLevelType w:val="hybridMultilevel"/>
    <w:tmpl w:val="B3AA2BAE"/>
    <w:lvl w:ilvl="0" w:tplc="6B368DEC">
      <w:start w:val="1"/>
      <w:numFmt w:val="bullet"/>
      <w:lvlText w:val=""/>
      <w:lvlJc w:val="left"/>
      <w:pPr>
        <w:ind w:left="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E49AF"/>
    <w:multiLevelType w:val="hybridMultilevel"/>
    <w:tmpl w:val="FA4A9D6C"/>
    <w:lvl w:ilvl="0" w:tplc="C2CECE9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02683"/>
    <w:multiLevelType w:val="multilevel"/>
    <w:tmpl w:val="1CA422E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65F64"/>
    <w:multiLevelType w:val="multilevel"/>
    <w:tmpl w:val="B3E4B4F8"/>
    <w:lvl w:ilvl="0">
      <w:start w:val="1"/>
      <w:numFmt w:val="decimal"/>
      <w:lvlText w:val="%1."/>
      <w:lvlJc w:val="left"/>
      <w:pPr>
        <w:ind w:left="0" w:firstLine="0"/>
      </w:pPr>
      <w:rPr>
        <w:rFonts w:ascii="Helvetica" w:hAnsi="Helvetica" w:hint="default"/>
        <w:b w:val="0"/>
        <w:i w:val="0"/>
        <w:color w:val="auto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D5D3D"/>
    <w:multiLevelType w:val="multilevel"/>
    <w:tmpl w:val="6532BB7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5DA25F53"/>
    <w:multiLevelType w:val="hybridMultilevel"/>
    <w:tmpl w:val="77D8185A"/>
    <w:lvl w:ilvl="0" w:tplc="D6C878E0">
      <w:start w:val="1"/>
      <w:numFmt w:val="bullet"/>
      <w:lvlText w:val=""/>
      <w:lvlJc w:val="left"/>
      <w:pPr>
        <w:tabs>
          <w:tab w:val="num" w:pos="360"/>
        </w:tabs>
        <w:ind w:left="36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624F2E30"/>
    <w:multiLevelType w:val="multilevel"/>
    <w:tmpl w:val="77D81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18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65ED0C8A"/>
    <w:multiLevelType w:val="hybridMultilevel"/>
    <w:tmpl w:val="72FA6142"/>
    <w:lvl w:ilvl="0" w:tplc="D6C878E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E2C0A"/>
    <w:multiLevelType w:val="hybridMultilevel"/>
    <w:tmpl w:val="93F4A2D0"/>
    <w:lvl w:ilvl="0" w:tplc="5C2A16B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40399"/>
    <w:multiLevelType w:val="hybridMultilevel"/>
    <w:tmpl w:val="42EE198E"/>
    <w:lvl w:ilvl="0" w:tplc="FEFCC9F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Georgia" w:hAnsi="Georgia" w:hint="default"/>
        <w:b w:val="0"/>
        <w:i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628FF"/>
    <w:multiLevelType w:val="hybridMultilevel"/>
    <w:tmpl w:val="F84AB7C6"/>
    <w:lvl w:ilvl="0" w:tplc="23FCF274">
      <w:start w:val="1"/>
      <w:numFmt w:val="bullet"/>
      <w:pStyle w:val="Bullet2"/>
      <w:lvlText w:val="–"/>
      <w:lvlJc w:val="left"/>
      <w:pPr>
        <w:ind w:left="720" w:hanging="288"/>
      </w:pPr>
      <w:rPr>
        <w:rFonts w:ascii="Corbel" w:hAnsi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D4A85"/>
    <w:multiLevelType w:val="hybridMultilevel"/>
    <w:tmpl w:val="423A36EA"/>
    <w:lvl w:ilvl="0" w:tplc="D6C878E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247F8"/>
    <w:multiLevelType w:val="hybridMultilevel"/>
    <w:tmpl w:val="D674DEEC"/>
    <w:lvl w:ilvl="0" w:tplc="CB7CF23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b w:val="0"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3"/>
  </w:num>
  <w:num w:numId="4">
    <w:abstractNumId w:val="41"/>
  </w:num>
  <w:num w:numId="5">
    <w:abstractNumId w:val="30"/>
  </w:num>
  <w:num w:numId="6">
    <w:abstractNumId w:val="19"/>
  </w:num>
  <w:num w:numId="7">
    <w:abstractNumId w:val="40"/>
  </w:num>
  <w:num w:numId="8">
    <w:abstractNumId w:val="24"/>
  </w:num>
  <w:num w:numId="9">
    <w:abstractNumId w:val="11"/>
  </w:num>
  <w:num w:numId="10">
    <w:abstractNumId w:val="44"/>
  </w:num>
  <w:num w:numId="11">
    <w:abstractNumId w:val="15"/>
  </w:num>
  <w:num w:numId="12">
    <w:abstractNumId w:val="18"/>
  </w:num>
  <w:num w:numId="13">
    <w:abstractNumId w:val="35"/>
  </w:num>
  <w:num w:numId="14">
    <w:abstractNumId w:val="29"/>
  </w:num>
  <w:num w:numId="15">
    <w:abstractNumId w:val="21"/>
  </w:num>
  <w:num w:numId="16">
    <w:abstractNumId w:val="34"/>
  </w:num>
  <w:num w:numId="17">
    <w:abstractNumId w:val="26"/>
  </w:num>
  <w:num w:numId="18">
    <w:abstractNumId w:val="17"/>
  </w:num>
  <w:num w:numId="19">
    <w:abstractNumId w:val="32"/>
  </w:num>
  <w:num w:numId="20">
    <w:abstractNumId w:val="39"/>
  </w:num>
  <w:num w:numId="21">
    <w:abstractNumId w:val="43"/>
  </w:num>
  <w:num w:numId="22">
    <w:abstractNumId w:val="37"/>
  </w:num>
  <w:num w:numId="23">
    <w:abstractNumId w:val="28"/>
  </w:num>
  <w:num w:numId="24">
    <w:abstractNumId w:val="27"/>
  </w:num>
  <w:num w:numId="25">
    <w:abstractNumId w:val="16"/>
  </w:num>
  <w:num w:numId="26">
    <w:abstractNumId w:val="12"/>
  </w:num>
  <w:num w:numId="27">
    <w:abstractNumId w:val="38"/>
  </w:num>
  <w:num w:numId="28">
    <w:abstractNumId w:val="20"/>
  </w:num>
  <w:num w:numId="29">
    <w:abstractNumId w:val="36"/>
  </w:num>
  <w:num w:numId="30">
    <w:abstractNumId w:val="31"/>
  </w:num>
  <w:num w:numId="31">
    <w:abstractNumId w:val="33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9"/>
  </w:num>
  <w:num w:numId="38">
    <w:abstractNumId w:val="4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42"/>
  </w:num>
  <w:num w:numId="44">
    <w:abstractNumId w:val="2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>
      <o:colormru v:ext="edit" colors="#c9c40d,#f6dc93,#fef0d5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E84"/>
    <w:rsid w:val="00002AF6"/>
    <w:rsid w:val="00005FA3"/>
    <w:rsid w:val="0000692A"/>
    <w:rsid w:val="00010926"/>
    <w:rsid w:val="00012781"/>
    <w:rsid w:val="00014791"/>
    <w:rsid w:val="000163FB"/>
    <w:rsid w:val="0001650E"/>
    <w:rsid w:val="00023ED6"/>
    <w:rsid w:val="00024EAA"/>
    <w:rsid w:val="0005055F"/>
    <w:rsid w:val="00061EA0"/>
    <w:rsid w:val="00072976"/>
    <w:rsid w:val="00075147"/>
    <w:rsid w:val="00087881"/>
    <w:rsid w:val="00092A53"/>
    <w:rsid w:val="000A322B"/>
    <w:rsid w:val="000A3779"/>
    <w:rsid w:val="000A622C"/>
    <w:rsid w:val="000A70EE"/>
    <w:rsid w:val="000B7F2D"/>
    <w:rsid w:val="000C1714"/>
    <w:rsid w:val="000C354A"/>
    <w:rsid w:val="000C66FC"/>
    <w:rsid w:val="000D2EAD"/>
    <w:rsid w:val="000E4DF6"/>
    <w:rsid w:val="000F11BE"/>
    <w:rsid w:val="000F1B78"/>
    <w:rsid w:val="00123E12"/>
    <w:rsid w:val="00126D6A"/>
    <w:rsid w:val="0013618D"/>
    <w:rsid w:val="00142ED4"/>
    <w:rsid w:val="001602F4"/>
    <w:rsid w:val="00164C9B"/>
    <w:rsid w:val="00171393"/>
    <w:rsid w:val="001718EB"/>
    <w:rsid w:val="00171D35"/>
    <w:rsid w:val="00183EE1"/>
    <w:rsid w:val="001952EC"/>
    <w:rsid w:val="001A038E"/>
    <w:rsid w:val="001A03F8"/>
    <w:rsid w:val="001A1CA3"/>
    <w:rsid w:val="001A6D63"/>
    <w:rsid w:val="001B3F20"/>
    <w:rsid w:val="001D24B2"/>
    <w:rsid w:val="001D6751"/>
    <w:rsid w:val="001E2AD4"/>
    <w:rsid w:val="001E574F"/>
    <w:rsid w:val="001F7F04"/>
    <w:rsid w:val="002079A5"/>
    <w:rsid w:val="0021441B"/>
    <w:rsid w:val="002202BD"/>
    <w:rsid w:val="00223B70"/>
    <w:rsid w:val="00232AE6"/>
    <w:rsid w:val="00237C5E"/>
    <w:rsid w:val="00251144"/>
    <w:rsid w:val="0025651F"/>
    <w:rsid w:val="00262B86"/>
    <w:rsid w:val="00266CD8"/>
    <w:rsid w:val="00274891"/>
    <w:rsid w:val="002A0985"/>
    <w:rsid w:val="002A1132"/>
    <w:rsid w:val="002A42BC"/>
    <w:rsid w:val="002B3030"/>
    <w:rsid w:val="002D406B"/>
    <w:rsid w:val="002F2927"/>
    <w:rsid w:val="00330ED8"/>
    <w:rsid w:val="00361E2D"/>
    <w:rsid w:val="003645DE"/>
    <w:rsid w:val="003652E2"/>
    <w:rsid w:val="00365415"/>
    <w:rsid w:val="0036717E"/>
    <w:rsid w:val="00367693"/>
    <w:rsid w:val="00367BB2"/>
    <w:rsid w:val="00374B7F"/>
    <w:rsid w:val="00376F50"/>
    <w:rsid w:val="0038003F"/>
    <w:rsid w:val="003821A1"/>
    <w:rsid w:val="003923B5"/>
    <w:rsid w:val="003938A5"/>
    <w:rsid w:val="003A4837"/>
    <w:rsid w:val="003A6A09"/>
    <w:rsid w:val="003D171E"/>
    <w:rsid w:val="003D2C36"/>
    <w:rsid w:val="003E1852"/>
    <w:rsid w:val="003E6518"/>
    <w:rsid w:val="003F1B05"/>
    <w:rsid w:val="003F1ECB"/>
    <w:rsid w:val="004048A6"/>
    <w:rsid w:val="00427746"/>
    <w:rsid w:val="00451098"/>
    <w:rsid w:val="0045649E"/>
    <w:rsid w:val="00471A92"/>
    <w:rsid w:val="004A7C1D"/>
    <w:rsid w:val="004B4660"/>
    <w:rsid w:val="004B7668"/>
    <w:rsid w:val="004C6F24"/>
    <w:rsid w:val="004D06F4"/>
    <w:rsid w:val="004D2A68"/>
    <w:rsid w:val="004D7DAB"/>
    <w:rsid w:val="004E42AE"/>
    <w:rsid w:val="004E7C32"/>
    <w:rsid w:val="00500682"/>
    <w:rsid w:val="00504EED"/>
    <w:rsid w:val="00512A0D"/>
    <w:rsid w:val="00514810"/>
    <w:rsid w:val="0051514A"/>
    <w:rsid w:val="00531DD5"/>
    <w:rsid w:val="00536B65"/>
    <w:rsid w:val="005443A2"/>
    <w:rsid w:val="00576CB9"/>
    <w:rsid w:val="0058472A"/>
    <w:rsid w:val="0058764C"/>
    <w:rsid w:val="005953A9"/>
    <w:rsid w:val="0059738B"/>
    <w:rsid w:val="005A4539"/>
    <w:rsid w:val="005A7DF1"/>
    <w:rsid w:val="005C3C0F"/>
    <w:rsid w:val="005D0340"/>
    <w:rsid w:val="005F11D1"/>
    <w:rsid w:val="005F6E68"/>
    <w:rsid w:val="00604189"/>
    <w:rsid w:val="0061254E"/>
    <w:rsid w:val="0061526D"/>
    <w:rsid w:val="00617B01"/>
    <w:rsid w:val="0063166E"/>
    <w:rsid w:val="00635E9D"/>
    <w:rsid w:val="006471D9"/>
    <w:rsid w:val="00653D6B"/>
    <w:rsid w:val="00654A2D"/>
    <w:rsid w:val="00657AEA"/>
    <w:rsid w:val="00663B5F"/>
    <w:rsid w:val="006728DB"/>
    <w:rsid w:val="00686493"/>
    <w:rsid w:val="00686594"/>
    <w:rsid w:val="00687C6B"/>
    <w:rsid w:val="00690789"/>
    <w:rsid w:val="006A2E5A"/>
    <w:rsid w:val="006A77B9"/>
    <w:rsid w:val="006B09AB"/>
    <w:rsid w:val="006B3803"/>
    <w:rsid w:val="006B76E0"/>
    <w:rsid w:val="006D68E8"/>
    <w:rsid w:val="006D7110"/>
    <w:rsid w:val="006E5062"/>
    <w:rsid w:val="006E604B"/>
    <w:rsid w:val="006F1182"/>
    <w:rsid w:val="006F2876"/>
    <w:rsid w:val="00700C4F"/>
    <w:rsid w:val="00704913"/>
    <w:rsid w:val="00713BA2"/>
    <w:rsid w:val="007367C7"/>
    <w:rsid w:val="007411E1"/>
    <w:rsid w:val="00744A9E"/>
    <w:rsid w:val="007653B9"/>
    <w:rsid w:val="00765F2C"/>
    <w:rsid w:val="00786A97"/>
    <w:rsid w:val="00790E84"/>
    <w:rsid w:val="00793149"/>
    <w:rsid w:val="007A5EC3"/>
    <w:rsid w:val="007B3023"/>
    <w:rsid w:val="007C2642"/>
    <w:rsid w:val="007D05EC"/>
    <w:rsid w:val="007D1737"/>
    <w:rsid w:val="007D4DAF"/>
    <w:rsid w:val="007E70BC"/>
    <w:rsid w:val="00802A5F"/>
    <w:rsid w:val="008064DF"/>
    <w:rsid w:val="0080651C"/>
    <w:rsid w:val="008167E7"/>
    <w:rsid w:val="00825C73"/>
    <w:rsid w:val="00826F08"/>
    <w:rsid w:val="00845544"/>
    <w:rsid w:val="00846014"/>
    <w:rsid w:val="00846D83"/>
    <w:rsid w:val="00851847"/>
    <w:rsid w:val="00854680"/>
    <w:rsid w:val="0087092A"/>
    <w:rsid w:val="00875C1D"/>
    <w:rsid w:val="00875CC4"/>
    <w:rsid w:val="008829E4"/>
    <w:rsid w:val="00882C8A"/>
    <w:rsid w:val="008A7EFE"/>
    <w:rsid w:val="008C47D9"/>
    <w:rsid w:val="008D05C1"/>
    <w:rsid w:val="008D356D"/>
    <w:rsid w:val="008D52D6"/>
    <w:rsid w:val="008E5654"/>
    <w:rsid w:val="008E6FB7"/>
    <w:rsid w:val="00903C27"/>
    <w:rsid w:val="00911B1D"/>
    <w:rsid w:val="00921C4D"/>
    <w:rsid w:val="00930342"/>
    <w:rsid w:val="00933E01"/>
    <w:rsid w:val="00933FA1"/>
    <w:rsid w:val="009423A2"/>
    <w:rsid w:val="00944CC2"/>
    <w:rsid w:val="00955F9C"/>
    <w:rsid w:val="00960F7E"/>
    <w:rsid w:val="009655A7"/>
    <w:rsid w:val="00983557"/>
    <w:rsid w:val="00995D95"/>
    <w:rsid w:val="009B09B8"/>
    <w:rsid w:val="009B3A27"/>
    <w:rsid w:val="009B6A2E"/>
    <w:rsid w:val="009C2620"/>
    <w:rsid w:val="009C30EE"/>
    <w:rsid w:val="009C6B2D"/>
    <w:rsid w:val="009C757F"/>
    <w:rsid w:val="009D1554"/>
    <w:rsid w:val="009D6BC3"/>
    <w:rsid w:val="009D7DAA"/>
    <w:rsid w:val="009E14B1"/>
    <w:rsid w:val="009E1F8B"/>
    <w:rsid w:val="00A06360"/>
    <w:rsid w:val="00A07183"/>
    <w:rsid w:val="00A36556"/>
    <w:rsid w:val="00A40DA4"/>
    <w:rsid w:val="00A419EA"/>
    <w:rsid w:val="00A51C93"/>
    <w:rsid w:val="00A53F2B"/>
    <w:rsid w:val="00A6397B"/>
    <w:rsid w:val="00A67F7B"/>
    <w:rsid w:val="00A74CF4"/>
    <w:rsid w:val="00A74DE2"/>
    <w:rsid w:val="00A8676F"/>
    <w:rsid w:val="00A9715E"/>
    <w:rsid w:val="00AA429E"/>
    <w:rsid w:val="00AB101F"/>
    <w:rsid w:val="00AB40D1"/>
    <w:rsid w:val="00AB5103"/>
    <w:rsid w:val="00AC0277"/>
    <w:rsid w:val="00AC7AAB"/>
    <w:rsid w:val="00B0678E"/>
    <w:rsid w:val="00B62C5F"/>
    <w:rsid w:val="00B67C3D"/>
    <w:rsid w:val="00B732A6"/>
    <w:rsid w:val="00B75E10"/>
    <w:rsid w:val="00B773DD"/>
    <w:rsid w:val="00B8139F"/>
    <w:rsid w:val="00B83FDA"/>
    <w:rsid w:val="00B84A82"/>
    <w:rsid w:val="00B90DF6"/>
    <w:rsid w:val="00B9752C"/>
    <w:rsid w:val="00BC4867"/>
    <w:rsid w:val="00BE1CC6"/>
    <w:rsid w:val="00BE5A17"/>
    <w:rsid w:val="00BF0DD8"/>
    <w:rsid w:val="00BF5F7F"/>
    <w:rsid w:val="00C121D9"/>
    <w:rsid w:val="00C15ACB"/>
    <w:rsid w:val="00C255D0"/>
    <w:rsid w:val="00C26D91"/>
    <w:rsid w:val="00C41984"/>
    <w:rsid w:val="00C41F6F"/>
    <w:rsid w:val="00C468E2"/>
    <w:rsid w:val="00C51C79"/>
    <w:rsid w:val="00C5203A"/>
    <w:rsid w:val="00C70F2F"/>
    <w:rsid w:val="00C8000D"/>
    <w:rsid w:val="00C877C3"/>
    <w:rsid w:val="00C90C74"/>
    <w:rsid w:val="00CB187D"/>
    <w:rsid w:val="00CC0496"/>
    <w:rsid w:val="00CC35A6"/>
    <w:rsid w:val="00CE10B2"/>
    <w:rsid w:val="00CE3C98"/>
    <w:rsid w:val="00CF54ED"/>
    <w:rsid w:val="00D037D8"/>
    <w:rsid w:val="00D078A2"/>
    <w:rsid w:val="00D45C13"/>
    <w:rsid w:val="00D61D8D"/>
    <w:rsid w:val="00D64094"/>
    <w:rsid w:val="00D7419F"/>
    <w:rsid w:val="00D917BB"/>
    <w:rsid w:val="00D930B9"/>
    <w:rsid w:val="00D96372"/>
    <w:rsid w:val="00DA19CF"/>
    <w:rsid w:val="00DA3A91"/>
    <w:rsid w:val="00DA522E"/>
    <w:rsid w:val="00DB0BD8"/>
    <w:rsid w:val="00DB3245"/>
    <w:rsid w:val="00DC4AE5"/>
    <w:rsid w:val="00DD136F"/>
    <w:rsid w:val="00DD2A39"/>
    <w:rsid w:val="00DD4D45"/>
    <w:rsid w:val="00DE586E"/>
    <w:rsid w:val="00DE658C"/>
    <w:rsid w:val="00DE6EB2"/>
    <w:rsid w:val="00DF23AD"/>
    <w:rsid w:val="00E057D7"/>
    <w:rsid w:val="00E202CB"/>
    <w:rsid w:val="00E24A16"/>
    <w:rsid w:val="00E26FC4"/>
    <w:rsid w:val="00E449EB"/>
    <w:rsid w:val="00E60B84"/>
    <w:rsid w:val="00E85CC5"/>
    <w:rsid w:val="00E97102"/>
    <w:rsid w:val="00EA2049"/>
    <w:rsid w:val="00EA6DE9"/>
    <w:rsid w:val="00EA7451"/>
    <w:rsid w:val="00EB318D"/>
    <w:rsid w:val="00EB52FD"/>
    <w:rsid w:val="00EE226E"/>
    <w:rsid w:val="00F020FA"/>
    <w:rsid w:val="00F1066A"/>
    <w:rsid w:val="00F31058"/>
    <w:rsid w:val="00F313CC"/>
    <w:rsid w:val="00F40A0B"/>
    <w:rsid w:val="00F41041"/>
    <w:rsid w:val="00F55343"/>
    <w:rsid w:val="00F57C36"/>
    <w:rsid w:val="00F827E1"/>
    <w:rsid w:val="00F913F1"/>
    <w:rsid w:val="00F93912"/>
    <w:rsid w:val="00FA0C7F"/>
    <w:rsid w:val="00FA4C66"/>
    <w:rsid w:val="00FB2B37"/>
    <w:rsid w:val="00FB7408"/>
    <w:rsid w:val="00FC7639"/>
    <w:rsid w:val="00FD61AE"/>
    <w:rsid w:val="00FE5DDA"/>
    <w:rsid w:val="00FF5E79"/>
    <w:rsid w:val="00FF7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>
      <o:colormru v:ext="edit" colors="#c9c40d,#f6dc93,#fef0d5"/>
    </o:shapedefaults>
    <o:shapelayout v:ext="edit">
      <o:idmap v:ext="edit" data="1"/>
    </o:shapelayout>
  </w:shapeDefaults>
  <w:decimalSymbol w:val="."/>
  <w:listSeparator w:val=","/>
  <w14:docId w14:val="54F71B6D"/>
  <w15:docId w15:val="{C8B49FD4-EB01-4462-872A-97AD92FF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7C32"/>
    <w:rPr>
      <w:rFonts w:ascii="Calibri" w:hAnsi="Calibri"/>
      <w:sz w:val="22"/>
      <w:szCs w:val="22"/>
      <w14:numForm w14:val="lining"/>
    </w:rPr>
  </w:style>
  <w:style w:type="paragraph" w:styleId="Heading1">
    <w:name w:val="heading 1"/>
    <w:basedOn w:val="Normal"/>
    <w:next w:val="Normal"/>
    <w:link w:val="Heading1Char"/>
    <w:autoRedefine/>
    <w:qFormat/>
    <w:rsid w:val="007E70BC"/>
    <w:pPr>
      <w:keepNext/>
      <w:keepLines/>
      <w:spacing w:before="240" w:after="120" w:line="360" w:lineRule="exact"/>
      <w:outlineLvl w:val="0"/>
    </w:pPr>
    <w:rPr>
      <w:rFonts w:asciiTheme="majorHAnsi" w:eastAsiaTheme="majorEastAsia" w:hAnsiTheme="majorHAnsi" w:cstheme="majorBidi"/>
      <w:b/>
      <w:bCs/>
      <w:color w:val="003763" w:themeColor="accent4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36556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Cs/>
      <w:i/>
      <w:color w:val="D54215" w:themeColor="text2"/>
      <w:spacing w:val="10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3676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15A25" w:themeColor="accent1"/>
    </w:rPr>
  </w:style>
  <w:style w:type="paragraph" w:styleId="Heading4">
    <w:name w:val="heading 4"/>
    <w:basedOn w:val="Normal"/>
    <w:next w:val="Normal"/>
    <w:link w:val="Heading4Char"/>
    <w:rsid w:val="003676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15A2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70BC"/>
    <w:rPr>
      <w:rFonts w:asciiTheme="majorHAnsi" w:eastAsiaTheme="majorEastAsia" w:hAnsiTheme="majorHAnsi" w:cstheme="majorBidi"/>
      <w:b/>
      <w:bCs/>
      <w:color w:val="003763" w:themeColor="accent4"/>
      <w:spacing w:val="10"/>
      <w:sz w:val="28"/>
      <w:szCs w:val="28"/>
      <w14:numForm w14:val="lining"/>
    </w:rPr>
  </w:style>
  <w:style w:type="character" w:customStyle="1" w:styleId="Heading2Char">
    <w:name w:val="Heading 2 Char"/>
    <w:basedOn w:val="DefaultParagraphFont"/>
    <w:link w:val="Heading2"/>
    <w:rsid w:val="00A36556"/>
    <w:rPr>
      <w:rFonts w:asciiTheme="majorHAnsi" w:eastAsiaTheme="majorEastAsia" w:hAnsiTheme="majorHAnsi" w:cstheme="majorBidi"/>
      <w:bCs/>
      <w:i/>
      <w:color w:val="D54215" w:themeColor="text2"/>
      <w:spacing w:val="10"/>
      <w14:numForm w14:val="lining"/>
    </w:rPr>
  </w:style>
  <w:style w:type="character" w:customStyle="1" w:styleId="Heading3Char">
    <w:name w:val="Heading 3 Char"/>
    <w:basedOn w:val="DefaultParagraphFont"/>
    <w:link w:val="Heading3"/>
    <w:rsid w:val="00367693"/>
    <w:rPr>
      <w:rFonts w:asciiTheme="majorHAnsi" w:eastAsiaTheme="majorEastAsia" w:hAnsiTheme="majorHAnsi" w:cstheme="majorBidi"/>
      <w:b/>
      <w:bCs/>
      <w:color w:val="F15A25" w:themeColor="accent1"/>
      <w:sz w:val="22"/>
      <w:szCs w:val="22"/>
      <w14:numForm w14:val="lining"/>
    </w:rPr>
  </w:style>
  <w:style w:type="character" w:customStyle="1" w:styleId="Heading4Char">
    <w:name w:val="Heading 4 Char"/>
    <w:basedOn w:val="DefaultParagraphFont"/>
    <w:link w:val="Heading4"/>
    <w:rsid w:val="00367693"/>
    <w:rPr>
      <w:rFonts w:asciiTheme="majorHAnsi" w:eastAsiaTheme="majorEastAsia" w:hAnsiTheme="majorHAnsi" w:cstheme="majorBidi"/>
      <w:b/>
      <w:bCs/>
      <w:i/>
      <w:iCs/>
      <w:color w:val="F15A25" w:themeColor="accent1"/>
      <w:sz w:val="22"/>
      <w:szCs w:val="22"/>
      <w14:numForm w14:val="lining"/>
    </w:rPr>
  </w:style>
  <w:style w:type="paragraph" w:styleId="Header">
    <w:name w:val="header"/>
    <w:basedOn w:val="Normal"/>
    <w:link w:val="HeaderChar"/>
    <w:uiPriority w:val="99"/>
    <w:unhideWhenUsed/>
    <w:rsid w:val="00DA19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9CF"/>
  </w:style>
  <w:style w:type="paragraph" w:styleId="Footer">
    <w:name w:val="footer"/>
    <w:basedOn w:val="Normal"/>
    <w:link w:val="FooterChar"/>
    <w:uiPriority w:val="99"/>
    <w:unhideWhenUsed/>
    <w:rsid w:val="00DA19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9CF"/>
  </w:style>
  <w:style w:type="paragraph" w:styleId="ListParagraph">
    <w:name w:val="List Paragraph"/>
    <w:basedOn w:val="Normal"/>
    <w:rsid w:val="002A0985"/>
    <w:pPr>
      <w:ind w:left="720"/>
      <w:contextualSpacing/>
    </w:pPr>
  </w:style>
  <w:style w:type="paragraph" w:customStyle="1" w:styleId="referencesbodycopy">
    <w:name w:val="references body copy"/>
    <w:basedOn w:val="Normal"/>
    <w:uiPriority w:val="99"/>
    <w:rsid w:val="00786A97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GothamNarrow-Book" w:hAnsi="GothamNarrow-Book" w:cs="GothamNarrow-Book"/>
      <w:color w:val="60350A"/>
      <w:sz w:val="14"/>
      <w:szCs w:val="14"/>
    </w:rPr>
  </w:style>
  <w:style w:type="character" w:customStyle="1" w:styleId="referencesitalic">
    <w:name w:val="references italic"/>
    <w:uiPriority w:val="99"/>
    <w:rsid w:val="00786A97"/>
    <w:rPr>
      <w:rFonts w:ascii="GothamNarrow-BookItalic" w:hAnsi="GothamNarrow-BookItalic" w:cs="GothamNarrow-BookItalic"/>
      <w:i/>
      <w:iCs/>
      <w:color w:val="60350A"/>
      <w:sz w:val="14"/>
      <w:szCs w:val="14"/>
    </w:rPr>
  </w:style>
  <w:style w:type="character" w:styleId="Hyperlink">
    <w:name w:val="Hyperlink"/>
    <w:basedOn w:val="DefaultParagraphFont"/>
    <w:uiPriority w:val="99"/>
    <w:rsid w:val="00AB40D1"/>
    <w:rPr>
      <w:color w:val="D54215" w:themeColor="hyperlink"/>
      <w:u w:val="single"/>
    </w:rPr>
  </w:style>
  <w:style w:type="character" w:styleId="PageNumber">
    <w:name w:val="page number"/>
    <w:basedOn w:val="DefaultParagraphFont"/>
    <w:rsid w:val="00FB7408"/>
  </w:style>
  <w:style w:type="paragraph" w:customStyle="1" w:styleId="Default">
    <w:name w:val="Default"/>
    <w:rsid w:val="00765F2C"/>
    <w:pPr>
      <w:widowControl w:val="0"/>
      <w:autoSpaceDE w:val="0"/>
      <w:autoSpaceDN w:val="0"/>
      <w:adjustRightInd w:val="0"/>
    </w:pPr>
    <w:rPr>
      <w:rFonts w:ascii="HelveticaNeueLT Std Blk" w:hAnsi="HelveticaNeueLT Std Blk" w:cs="HelveticaNeueLT Std Blk"/>
      <w:color w:val="000000"/>
    </w:rPr>
  </w:style>
  <w:style w:type="paragraph" w:customStyle="1" w:styleId="Pa1">
    <w:name w:val="Pa1"/>
    <w:basedOn w:val="Default"/>
    <w:next w:val="Default"/>
    <w:uiPriority w:val="99"/>
    <w:rsid w:val="00765F2C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uiPriority w:val="99"/>
    <w:rsid w:val="00765F2C"/>
    <w:pPr>
      <w:spacing w:line="20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765F2C"/>
    <w:rPr>
      <w:rFonts w:ascii="Garamond BE Regular" w:hAnsi="Garamond BE Regular" w:cs="Garamond BE Regular"/>
      <w:color w:val="221E1F"/>
      <w:sz w:val="11"/>
      <w:szCs w:val="11"/>
    </w:rPr>
  </w:style>
  <w:style w:type="paragraph" w:customStyle="1" w:styleId="Pa3">
    <w:name w:val="Pa3"/>
    <w:basedOn w:val="Default"/>
    <w:next w:val="Default"/>
    <w:uiPriority w:val="99"/>
    <w:rsid w:val="00765F2C"/>
    <w:pPr>
      <w:spacing w:line="18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765F2C"/>
    <w:pPr>
      <w:spacing w:line="201" w:lineRule="atLeast"/>
    </w:pPr>
    <w:rPr>
      <w:rFonts w:cs="Times New Roman"/>
      <w:color w:val="auto"/>
    </w:rPr>
  </w:style>
  <w:style w:type="character" w:customStyle="1" w:styleId="A4">
    <w:name w:val="A4"/>
    <w:uiPriority w:val="99"/>
    <w:rsid w:val="00765F2C"/>
    <w:rPr>
      <w:rFonts w:cs="HelveticaNeueLT Std Blk"/>
      <w:color w:val="000000"/>
    </w:rPr>
  </w:style>
  <w:style w:type="paragraph" w:customStyle="1" w:styleId="Pa5">
    <w:name w:val="Pa5"/>
    <w:basedOn w:val="Default"/>
    <w:next w:val="Default"/>
    <w:uiPriority w:val="99"/>
    <w:rsid w:val="00765F2C"/>
    <w:pPr>
      <w:spacing w:line="20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DE658C"/>
    <w:rPr>
      <w:rFonts w:cs="Garamond BE Regular"/>
      <w:color w:val="221E1F"/>
      <w:sz w:val="20"/>
      <w:szCs w:val="20"/>
    </w:rPr>
  </w:style>
  <w:style w:type="paragraph" w:styleId="EndnoteText">
    <w:name w:val="endnote text"/>
    <w:basedOn w:val="Normal"/>
    <w:link w:val="EndnoteTextChar"/>
    <w:rsid w:val="007C2642"/>
  </w:style>
  <w:style w:type="character" w:customStyle="1" w:styleId="EndnoteTextChar">
    <w:name w:val="Endnote Text Char"/>
    <w:basedOn w:val="DefaultParagraphFont"/>
    <w:link w:val="EndnoteText"/>
    <w:rsid w:val="007C2642"/>
  </w:style>
  <w:style w:type="character" w:styleId="EndnoteReference">
    <w:name w:val="endnote reference"/>
    <w:basedOn w:val="DefaultParagraphFont"/>
    <w:rsid w:val="007C2642"/>
    <w:rPr>
      <w:vertAlign w:val="superscript"/>
    </w:rPr>
  </w:style>
  <w:style w:type="paragraph" w:styleId="BalloonText">
    <w:name w:val="Balloon Text"/>
    <w:basedOn w:val="Normal"/>
    <w:link w:val="BalloonTextChar"/>
    <w:rsid w:val="00EA20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2049"/>
    <w:rPr>
      <w:rFonts w:ascii="Lucida Grande" w:hAnsi="Lucida Grande"/>
      <w:sz w:val="18"/>
      <w:szCs w:val="18"/>
    </w:rPr>
  </w:style>
  <w:style w:type="paragraph" w:customStyle="1" w:styleId="Bullet1">
    <w:name w:val="Bullet1"/>
    <w:basedOn w:val="Normal"/>
    <w:qFormat/>
    <w:rsid w:val="00A07183"/>
    <w:pPr>
      <w:numPr>
        <w:numId w:val="31"/>
      </w:numPr>
      <w:ind w:left="288" w:hanging="288"/>
    </w:pPr>
  </w:style>
  <w:style w:type="paragraph" w:styleId="Title">
    <w:name w:val="Title"/>
    <w:basedOn w:val="Normal"/>
    <w:next w:val="Normal"/>
    <w:link w:val="TitleChar"/>
    <w:autoRedefine/>
    <w:qFormat/>
    <w:rsid w:val="004E7C32"/>
    <w:pPr>
      <w:spacing w:after="60"/>
      <w:contextualSpacing/>
    </w:pPr>
    <w:rPr>
      <w:rFonts w:asciiTheme="majorHAnsi" w:eastAsiaTheme="majorEastAsia" w:hAnsiTheme="majorHAnsi" w:cstheme="majorBidi"/>
      <w:b/>
      <w:bCs/>
      <w:caps/>
      <w:color w:val="003763" w:themeColor="accent4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4E7C32"/>
    <w:rPr>
      <w:rFonts w:asciiTheme="majorHAnsi" w:eastAsiaTheme="majorEastAsia" w:hAnsiTheme="majorHAnsi" w:cstheme="majorBidi"/>
      <w:b/>
      <w:bCs/>
      <w:caps/>
      <w:color w:val="003763" w:themeColor="accent4"/>
      <w:spacing w:val="5"/>
      <w:kern w:val="28"/>
      <w:sz w:val="48"/>
      <w:szCs w:val="52"/>
      <w14:numForm w14:val="lining"/>
    </w:rPr>
  </w:style>
  <w:style w:type="paragraph" w:styleId="Subtitle">
    <w:name w:val="Subtitle"/>
    <w:basedOn w:val="Normal"/>
    <w:next w:val="Normal"/>
    <w:link w:val="SubtitleChar"/>
    <w:qFormat/>
    <w:rsid w:val="004E7C32"/>
    <w:pPr>
      <w:numPr>
        <w:ilvl w:val="1"/>
      </w:numPr>
      <w:pBdr>
        <w:bottom w:val="single" w:sz="8" w:space="4" w:color="F15A25" w:themeColor="accent1"/>
      </w:pBdr>
      <w:tabs>
        <w:tab w:val="left" w:pos="3780"/>
      </w:tabs>
      <w:spacing w:after="600"/>
    </w:pPr>
    <w:rPr>
      <w:rFonts w:asciiTheme="majorHAnsi" w:eastAsiaTheme="majorEastAsia" w:hAnsiTheme="majorHAnsi" w:cstheme="majorBidi"/>
      <w:i/>
      <w:iCs/>
      <w:color w:val="003763" w:themeColor="accent4"/>
      <w:spacing w:val="15"/>
      <w:sz w:val="32"/>
      <w:szCs w:val="36"/>
    </w:rPr>
  </w:style>
  <w:style w:type="character" w:customStyle="1" w:styleId="SubtitleChar">
    <w:name w:val="Subtitle Char"/>
    <w:basedOn w:val="DefaultParagraphFont"/>
    <w:link w:val="Subtitle"/>
    <w:rsid w:val="004E7C32"/>
    <w:rPr>
      <w:rFonts w:asciiTheme="majorHAnsi" w:eastAsiaTheme="majorEastAsia" w:hAnsiTheme="majorHAnsi" w:cstheme="majorBidi"/>
      <w:i/>
      <w:iCs/>
      <w:color w:val="003763" w:themeColor="accent4"/>
      <w:spacing w:val="15"/>
      <w:sz w:val="32"/>
      <w:szCs w:val="36"/>
      <w14:numForm w14:val="lining"/>
    </w:rPr>
  </w:style>
  <w:style w:type="paragraph" w:styleId="NormalWeb">
    <w:name w:val="Normal (Web)"/>
    <w:basedOn w:val="Normal"/>
    <w:uiPriority w:val="99"/>
    <w:unhideWhenUsed/>
    <w:rsid w:val="00995D95"/>
    <w:pPr>
      <w:spacing w:before="100" w:beforeAutospacing="1" w:after="100" w:afterAutospacing="1"/>
    </w:pPr>
    <w:rPr>
      <w:rFonts w:ascii="Times" w:hAnsi="Times" w:cs="Times New Roman"/>
      <w:szCs w:val="20"/>
      <w:lang w:eastAsia="en-US"/>
    </w:rPr>
  </w:style>
  <w:style w:type="paragraph" w:customStyle="1" w:styleId="TitleLine">
    <w:name w:val="Title Line"/>
    <w:basedOn w:val="Title"/>
    <w:next w:val="Normal"/>
    <w:link w:val="TitleLineChar"/>
    <w:autoRedefine/>
    <w:qFormat/>
    <w:rsid w:val="004E7C32"/>
    <w:pPr>
      <w:pBdr>
        <w:bottom w:val="single" w:sz="4" w:space="4" w:color="F15A25" w:themeColor="accent1"/>
      </w:pBdr>
      <w:spacing w:after="600"/>
    </w:pPr>
  </w:style>
  <w:style w:type="character" w:customStyle="1" w:styleId="TitleLineChar">
    <w:name w:val="Title Line Char"/>
    <w:basedOn w:val="TitleChar"/>
    <w:link w:val="TitleLine"/>
    <w:rsid w:val="004E7C32"/>
    <w:rPr>
      <w:rFonts w:asciiTheme="majorHAnsi" w:eastAsiaTheme="majorEastAsia" w:hAnsiTheme="majorHAnsi" w:cstheme="majorBidi"/>
      <w:b/>
      <w:bCs/>
      <w:caps/>
      <w:color w:val="003763" w:themeColor="accent4"/>
      <w:spacing w:val="5"/>
      <w:kern w:val="28"/>
      <w:sz w:val="48"/>
      <w:szCs w:val="52"/>
      <w14:numForm w14:val="lining"/>
    </w:rPr>
  </w:style>
  <w:style w:type="paragraph" w:customStyle="1" w:styleId="SidebarTitle">
    <w:name w:val="Sidebar Title"/>
    <w:qFormat/>
    <w:rsid w:val="006D68E8"/>
    <w:pPr>
      <w:spacing w:after="200"/>
    </w:pPr>
    <w:rPr>
      <w:i/>
      <w:iCs/>
      <w:color w:val="003763" w:themeColor="accent4"/>
      <w:spacing w:val="10"/>
      <w:sz w:val="30"/>
      <w:szCs w:val="30"/>
    </w:rPr>
  </w:style>
  <w:style w:type="paragraph" w:customStyle="1" w:styleId="Bullet2">
    <w:name w:val="Bullet2"/>
    <w:basedOn w:val="Normal"/>
    <w:qFormat/>
    <w:rsid w:val="00A07183"/>
    <w:pPr>
      <w:numPr>
        <w:numId w:val="43"/>
      </w:numPr>
      <w:ind w:left="576"/>
    </w:pPr>
  </w:style>
  <w:style w:type="table" w:styleId="ColorfulList-Accent5">
    <w:name w:val="Colorful List Accent 5"/>
    <w:basedOn w:val="TableNormal"/>
    <w:rsid w:val="001F7F04"/>
    <w:rPr>
      <w:color w:val="000000" w:themeColor="text1"/>
    </w:rPr>
    <w:tblPr>
      <w:tblStyleRowBandSize w:val="1"/>
      <w:tblStyleColBandSize w:val="1"/>
    </w:tblPr>
    <w:tcPr>
      <w:shd w:val="clear" w:color="auto" w:fill="F9FB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B9AF" w:themeFill="accent6" w:themeFillShade="CC"/>
      </w:tcPr>
    </w:tblStylePr>
    <w:tblStylePr w:type="lastRow">
      <w:rPr>
        <w:b/>
        <w:bCs/>
        <w:color w:val="C5B9A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FA" w:themeFill="accent5" w:themeFillTint="3F"/>
      </w:tcPr>
    </w:tblStylePr>
    <w:tblStylePr w:type="band1Horz">
      <w:tblPr/>
      <w:tcPr>
        <w:shd w:val="clear" w:color="auto" w:fill="F3F6FB" w:themeFill="accent5" w:themeFillTint="33"/>
      </w:tcPr>
    </w:tblStylePr>
  </w:style>
  <w:style w:type="character" w:customStyle="1" w:styleId="bodyChar">
    <w:name w:val="body Char"/>
    <w:basedOn w:val="DefaultParagraphFont"/>
    <w:link w:val="body"/>
    <w:locked/>
    <w:rsid w:val="00802A5F"/>
    <w:rPr>
      <w:rFonts w:ascii="Arial" w:eastAsia="Calibri" w:hAnsi="Arial" w:cs="Times New Roman"/>
      <w:sz w:val="17"/>
      <w:szCs w:val="19"/>
      <w:lang w:eastAsia="en-US"/>
    </w:rPr>
  </w:style>
  <w:style w:type="paragraph" w:customStyle="1" w:styleId="body">
    <w:name w:val="body"/>
    <w:basedOn w:val="Normal"/>
    <w:link w:val="bodyChar"/>
    <w:qFormat/>
    <w:rsid w:val="00802A5F"/>
    <w:pPr>
      <w:autoSpaceDE w:val="0"/>
      <w:autoSpaceDN w:val="0"/>
      <w:adjustRightInd w:val="0"/>
      <w:spacing w:line="240" w:lineRule="exact"/>
    </w:pPr>
    <w:rPr>
      <w:rFonts w:ascii="Arial" w:eastAsia="Calibri" w:hAnsi="Arial" w:cs="Times New Roman"/>
      <w:sz w:val="17"/>
      <w:szCs w:val="19"/>
      <w:lang w:eastAsia="en-US"/>
      <w14:numForm w14:val="default"/>
    </w:rPr>
  </w:style>
  <w:style w:type="character" w:customStyle="1" w:styleId="SourceTableContentChar">
    <w:name w:val="Source Table Content Char"/>
    <w:basedOn w:val="DefaultParagraphFont"/>
    <w:link w:val="SourceTableContent"/>
    <w:locked/>
    <w:rsid w:val="00802A5F"/>
    <w:rPr>
      <w:rFonts w:ascii="Arial" w:eastAsia="Calibri" w:hAnsi="Arial" w:cs="Times New Roman"/>
      <w:sz w:val="16"/>
      <w:szCs w:val="18"/>
      <w:lang w:eastAsia="en-US"/>
    </w:rPr>
  </w:style>
  <w:style w:type="paragraph" w:customStyle="1" w:styleId="SourceTableContent">
    <w:name w:val="Source Table Content"/>
    <w:basedOn w:val="Normal"/>
    <w:link w:val="SourceTableContentChar"/>
    <w:qFormat/>
    <w:rsid w:val="00802A5F"/>
    <w:pPr>
      <w:spacing w:before="40" w:after="40"/>
    </w:pPr>
    <w:rPr>
      <w:rFonts w:ascii="Arial" w:eastAsia="Calibri" w:hAnsi="Arial" w:cs="Times New Roman"/>
      <w:sz w:val="16"/>
      <w:szCs w:val="18"/>
      <w:lang w:eastAsia="en-US"/>
      <w14:numForm w14:val="default"/>
    </w:rPr>
  </w:style>
  <w:style w:type="character" w:customStyle="1" w:styleId="SourceTableHeadingChar">
    <w:name w:val="Source Table Heading Char"/>
    <w:basedOn w:val="SourceTableContentChar"/>
    <w:link w:val="SourceTableHeading"/>
    <w:locked/>
    <w:rsid w:val="00802A5F"/>
    <w:rPr>
      <w:rFonts w:ascii="Arial" w:eastAsia="Calibri" w:hAnsi="Arial" w:cs="Times New Roman"/>
      <w:b/>
      <w:bCs/>
      <w:sz w:val="18"/>
      <w:szCs w:val="18"/>
      <w:lang w:eastAsia="en-US"/>
    </w:rPr>
  </w:style>
  <w:style w:type="paragraph" w:customStyle="1" w:styleId="SourceTableHeading">
    <w:name w:val="Source Table Heading"/>
    <w:basedOn w:val="SourceTableContent"/>
    <w:link w:val="SourceTableHeadingChar"/>
    <w:rsid w:val="00802A5F"/>
    <w:rPr>
      <w:b/>
      <w:bCs/>
      <w:sz w:val="18"/>
    </w:rPr>
  </w:style>
  <w:style w:type="paragraph" w:customStyle="1" w:styleId="SourceTableContent-Right">
    <w:name w:val="Source Table Content - Right"/>
    <w:basedOn w:val="SourceTableContent"/>
    <w:rsid w:val="00802A5F"/>
    <w:pPr>
      <w:jc w:val="right"/>
    </w:pPr>
    <w:rPr>
      <w:rFonts w:eastAsia="Times New Roman"/>
      <w:szCs w:val="20"/>
    </w:rPr>
  </w:style>
  <w:style w:type="paragraph" w:customStyle="1" w:styleId="SourceTableHeading-White">
    <w:name w:val="Source Table Heading - White"/>
    <w:basedOn w:val="SourceTableHeading"/>
    <w:rsid w:val="00802A5F"/>
    <w:rPr>
      <w:bCs w:val="0"/>
      <w:color w:val="FFFFFF"/>
    </w:rPr>
  </w:style>
  <w:style w:type="paragraph" w:customStyle="1" w:styleId="SourceTableHeading-Right">
    <w:name w:val="Source Table Heading - Right"/>
    <w:basedOn w:val="SourceTableHeading"/>
    <w:rsid w:val="00802A5F"/>
    <w:pPr>
      <w:jc w:val="right"/>
    </w:pPr>
  </w:style>
  <w:style w:type="character" w:customStyle="1" w:styleId="SourceTableHeading-SmallChar">
    <w:name w:val="Source Table Heading - Small Char"/>
    <w:basedOn w:val="SourceTableHeadingChar"/>
    <w:link w:val="SourceTableHeading-Small"/>
    <w:locked/>
    <w:rsid w:val="00802A5F"/>
    <w:rPr>
      <w:rFonts w:ascii="Arial" w:eastAsia="Calibri" w:hAnsi="Arial" w:cs="Times New Roman"/>
      <w:b/>
      <w:bCs/>
      <w:sz w:val="16"/>
      <w:szCs w:val="18"/>
      <w:lang w:eastAsia="en-US"/>
    </w:rPr>
  </w:style>
  <w:style w:type="paragraph" w:customStyle="1" w:styleId="SourceTableHeading-Small">
    <w:name w:val="Source Table Heading - Small"/>
    <w:basedOn w:val="SourceTableHeading"/>
    <w:link w:val="SourceTableHeading-SmallChar"/>
    <w:rsid w:val="00802A5F"/>
    <w:rPr>
      <w:sz w:val="16"/>
    </w:rPr>
  </w:style>
  <w:style w:type="character" w:styleId="FootnoteReference">
    <w:name w:val="footnote reference"/>
    <w:basedOn w:val="DefaultParagraphFont"/>
    <w:unhideWhenUsed/>
    <w:rsid w:val="00802A5F"/>
    <w:rPr>
      <w:vertAlign w:val="superscript"/>
    </w:rPr>
  </w:style>
  <w:style w:type="character" w:customStyle="1" w:styleId="FootnoteRef-Bold">
    <w:name w:val="Footnote Ref - Bold"/>
    <w:basedOn w:val="FootnoteReference"/>
    <w:rsid w:val="00802A5F"/>
    <w:rPr>
      <w:rFonts w:ascii="Arial" w:hAnsi="Arial" w:cs="Arial" w:hint="default"/>
      <w:b/>
      <w:bCs/>
      <w:sz w:val="16"/>
      <w:vertAlign w:val="superscript"/>
    </w:rPr>
  </w:style>
  <w:style w:type="character" w:styleId="CommentReference">
    <w:name w:val="annotation reference"/>
    <w:basedOn w:val="DefaultParagraphFont"/>
    <w:rsid w:val="00266C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6C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6CD8"/>
    <w:rPr>
      <w:rFonts w:ascii="Calibri" w:hAnsi="Calibri"/>
      <w:sz w:val="20"/>
      <w:szCs w:val="20"/>
      <w14:numForm w14:val="lining"/>
    </w:rPr>
  </w:style>
  <w:style w:type="paragraph" w:styleId="CommentSubject">
    <w:name w:val="annotation subject"/>
    <w:basedOn w:val="CommentText"/>
    <w:next w:val="CommentText"/>
    <w:link w:val="CommentSubjectChar"/>
    <w:rsid w:val="00266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6CD8"/>
    <w:rPr>
      <w:rFonts w:ascii="Calibri" w:hAnsi="Calibri"/>
      <w:b/>
      <w:bCs/>
      <w:sz w:val="20"/>
      <w:szCs w:val="20"/>
      <w14:numForm w14:val="lining"/>
    </w:rPr>
  </w:style>
  <w:style w:type="paragraph" w:styleId="FootnoteText">
    <w:name w:val="footnote text"/>
    <w:basedOn w:val="Normal"/>
    <w:link w:val="FootnoteTextChar"/>
    <w:semiHidden/>
    <w:unhideWhenUsed/>
    <w:rsid w:val="005A45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A4539"/>
    <w:rPr>
      <w:rFonts w:ascii="Calibri" w:hAnsi="Calibri"/>
      <w:sz w:val="20"/>
      <w:szCs w:val="20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8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ntyhealthrankings.org/rankings/data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untyhealthrankings.org" TargetMode="Externa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RR 2013">
  <a:themeElements>
    <a:clrScheme name="chrr">
      <a:dk1>
        <a:sysClr val="windowText" lastClr="000000"/>
      </a:dk1>
      <a:lt1>
        <a:sysClr val="window" lastClr="FFFFFF"/>
      </a:lt1>
      <a:dk2>
        <a:srgbClr val="D54215"/>
      </a:dk2>
      <a:lt2>
        <a:srgbClr val="F8931F"/>
      </a:lt2>
      <a:accent1>
        <a:srgbClr val="F15A25"/>
      </a:accent1>
      <a:accent2>
        <a:srgbClr val="709455"/>
      </a:accent2>
      <a:accent3>
        <a:srgbClr val="95BA79"/>
      </a:accent3>
      <a:accent4>
        <a:srgbClr val="003763"/>
      </a:accent4>
      <a:accent5>
        <a:srgbClr val="C5D7EB"/>
      </a:accent5>
      <a:accent6>
        <a:srgbClr val="EDE9E6"/>
      </a:accent6>
      <a:hlink>
        <a:srgbClr val="D54215"/>
      </a:hlink>
      <a:folHlink>
        <a:srgbClr val="F15A25"/>
      </a:folHlink>
    </a:clrScheme>
    <a:fontScheme name="Office 2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erception">
      <a:fillStyleLst>
        <a:solidFill>
          <a:schemeClr val="phClr"/>
        </a:solidFill>
        <a:solidFill>
          <a:schemeClr val="phClr">
            <a:shade val="90000"/>
          </a:schemeClr>
        </a:solidFill>
        <a:solidFill>
          <a:schemeClr val="phClr">
            <a:shade val="80000"/>
          </a:schemeClr>
        </a:solidFill>
      </a:fillStyleLst>
      <a:lnStyleLst>
        <a:ln w="12700" cap="flat" cmpd="sng" algn="ctr">
          <a:solidFill>
            <a:schemeClr val="phClr"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>
              <a:alpha val="8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bliqueTopRight"/>
            <a:lightRig rig="threePt" dir="tl"/>
          </a:scene3d>
          <a:sp3d>
            <a:bevelT w="25400" h="25400"/>
          </a:sp3d>
        </a:effectStyle>
        <a:effectStyle>
          <a:effectLst/>
          <a:scene3d>
            <a:camera prst="perspectiveFront" fov="4200000"/>
            <a:lightRig rig="balanced" dir="tl">
              <a:rot lat="0" lon="0" rev="18600000"/>
            </a:lightRig>
          </a:scene3d>
          <a:sp3d prstMaterial="metal">
            <a:bevelT w="63500" h="50800" prst="angle"/>
          </a:sp3d>
        </a:effectStyle>
      </a:effectStyleLst>
      <a:bgFillStyleLst>
        <a:solidFill>
          <a:schemeClr val="phClr">
            <a:tint val="90000"/>
          </a:schemeClr>
        </a:solidFill>
        <a:solidFill>
          <a:schemeClr val="phClr">
            <a:tint val="50000"/>
          </a:schemeClr>
        </a:solidFill>
        <a:solidFill>
          <a:schemeClr val="phClr">
            <a:shade val="60000"/>
          </a:schemeClr>
        </a:soli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30688-5931-4E37-AAFB-BA8A27EE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Hartung Kemp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Stiff</dc:creator>
  <cp:lastModifiedBy>Courtney Blomme</cp:lastModifiedBy>
  <cp:revision>20</cp:revision>
  <cp:lastPrinted>2014-02-26T22:12:00Z</cp:lastPrinted>
  <dcterms:created xsi:type="dcterms:W3CDTF">2018-10-15T17:15:00Z</dcterms:created>
  <dcterms:modified xsi:type="dcterms:W3CDTF">2018-11-03T00:44:00Z</dcterms:modified>
</cp:coreProperties>
</file>