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DAO / Governance Digest — Morning Edition (Wed, Feb 18, 2026)</w:t>
      </w:r>
    </w:p>
    <w:p/>
    <w:p>
      <w:r>
        <w:t>Disclosure: This digest is researched and drafted with the help of Boilermolt (an OpenClaw-powered assistant). I review and edit before publishing. Links are provided so you can verify primary sources. This is not financial advice.</w:t>
      </w:r>
    </w:p>
    <w:p/>
    <w:p>
      <w:pPr>
        <w:pStyle w:val="Heading2"/>
      </w:pPr>
      <w:r>
        <w:t>TL;DR</w:t>
      </w:r>
    </w:p>
    <w:p>
      <w:pPr>
        <w:pStyle w:val="ListBullet"/>
      </w:pPr>
      <w:r>
        <w:t>X access was flaky from this host earlier, but the radar has now been re-checked via a logged-in Chrome session; key governance tooling signals are included below (still: treat fast-moving “everyone is saying” claims as untrusted until you click primary links).</w:t>
      </w:r>
    </w:p>
    <w:p>
      <w:pPr>
        <w:pStyle w:val="ListBullet"/>
      </w:pPr>
      <w:r>
        <w:rPr>
          <w:b/>
        </w:rPr>
        <w:t>Emergency powers are back on the menu</w:t>
      </w:r>
      <w:r>
        <w:t xml:space="preserve"> (ENS Security Controller expansion): classic security-vs-decentralization trade.</w:t>
      </w:r>
    </w:p>
    <w:p>
      <w:pPr>
        <w:pStyle w:val="ListBullet"/>
      </w:pPr>
      <w:r>
        <w:rPr>
          <w:b/>
        </w:rPr>
        <w:t>Jupiter is still a live case study</w:t>
      </w:r>
      <w:r>
        <w:t xml:space="preserve"> in “what happens after governance trust breaks”: emissions, staking, and legitimacy are all tangled.</w:t>
      </w:r>
    </w:p>
    <w:p>
      <w:pPr>
        <w:pStyle w:val="ListBullet"/>
      </w:pPr>
      <w:r>
        <w:rPr>
          <w:b/>
        </w:rPr>
        <w:t>Aave’s ‘sounds great’ proposals</w:t>
      </w:r>
      <w:r>
        <w:t xml:space="preserve"> are testing whether communities can demand enforceable terms, not just good headlines.</w:t>
      </w:r>
    </w:p>
    <w:p/>
    <w:p/>
    <w:p/>
    <w:p>
      <w:pPr>
        <w:pStyle w:val="Heading2"/>
      </w:pPr>
      <w:r>
        <w:t>Top governance moves (what to actually pay attention to)</w:t>
      </w:r>
    </w:p>
    <w:p/>
    <w:p>
      <w:pPr>
        <w:pStyle w:val="Heading3"/>
      </w:pPr>
      <w:r>
        <w:t>1) ENS: expanding “break-glass” powers (security vs principle)</w:t>
      </w:r>
    </w:p>
    <w:p>
      <w:r>
        <w:t xml:space="preserve">ENS has an active forum proposal to enable </w:t>
      </w:r>
      <w:r>
        <w:rPr>
          <w:b/>
        </w:rPr>
        <w:t>Root and Registrar Security Controllers</w:t>
      </w:r>
      <w:r>
        <w:t>—effectively a set of emergency controls that can take ownership and clear resolvers to mitigate incidents (including potentially disabling TLDs).</w:t>
      </w:r>
    </w:p>
    <w:p/>
    <w:p>
      <w:r>
        <w:t>The governance question isn’t “is security good?” It’s:</w:t>
      </w:r>
    </w:p>
    <w:p>
      <w:pPr>
        <w:pStyle w:val="ListBullet"/>
      </w:pPr>
      <w:r>
        <w:t xml:space="preserve">What is the </w:t>
      </w:r>
      <w:r>
        <w:rPr>
          <w:b/>
        </w:rPr>
        <w:t>activation threshold</w:t>
      </w:r>
      <w:r>
        <w:t xml:space="preserve"> (who can pull the lever, under what evidence)?</w:t>
      </w:r>
    </w:p>
    <w:p>
      <w:pPr>
        <w:pStyle w:val="ListBullet"/>
      </w:pPr>
      <w:r>
        <w:t xml:space="preserve">What are the </w:t>
      </w:r>
      <w:r>
        <w:rPr>
          <w:b/>
        </w:rPr>
        <w:t>auditable constraints</w:t>
      </w:r>
      <w:r>
        <w:t xml:space="preserve"> (time locks, onchain transparency, required post-mortems)?</w:t>
      </w:r>
    </w:p>
    <w:p>
      <w:pPr>
        <w:pStyle w:val="ListBullet"/>
      </w:pPr>
      <w:r>
        <w:t xml:space="preserve">What is the </w:t>
      </w:r>
      <w:r>
        <w:rPr>
          <w:b/>
        </w:rPr>
        <w:t>exit path</w:t>
      </w:r>
      <w:r>
        <w:t xml:space="preserve"> (sunset, renewal vote, narrow scope)?</w:t>
      </w:r>
    </w:p>
    <w:p/>
    <w:p>
      <w:r>
        <w:t>If you want a one-line north star: *emergency powers are easiest to add and hardest to remove*. That’s why this is a governance-defining decision even if the intent is defensive.</w:t>
      </w:r>
    </w:p>
    <w:p/>
    <w:p>
      <w:r>
        <w:t>Primary source:</w:t>
      </w:r>
    </w:p>
    <w:p>
      <w:pPr>
        <w:pStyle w:val="ListBullet"/>
      </w:pPr>
      <w:r>
        <w:t>ENS forum thread: https://discuss.ens.domains/t/executable-enable-root-and-registrar-security-controllers/21872</w:t>
      </w:r>
    </w:p>
    <w:p/>
    <w:p>
      <w:pPr>
        <w:pStyle w:val="Heading3"/>
      </w:pPr>
      <w:r>
        <w:t>2) Jupiter: emissions + trust repair (governance after a legitimacy hit)</w:t>
      </w:r>
    </w:p>
    <w:p>
      <w:r>
        <w:t xml:space="preserve">Jupiter’s governance saga keeps echoing: a major distribution was approved, later changed without a matching vote, and now the DAO is in a posture of “re-earning” legitimacy. The current live question (as framed by the dashboard and coverage) is essentially: do you </w:t>
      </w:r>
      <w:r>
        <w:rPr>
          <w:b/>
        </w:rPr>
        <w:t>eliminate future emissions</w:t>
      </w:r>
      <w:r>
        <w:t xml:space="preserve"> or </w:t>
      </w:r>
      <w:r>
        <w:rPr>
          <w:b/>
        </w:rPr>
        <w:t>release additional tokens</w:t>
      </w:r>
      <w:r>
        <w:t>.</w:t>
      </w:r>
    </w:p>
    <w:p/>
    <w:p>
      <w:r>
        <w:t>What’s interesting here isn’t just the token math. It’s the meta-layer:</w:t>
      </w:r>
    </w:p>
    <w:p>
      <w:pPr>
        <w:pStyle w:val="ListBullet"/>
      </w:pPr>
      <w:r>
        <w:t xml:space="preserve">if governance can be “paused” or materially altered when politics get hot, then </w:t>
      </w:r>
      <w:r>
        <w:rPr>
          <w:b/>
        </w:rPr>
        <w:t>the real constitution lives outside the vote UI</w:t>
      </w:r>
      <w:r>
        <w:t>;</w:t>
      </w:r>
    </w:p>
    <w:p>
      <w:pPr>
        <w:pStyle w:val="ListBullet"/>
      </w:pPr>
      <w:r>
        <w:t>staking spikes during drama often mean “people are buying influence,” not “people are confident.”</w:t>
      </w:r>
    </w:p>
    <w:p/>
    <w:p>
      <w:r>
        <w:t>Primary sources / verification surfaces:</w:t>
      </w:r>
    </w:p>
    <w:p>
      <w:pPr>
        <w:pStyle w:val="ListBullet"/>
      </w:pPr>
      <w:r>
        <w:t>Jupiter governance dashboard: https://vote.jup.ag/</w:t>
      </w:r>
    </w:p>
    <w:p>
      <w:pPr>
        <w:pStyle w:val="ListBullet"/>
      </w:pPr>
      <w:r>
        <w:t>Secondary context (for framing): https://www.theblock.co/post/358988/dao-behind-dex-aggregator-jupiter-suspends-governance-votes-until-early-2026-amid-community-concerns</w:t>
      </w:r>
    </w:p>
    <w:p/>
    <w:p>
      <w:pPr>
        <w:pStyle w:val="Heading3"/>
      </w:pPr>
      <w:r>
        <w:t>3) Aave: the accountability test for headline-friendly proposals</w:t>
      </w:r>
    </w:p>
    <w:p>
      <w:r>
        <w:t>The headline claim (“</w:t>
      </w:r>
      <w:r>
        <w:rPr>
          <w:b/>
        </w:rPr>
        <w:t>100% Aave product revenue to the DAO</w:t>
      </w:r>
      <w:r>
        <w:t xml:space="preserve">”) is now explicitly on the record in Aave Labs’ temp check as part of the broader “Aave Will Win Framework.” The governance crux isn’t whether “more revenue” is good — it’s whether the DAO is getting </w:t>
      </w:r>
      <w:r>
        <w:rPr>
          <w:b/>
        </w:rPr>
        <w:t>enforceable terms</w:t>
      </w:r>
      <w:r>
        <w:t xml:space="preserve"> and </w:t>
      </w:r>
      <w:r>
        <w:rPr>
          <w:b/>
        </w:rPr>
        <w:t>auditable reporting</w:t>
      </w:r>
      <w:r>
        <w:t xml:space="preserve"> for:</w:t>
      </w:r>
    </w:p>
    <w:p>
      <w:pPr>
        <w:pStyle w:val="ListBullet"/>
      </w:pPr>
      <w:r>
        <w:t>what counts as “product revenue,”</w:t>
      </w:r>
    </w:p>
    <w:p>
      <w:pPr>
        <w:pStyle w:val="ListBullet"/>
      </w:pPr>
      <w:r>
        <w:t>what can be netted out before it hits the DAO (rebates, subsidies, partner rev-share, etc.), and</w:t>
      </w:r>
    </w:p>
    <w:p>
      <w:pPr>
        <w:pStyle w:val="ListBullet"/>
      </w:pPr>
      <w:r>
        <w:t>what discretion exists to redirect flows into incentives without a vote.</w:t>
      </w:r>
    </w:p>
    <w:p/>
    <w:p>
      <w:r>
        <w:t>Where the “marketing-first” risk shows up (even when intentions are good):</w:t>
      </w:r>
    </w:p>
    <w:p>
      <w:pPr>
        <w:pStyle w:val="ListBullet"/>
      </w:pPr>
      <w:r>
        <w:rPr>
          <w:b/>
        </w:rPr>
        <w:t>Revenue definitions:</w:t>
      </w:r>
      <w:r>
        <w:t xml:space="preserve"> gross vs net, and the exact deduction categories.</w:t>
      </w:r>
    </w:p>
    <w:p>
      <w:pPr>
        <w:pStyle w:val="ListBullet"/>
      </w:pPr>
      <w:r>
        <w:rPr>
          <w:b/>
        </w:rPr>
        <w:t>Discretion buckets:</w:t>
      </w:r>
      <w:r>
        <w:t xml:space="preserve"> operational flexibility is fine, but it must be paired with a tight, comparable reporting standard.</w:t>
      </w:r>
    </w:p>
    <w:p>
      <w:pPr>
        <w:pStyle w:val="ListBullet"/>
      </w:pPr>
      <w:r>
        <w:rPr>
          <w:b/>
        </w:rPr>
        <w:t>Proof + enforcement:</w:t>
      </w:r>
      <w:r>
        <w:t xml:space="preserve"> recurring disclosures aren’t the same thing as enforceable obligations.</w:t>
      </w:r>
    </w:p>
    <w:p/>
    <w:p>
      <w:r>
        <w:t>Primary sources (link directly):</w:t>
      </w:r>
    </w:p>
    <w:p>
      <w:pPr>
        <w:pStyle w:val="ListBullet"/>
      </w:pPr>
      <w:r>
        <w:rPr>
          <w:b/>
        </w:rPr>
        <w:t>[TEMP CHECK] Aave Will Win Framework</w:t>
      </w:r>
      <w:r>
        <w:t xml:space="preserve"> (Aave Labs): https://governance.aave.com/t/temp-check-aave-will-win-framework/24055</w:t>
      </w:r>
    </w:p>
    <w:p>
      <w:pPr>
        <w:pStyle w:val="ListBullet"/>
      </w:pPr>
      <w:r>
        <w:rPr>
          <w:b/>
        </w:rPr>
        <w:t>How AAVE will win</w:t>
      </w:r>
      <w:r>
        <w:t xml:space="preserve"> (Stani): https://governance.aave.com/t/how-aave-will-win/23792</w:t>
      </w:r>
    </w:p>
    <w:p>
      <w:pPr>
        <w:pStyle w:val="ListBullet"/>
      </w:pPr>
      <w:r>
        <w:rPr>
          <w:b/>
        </w:rPr>
        <w:t>ACI: Full Transparency Report</w:t>
      </w:r>
      <w:r>
        <w:t xml:space="preserve"> (useful accountability benchmark): https://governance.aave.com/t/aci-full-transparency-report/24085</w:t>
      </w:r>
    </w:p>
    <w:p/>
    <w:p>
      <w:pPr>
        <w:pStyle w:val="Heading3"/>
      </w:pPr>
      <w:r>
        <w:t>4) Arbitrum: governance comms compromise (security scope is bigger than contracts)</w:t>
      </w:r>
    </w:p>
    <w:p>
      <w:r>
        <w:t xml:space="preserve">Arbitrum’s governance comms account compromise earlier this month is “resolved” in the narrow sense (account recovered), but the lesson persists: governance is an </w:t>
      </w:r>
      <w:r>
        <w:rPr>
          <w:b/>
        </w:rPr>
        <w:t>ops system</w:t>
      </w:r>
      <w:r>
        <w:t>, not just a smart contract.</w:t>
      </w:r>
    </w:p>
    <w:p/>
    <w:p>
      <w:r>
        <w:t>If your governance pipeline includes X/Discord announcements, links, and delegate coordination, then social compromise is governance compromise.</w:t>
      </w:r>
    </w:p>
    <w:p/>
    <w:p>
      <w:r>
        <w:t>Sources (coverage; verify against official Arbitrum comms when accessible):</w:t>
      </w:r>
    </w:p>
    <w:p>
      <w:pPr>
        <w:pStyle w:val="ListBullet"/>
      </w:pPr>
      <w:r>
        <w:t>Crypto Times: https://www.cryptotimes.io/2026/02/03/arbitrum-dao-gov-x-hacked-security-alert-issued-to-users/</w:t>
      </w:r>
    </w:p>
    <w:p>
      <w:pPr>
        <w:pStyle w:val="ListBullet"/>
      </w:pPr>
      <w:r>
        <w:t>BingX alert: https://bingx.com/en/news/post/arbitrumdao-x-account-hijacked-team-urges-caution-on-february</w:t>
      </w:r>
    </w:p>
    <w:p/>
    <w:p/>
    <w:p/>
    <w:p>
      <w:pPr>
        <w:pStyle w:val="Heading2"/>
      </w:pPr>
      <w:r>
        <w:t>X Radar</w:t>
      </w:r>
    </w:p>
    <w:p>
      <w:r>
        <w:t>Pulled directly from: `/home/boilerrat/clawd/reports/dao/x-radar-latest.md` (Timestamp: 2026-02-18 04:55 America/Toronto)</w:t>
      </w:r>
    </w:p>
    <w:p/>
    <w:p>
      <w:pPr>
        <w:pStyle w:val="Heading3"/>
      </w:pPr>
      <w:r>
        <w:t>Signals (from list scans)</w:t>
      </w:r>
    </w:p>
    <w:p>
      <w:pPr>
        <w:pStyle w:val="ListNumber"/>
      </w:pPr>
      <w:r>
        <w:rPr>
          <w:b/>
        </w:rPr>
        <w:t>Governance tooling chatter:</w:t>
      </w:r>
      <w:r>
        <w:t xml:space="preserve"> ShutterNetwork/Snapshot are running an “Ethereum Future” poll on which EIPs should be headliners for the upcoming “Hegotá” upgrade (useful meta-signal that governance UX experiments are accelerating).</w:t>
      </w:r>
    </w:p>
    <w:p>
      <w:pPr>
        <w:pStyle w:val="ListBullet"/>
      </w:pPr>
      <w:r>
        <w:t>https://x.com/ShutterNetwork/status/2024044707006005509</w:t>
      </w:r>
    </w:p>
    <w:p/>
    <w:p>
      <w:pPr>
        <w:pStyle w:val="ListNumber"/>
      </w:pPr>
      <w:r>
        <w:rPr>
          <w:b/>
        </w:rPr>
        <w:t>Futarchy goes mainstream (pilot-level):</w:t>
      </w:r>
      <w:r>
        <w:t xml:space="preserve"> Kleros says Gnosis approved a 9‑month futarchy pilot using conditional markets as price-impact signals for voters.</w:t>
      </w:r>
    </w:p>
    <w:p>
      <w:pPr>
        <w:pStyle w:val="ListBullet"/>
      </w:pPr>
      <w:r>
        <w:t>https://x.com/Kleros_io/status/2023965622837600599</w:t>
      </w:r>
    </w:p>
    <w:p/>
    <w:p>
      <w:pPr>
        <w:pStyle w:val="ListNumber"/>
      </w:pPr>
      <w:r>
        <w:rPr>
          <w:b/>
        </w:rPr>
        <w:t>Infra + coordination noise:</w:t>
      </w:r>
      <w:r>
        <w:t xml:space="preserve"> The DAO lists were heavy on ETHDenver / ecosystem chatter this morning; no obvious “vote ends in 6 hours” alarms surfaced in the first screen of each list.</w:t>
      </w:r>
    </w:p>
    <w:p/>
    <w:p>
      <w:pPr>
        <w:pStyle w:val="Heading3"/>
      </w:pPr>
      <w:r>
        <w:t>Operational note</w:t>
      </w:r>
    </w:p>
    <w:p>
      <w:pPr>
        <w:pStyle w:val="ListBullet"/>
      </w:pPr>
      <w:r>
        <w:t>X is reachable but inconsistent from this host; the reliable path right now is the attached Chrome session. If we want this fully automated, we should move the radar to a stable egress (VPN/proxy or different host) that doesn’t get 403’d.</w:t>
      </w:r>
    </w:p>
    <w:p/>
    <w:p/>
    <w:p/>
    <w:p>
      <w:pPr>
        <w:pStyle w:val="Heading2"/>
      </w:pPr>
      <w:r>
        <w:t>Spicy Watch (1–2 items)</w:t>
      </w:r>
    </w:p>
    <w:p/>
    <w:p>
      <w:pPr>
        <w:pStyle w:val="Heading3"/>
      </w:pPr>
      <w:r>
        <w:t>🌶️🌶️ Monitoring fragility (active)</w:t>
      </w:r>
    </w:p>
    <w:p>
      <w:r>
        <w:t xml:space="preserve">We recovered X scanning via Chrome relay, but the bigger risk remains: </w:t>
      </w:r>
      <w:r>
        <w:rPr>
          <w:b/>
        </w:rPr>
        <w:t>monitoring that depends on one egress path will fail at the worst time</w:t>
      </w:r>
      <w:r>
        <w:t xml:space="preserve"> (403 blocks, rate limits, random timeouts).</w:t>
      </w:r>
    </w:p>
    <w:p/>
    <w:p>
      <w:r>
        <w:t>Mitigation (practical): keep redundancy:</w:t>
      </w:r>
    </w:p>
    <w:p>
      <w:pPr>
        <w:pStyle w:val="ListBullet"/>
      </w:pPr>
      <w:r>
        <w:t>Snapshot scan (active proposals)</w:t>
      </w:r>
    </w:p>
    <w:p>
      <w:pPr>
        <w:pStyle w:val="ListBullet"/>
      </w:pPr>
      <w:r>
        <w:t>Forum “latest” scan (Aave / Arbitrum / Optimism / Uniswap)</w:t>
      </w:r>
    </w:p>
    <w:p>
      <w:pPr>
        <w:pStyle w:val="ListBullet"/>
      </w:pPr>
      <w:r>
        <w:t>ENS onchain proposal page (Tally link in the ENS thread)</w:t>
      </w:r>
    </w:p>
    <w:p>
      <w:pPr>
        <w:pStyle w:val="ListBullet"/>
      </w:pPr>
      <w:r>
        <w:t>And an alternate X path (VPN/proxy or different host) so list scans don’t hinge on one machine</w:t>
      </w:r>
    </w:p>
    <w:p/>
    <w:p>
      <w:r>
        <w:t>Primary source:</w:t>
      </w:r>
    </w:p>
    <w:p>
      <w:pPr>
        <w:pStyle w:val="ListBullet"/>
      </w:pPr>
      <w:r>
        <w:t>Local radar log: `/home/boilerrat/clawd/reports/dao/x-radar-latest.md`</w:t>
      </w:r>
    </w:p>
    <w:p/>
    <w:p>
      <w:pPr>
        <w:pStyle w:val="Heading3"/>
      </w:pPr>
      <w:r>
        <w:t>🌶️ ENS break-glass powers (active, governance-defining)</w:t>
      </w:r>
    </w:p>
    <w:p>
      <w:r>
        <w:t>Even if you support the change, the “spice” is unavoidable: expanding emergency controls always triggers legitimate concerns about capture and precedent.</w:t>
      </w:r>
    </w:p>
    <w:p/>
    <w:p>
      <w:r>
        <w:t>Primary source:</w:t>
      </w:r>
    </w:p>
    <w:p>
      <w:pPr>
        <w:pStyle w:val="ListBullet"/>
      </w:pPr>
      <w:r>
        <w:t>https://discuss.ens.domains/t/executable-enable-root-and-registrar-security-controllers/21872</w:t>
      </w:r>
    </w:p>
    <w:p/>
    <w:p/>
    <w:p/>
    <w:p>
      <w:pPr>
        <w:pStyle w:val="Heading2"/>
      </w:pPr>
      <w:r>
        <w:t>Down in the weeds (details that matter, but shouldn’t dominate the email)</w:t>
      </w:r>
    </w:p>
    <w:p/>
    <w:p>
      <w:pPr>
        <w:pStyle w:val="ListNumber"/>
      </w:pPr>
      <w:r>
        <w:rPr>
          <w:b/>
        </w:rPr>
        <w:t>Balancer BIP-908 and the participation reality check</w:t>
      </w:r>
    </w:p>
    <w:p>
      <w:r>
        <w:t xml:space="preserve">Balancer passed BIP-908 capping any recovery bounty at </w:t>
      </w:r>
      <w:r>
        <w:rPr>
          <w:b/>
        </w:rPr>
        <w:t>10% of recovered value</w:t>
      </w:r>
      <w:r>
        <w:t xml:space="preserve"> related to the Nov 3, 2025 incident. The governance signal is the reported optics: low participation + concentrated voting power.</w:t>
      </w:r>
    </w:p>
    <w:p/>
    <w:p>
      <w:r>
        <w:t>Primary sources:</w:t>
      </w:r>
    </w:p>
    <w:p>
      <w:pPr>
        <w:pStyle w:val="ListBullet"/>
      </w:pPr>
      <w:r>
        <w:t>Proposal: https://snapshot.org/#/s:balancer.eth/proposal/0x7b17bb3642c5e4ebc4caea75ed08ee32cdba12dbbe15951e433d47a567eb2ad4</w:t>
      </w:r>
    </w:p>
    <w:p>
      <w:pPr>
        <w:pStyle w:val="ListBullet"/>
      </w:pPr>
      <w:r>
        <w:t>Votes view: https://snapshot.org/#/s:balancer.eth/proposal/0x7b17bb3642c5e4ebc4caea75ed08ee32cdba12dbbe15951e433d47a567eb2ad4/votes</w:t>
      </w:r>
    </w:p>
    <w:p/>
    <w:p>
      <w:pPr>
        <w:pStyle w:val="ListNumber"/>
      </w:pPr>
      <w:r>
        <w:rPr>
          <w:b/>
        </w:rPr>
        <w:t>Arbitrum ‘quorum vulnerability’ claim (still unverified)</w:t>
      </w:r>
    </w:p>
    <w:p>
      <w:r>
        <w:t>There’s a circulating analysis claiming governance changes could allow proposals to reach quorum at relatively low cost. I can’t verify the underlying math or whether it reflects current parameters from this environment.</w:t>
      </w:r>
    </w:p>
    <w:p/>
    <w:p>
      <w:r>
        <w:t xml:space="preserve">Treat this as </w:t>
      </w:r>
      <w:r>
        <w:rPr>
          <w:b/>
        </w:rPr>
        <w:t>unconfirmed</w:t>
      </w:r>
      <w:r>
        <w:t xml:space="preserve"> until you can validate against the Arbitrum proposals portal / official governance specs.</w:t>
      </w:r>
    </w:p>
    <w:p/>
    <w:p>
      <w:r>
        <w:t>Source (unverified):</w:t>
      </w:r>
    </w:p>
    <w:p>
      <w:pPr>
        <w:pStyle w:val="ListBullet"/>
      </w:pPr>
      <w:r>
        <w:t>https://x.com/blockful_io/status/2021603180669469092</w:t>
      </w:r>
    </w:p>
    <w:p/>
    <w:p>
      <w:pPr>
        <w:pStyle w:val="ListNumber"/>
      </w:pPr>
      <w:r>
        <w:rPr>
          <w:b/>
        </w:rPr>
        <w:t>Decentraland Security Board removal claim (conflicting signals)</w:t>
      </w:r>
    </w:p>
    <w:p>
      <w:r>
        <w:t>A claim on X suggested there was a vote to remove a Security Advisory Board member over an ongoing legal dispute. At last check (in previous updates), Decentraland’s governance portal indicated 0 active proposals.</w:t>
      </w:r>
    </w:p>
    <w:p/>
    <w:p>
      <w:r>
        <w:t>Until you can confirm on Decentraland’s portal, keep this in the “possible drama, no receipts yet” bucket.</w:t>
      </w:r>
    </w:p>
    <w:p/>
    <w:p>
      <w:r>
        <w:t>Primary verification surface:</w:t>
      </w:r>
    </w:p>
    <w:p>
      <w:pPr>
        <w:pStyle w:val="ListBullet"/>
      </w:pPr>
      <w:r>
        <w:t>https://decentraland.org/governance/</w:t>
      </w:r>
    </w:p>
    <w:p/>
    <w:p>
      <w:pPr>
        <w:pStyle w:val="ListNumber"/>
      </w:pPr>
      <w:r>
        <w:rPr>
          <w:b/>
        </w:rPr>
        <w:t>Arbitrum comms incident: treat as a governance control failure</w:t>
      </w:r>
    </w:p>
    <w:p>
      <w:r>
        <w:t>Worth repeating: delegate coordination channels (Discord, X, forums) are part of the governance attack surface. Expect more DAOs to formalize “how we announce votes” and “what a canonical link is.”</w:t>
      </w:r>
    </w:p>
    <w:p/>
    <w:p/>
    <w:p/>
    <w:p>
      <w:pPr>
        <w:pStyle w:val="Heading2"/>
      </w:pPr>
      <w:r>
        <w:t>Tooling / infra (2–4 bullets)</w:t>
      </w:r>
    </w:p>
    <w:p>
      <w:pPr>
        <w:pStyle w:val="ListBullet"/>
      </w:pPr>
      <w:r>
        <w:rPr>
          <w:b/>
        </w:rPr>
        <w:t>Canonical links policy:</w:t>
      </w:r>
      <w:r>
        <w:t xml:space="preserve"> DAOs should publish a single canonical “proposal index” page (forum + vote links) and teach users: “if it isn’t linked there, assume phishing.”</w:t>
      </w:r>
    </w:p>
    <w:p>
      <w:pPr>
        <w:pStyle w:val="ListBullet"/>
      </w:pPr>
      <w:r>
        <w:rPr>
          <w:b/>
        </w:rPr>
        <w:t>Governance monitoring redundancy:</w:t>
      </w:r>
      <w:r>
        <w:t xml:space="preserve"> if your DAO relies on X for time-sensitive coordination, you need at least one alternative feed (RSS from forums, Telegram announcements, email list, or a governance calendar).</w:t>
      </w:r>
    </w:p>
    <w:p>
      <w:pPr>
        <w:pStyle w:val="ListBullet"/>
      </w:pPr>
      <w:r>
        <w:rPr>
          <w:b/>
        </w:rPr>
        <w:t>Comms OPSEC drills:</w:t>
      </w:r>
      <w:r>
        <w:t xml:space="preserve"> rotate keys, enforce hardware keys for social accounts, and run tabletop exercises the same way teams do for contract incidents.</w:t>
      </w:r>
    </w:p>
    <w:p>
      <w:pPr>
        <w:pStyle w:val="ListBullet"/>
      </w:pPr>
      <w:r>
        <w:rPr>
          <w:b/>
        </w:rPr>
        <w:t>Visibility health-checks:</w:t>
      </w:r>
      <w:r>
        <w:t xml:space="preserve"> add automated pings to Snapshot/Tally/forums so you know when your monitoring stack is blind.</w:t>
      </w:r>
    </w:p>
    <w:p/>
    <w:p/>
    <w:p/>
    <w:p>
      <w:pPr>
        <w:pStyle w:val="Heading2"/>
      </w:pPr>
      <w:r>
        <w:t>Themes (what’s rhyming)</w:t>
      </w:r>
    </w:p>
    <w:p>
      <w:pPr>
        <w:pStyle w:val="ListBullet"/>
      </w:pPr>
      <w:r>
        <w:rPr>
          <w:b/>
        </w:rPr>
        <w:t>Security is pushing DAOs toward “council-ization.”</w:t>
      </w:r>
      <w:r>
        <w:t xml:space="preserve"> The fight is over constraints, accountability, and reversibility.</w:t>
      </w:r>
    </w:p>
    <w:p>
      <w:pPr>
        <w:pStyle w:val="ListBullet"/>
      </w:pPr>
      <w:r>
        <w:rPr>
          <w:b/>
        </w:rPr>
        <w:t>Legitimacy isn’t “onchain.”</w:t>
      </w:r>
      <w:r>
        <w:t xml:space="preserve"> It’s onchain + social + process. When any leg breaks, governance becomes vibes.</w:t>
      </w:r>
    </w:p>
    <w:p>
      <w:pPr>
        <w:pStyle w:val="ListBullet"/>
      </w:pPr>
      <w:r>
        <w:rPr>
          <w:b/>
        </w:rPr>
        <w:t>Low participation is the silent killer.</w:t>
      </w:r>
      <w:r>
        <w:t xml:space="preserve"> Not every controversial outcome is capture—but low turnout makes capture cheap.</w:t>
      </w:r>
    </w:p>
    <w:p/>
    <w:p/>
    <w:p/>
    <w:p>
      <w:pPr>
        <w:pStyle w:val="Heading2"/>
      </w:pPr>
      <w:r>
        <w:t>Watchlist for tomorrow</w:t>
      </w:r>
    </w:p>
    <w:p>
      <w:pPr>
        <w:pStyle w:val="ListBullet"/>
      </w:pPr>
      <w:r>
        <w:t xml:space="preserve">Confirm whether the </w:t>
      </w:r>
      <w:r>
        <w:rPr>
          <w:b/>
        </w:rPr>
        <w:t>ENS Security Controller</w:t>
      </w:r>
      <w:r>
        <w:t xml:space="preserve"> proposal advances, changes scope, or picks up structured objections.</w:t>
      </w:r>
    </w:p>
    <w:p>
      <w:pPr>
        <w:pStyle w:val="ListBullet"/>
      </w:pPr>
      <w:r>
        <w:t>Check Jupiter’s vote dashboard for any visible trend shifts and whether governance is re-opening / normalizing.</w:t>
      </w:r>
    </w:p>
    <w:p>
      <w:pPr>
        <w:pStyle w:val="ListBullet"/>
      </w:pPr>
      <w:r>
        <w:t>Validate (or debunk) the Arbitrum quorum-cost analysis against current parameters.</w:t>
      </w:r>
    </w:p>
    <w:p>
      <w:pPr>
        <w:pStyle w:val="ListBullet"/>
      </w:pPr>
      <w:r>
        <w:t>Operational: restore monitoring access (X + governance explorers) or move the radar job to a host that can reach them.</w:t>
      </w:r>
    </w:p>
    <w:p/>
    <w:p/>
    <w:p/>
    <w:p>
      <w:pPr>
        <w:pStyle w:val="Heading2"/>
      </w:pPr>
      <w:r>
        <w:t>3 takeaways</w:t>
      </w:r>
    </w:p>
    <w:p>
      <w:pPr>
        <w:pStyle w:val="ListBullet"/>
      </w:pPr>
      <w:r>
        <w:t xml:space="preserve">When your monitoring stack is blind, </w:t>
      </w:r>
      <w:r>
        <w:rPr>
          <w:b/>
        </w:rPr>
        <w:t>be explicit about uncertainty</w:t>
      </w:r>
      <w:r>
        <w:t xml:space="preserve"> rather than filling the gap with vibes.</w:t>
      </w:r>
    </w:p>
    <w:p>
      <w:pPr>
        <w:pStyle w:val="ListBullet"/>
      </w:pPr>
      <w:r>
        <w:t xml:space="preserve">Emergency powers aren’t “anti-decentralization” by default, but they demand </w:t>
      </w:r>
      <w:r>
        <w:rPr>
          <w:b/>
        </w:rPr>
        <w:t>tight constraints</w:t>
      </w:r>
      <w:r>
        <w:t>.</w:t>
      </w:r>
    </w:p>
    <w:p>
      <w:pPr>
        <w:pStyle w:val="ListBullet"/>
      </w:pPr>
      <w:r>
        <w:t xml:space="preserve">Participation is governance security: </w:t>
      </w:r>
      <w:r>
        <w:rPr>
          <w:b/>
        </w:rPr>
        <w:t>small electorates turn every vote into a vulnerability</w:t>
      </w:r>
      <w:r>
        <w:t>.</w:t>
      </w:r>
    </w:p>
    <w:p/>
    <w:p/>
    <w:p/>
    <w:p>
      <w:pPr>
        <w:pStyle w:val="Heading2"/>
      </w:pPr>
      <w:r>
        <w:t>IMAGE PROMPT</w:t>
      </w:r>
    </w:p>
    <w:p>
      <w:r>
        <w:t>A moody, editorial illustration of a “governance control room” at dawn: a wall of screens showing proposal dashboards and forum threads, but several screens display “NO SIGNAL.” A few human silhouettes (delegates) reviewing documents under warm desk lamps. Subtle motifs: a voting checkmark, a broken chain link (trust), and a shield icon (security). Color palette: deep navy + warm amber highlights. Clean, high-contrast, modern, Substack header-friendly, no text.</w:t>
      </w:r>
    </w:p>
    <w:p/>
    <w:p/>
    <w:p/>
    <w:p>
      <w:r>
        <w:t>📣 Manual post options (aligns w/ today’s blog post)</w:t>
      </w:r>
    </w:p>
    <w:p/>
    <w:p>
      <w:r>
        <w:t>A) X post (&lt;=280 chars)</w:t>
      </w:r>
    </w:p>
    <w:p>
      <w:r>
        <w:t>Governance is about to get more “break-glass.” ENS is debating expanded Security Controllers — security vs decentralization in one proposal. Also: Jupiter’s trust-repair arc keeps unfolding.</w:t>
      </w:r>
    </w:p>
    <w:p>
      <w:r>
        <w:t>ENS: https://discuss.ens.domains/t/executable-enable-root-and-registrar-security-controllers/21872</w:t>
      </w:r>
    </w:p>
    <w:p>
      <w:r>
        <w:t>JUP: https://vote.jup.ag/</w:t>
      </w:r>
    </w:p>
    <w:p>
      <w:r>
        <w:t>Blog: [BLOG LINK]</w:t>
      </w:r>
    </w:p>
    <w:p/>
    <w:p>
      <w:r>
        <w:t>B) X short thread (3 posts)</w:t>
      </w:r>
    </w:p>
    <w:p>
      <w:r>
        <w:t>1/ Governance morning note: we’re seeing a real tension between *security* and *principle* again — especially around emergency powers.</w:t>
      </w:r>
    </w:p>
    <w:p>
      <w:r>
        <w:t>Primary: https://discuss.ens.domains/t/executable-enable-root-and-registrar-security-controllers/21872</w:t>
      </w:r>
    </w:p>
    <w:p/>
    <w:p>
      <w:r>
        <w:t>2/ ENS is weighing expanded “break-glass” controls. The key isn’t whether they exist — it’s constraints: who can trigger, what’s logged, how it sunsets.</w:t>
      </w:r>
    </w:p>
    <w:p/>
    <w:p>
      <w:r>
        <w:t>3/ Meanwhile, Jupiter remains the live case study in governance legitimacy after trust breaks. Track it directly here:</w:t>
      </w:r>
    </w:p>
    <w:p>
      <w:r>
        <w:t>https://vote.jup.ag/</w:t>
      </w:r>
    </w:p>
    <w:p>
      <w:r>
        <w:t>Full digest: [BLOG LINK]</w:t>
      </w:r>
    </w:p>
    <w:p/>
    <w:p>
      <w:r>
        <w:t>C) LinkedIn/Telegram (1 short paragraph)</w:t>
      </w:r>
    </w:p>
    <w:p>
      <w:r>
        <w:t>Governance isn’t just smart contracts — it’s process, comms, and trust. Today I’m watching ENS’s proposal to expand emergency Security Controller powers (a clean security-vs-decentralization trade), and Jupiter’s ongoing emissions/legitimacy debate as the DAO tries to repair trust. Primary links: https://discuss.ens.domains/t/executable-enable-root-and-registrar-security-controllers/21872 and https://vote.jup.ag/ — full write-up: [BLOG LINK]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