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DAO / Governance Digest — Morning Edition (Tue, Feb 24, 2026)</w:t>
      </w:r>
    </w:p>
    <w:p/>
    <w:p>
      <w:r>
        <w:t>Disclosure: This digest is researched and drafted with the help of Boilermolt (an OpenClaw-powered assistant). I review and edit before publishing. Links are provided so you can verify primary sources. This is not financial advice.</w:t>
      </w:r>
    </w:p>
    <w:p/>
    <w:p>
      <w:pPr>
        <w:pStyle w:val="Heading2"/>
      </w:pPr>
      <w:r>
        <w:t>TL;DR</w:t>
      </w:r>
    </w:p>
    <w:p>
      <w:pPr>
        <w:pStyle w:val="ListBullet"/>
      </w:pPr>
      <w:r>
        <w:rPr>
          <w:b/>
        </w:rPr>
        <w:t>Aave’s “who maintains the protocol?” question just got real:</w:t>
      </w:r>
      <w:r>
        <w:t xml:space="preserve"> BGD Labs says it will stop contributing when its current engagement ends </w:t>
      </w:r>
      <w:r>
        <w:rPr>
          <w:b/>
        </w:rPr>
        <w:t>Apr 1, 2026</w:t>
      </w:r>
      <w:r>
        <w:t>.</w:t>
      </w:r>
    </w:p>
    <w:p>
      <w:pPr>
        <w:pStyle w:val="ListBullet"/>
      </w:pPr>
      <w:r>
        <w:rPr>
          <w:b/>
        </w:rPr>
        <w:t>Jupiter picked a supply-hardening path:</w:t>
      </w:r>
      <w:r>
        <w:t xml:space="preserve"> the DAO’s </w:t>
      </w:r>
      <w:r>
        <w:rPr>
          <w:b/>
        </w:rPr>
        <w:t>Net‑Zero Emissions</w:t>
      </w:r>
      <w:r>
        <w:t xml:space="preserve"> vote finished </w:t>
      </w:r>
      <w:r>
        <w:rPr>
          <w:b/>
        </w:rPr>
        <w:t>75% / 25%</w:t>
      </w:r>
      <w:r>
        <w:t xml:space="preserve"> (by voting power).</w:t>
      </w:r>
    </w:p>
    <w:p>
      <w:pPr>
        <w:pStyle w:val="ListBullet"/>
      </w:pPr>
      <w:r>
        <w:rPr>
          <w:b/>
        </w:rPr>
        <w:t>Low participation is still the quiet attack surface:</w:t>
      </w:r>
      <w:r>
        <w:t xml:space="preserve"> Magic Eden’s DAO has multiple votes nearing deadline with </w:t>
      </w:r>
      <w:r>
        <w:rPr>
          <w:b/>
        </w:rPr>
        <w:t>quorum lagging</w:t>
      </w:r>
      <w:r>
        <w:t>, per community alerts.</w:t>
      </w:r>
    </w:p>
    <w:p>
      <w:pPr>
        <w:pStyle w:val="ListBullet"/>
      </w:pPr>
      <w:r>
        <w:t xml:space="preserve">The meta-theme today: </w:t>
      </w:r>
      <w:r>
        <w:rPr>
          <w:b/>
        </w:rPr>
        <w:t>DAOs are professionalizing</w:t>
      </w:r>
      <w:r>
        <w:t>, but the friction points are still the same: core contributor accountability, quorum design, and “break-glass” governance.</w:t>
      </w:r>
    </w:p>
    <w:p/>
    <w:p/>
    <w:p/>
    <w:p>
      <w:pPr>
        <w:pStyle w:val="Heading2"/>
      </w:pPr>
      <w:r>
        <w:t>Top governance moves (what to actually pay attention to)</w:t>
      </w:r>
    </w:p>
    <w:p/>
    <w:p>
      <w:pPr>
        <w:pStyle w:val="Heading3"/>
      </w:pPr>
      <w:r>
        <w:t>1) Aave: BGD Labs is leaving (core contributor / service-provider governance)</w:t>
      </w:r>
    </w:p>
    <w:p>
      <w:r>
        <w:t xml:space="preserve">BGD Labs posted that once its current engagement with the Aave DAO concludes on </w:t>
      </w:r>
      <w:r>
        <w:rPr>
          <w:b/>
        </w:rPr>
        <w:t>April 1st, 2026</w:t>
      </w:r>
      <w:r>
        <w:t xml:space="preserve">, it will </w:t>
      </w:r>
      <w:r>
        <w:rPr>
          <w:b/>
        </w:rPr>
        <w:t>not seek renewal</w:t>
      </w:r>
      <w:r>
        <w:t xml:space="preserve"> and will </w:t>
      </w:r>
      <w:r>
        <w:rPr>
          <w:b/>
        </w:rPr>
        <w:t>cease its contribution to Aave</w:t>
      </w:r>
      <w:r>
        <w:t>.</w:t>
      </w:r>
    </w:p>
    <w:p/>
    <w:p>
      <w:r>
        <w:t>Even if the operational transition is smooth, the governance signal is big: the DAO is being forced to answer (in public) what many mature protocols eventually face:</w:t>
      </w:r>
    </w:p>
    <w:p>
      <w:pPr>
        <w:pStyle w:val="ListBullet"/>
      </w:pPr>
      <w:r>
        <w:t>who is “core dev” when a DAO is the customer,</w:t>
      </w:r>
    </w:p>
    <w:p>
      <w:pPr>
        <w:pStyle w:val="ListBullet"/>
      </w:pPr>
      <w:r>
        <w:t>what oversight looks like without breaking velocity, and</w:t>
      </w:r>
    </w:p>
    <w:p>
      <w:pPr>
        <w:pStyle w:val="ListBullet"/>
      </w:pPr>
      <w:r>
        <w:t>how much of the protocol’s future depends on a small number of aligned teams.</w:t>
      </w:r>
    </w:p>
    <w:p/>
    <w:p>
      <w:r>
        <w:t>Primary source (Aave forum):</w:t>
      </w:r>
    </w:p>
    <w:p>
      <w:pPr>
        <w:pStyle w:val="ListBullet"/>
      </w:pPr>
      <w:r>
        <w:t>https://governance.aave.com/t/bgd-leaving-aave/24122</w:t>
      </w:r>
    </w:p>
    <w:p/>
    <w:p>
      <w:r>
        <w:t>(If you want extra context, this is also the kind of moment where delegates’ compensation/mandate expectations tend to become explicit—sometimes messily.)</w:t>
      </w:r>
    </w:p>
    <w:p/>
    <w:p>
      <w:pPr>
        <w:pStyle w:val="Heading3"/>
      </w:pPr>
      <w:r>
        <w:t>2) Jupiter: Net‑Zero Emissions vote passed (and it’s not subtle)</w:t>
      </w:r>
    </w:p>
    <w:p>
      <w:r>
        <w:t xml:space="preserve">On Jupiter’s vote portal, the </w:t>
      </w:r>
      <w:r>
        <w:rPr>
          <w:b/>
        </w:rPr>
        <w:t>“Proposal: Net‑Zero Emissions”</w:t>
      </w:r>
      <w:r>
        <w:t xml:space="preserve"> option vote has completed with:</w:t>
      </w:r>
    </w:p>
    <w:p>
      <w:pPr>
        <w:pStyle w:val="ListBullet"/>
      </w:pPr>
      <w:r>
        <w:rPr>
          <w:b/>
        </w:rPr>
        <w:t>Net‑Zero Emissions:</w:t>
      </w:r>
      <w:r>
        <w:t xml:space="preserve"> </w:t>
      </w:r>
      <w:r>
        <w:rPr>
          <w:b/>
        </w:rPr>
        <w:t>361,296,102 votes (75%)</w:t>
      </w:r>
    </w:p>
    <w:p>
      <w:pPr>
        <w:pStyle w:val="ListBullet"/>
      </w:pPr>
      <w:r>
        <w:rPr>
          <w:b/>
        </w:rPr>
        <w:t>Proceed with Jupuary as Planned:</w:t>
      </w:r>
      <w:r>
        <w:t xml:space="preserve"> </w:t>
      </w:r>
      <w:r>
        <w:rPr>
          <w:b/>
        </w:rPr>
        <w:t>118,730,351 votes (25%)</w:t>
      </w:r>
    </w:p>
    <w:p>
      <w:pPr>
        <w:pStyle w:val="ListBullet"/>
      </w:pPr>
      <w:r>
        <w:t xml:space="preserve">Total: </w:t>
      </w:r>
      <w:r>
        <w:rPr>
          <w:b/>
        </w:rPr>
        <w:t>480,035,391 votes</w:t>
      </w:r>
    </w:p>
    <w:p/>
    <w:p>
      <w:r>
        <w:t>The proposal description frames the trade clearly: postpone Jupuary / return tokens to the Community Cold Multisig / pause team emissions indefinitely, vs proceeding with the planned schedule.</w:t>
      </w:r>
    </w:p>
    <w:p/>
    <w:p>
      <w:r>
        <w:t>Primary sources:</w:t>
      </w:r>
    </w:p>
    <w:p>
      <w:pPr>
        <w:pStyle w:val="ListBullet"/>
      </w:pPr>
      <w:r>
        <w:t>Jupiter vote portal (results + proposal text): https://vote.jup.ag/</w:t>
      </w:r>
    </w:p>
    <w:p>
      <w:pPr>
        <w:pStyle w:val="ListBullet"/>
      </w:pPr>
      <w:r>
        <w:t>“View Full Proposal” forum link (from the vote UI): https://jupresear.ch/t/draft-proposal-net-zero-emissions/39948</w:t>
      </w:r>
    </w:p>
    <w:p/>
    <w:p>
      <w:pPr>
        <w:pStyle w:val="Heading3"/>
      </w:pPr>
      <w:r>
        <w:t>3) GMX: long-horizon funding asks keep becoming “governance budget governance”</w:t>
      </w:r>
    </w:p>
    <w:p>
      <w:r>
        <w:t xml:space="preserve">GMX’s forum has a dedicated thread for the </w:t>
      </w:r>
      <w:r>
        <w:rPr>
          <w:b/>
        </w:rPr>
        <w:t>GMX Labs Funding Proposal (2026–2027)</w:t>
      </w:r>
      <w:r>
        <w:t>, laying out a two‑year funding framework with operating funds + contributor tokens and “floor/ceiling” mechanisms.</w:t>
      </w:r>
    </w:p>
    <w:p/>
    <w:p>
      <w:r>
        <w:t>This isn’t about the specific numbers as much as the pattern: more DAOs are turning into organizations that need multi‑year planning, and governance is slowly learning how to evaluate *plans* instead of *one-off invoices*.</w:t>
      </w:r>
    </w:p>
    <w:p/>
    <w:p>
      <w:r>
        <w:t>Primary source (GMX forum):</w:t>
      </w:r>
    </w:p>
    <w:p>
      <w:pPr>
        <w:pStyle w:val="ListBullet"/>
      </w:pPr>
      <w:r>
        <w:t>https://gov.gmx.io/t/gmx-labs-funding-proposal-2026-2027/4979</w:t>
      </w:r>
    </w:p>
    <w:p/>
    <w:p>
      <w:pPr>
        <w:pStyle w:val="Heading3"/>
      </w:pPr>
      <w:r>
        <w:t>4) Magic Eden: multiple votes, quorum lagging (participation as risk)</w:t>
      </w:r>
    </w:p>
    <w:p>
      <w:r>
        <w:t>A governance system can be “onchain” and still be fragile if participation is thin. A community alert says multiple Magic Eden DAO votes are ending within ~24 hours and are behind on quorum.</w:t>
      </w:r>
    </w:p>
    <w:p/>
    <w:p>
      <w:r>
        <w:t>If you’re trying to read this as a broader signal: DAOs with new governance often experience a participation trough right when they need legitimacy the most (first real budgets, first real mandate fights).</w:t>
      </w:r>
    </w:p>
    <w:p/>
    <w:p>
      <w:r>
        <w:t>Primary explainer surface for how $ME governance works:</w:t>
      </w:r>
    </w:p>
    <w:p>
      <w:pPr>
        <w:pStyle w:val="ListBullet"/>
      </w:pPr>
      <w:r>
        <w:t>https://help.magiceden.io/en/articles/12151516-magic-eden-rewards-me-governance-season-4</w:t>
      </w:r>
    </w:p>
    <w:p/>
    <w:p/>
    <w:p/>
    <w:p>
      <w:pPr>
        <w:pStyle w:val="Heading2"/>
      </w:pPr>
      <w:r>
        <w:t>X Radar</w:t>
      </w:r>
    </w:p>
    <w:p>
      <w:r>
        <w:t>Pulled directly from: `/home/boilerrat/clawd/reports/dao/x-radar-latest.md` (Timestamp: 2026-02-24 04:37 EST)</w:t>
      </w:r>
    </w:p>
    <w:p/>
    <w:p>
      <w:pPr>
        <w:pStyle w:val="Heading3"/>
      </w:pPr>
      <w:r>
        <w:t>Signals (3–5)</w:t>
      </w:r>
    </w:p>
    <w:p>
      <w:pPr>
        <w:pStyle w:val="ListNumber"/>
      </w:pPr>
      <w:r>
        <w:rPr>
          <w:b/>
        </w:rPr>
        <w:t>Aave dev/provider exit is now the headline governance story.</w:t>
      </w:r>
    </w:p>
    <w:p>
      <w:pPr>
        <w:pStyle w:val="ListBullet"/>
      </w:pPr>
      <w:r>
        <w:t>https://x.com/DAOscope/status/2025660064443322525</w:t>
      </w:r>
    </w:p>
    <w:p>
      <w:pPr>
        <w:pStyle w:val="ListBullet"/>
      </w:pPr>
      <w:r>
        <w:t>Primary verification: https://governance.aave.com/t/bgd-leaving-aave/24122</w:t>
      </w:r>
    </w:p>
    <w:p/>
    <w:p>
      <w:pPr>
        <w:pStyle w:val="ListNumber"/>
      </w:pPr>
      <w:r>
        <w:rPr>
          <w:b/>
        </w:rPr>
        <w:t>Jupiter sentiment is still raw even after the vote.</w:t>
      </w:r>
    </w:p>
    <w:p>
      <w:pPr>
        <w:pStyle w:val="ListBullet"/>
      </w:pPr>
      <w:r>
        <w:t>https://x.com/Kraventhe1st/status/2026227664751919301</w:t>
      </w:r>
    </w:p>
    <w:p>
      <w:pPr>
        <w:pStyle w:val="ListBullet"/>
      </w:pPr>
      <w:r>
        <w:t>Primary verification (vote result + options): https://vote.jup.ag/</w:t>
      </w:r>
    </w:p>
    <w:p/>
    <w:p>
      <w:pPr>
        <w:pStyle w:val="ListNumber"/>
      </w:pPr>
      <w:r>
        <w:rPr>
          <w:b/>
        </w:rPr>
        <w:t>Magic Eden quorum warnings are showing up in public (good sign, but also a red flag).</w:t>
      </w:r>
    </w:p>
    <w:p>
      <w:pPr>
        <w:pStyle w:val="ListBullet"/>
      </w:pPr>
      <w:r>
        <w:t>https://x.com/BenGruenbaum/status/2026053326832361655</w:t>
      </w:r>
    </w:p>
    <w:p>
      <w:pPr>
        <w:pStyle w:val="ListBullet"/>
      </w:pPr>
      <w:r>
        <w:t>How voting power is derived (mechanics): https://help.magiceden.io/en/articles/12151516-magic-eden-rewards-me-governance-season-4</w:t>
      </w:r>
    </w:p>
    <w:p/>
    <w:p>
      <w:pPr>
        <w:pStyle w:val="ListNumber"/>
      </w:pPr>
      <w:r>
        <w:rPr>
          <w:b/>
        </w:rPr>
        <w:t>GMX funding discourse is being “live-narrated” by governance commentators.</w:t>
      </w:r>
    </w:p>
    <w:p>
      <w:pPr>
        <w:pStyle w:val="ListBullet"/>
      </w:pPr>
      <w:r>
        <w:t>https://x.com/degov_x/status/2025926225571582356</w:t>
      </w:r>
    </w:p>
    <w:p>
      <w:pPr>
        <w:pStyle w:val="ListBullet"/>
      </w:pPr>
      <w:r>
        <w:t>Primary verification surface (proposal thread): https://gov.gmx.io/t/gmx-labs-funding-proposal-2026-2027/4979</w:t>
      </w:r>
    </w:p>
    <w:p/>
    <w:p>
      <w:pPr>
        <w:pStyle w:val="ListNumber"/>
      </w:pPr>
      <w:r>
        <w:rPr>
          <w:b/>
        </w:rPr>
        <w:t>Realms keeps pushing the “AI agents can run DAO ops” line via MCP + DeFi integrations.</w:t>
      </w:r>
    </w:p>
    <w:p>
      <w:pPr>
        <w:pStyle w:val="ListBullet"/>
      </w:pPr>
      <w:r>
        <w:t>https://x.com/realmsdaos/status/2026022611084288178</w:t>
      </w:r>
    </w:p>
    <w:p/>
    <w:p>
      <w:pPr>
        <w:pStyle w:val="Heading3"/>
      </w:pPr>
      <w:r>
        <w:t>Spicy corner (1–2)</w:t>
      </w:r>
    </w:p>
    <w:p>
      <w:pPr>
        <w:pStyle w:val="ListBullet"/>
      </w:pPr>
      <w:r>
        <w:rPr>
          <w:b/>
        </w:rPr>
        <w:t>“AI agents as delegates” may just make failure modes faster.</w:t>
      </w:r>
    </w:p>
    <w:p>
      <w:pPr>
        <w:pStyle w:val="ListBullet"/>
      </w:pPr>
      <w:r>
        <w:t>https://x.com/ConsortiumDAC/status/2025837167117795381</w:t>
      </w:r>
    </w:p>
    <w:p/>
    <w:p>
      <w:pPr>
        <w:pStyle w:val="ListBullet"/>
      </w:pPr>
      <w:r>
        <w:rPr>
          <w:b/>
        </w:rPr>
        <w:t>Curve governance is being framed (again) around contentious grants / debate optics.</w:t>
      </w:r>
    </w:p>
    <w:p>
      <w:pPr>
        <w:pStyle w:val="ListBullet"/>
      </w:pPr>
      <w:r>
        <w:t>https://x.com/Cipherage/status/2026024947127046265</w:t>
      </w:r>
    </w:p>
    <w:p>
      <w:pPr>
        <w:pStyle w:val="ListBullet"/>
      </w:pPr>
      <w:r>
        <w:t>(Unverified specifics unless you trace the underlying proposal/thread mentioned in the post.)</w:t>
      </w:r>
    </w:p>
    <w:p/>
    <w:p/>
    <w:p/>
    <w:p>
      <w:pPr>
        <w:pStyle w:val="Heading2"/>
      </w:pPr>
      <w:r>
        <w:t>Spicy Watch (1–2 items)</w:t>
      </w:r>
    </w:p>
    <w:p/>
    <w:p>
      <w:pPr>
        <w:pStyle w:val="Heading3"/>
      </w:pPr>
      <w:r>
        <w:t>🌶️🌶️🌶️ Aave: BGD leaving is a governance-ops stress test (active)</w:t>
      </w:r>
    </w:p>
    <w:p>
      <w:r>
        <w:t>Whether you interpret this as “accountability friction” or “coordination failure,” the key thing to track is the *handoff*: what gets documented, what becomes formalized, and what quietly becomes centralized.</w:t>
      </w:r>
    </w:p>
    <w:p/>
    <w:p>
      <w:r>
        <w:t>Primary source:</w:t>
      </w:r>
    </w:p>
    <w:p>
      <w:pPr>
        <w:pStyle w:val="ListBullet"/>
      </w:pPr>
      <w:r>
        <w:t>https://governance.aave.com/t/bgd-leaving-aave/24122</w:t>
      </w:r>
    </w:p>
    <w:p/>
    <w:p>
      <w:pPr>
        <w:pStyle w:val="Heading3"/>
      </w:pPr>
      <w:r>
        <w:t>🌶️ Participation risk: quorum warnings are now a recurring pattern (monitoring)</w:t>
      </w:r>
    </w:p>
    <w:p>
      <w:r>
        <w:t>The Magic Eden quorum alerts are just today’s example. The broader spicy point is: low turnout makes governance cheap to steer *and* easy to ignore.</w:t>
      </w:r>
    </w:p>
    <w:p/>
    <w:p>
      <w:r>
        <w:t>Primary surface (mechanics):</w:t>
      </w:r>
    </w:p>
    <w:p>
      <w:pPr>
        <w:pStyle w:val="ListBullet"/>
      </w:pPr>
      <w:r>
        <w:t>https://help.magiceden.io/en/articles/12151516-magic-eden-rewards-me-governance-season-4</w:t>
      </w:r>
    </w:p>
    <w:p/>
    <w:p/>
    <w:p/>
    <w:p>
      <w:pPr>
        <w:pStyle w:val="Heading2"/>
      </w:pPr>
      <w:r>
        <w:t>Down in the weeds (3–6)</w:t>
      </w:r>
    </w:p>
    <w:p/>
    <w:p>
      <w:pPr>
        <w:pStyle w:val="ListNumber"/>
      </w:pPr>
      <w:r>
        <w:rPr>
          <w:b/>
        </w:rPr>
        <w:t>Jupiter’s vote choice is also a governance constitution choice.</w:t>
      </w:r>
      <w:r>
        <w:t xml:space="preserve"> The “Net‑Zero” option explicitly moves emissions/liquidity actions into balance-sheet/multisig territory. That can be pragmatic, but it’s also where “the real constitution” tends to live.</w:t>
      </w:r>
    </w:p>
    <w:p>
      <w:pPr>
        <w:pStyle w:val="ListBullet"/>
      </w:pPr>
      <w:r>
        <w:t>https://vote.jup.ag/</w:t>
      </w:r>
    </w:p>
    <w:p/>
    <w:p>
      <w:pPr>
        <w:pStyle w:val="ListNumber"/>
      </w:pPr>
      <w:r>
        <w:rPr>
          <w:b/>
        </w:rPr>
        <w:t>Funding proposals are slowly evolving into governance product management.</w:t>
      </w:r>
      <w:r>
        <w:t xml:space="preserve"> GMX’s two‑year funding framing is part of a broader shift: DAOs need dashboards, KPIs, and credible accountability loops that are simpler than “read 40 forum posts.”</w:t>
      </w:r>
    </w:p>
    <w:p>
      <w:pPr>
        <w:pStyle w:val="ListBullet"/>
      </w:pPr>
      <w:r>
        <w:t>https://gov.gmx.io/t/gmx-labs-funding-proposal-2026-2027/4979</w:t>
      </w:r>
    </w:p>
    <w:p/>
    <w:p>
      <w:pPr>
        <w:pStyle w:val="ListNumber"/>
      </w:pPr>
      <w:r>
        <w:rPr>
          <w:b/>
        </w:rPr>
        <w:t>Realms: more “DAO treasury as an onchain organization” primitives.</w:t>
      </w:r>
      <w:r>
        <w:t xml:space="preserve"> The DeFi/MCP angle is less about hype and more about operationalizing treasury actions with auditable policies.</w:t>
      </w:r>
    </w:p>
    <w:p>
      <w:pPr>
        <w:pStyle w:val="ListBullet"/>
      </w:pPr>
      <w:r>
        <w:t>https://x.com/realmsdaos/status/2026022611084288178</w:t>
      </w:r>
    </w:p>
    <w:p/>
    <w:p>
      <w:pPr>
        <w:pStyle w:val="ListNumber"/>
      </w:pPr>
      <w:r>
        <w:rPr>
          <w:b/>
        </w:rPr>
        <w:t>Delegation + quorum: Unlock’s pitch is blunt.</w:t>
      </w:r>
      <w:r>
        <w:t xml:space="preserve"> A delegate proposal is “live on Tally” to grant active community members voting power to help hit quorum.</w:t>
      </w:r>
    </w:p>
    <w:p>
      <w:pPr>
        <w:pStyle w:val="ListBullet"/>
      </w:pPr>
      <w:r>
        <w:t>https://x.com/UnlockProtocol/status/2025924716230234417</w:t>
      </w:r>
    </w:p>
    <w:p/>
    <w:p/>
    <w:p/>
    <w:p>
      <w:pPr>
        <w:pStyle w:val="Heading2"/>
      </w:pPr>
      <w:r>
        <w:t>Tooling / infra (2–4 bullets)</w:t>
      </w:r>
    </w:p>
    <w:p>
      <w:pPr>
        <w:pStyle w:val="ListBullet"/>
      </w:pPr>
      <w:r>
        <w:rPr>
          <w:b/>
        </w:rPr>
        <w:t>Discourse JSON endpoints are underrated.</w:t>
      </w:r>
      <w:r>
        <w:t xml:space="preserve"> For DAOs on Discourse, `/t/&lt;slug&gt;/&lt;id&gt;.json` is often the fastest way to reliably archive proposal text for verification.</w:t>
      </w:r>
    </w:p>
    <w:p>
      <w:pPr>
        <w:pStyle w:val="ListBullet"/>
      </w:pPr>
      <w:r>
        <w:rPr>
          <w:b/>
        </w:rPr>
        <w:t>Quorum monitoring should be automated.</w:t>
      </w:r>
      <w:r>
        <w:t xml:space="preserve"> If votes are expiring under quorum, governance UIs should trigger notifications by default (not just “follow on X”).</w:t>
      </w:r>
    </w:p>
    <w:p>
      <w:pPr>
        <w:pStyle w:val="ListBullet"/>
      </w:pPr>
      <w:r>
        <w:rPr>
          <w:b/>
        </w:rPr>
        <w:t>Multi-year funding asks need standard reporting.</w:t>
      </w:r>
      <w:r>
        <w:t xml:space="preserve"> A simple template (milestones + burn + deliverables) beats bespoke narrative every time.</w:t>
      </w:r>
    </w:p>
    <w:p/>
    <w:p/>
    <w:p/>
    <w:p>
      <w:pPr>
        <w:pStyle w:val="Heading2"/>
      </w:pPr>
      <w:r>
        <w:t>Themes (2–4)</w:t>
      </w:r>
    </w:p>
    <w:p>
      <w:pPr>
        <w:pStyle w:val="ListBullet"/>
      </w:pPr>
      <w:r>
        <w:rPr>
          <w:b/>
        </w:rPr>
        <w:t>Core contributors are becoming the new “risk surface.”</w:t>
      </w:r>
      <w:r>
        <w:t xml:space="preserve"> Not maliciously—structurally. The exit of one key team can be more destabilizing than a bad vote.</w:t>
      </w:r>
    </w:p>
    <w:p>
      <w:pPr>
        <w:pStyle w:val="ListBullet"/>
      </w:pPr>
      <w:r>
        <w:rPr>
          <w:b/>
        </w:rPr>
        <w:t>“Supply policy” votes are governance identity votes.</w:t>
      </w:r>
      <w:r>
        <w:t xml:space="preserve"> They shape where power lives (DAO vote UI vs multisigs vs teams).</w:t>
      </w:r>
    </w:p>
    <w:p>
      <w:pPr>
        <w:pStyle w:val="ListBullet"/>
      </w:pPr>
      <w:r>
        <w:rPr>
          <w:b/>
        </w:rPr>
        <w:t>Participation remains the cheapest security upgrade.</w:t>
      </w:r>
      <w:r>
        <w:t xml:space="preserve"> It’s also the hardest to engineer.</w:t>
      </w:r>
    </w:p>
    <w:p/>
    <w:p/>
    <w:p/>
    <w:p>
      <w:pPr>
        <w:pStyle w:val="Heading2"/>
      </w:pPr>
      <w:r>
        <w:t>Watchlist for tomorrow (2–4)</w:t>
      </w:r>
    </w:p>
    <w:p>
      <w:pPr>
        <w:pStyle w:val="ListBullet"/>
      </w:pPr>
      <w:r>
        <w:t>Aave: look for concrete transition steps (who takes over what, and under what mandate).</w:t>
      </w:r>
    </w:p>
    <w:p>
      <w:pPr>
        <w:pStyle w:val="ListBullet"/>
      </w:pPr>
      <w:r>
        <w:t>Jupiter: watch whether “Queued/Executed” changes and what follow-up governance process is proposed.</w:t>
      </w:r>
    </w:p>
    <w:p>
      <w:pPr>
        <w:pStyle w:val="ListBullet"/>
      </w:pPr>
      <w:r>
        <w:t>GMX: track any revisions/objections to the 2026–2027 funding framework.</w:t>
      </w:r>
    </w:p>
    <w:p>
      <w:pPr>
        <w:pStyle w:val="ListBullet"/>
      </w:pPr>
      <w:r>
        <w:t>Magic Eden: see which proposals miss quorum and whether governance adjusts incentives/notifications.</w:t>
      </w:r>
    </w:p>
    <w:p/>
    <w:p/>
    <w:p/>
    <w:p>
      <w:pPr>
        <w:pStyle w:val="Heading2"/>
      </w:pPr>
      <w:r>
        <w:t>3 takeaways</w:t>
      </w:r>
    </w:p>
    <w:p>
      <w:pPr>
        <w:pStyle w:val="ListBullet"/>
      </w:pPr>
      <w:r>
        <w:t xml:space="preserve">A DAO’s biggest dependency is often </w:t>
      </w:r>
      <w:r>
        <w:rPr>
          <w:b/>
        </w:rPr>
        <w:t>a small set of maintainers</w:t>
      </w:r>
      <w:r>
        <w:t>, not a smart contract.</w:t>
      </w:r>
    </w:p>
    <w:p>
      <w:pPr>
        <w:pStyle w:val="ListBullet"/>
      </w:pPr>
      <w:r>
        <w:t xml:space="preserve">“Net‑zero emissions” is a supply decision *and* a </w:t>
      </w:r>
      <w:r>
        <w:rPr>
          <w:b/>
        </w:rPr>
        <w:t>power-allocation decision</w:t>
      </w:r>
      <w:r>
        <w:t>.</w:t>
      </w:r>
    </w:p>
    <w:p>
      <w:pPr>
        <w:pStyle w:val="ListBullet"/>
      </w:pPr>
      <w:r>
        <w:t xml:space="preserve">Quorum isn’t boring admin—it’s </w:t>
      </w:r>
      <w:r>
        <w:rPr>
          <w:b/>
        </w:rPr>
        <w:t>governance security</w:t>
      </w:r>
      <w:r>
        <w:t>.</w:t>
      </w:r>
    </w:p>
    <w:p/>
    <w:p/>
    <w:p/>
    <w:p>
      <w:pPr>
        <w:pStyle w:val="Heading2"/>
      </w:pPr>
      <w:r>
        <w:t>IMAGE PROMPT</w:t>
      </w:r>
    </w:p>
    <w:p>
      <w:r>
        <w:t>An editorial illustration of a DAO “handoff moment”: one team passing a heavy, glowing toolkit labeled “protocol maintenance” to a wider circle of delegates around a voting table. A second panel shows a large vote dashboard with a bold 75% / 25% split. Dawn lighting, modern minimal style, deep navy with warm amber highlights, Substack header-friendly, no text.</w:t>
      </w:r>
    </w:p>
    <w:p/>
    <w:p/>
    <w:p/>
    <w:p>
      <w:r>
        <w:t>📣 Manual post options (aligns w/ today’s blog post)</w:t>
      </w:r>
    </w:p>
    <w:p/>
    <w:p>
      <w:r>
        <w:t>A) X post (&lt;=280 chars)</w:t>
      </w:r>
    </w:p>
    <w:p>
      <w:r>
        <w:t>Aave governance has a real ops moment: BGD Labs says it’ll stop contributing after Apr 1, 2026. Meanwhile Jupiter’s Net‑Zero Emissions vote closed 75% / 25%.</w:t>
      </w:r>
    </w:p>
    <w:p>
      <w:r>
        <w:t>Aave: https://governance.aave.com/t/bgd-leaving-aave/24122</w:t>
      </w:r>
    </w:p>
    <w:p>
      <w:r>
        <w:t>JUP: https://vote.jup.ag/</w:t>
      </w:r>
    </w:p>
    <w:p>
      <w:r>
        <w:t>Blog: [BLOG LINK]</w:t>
      </w:r>
    </w:p>
    <w:p/>
    <w:p>
      <w:r>
        <w:t>B) X short thread (3 posts)</w:t>
      </w:r>
    </w:p>
    <w:p>
      <w:r>
        <w:t>1/ Today’s governance headline: Aave’s long-running technical contributor BGD Labs says it’s leaving when its engagement ends (Apr 1, 2026).</w:t>
      </w:r>
    </w:p>
    <w:p>
      <w:r>
        <w:t>Primary: https://governance.aave.com/t/bgd-leaving-aave/24122</w:t>
      </w:r>
    </w:p>
    <w:p/>
    <w:p>
      <w:r>
        <w:t>2/ This is a stress test for DAO ops: oversight vs velocity, and “who maintains the protocol” when the DAO is the customer.</w:t>
      </w:r>
    </w:p>
    <w:p/>
    <w:p>
      <w:r>
        <w:t>3/ Also: Jupiter’s Net‑Zero Emissions option vote finished 75% / 25% on the official portal.</w:t>
      </w:r>
    </w:p>
    <w:p>
      <w:r>
        <w:t>Primary: https://vote.jup.ag/</w:t>
      </w:r>
    </w:p>
    <w:p>
      <w:r>
        <w:t>Full digest: [BLOG LINK]</w:t>
      </w:r>
    </w:p>
    <w:p/>
    <w:p>
      <w:r>
        <w:t>C) LinkedIn/Telegram (1 short paragraph)</w:t>
      </w:r>
    </w:p>
    <w:p>
      <w:r>
        <w:t>Two governance signals worth watching: Aave’s BGD Labs says it will stop contributing when its current DAO engagement ends on Apr 1, 2026 (a real test of how DAOs manage core protocol maintenance), and Jupiter’s Net‑Zero Emissions vote completed 75% / 25% on the official vote portal. Primary links: https://governance.aave.com/t/bgd-leaving-aave/24122 and https://vote.jup.ag/ — full write-up: [BLOG LINK]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