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/>
          <w:color w:val="1A365D"/>
        </w:rPr>
        <w:t>NexBank Agentic AI - Requirement Traceability Matrix (RTM)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 xml:space="preserve">**Author / Conversational AI Architect**: SATHVIKA BOINA  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 xml:space="preserve">**Organization**: NexBank Digital Banking Platform  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This matrix maps every functional requirement, non-functional requirement, safety guardrail, NLU taxonomy code, and architectural constraint from the official NexBank project specification (`463548C_Agentic-AI_Customer_Service_Agent.docx.pdf`) to its exact code implementation and test verification.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1. Project Requirements &amp; Implementation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A365D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Req ID</w:t>
            </w:r>
          </w:p>
        </w:tc>
        <w:tc>
          <w:tcPr>
            <w:tcW w:type="dxa" w:w="1930"/>
            <w:shd w:val="clear" w:color="auto" w:fill="1A365D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Requirement Category</w:t>
            </w:r>
          </w:p>
        </w:tc>
        <w:tc>
          <w:tcPr>
            <w:tcW w:type="dxa" w:w="1930"/>
            <w:shd w:val="clear" w:color="auto" w:fill="1A365D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Specification Description</w:t>
            </w:r>
          </w:p>
        </w:tc>
        <w:tc>
          <w:tcPr>
            <w:tcW w:type="dxa" w:w="1930"/>
            <w:shd w:val="clear" w:color="auto" w:fill="1A365D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Implementation Location</w:t>
            </w:r>
          </w:p>
        </w:tc>
        <w:tc>
          <w:tcPr>
            <w:tcW w:type="dxa" w:w="1930"/>
            <w:shd w:val="clear" w:color="auto" w:fill="1A365D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Verification Status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**REQ-001**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Core Architecture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Clean Architecture with SOLID principles, 0 TODOs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Root repository codebase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(100% Complete)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**REQ-002**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Authentication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JWT Access (30 min) &amp; Refresh Token (7 days) rotation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`backend/app/core/security.py`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(`test_auth.py`)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**REQ-003**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Security Lockout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5 failed attempts locks account for 15 minutes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`backend/app/services/auth_service.py`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(`test_auth.py`)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**REQ-004**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RBAC Roles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Customer, Support Agent, Supervisor, Risk Officer, Admin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`backend/app/api/deps.py`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(`test_auth.py`)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**REQ-005**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Database Models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11 PostgreSQL domain models with UUID &amp; Alembic DDL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`backend/app/models/`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(All 11 Models)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**REQ-006**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State Persistence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Dual Redis (&lt;10ms cache) + Postgres state tracking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`backend/app/services/conversation_service.py`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(`test_conversation.py`)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**REQ-007**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Dialogue State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DialogueState object with 20-turn history buffer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`backend/app/schemas/dialogue.py`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(`test_conversation.py`)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**REQ-008**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Streaming Chat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WebSocket streaming endpoint `WS /chat/ws/{id}`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`backend/app/api/v1/endpoints/chat_ws.py`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**REQ-009**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NLU Taxonomy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30+ intent taxonomy across 6 domains with Out-of-Scope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`backend/app/services/nlu/intent_classifier.py`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(`test_nlu.py`)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**REQ-010**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Entity Extraction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PAN format, UPI handle, Luhn card check, Card last 4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`backend/app/services/nlu/entity_extractor.py`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(`test_nlu.py`)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**REQ-011**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Disambiguation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Resolves 6 specified confused intent pairs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`backend/app/services/nlu/disambiguator.py`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(`test_nlu.py`)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**REQ-012**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Sentiment &amp; Hinglish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Continuous sentiment [-1, +1] &amp; Hinglish detection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`backend/app/services/nlu/sentiment_language.py`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(`test_nlu.py`)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**REQ-013**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Hybrid RAG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Dense Vector (0.6) + Sparse BM25 (0.4) + Re-Ranking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`backend/app/services/rag/hybrid_retriever.py`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(`test_rag.py`)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**REQ-014**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KB Seeding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50+ banking product, policy &amp; regulatory entries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`backend/app/services/knowledge_service.py`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(`POST /knowledge/seed`)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**REQ-015**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Agent Workflow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Multi-turn reasoning, clarification &amp; confirmation flow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`backend/app/services/agent_workflow.py`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(`test_conversation.py`)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**REQ-016**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Banking Actions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10 secure core banking API workflows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`backend/app/services/banking_service.py`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(`test_banking_actions.py`)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**REQ-017**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Prompt Injection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Scanner for DAN mode, system prompt extraction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`backend/app/services/guardrails_service.py`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(`test_governance.py`)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**REQ-018**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SEBI Compliance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Intercepts financial advice &amp; appends disclaimer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`backend/app/services/guardrails_service.py`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(`test_governance.py`)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**REQ-019**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PII Scrubber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Redacts PAN, Aadhaar, 16-digit cards in text &amp; logs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`backend/app/services/guardrails_service.py`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(`test_governance.py`)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**REQ-020**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Escalation Router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15 Escalation Triggers with SLA Queue Routing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`backend/app/services/escalation_service.py`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(`test_governance.py`)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**REQ-021**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Continuous Learn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CSAT feedback collection &amp; Supervisor corrections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`backend/app/services/continuous_learning_service.py`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**REQ-022**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Dashboards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Multi-portal glassmorphic Web UI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`frontend/public/`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(5 Dashboards)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**REQ-023**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Prometheus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`/metrics` endpoint with latency histograms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`backend/app/core/middleware.py`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**REQ-024**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Performance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Sub-100ms NLU &amp; Sub-200ms P95 RAG Latency Budget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`backend/tests/test_performance.py`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 (`test_performance.py`)</w:t>
            </w:r>
          </w:p>
        </w:tc>
      </w:tr>
      <w:tr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**REQ-025**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Load Testing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Locust 500-user load testing script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`load_test_locust.py`</w:t>
            </w:r>
          </w:p>
        </w:tc>
        <w:tc>
          <w:tcPr>
            <w:tcW w:type="dxa" w:w="1930"/>
          </w:tcPr>
          <w:p>
            <w:r>
              <w:rPr>
                <w:rFonts w:ascii="Segoe UI" w:hAnsi="Segoe UI"/>
                <w:sz w:val="19"/>
              </w:rPr>
              <w:t>✅ VERIFIED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