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1A365D"/>
        </w:rPr>
        <w:t>NexBank Agentic AI - System Architecture &amp; Technical Specifications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**Author / Conversational AI Architect**: SATHVIKA BOINA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**Organization**: NexBank Digital Banking Platform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This document details the architectural design, clean architecture patterns, 3-tier NLU taxonomy, hybrid RAG engine, safety guardrails, and human escalation matrix for the NexBank Agentic AI platform.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1. System Architecture Overview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 xml:space="preserve">                           +-------------------------------------+</w:t>
        <w:br/>
        <w:t xml:space="preserve">                           |      Web Browser / Mobile App       |</w:t>
        <w:br/>
        <w:t xml:space="preserve">                           +------------------+------------------+</w:t>
        <w:br/>
        <w:t xml:space="preserve">                                              |</w:t>
        <w:br/>
        <w:t xml:space="preserve">                                              v (HTTPS / WS)</w:t>
        <w:br/>
        <w:t xml:space="preserve">                           +------------------+------------------+</w:t>
        <w:br/>
        <w:t xml:space="preserve">                           |  Production Infrastructure Layer   |</w:t>
        <w:br/>
        <w:t xml:space="preserve">                           |  - CORS / Security Headers (OWASP)  |</w:t>
        <w:br/>
        <w:t xml:space="preserve">                           |  - Prometheus Latency Metrics       |</w:t>
        <w:br/>
        <w:t xml:space="preserve">                           |  - Rate Limiting &amp; Correlation ID   |</w:t>
        <w:br/>
        <w:t xml:space="preserve">                           +------------------+------------------+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+------------------+------------------+</w:t>
        <w:br/>
        <w:t xml:space="preserve">                           |    FastAPI Application Core Engine  |</w:t>
        <w:br/>
        <w:t xml:space="preserve">                           +------------------+------------------+</w:t>
        <w:br/>
        <w:t xml:space="preserve">                                              |</w:t>
        <w:br/>
        <w:t xml:space="preserve">        +-------------------------------------+-------------------------------------+</w:t>
        <w:br/>
        <w:t xml:space="preserve">        |                                     |                                     |</w:t>
        <w:br/>
        <w:t xml:space="preserve">        v                                     v                                     v</w:t>
        <w:br/>
        <w:t>+-------+-------+                     +-------+-------+                     +-------+-------+</w:t>
        <w:br/>
        <w:t>|  Module 8     |                     |  Module 4     |                     |  Module 5     |</w:t>
        <w:br/>
        <w:t>| Safety        |                     | Hierarchical  |                     | Hybrid RAG    |</w:t>
        <w:br/>
        <w:t>| Guardrails    |                     | NLU Engine    |                     | Engine        |</w:t>
        <w:br/>
        <w:t>| - Prompt Inj  |                     | - 3-Tier Tax  |                     | - Dense Vector|</w:t>
        <w:br/>
        <w:t>| - PII Scrubber|                     | - Entity Ext  |                     | - Sparse BM25 |</w:t>
        <w:br/>
        <w:t>| - SEBI Advice |                     | - Disambig    |                     | - Re-Ranking  |</w:t>
        <w:br/>
        <w:t>+-------+-------+                     +-------+-------+                     +-------+-------+</w:t>
        <w:br/>
        <w:t xml:space="preserve">        |                                     |                                     |</w:t>
        <w:br/>
        <w:t xml:space="preserve">        +-------------------------------------+-------------------------------------+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+------------------+------------------+</w:t>
        <w:br/>
        <w:t xml:space="preserve">                           |  Module 6: Agentic Workflow Engine  |</w:t>
        <w:br/>
        <w:t xml:space="preserve">                           |  - Multi-Turn Reasoning &amp; State     |</w:t>
        <w:br/>
        <w:t xml:space="preserve">                           |  - Confirmation-Before-Action       |</w:t>
        <w:br/>
        <w:t xml:space="preserve">                           |  - Module 7 Banking Actions         |</w:t>
        <w:br/>
        <w:t xml:space="preserve">                           +------------------+------------------+</w:t>
        <w:br/>
        <w:t xml:space="preserve">                                              |</w:t>
        <w:br/>
        <w:t xml:space="preserve">        +-------------------------------------+-------------------------------------+</w:t>
        <w:br/>
        <w:t xml:space="preserve">        |                                     |                                     |</w:t>
        <w:br/>
        <w:t xml:space="preserve">        v                                     v                                     v</w:t>
        <w:br/>
        <w:t>+-------+-------+                     +-------+-------+                     +-------+-------+</w:t>
        <w:br/>
        <w:t>|  Module 2/3   |                     |  Module 9     |                     |  Module 10    |</w:t>
        <w:br/>
        <w:t>| PostgreSQL    |                     | Human         |                     | Continuous    |</w:t>
        <w:br/>
        <w:t>| &amp; Redis       |                     | Escalation    |                     | Learning      |</w:t>
        <w:br/>
        <w:t>| State Cache   |                     | (15 Triggers) |                     | Pipeline      |</w:t>
        <w:br/>
        <w:t>+---------------+                     +---------------+                     +---------------+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2. Core Architectural Pillars</w:t>
      </w:r>
    </w:p>
    <w:p>
      <w:pPr>
        <w:pStyle w:val="Heading3"/>
      </w:pPr>
      <w:r>
        <w:rPr>
          <w:rFonts w:ascii="Segoe UI" w:hAnsi="Segoe UI"/>
          <w:b/>
          <w:color w:val="2D3748"/>
        </w:rPr>
        <w:t>Clean Architecture &amp; SOLID Principles</w:t>
      </w:r>
    </w:p>
    <w:p>
      <w:pPr>
        <w:pStyle w:val="ListBullet"/>
      </w:pPr>
      <w:r>
        <w:rPr>
          <w:rFonts w:ascii="Segoe UI" w:hAnsi="Segoe UI"/>
          <w:sz w:val="21"/>
        </w:rPr>
        <w:t>**Domain Layer (`app/models/`)**: Pure SQLAlchemy 2.0 entities decoupled from business rules.</w:t>
      </w:r>
    </w:p>
    <w:p>
      <w:pPr>
        <w:pStyle w:val="ListBullet"/>
      </w:pPr>
      <w:r>
        <w:rPr>
          <w:rFonts w:ascii="Segoe UI" w:hAnsi="Segoe UI"/>
          <w:sz w:val="21"/>
        </w:rPr>
        <w:t>**Repository Layer (`app/repositories/`)**: Abstract data access interfaces (`UserRepository`, `SessionRepository`).</w:t>
      </w:r>
    </w:p>
    <w:p>
      <w:pPr>
        <w:pStyle w:val="ListBullet"/>
      </w:pPr>
      <w:r>
        <w:rPr>
          <w:rFonts w:ascii="Segoe UI" w:hAnsi="Segoe UI"/>
          <w:sz w:val="21"/>
        </w:rPr>
        <w:t>**Service Layer (`app/services/`)**: High-level domain logic (`AuthService`, `ConversationService`, `KnowledgeService`).</w:t>
      </w:r>
    </w:p>
    <w:p>
      <w:pPr>
        <w:pStyle w:val="ListBullet"/>
      </w:pPr>
      <w:r>
        <w:rPr>
          <w:rFonts w:ascii="Segoe UI" w:hAnsi="Segoe UI"/>
          <w:sz w:val="21"/>
        </w:rPr>
        <w:t>**API Layer (`app/api/`)**: Thin REST controller wrappers mapping HTTP requests to schemas.</w:t>
      </w:r>
    </w:p>
    <w:p>
      <w:pPr>
        <w:pStyle w:val="Heading3"/>
      </w:pPr>
      <w:r>
        <w:rPr>
          <w:rFonts w:ascii="Segoe UI" w:hAnsi="Segoe UI"/>
          <w:b/>
          <w:color w:val="2D3748"/>
        </w:rPr>
        <w:t>3-Tier Hierarchical NLU Engine</w:t>
      </w:r>
    </w:p>
    <w:p>
      <w:pPr>
        <w:pStyle w:val="ListBullet"/>
      </w:pPr>
      <w:r>
        <w:rPr>
          <w:rFonts w:ascii="Segoe UI" w:hAnsi="Segoe UI"/>
          <w:sz w:val="21"/>
        </w:rPr>
        <w:t>**Primary Level**: 6 core banking domains (`account`, `transaction`, `card`, `product`, `complaint`, `security`).</w:t>
      </w:r>
    </w:p>
    <w:p>
      <w:pPr>
        <w:pStyle w:val="ListBullet"/>
      </w:pPr>
      <w:r>
        <w:rPr>
          <w:rFonts w:ascii="Segoe UI" w:hAnsi="Segoe UI"/>
          <w:sz w:val="21"/>
        </w:rPr>
        <w:t>**Secondary Level**: 32 specific intent codes (`ACC-001`, `CRD-001`, `TXN-002`, `PRD-001`, etc.).</w:t>
      </w:r>
    </w:p>
    <w:p>
      <w:pPr>
        <w:pStyle w:val="ListBullet"/>
      </w:pPr>
      <w:r>
        <w:rPr>
          <w:rFonts w:ascii="Segoe UI" w:hAnsi="Segoe UI"/>
          <w:sz w:val="21"/>
        </w:rPr>
        <w:t>**Tertiary Level**: Slot parameters and entity extraction with Luhn check, PAN validation, and PCI DSS compliance.</w:t>
      </w:r>
    </w:p>
    <w:p>
      <w:pPr>
        <w:pStyle w:val="Heading3"/>
      </w:pPr>
      <w:r>
        <w:rPr>
          <w:rFonts w:ascii="Segoe UI" w:hAnsi="Segoe UI"/>
          <w:b/>
          <w:color w:val="2D3748"/>
        </w:rPr>
        <w:t>Hybrid RAG Engine</w:t>
      </w:r>
    </w:p>
    <w:p>
      <w:pPr>
        <w:pStyle w:val="ListBullet"/>
      </w:pPr>
      <w:r>
        <w:rPr>
          <w:rFonts w:ascii="Segoe UI" w:hAnsi="Segoe UI"/>
          <w:sz w:val="21"/>
        </w:rPr>
        <w:t>**Dense Vector Search (0.6)**: Cosine similarity via ChromaDB persistent store.</w:t>
      </w:r>
    </w:p>
    <w:p>
      <w:pPr>
        <w:pStyle w:val="ListBullet"/>
      </w:pPr>
      <w:r>
        <w:rPr>
          <w:rFonts w:ascii="Segoe UI" w:hAnsi="Segoe UI"/>
          <w:sz w:val="21"/>
        </w:rPr>
        <w:t>**Sparse BM25 Search (0.4)**: Term frequency-inverse document frequency matching.</w:t>
      </w:r>
    </w:p>
    <w:p>
      <w:pPr>
        <w:pStyle w:val="ListBullet"/>
      </w:pPr>
      <w:r>
        <w:rPr>
          <w:rFonts w:ascii="Segoe UI" w:hAnsi="Segoe UI"/>
          <w:sz w:val="21"/>
        </w:rPr>
        <w:t>**Cross-Encoder Re-Ranking**: Sub-200ms P95 re-scoring.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