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Segoe UI" w:hAnsi="Segoe UI"/>
          <w:b/>
          <w:color w:val="1A365D"/>
        </w:rPr>
        <w:t>NexBank Agentic AI - Operational User Guide</w:t>
      </w:r>
    </w:p>
    <w:p>
      <w:pPr>
        <w:spacing w:after="80" w:line="276" w:lineRule="auto"/>
      </w:pPr>
      <w:r>
        <w:rPr>
          <w:rFonts w:ascii="Segoe UI" w:hAnsi="Segoe UI"/>
          <w:sz w:val="21"/>
        </w:rPr>
        <w:t>This user guide provides operational instructions for all 5 authorized user roles operating the NexBank Agentic AI Customer Service &amp; Governance Platform.</w:t>
      </w:r>
    </w:p>
    <w:p>
      <w:pPr>
        <w:spacing w:after="80" w:line="276" w:lineRule="auto"/>
      </w:pPr>
      <w:r>
        <w:rPr>
          <w:rFonts w:ascii="Segoe UI" w:hAnsi="Segoe UI"/>
          <w:sz w:val="21"/>
        </w:rPr>
        <w:t>---</w:t>
      </w:r>
    </w:p>
    <w:p>
      <w:pPr>
        <w:pStyle w:val="Heading2"/>
      </w:pPr>
      <w:r>
        <w:rPr>
          <w:rFonts w:ascii="Segoe UI" w:hAnsi="Segoe UI"/>
          <w:b/>
          <w:color w:val="2B6CB0"/>
        </w:rPr>
        <w:t>1. Role-Based Access Control (RBAC) Matrix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1A365D"/>
          </w:tcPr>
          <w:p>
            <w:r>
              <w:rPr>
                <w:rFonts w:ascii="Segoe UI" w:hAnsi="Segoe UI"/>
                <w:b/>
                <w:color w:val="FFFFFF"/>
                <w:sz w:val="20"/>
              </w:rPr>
              <w:t>User Role</w:t>
            </w:r>
          </w:p>
        </w:tc>
        <w:tc>
          <w:tcPr>
            <w:tcW w:type="dxa" w:w="3216"/>
            <w:shd w:val="clear" w:color="auto" w:fill="1A365D"/>
          </w:tcPr>
          <w:p>
            <w:r>
              <w:rPr>
                <w:rFonts w:ascii="Segoe UI" w:hAnsi="Segoe UI"/>
                <w:b/>
                <w:color w:val="FFFFFF"/>
                <w:sz w:val="20"/>
              </w:rPr>
              <w:t>Accessible Features &amp; Dashboards</w:t>
            </w:r>
          </w:p>
        </w:tc>
        <w:tc>
          <w:tcPr>
            <w:tcW w:type="dxa" w:w="3216"/>
            <w:shd w:val="clear" w:color="auto" w:fill="1A365D"/>
          </w:tcPr>
          <w:p>
            <w:r>
              <w:rPr>
                <w:rFonts w:ascii="Segoe UI" w:hAnsi="Segoe UI"/>
                <w:b/>
                <w:color w:val="FFFFFF"/>
                <w:sz w:val="20"/>
              </w:rPr>
              <w:t>Security Authorization Level</w:t>
            </w:r>
          </w:p>
        </w:tc>
      </w:tr>
      <w:tr>
        <w:tc>
          <w:tcPr>
            <w:tcW w:type="dxa" w:w="3216"/>
          </w:tcPr>
          <w:p>
            <w:r>
              <w:rPr>
                <w:rFonts w:ascii="Segoe UI" w:hAnsi="Segoe UI"/>
                <w:sz w:val="19"/>
              </w:rPr>
              <w:t>`CUSTOMER`</w:t>
            </w:r>
          </w:p>
        </w:tc>
        <w:tc>
          <w:tcPr>
            <w:tcW w:type="dxa" w:w="3216"/>
          </w:tcPr>
          <w:p>
            <w:r>
              <w:rPr>
                <w:rFonts w:ascii="Segoe UI" w:hAnsi="Segoe UI"/>
                <w:sz w:val="19"/>
              </w:rPr>
              <w:t>Interactive Chat, Balance Enquiry, Statement Request, Card Controls, Dispute raising</w:t>
            </w:r>
          </w:p>
        </w:tc>
        <w:tc>
          <w:tcPr>
            <w:tcW w:type="dxa" w:w="3216"/>
          </w:tcPr>
          <w:p>
            <w:r>
              <w:rPr>
                <w:rFonts w:ascii="Segoe UI" w:hAnsi="Segoe UI"/>
                <w:sz w:val="19"/>
              </w:rPr>
              <w:t>JWT Bearer (Scope: `customer`)</w:t>
            </w:r>
          </w:p>
        </w:tc>
      </w:tr>
      <w:tr>
        <w:tc>
          <w:tcPr>
            <w:tcW w:type="dxa" w:w="3216"/>
          </w:tcPr>
          <w:p>
            <w:r>
              <w:rPr>
                <w:rFonts w:ascii="Segoe UI" w:hAnsi="Segoe UI"/>
                <w:sz w:val="19"/>
              </w:rPr>
              <w:t>`SUPPORT_AGENT`</w:t>
            </w:r>
          </w:p>
        </w:tc>
        <w:tc>
          <w:tcPr>
            <w:tcW w:type="dxa" w:w="3216"/>
          </w:tcPr>
          <w:p>
            <w:r>
              <w:rPr>
                <w:rFonts w:ascii="Segoe UI" w:hAnsi="Segoe UI"/>
                <w:sz w:val="19"/>
              </w:rPr>
              <w:t>Live Escalation Queue, Human Handoff, Chat History, Customer Context</w:t>
            </w:r>
          </w:p>
        </w:tc>
        <w:tc>
          <w:tcPr>
            <w:tcW w:type="dxa" w:w="3216"/>
          </w:tcPr>
          <w:p>
            <w:r>
              <w:rPr>
                <w:rFonts w:ascii="Segoe UI" w:hAnsi="Segoe UI"/>
                <w:sz w:val="19"/>
              </w:rPr>
              <w:t>JWT Bearer (Scope: `support_agent`)</w:t>
            </w:r>
          </w:p>
        </w:tc>
      </w:tr>
      <w:tr>
        <w:tc>
          <w:tcPr>
            <w:tcW w:type="dxa" w:w="3216"/>
          </w:tcPr>
          <w:p>
            <w:r>
              <w:rPr>
                <w:rFonts w:ascii="Segoe UI" w:hAnsi="Segoe UI"/>
                <w:sz w:val="19"/>
              </w:rPr>
              <w:t>`SUPERVISOR`</w:t>
            </w:r>
          </w:p>
        </w:tc>
        <w:tc>
          <w:tcPr>
            <w:tcW w:type="dxa" w:w="3216"/>
          </w:tcPr>
          <w:p>
            <w:r>
              <w:rPr>
                <w:rFonts w:ascii="Segoe UI" w:hAnsi="Segoe UI"/>
                <w:sz w:val="19"/>
              </w:rPr>
              <w:t>Supervisor Review Console, SLA Monitors, Model Fine-Tuning Queue, CSAT Metrics</w:t>
            </w:r>
          </w:p>
        </w:tc>
        <w:tc>
          <w:tcPr>
            <w:tcW w:type="dxa" w:w="3216"/>
          </w:tcPr>
          <w:p>
            <w:r>
              <w:rPr>
                <w:rFonts w:ascii="Segoe UI" w:hAnsi="Segoe UI"/>
                <w:sz w:val="19"/>
              </w:rPr>
              <w:t>JWT Bearer (Scope: `supervisor`)</w:t>
            </w:r>
          </w:p>
        </w:tc>
      </w:tr>
      <w:tr>
        <w:tc>
          <w:tcPr>
            <w:tcW w:type="dxa" w:w="3216"/>
          </w:tcPr>
          <w:p>
            <w:r>
              <w:rPr>
                <w:rFonts w:ascii="Segoe UI" w:hAnsi="Segoe UI"/>
                <w:sz w:val="19"/>
              </w:rPr>
              <w:t>`RISK_OFFICER`</w:t>
            </w:r>
          </w:p>
        </w:tc>
        <w:tc>
          <w:tcPr>
            <w:tcW w:type="dxa" w:w="3216"/>
          </w:tcPr>
          <w:p>
            <w:r>
              <w:rPr>
                <w:rFonts w:ascii="Segoe UI" w:hAnsi="Segoe UI"/>
                <w:sz w:val="19"/>
              </w:rPr>
              <w:t>Guardrails Log, Prompt Injection Stream, SAR High-Value Transaction Alerts</w:t>
            </w:r>
          </w:p>
        </w:tc>
        <w:tc>
          <w:tcPr>
            <w:tcW w:type="dxa" w:w="3216"/>
          </w:tcPr>
          <w:p>
            <w:r>
              <w:rPr>
                <w:rFonts w:ascii="Segoe UI" w:hAnsi="Segoe UI"/>
                <w:sz w:val="19"/>
              </w:rPr>
              <w:t>JWT Bearer (Scope: `risk_officer`)</w:t>
            </w:r>
          </w:p>
        </w:tc>
      </w:tr>
      <w:tr>
        <w:tc>
          <w:tcPr>
            <w:tcW w:type="dxa" w:w="3216"/>
          </w:tcPr>
          <w:p>
            <w:r>
              <w:rPr>
                <w:rFonts w:ascii="Segoe UI" w:hAnsi="Segoe UI"/>
                <w:sz w:val="19"/>
              </w:rPr>
              <w:t>`SYSTEM_ADMIN`</w:t>
            </w:r>
          </w:p>
        </w:tc>
        <w:tc>
          <w:tcPr>
            <w:tcW w:type="dxa" w:w="3216"/>
          </w:tcPr>
          <w:p>
            <w:r>
              <w:rPr>
                <w:rFonts w:ascii="Segoe UI" w:hAnsi="Segoe UI"/>
                <w:sz w:val="19"/>
              </w:rPr>
              <w:t>Microservices Diagnostics, Knowledge Base Seeding, Model Versioning / A/B Toggles</w:t>
            </w:r>
          </w:p>
        </w:tc>
        <w:tc>
          <w:tcPr>
            <w:tcW w:type="dxa" w:w="3216"/>
          </w:tcPr>
          <w:p>
            <w:r>
              <w:rPr>
                <w:rFonts w:ascii="Segoe UI" w:hAnsi="Segoe UI"/>
                <w:sz w:val="19"/>
              </w:rPr>
              <w:t>JWT Bearer (Scope: `system_admin`)</w:t>
            </w:r>
          </w:p>
        </w:tc>
      </w:tr>
    </w:tbl>
    <w:p/>
    <w:p>
      <w:pPr>
        <w:spacing w:after="80" w:line="276" w:lineRule="auto"/>
      </w:pPr>
      <w:r>
        <w:rPr>
          <w:rFonts w:ascii="Segoe UI" w:hAnsi="Segoe UI"/>
          <w:sz w:val="21"/>
        </w:rPr>
        <w:t>---</w:t>
      </w:r>
    </w:p>
    <w:p>
      <w:pPr>
        <w:pStyle w:val="Heading2"/>
      </w:pPr>
      <w:r>
        <w:rPr>
          <w:rFonts w:ascii="Segoe UI" w:hAnsi="Segoe UI"/>
          <w:b/>
          <w:color w:val="2B6CB0"/>
        </w:rPr>
        <w:t>2. Customer Operations Manual</w:t>
      </w:r>
    </w:p>
    <w:p>
      <w:pPr>
        <w:pStyle w:val="Heading3"/>
      </w:pPr>
      <w:r>
        <w:rPr>
          <w:rFonts w:ascii="Segoe UI" w:hAnsi="Segoe UI"/>
          <w:b/>
          <w:color w:val="2D3748"/>
        </w:rPr>
        <w:t>Initiating a Banking Chat Session</w:t>
      </w:r>
    </w:p>
    <w:p>
      <w:pPr>
        <w:spacing w:after="80" w:line="276" w:lineRule="auto"/>
      </w:pPr>
      <w:r>
        <w:rPr>
          <w:rFonts w:ascii="Segoe UI" w:hAnsi="Segoe UI"/>
          <w:sz w:val="21"/>
        </w:rPr>
        <w:t>1. Open the Web Application at `http://localhost:8000` (or production URL).</w:t>
      </w:r>
    </w:p>
    <w:p>
      <w:pPr>
        <w:spacing w:after="80" w:line="276" w:lineRule="auto"/>
      </w:pPr>
      <w:r>
        <w:rPr>
          <w:rFonts w:ascii="Segoe UI" w:hAnsi="Segoe UI"/>
          <w:sz w:val="21"/>
        </w:rPr>
        <w:t>2. The AI assistant **NexAssistant** will automatically initialize your session.</w:t>
      </w:r>
    </w:p>
    <w:p>
      <w:pPr>
        <w:spacing w:after="80" w:line="276" w:lineRule="auto"/>
      </w:pPr>
      <w:r>
        <w:rPr>
          <w:rFonts w:ascii="Segoe UI" w:hAnsi="Segoe UI"/>
          <w:sz w:val="21"/>
        </w:rPr>
        <w:t>3. Select any Quick Action chip (e.g., *Balance Enquiry*, *Statement Request*, *Block Card*) or type a natural language prompt in English or Hinglish.</w:t>
      </w:r>
    </w:p>
    <w:p>
      <w:pPr>
        <w:pStyle w:val="Heading3"/>
      </w:pPr>
      <w:r>
        <w:rPr>
          <w:rFonts w:ascii="Segoe UI" w:hAnsi="Segoe UI"/>
          <w:b/>
          <w:color w:val="2D3748"/>
        </w:rPr>
        <w:t>High-Stakes Account Actions (Confirmation-Before-Action)</w:t>
      </w:r>
    </w:p>
    <w:p>
      <w:pPr>
        <w:spacing w:after="80" w:line="276" w:lineRule="auto"/>
      </w:pPr>
      <w:r>
        <w:rPr>
          <w:rFonts w:ascii="Segoe UI" w:hAnsi="Segoe UI"/>
          <w:sz w:val="21"/>
        </w:rPr>
        <w:t>For sensitive operations like **Card Blocking** or **Account Disclosures**, the AI agent will trigger a safety confirmation:</w:t>
      </w:r>
    </w:p>
    <w:p>
      <w:pPr>
        <w:spacing w:after="80" w:line="276" w:lineRule="auto"/>
      </w:pPr>
      <w:r>
        <w:rPr>
          <w:rFonts w:ascii="Segoe UI" w:hAnsi="Segoe UI"/>
          <w:sz w:val="21"/>
        </w:rPr>
        <w:t>&gt; ⚠️ **Confirmation Required:** Are you sure you want to block your debit card ending in 4521? Please reply 'YES' to proceed.</w:t>
      </w:r>
    </w:p>
    <w:p>
      <w:pPr>
        <w:spacing w:after="80" w:line="276" w:lineRule="auto"/>
      </w:pPr>
      <w:r>
        <w:rPr>
          <w:rFonts w:ascii="Segoe UI" w:hAnsi="Segoe UI"/>
          <w:sz w:val="21"/>
        </w:rPr>
        <w:t>Reply **'YES'** to execute the banking action.</w:t>
      </w:r>
    </w:p>
    <w:p>
      <w:pPr>
        <w:spacing w:after="80" w:line="276" w:lineRule="auto"/>
      </w:pPr>
      <w:r>
        <w:rPr>
          <w:rFonts w:ascii="Segoe UI" w:hAnsi="Segoe UI"/>
          <w:sz w:val="21"/>
        </w:rPr>
        <w:t>---</w:t>
      </w:r>
    </w:p>
    <w:p>
      <w:pPr>
        <w:pStyle w:val="Heading2"/>
      </w:pPr>
      <w:r>
        <w:rPr>
          <w:rFonts w:ascii="Segoe UI" w:hAnsi="Segoe UI"/>
          <w:b/>
          <w:color w:val="2B6CB0"/>
        </w:rPr>
        <w:t>3. Supervisor &amp; Support Agent Manual</w:t>
      </w:r>
    </w:p>
    <w:p>
      <w:pPr>
        <w:pStyle w:val="Heading3"/>
      </w:pPr>
      <w:r>
        <w:rPr>
          <w:rFonts w:ascii="Segoe UI" w:hAnsi="Segoe UI"/>
          <w:b/>
          <w:color w:val="2D3748"/>
        </w:rPr>
        <w:t>Managing Escalations &amp; SLA Queue</w:t>
      </w:r>
    </w:p>
    <w:p>
      <w:pPr>
        <w:spacing w:after="80" w:line="276" w:lineRule="auto"/>
      </w:pPr>
      <w:r>
        <w:rPr>
          <w:rFonts w:ascii="Segoe UI" w:hAnsi="Segoe UI"/>
          <w:sz w:val="21"/>
        </w:rPr>
        <w:t>1. Navigate to the **Supervisor Console** tab in the top navigation menu.</w:t>
      </w:r>
    </w:p>
    <w:p>
      <w:pPr>
        <w:spacing w:after="80" w:line="276" w:lineRule="auto"/>
      </w:pPr>
      <w:r>
        <w:rPr>
          <w:rFonts w:ascii="Segoe UI" w:hAnsi="Segoe UI"/>
          <w:sz w:val="21"/>
        </w:rPr>
        <w:t>2. The table displays open escalations sorted by Priority (`P1`: 5 min, `P2`: 15 min, `P3`: 60 min).</w:t>
      </w:r>
    </w:p>
    <w:p>
      <w:pPr>
        <w:spacing w:after="80" w:line="276" w:lineRule="auto"/>
      </w:pPr>
      <w:r>
        <w:rPr>
          <w:rFonts w:ascii="Segoe UI" w:hAnsi="Segoe UI"/>
          <w:sz w:val="21"/>
        </w:rPr>
        <w:t>3. Click **Take Handoff** to claim the conversation and engage directly with the customer.</w:t>
      </w:r>
    </w:p>
    <w:p>
      <w:pPr>
        <w:pStyle w:val="Heading3"/>
      </w:pPr>
      <w:r>
        <w:rPr>
          <w:rFonts w:ascii="Segoe UI" w:hAnsi="Segoe UI"/>
          <w:b/>
          <w:color w:val="2D3748"/>
        </w:rPr>
        <w:t>Submitting Model Corrections</w:t>
      </w:r>
    </w:p>
    <w:p>
      <w:pPr>
        <w:spacing w:after="80" w:line="276" w:lineRule="auto"/>
      </w:pPr>
      <w:r>
        <w:rPr>
          <w:rFonts w:ascii="Segoe UI" w:hAnsi="Segoe UI"/>
          <w:sz w:val="21"/>
        </w:rPr>
        <w:t>1. Review flagged AI responses in the review queue.</w:t>
      </w:r>
    </w:p>
    <w:p>
      <w:pPr>
        <w:spacing w:after="80" w:line="276" w:lineRule="auto"/>
      </w:pPr>
      <w:r>
        <w:rPr>
          <w:rFonts w:ascii="Segoe UI" w:hAnsi="Segoe UI"/>
          <w:sz w:val="21"/>
        </w:rPr>
        <w:t>2. Provide the corrected response text and severity rating (`LOW`, `MEDIUM`, `HIGH`, `CRITICAL`).</w:t>
      </w:r>
    </w:p>
    <w:p>
      <w:pPr>
        <w:spacing w:after="80" w:line="276" w:lineRule="auto"/>
      </w:pPr>
      <w:r>
        <w:rPr>
          <w:rFonts w:ascii="Segoe UI" w:hAnsi="Segoe UI"/>
          <w:sz w:val="21"/>
        </w:rPr>
        <w:t>3. Submit to push the correction directly to the **Continuous Learning Pipeline**.</w:t>
      </w:r>
    </w:p>
    <w:p>
      <w:pPr>
        <w:spacing w:after="80" w:line="276" w:lineRule="auto"/>
      </w:pPr>
      <w:r>
        <w:rPr>
          <w:rFonts w:ascii="Segoe UI" w:hAnsi="Segoe UI"/>
          <w:sz w:val="21"/>
        </w:rPr>
        <w:t>---</w:t>
      </w:r>
    </w:p>
    <w:p>
      <w:pPr>
        <w:pStyle w:val="Heading2"/>
      </w:pPr>
      <w:r>
        <w:rPr>
          <w:rFonts w:ascii="Segoe UI" w:hAnsi="Segoe UI"/>
          <w:b/>
          <w:color w:val="2B6CB0"/>
        </w:rPr>
        <w:t>4. Administrator Operations Manual</w:t>
      </w:r>
    </w:p>
    <w:p>
      <w:pPr>
        <w:pStyle w:val="Heading3"/>
      </w:pPr>
      <w:r>
        <w:rPr>
          <w:rFonts w:ascii="Segoe UI" w:hAnsi="Segoe UI"/>
          <w:b/>
          <w:color w:val="2D3748"/>
        </w:rPr>
        <w:t>Knowledge Base Management</w:t>
      </w:r>
    </w:p>
    <w:p>
      <w:pPr>
        <w:spacing w:after="80" w:line="276" w:lineRule="auto"/>
      </w:pPr>
      <w:r>
        <w:rPr>
          <w:rFonts w:ascii="Segoe UI" w:hAnsi="Segoe UI"/>
          <w:sz w:val="21"/>
        </w:rPr>
        <w:t>1. Navigate to the **Admin &amp; RAG DB** tab.</w:t>
      </w:r>
    </w:p>
    <w:p>
      <w:pPr>
        <w:spacing w:after="80" w:line="276" w:lineRule="auto"/>
      </w:pPr>
      <w:r>
        <w:rPr>
          <w:rFonts w:ascii="Segoe UI" w:hAnsi="Segoe UI"/>
          <w:sz w:val="21"/>
        </w:rPr>
        <w:t>2. Click **🌱 Seed Knowledge Base** to populate 50+ banking product, policy, and regulatory guidelines into PostgreSQL and ChromaDB vector store.</w:t>
      </w:r>
    </w:p>
    <w:p>
      <w:pPr>
        <w:spacing w:after="80" w:line="276" w:lineRule="auto"/>
      </w:pPr>
      <w:r>
        <w:rPr>
          <w:rFonts w:ascii="Segoe UI" w:hAnsi="Segoe UI"/>
          <w:sz w:val="21"/>
        </w:rPr>
        <w:t>3. View real-time diagnostic checks for Database, Cache, and Vector DB.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