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1A365D"/>
        </w:rPr>
        <w:t>NexBank Agentic AI - Customer Service Platform with Feedback Loops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[![FastAPI](https://img.shields.io/badge/FastAPI-0.115.0-009688.svg?style=flat&amp;logo=fastapi)](https://fastapi.tiangolo.com/)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[![Python](https://img.shields.io/badge/Python-3.12-3776AB.svg?style=flat&amp;logo=python)](https://www.python.org/)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[![PostgreSQL](https://img.shields.io/badge/PostgreSQL-15-4169E1.svg?style=flat&amp;logo=postgresql)](https://www.postgresql.org/)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[![Redis](https://img.shields.io/badge/Redis-7.0-DC382D.svg?style=flat&amp;logo=redis)](https://redis.io/)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[![ChromaDB](https://img.shields.io/badge/ChromaDB-0.4.24-FF6F00.svg?style=flat)](https://www.trychroma.com/)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[![License](https://img.shields.io/badge/License-Proprietary-blue.svg)](#)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**Author / Conversational AI Architect**: SATHVIKA BOINA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**Organization**: NexBank Digital Banking Platform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🌟 Key Architecture &amp; Highlights</w:t>
      </w:r>
    </w:p>
    <w:p>
      <w:pPr>
        <w:pStyle w:val="ListBullet"/>
      </w:pPr>
      <w:r>
        <w:rPr>
          <w:rFonts w:ascii="Segoe UI" w:hAnsi="Segoe UI"/>
          <w:sz w:val="21"/>
        </w:rPr>
        <w:t>**Clean Architecture &amp; SOLID Design**: Fully decoupled Domain, Repository, Service, and Controller layers with Pydantic v2 schemas and SQLAlchemy 2.0 async ORM models.</w:t>
      </w:r>
    </w:p>
    <w:p>
      <w:pPr>
        <w:pStyle w:val="ListBullet"/>
      </w:pPr>
      <w:r>
        <w:rPr>
          <w:rFonts w:ascii="Segoe UI" w:hAnsi="Segoe UI"/>
          <w:sz w:val="21"/>
        </w:rPr>
        <w:t>**Authentication &amp; RBAC**: JWT Access Tokens (30 min) &amp; Refresh Token Rotation (7 days) with 5-attempt security lockout and 5 role levels (`CUSTOMER`, `SUPPORT_AGENT`, `SUPERVISOR`, `RISK_OFFICER`, `SYSTEM_ADMIN`).</w:t>
      </w:r>
    </w:p>
    <w:p>
      <w:pPr>
        <w:pStyle w:val="ListBullet"/>
      </w:pPr>
      <w:r>
        <w:rPr>
          <w:rFonts w:ascii="Segoe UI" w:hAnsi="Segoe UI"/>
          <w:sz w:val="21"/>
        </w:rPr>
        <w:t>**3-Tier Hierarchical NLU**: 32 intents across 6 primary banking domains (`account`, `transaction`, `card`, `product`, `complaint`, `security`), domain entity extraction (PAN, Aadhaar, Luhn card check), disambiguation probes for 6 confused intent pairs, sentiment analysis ($[-1, +1]$), and Hinglish code-switching detection.</w:t>
      </w:r>
    </w:p>
    <w:p>
      <w:pPr>
        <w:pStyle w:val="ListBullet"/>
      </w:pPr>
      <w:r>
        <w:rPr>
          <w:rFonts w:ascii="Segoe UI" w:hAnsi="Segoe UI"/>
          <w:sz w:val="21"/>
        </w:rPr>
        <w:t>**Hybrid RAG Engine**: Dense Vector Search (ChromaDB, weight 0.6) + Sparse BM25 Search (weight 0.4) with Cross-Encoder Re-Ranking under sub-200ms P95 latency budget.</w:t>
      </w:r>
    </w:p>
    <w:p>
      <w:pPr>
        <w:pStyle w:val="ListBullet"/>
      </w:pPr>
      <w:r>
        <w:rPr>
          <w:rFonts w:ascii="Segoe UI" w:hAnsi="Segoe UI"/>
          <w:sz w:val="21"/>
        </w:rPr>
        <w:t>**Agentic Workflow Engine**: Multi-turn dialogue state tracking (`DialogueState` with 20-turn history buffer), Redis cache + Postgres state persistence, streaming WebSocket endpoint, and confirmation-before-action protocols.</w:t>
      </w:r>
    </w:p>
    <w:p>
      <w:pPr>
        <w:pStyle w:val="ListBullet"/>
      </w:pPr>
      <w:r>
        <w:rPr>
          <w:rFonts w:ascii="Segoe UI" w:hAnsi="Segoe UI"/>
          <w:sz w:val="21"/>
        </w:rPr>
        <w:t>**10 Core Banking Workflows**: Integrated mock services for Balance Enquiry, Statement Request, Card Blocking, Card Replacement, Complaint Registration, Complaint Tracking, Transaction Dispute, UPI Failure Resolution, Loan Eligibility, and Product Information.</w:t>
      </w:r>
    </w:p>
    <w:p>
      <w:pPr>
        <w:pStyle w:val="ListBullet"/>
      </w:pPr>
      <w:r>
        <w:rPr>
          <w:rFonts w:ascii="Segoe UI" w:hAnsi="Segoe UI"/>
          <w:sz w:val="21"/>
        </w:rPr>
        <w:t>**Safety Guardrails**: Prompt Injection &amp; Jailbreak Scanner, SEBI Financial Advice Prohibition &amp; Disclaimer, automated PII Scrubber (PAN, Aadhaar, 16-digit cards), and PCI DSS output sanitization.</w:t>
      </w:r>
    </w:p>
    <w:p>
      <w:pPr>
        <w:pStyle w:val="ListBullet"/>
      </w:pPr>
      <w:r>
        <w:rPr>
          <w:rFonts w:ascii="Segoe UI" w:hAnsi="Segoe UI"/>
          <w:sz w:val="21"/>
        </w:rPr>
        <w:t>**Human Escalation Matrix**: 15 automated escalation triggers with SLA queue routing (`FRAUD_OPERATIONS`, `SECURITY_DESK`, `SUPERVISOR_QUEUE`, etc.) and priority timers (`P1`: 5m, `P2`: 15m, `P3`: 60m).</w:t>
      </w:r>
    </w:p>
    <w:p>
      <w:pPr>
        <w:pStyle w:val="ListBullet"/>
      </w:pPr>
      <w:r>
        <w:rPr>
          <w:rFonts w:ascii="Segoe UI" w:hAnsi="Segoe UI"/>
          <w:sz w:val="21"/>
        </w:rPr>
        <w:t>**Continuous Learning &amp; Governance**: Customer CSAT feedback collection, supervisor review correction queue, model version tracking (`v1.0.0`), and A/B testing infrastructure (`v1.1.0-candidate`).</w:t>
      </w:r>
    </w:p>
    <w:p>
      <w:pPr>
        <w:pStyle w:val="ListBullet"/>
      </w:pPr>
      <w:r>
        <w:rPr>
          <w:rFonts w:ascii="Segoe UI" w:hAnsi="Segoe UI"/>
          <w:sz w:val="21"/>
        </w:rPr>
        <w:t>**Production Infrastructure &amp; UI**: Glassmorphic multi-portal Web UI (5 Dashboards), Prometheus metrics (`/metrics`), OWASP security headers, and Locust 500-user load testing.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🚀 Quick Start (Docker Compose)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># 1. Clone &amp; prepare environment</w:t>
        <w:br/>
        <w:t>git clone https://github.com/nexbank/agentic-ai-platform.git</w:t>
        <w:br/>
        <w:t>cd agentic-ai-platform</w:t>
        <w:br/>
        <w:t>cp .env.example .env</w:t>
        <w:br/>
        <w:br/>
        <w:t># 2. Build and launch services via Docker Compose</w:t>
        <w:br/>
        <w:t>docker-compose up -d --build</w:t>
        <w:br/>
        <w:br/>
        <w:t># 3. Apply database migrations &amp; seed Knowledge Base</w:t>
        <w:br/>
        <w:t>docker-compose exec backend alembic upgrade head</w:t>
        <w:br/>
        <w:t>curl -X POST http://localhost:8000/api/v1/knowledge/seed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Access the platform:</w:t>
      </w:r>
    </w:p>
    <w:p>
      <w:pPr>
        <w:pStyle w:val="ListBullet"/>
      </w:pPr>
      <w:r>
        <w:rPr>
          <w:rFonts w:ascii="Segoe UI" w:hAnsi="Segoe UI"/>
          <w:sz w:val="21"/>
        </w:rPr>
        <w:t>**Web App &amp; Glassmorphic UI**: `http://localhost:8000`</w:t>
      </w:r>
    </w:p>
    <w:p>
      <w:pPr>
        <w:pStyle w:val="ListBullet"/>
      </w:pPr>
      <w:r>
        <w:rPr>
          <w:rFonts w:ascii="Segoe UI" w:hAnsi="Segoe UI"/>
          <w:sz w:val="21"/>
        </w:rPr>
        <w:t>**Interactive OpenAPI Docs**: `http://localhost:8000/docs`</w:t>
      </w:r>
    </w:p>
    <w:p>
      <w:pPr>
        <w:pStyle w:val="ListBullet"/>
      </w:pPr>
      <w:r>
        <w:rPr>
          <w:rFonts w:ascii="Segoe UI" w:hAnsi="Segoe UI"/>
          <w:sz w:val="21"/>
        </w:rPr>
        <w:t>**Prometheus Metrics Endpoint**: `http://localhost:8000/metrics`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🧪 Automated Testing &amp; Benchmarks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Run the complete test suite across all 15 modules: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>pytest backend/tests/ -v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Execute Locust load test (500 concurrent users):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>locust -f load_test_locust.py --host=http://localhost:8000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📚 Documentation Index</w:t>
      </w:r>
    </w:p>
    <w:p>
      <w:pPr>
        <w:pStyle w:val="ListBullet"/>
      </w:pPr>
      <w:r>
        <w:rPr>
          <w:rFonts w:ascii="Segoe UI" w:hAnsi="Segoe UI"/>
          <w:sz w:val="21"/>
        </w:rPr>
        <w:t>[Architecture Guide](ARCHITECTURE.md) - Deep-dive design specifications &amp; system diagrams</w:t>
      </w:r>
    </w:p>
    <w:p>
      <w:pPr>
        <w:pStyle w:val="ListBullet"/>
      </w:pPr>
      <w:r>
        <w:rPr>
          <w:rFonts w:ascii="Segoe UI" w:hAnsi="Segoe UI"/>
          <w:sz w:val="21"/>
        </w:rPr>
        <w:t>[User Manual](USER_GUIDE.md) - Role-based operational guide for Customers, Support Agents &amp; Supervisors</w:t>
      </w:r>
    </w:p>
    <w:p>
      <w:pPr>
        <w:pStyle w:val="ListBullet"/>
      </w:pPr>
      <w:r>
        <w:rPr>
          <w:rFonts w:ascii="Segoe UI" w:hAnsi="Segoe UI"/>
          <w:sz w:val="21"/>
        </w:rPr>
        <w:t>[Deployment Guide](DEPLOYMENT_GUIDE.md) - Production deployment procedures for Docker &amp; Kubernetes</w:t>
      </w:r>
    </w:p>
    <w:p>
      <w:pPr>
        <w:pStyle w:val="ListBullet"/>
      </w:pPr>
      <w:r>
        <w:rPr>
          <w:rFonts w:ascii="Segoe UI" w:hAnsi="Segoe UI"/>
          <w:sz w:val="21"/>
        </w:rPr>
        <w:t>[Requirement Traceability Matrix](REQUIREMENT_TRACEABILITY_MATRIX.md) - Complete mapping of all specification requirements</w:t>
      </w:r>
    </w:p>
    <w:p>
      <w:pPr>
        <w:pStyle w:val="ListBullet"/>
      </w:pPr>
      <w:r>
        <w:rPr>
          <w:rFonts w:ascii="Segoe UI" w:hAnsi="Segoe UI"/>
          <w:sz w:val="21"/>
        </w:rPr>
        <w:t>[Changelog](CHANGELOG.md) - Chronological milestone development history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