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298C" w14:textId="35F33603" w:rsidR="00B0718C" w:rsidRDefault="00B0718C"/>
    <w:p w14:paraId="4C44D1FA" w14:textId="77777777" w:rsidR="00B0718C" w:rsidRDefault="00000000">
      <w:pPr>
        <w:pStyle w:val="Heading1"/>
      </w:pPr>
      <w:bookmarkStart w:id="0" w:name="Xc1c29874efbfd9341dcf2bfc51a470917c29e76"/>
      <w:bookmarkStart w:id="1" w:name="_Toc232631019"/>
      <w:r>
        <w:t>Panel Forecasting of Firm Revenue Using SEC and Macroeconomic Data</w:t>
      </w:r>
      <w:bookmarkEnd w:id="1"/>
    </w:p>
    <w:p w14:paraId="07382FE0" w14:textId="77777777" w:rsidR="00B0718C" w:rsidRDefault="00000000">
      <w:pPr>
        <w:pStyle w:val="Heading3"/>
      </w:pPr>
      <w:bookmarkStart w:id="2" w:name="X1411afee2dc7b1e0930ffeb7f0313707036929a"/>
      <w:r>
        <w:t>An FP&amp;A-Style Revenue Forecasting and Variance Analysis Framework Using SEC Filings, Macroeconomic Data, and Machine Learning</w:t>
      </w:r>
    </w:p>
    <w:p w14:paraId="1F6CC0A1" w14:textId="77777777" w:rsidR="00655366" w:rsidRDefault="00000000">
      <w:pPr>
        <w:pStyle w:val="FirstParagraph"/>
      </w:pPr>
      <w:r>
        <w:rPr>
          <w:b/>
          <w:bCs/>
        </w:rPr>
        <w:t>Author:</w:t>
      </w:r>
      <w:r>
        <w:t xml:space="preserve"> Boi Ngoc Dinh </w:t>
      </w:r>
    </w:p>
    <w:p w14:paraId="263ACE91" w14:textId="77777777" w:rsidR="00655366" w:rsidRDefault="00000000">
      <w:pPr>
        <w:pStyle w:val="FirstParagraph"/>
      </w:pPr>
      <w:r>
        <w:rPr>
          <w:b/>
          <w:bCs/>
        </w:rPr>
        <w:t>Program:</w:t>
      </w:r>
      <w:r>
        <w:t xml:space="preserve"> M.S. Data Science </w:t>
      </w:r>
    </w:p>
    <w:p w14:paraId="119165DE" w14:textId="2A269BFC" w:rsidR="00B0718C" w:rsidRDefault="00000000">
      <w:pPr>
        <w:pStyle w:val="FirstParagraph"/>
      </w:pPr>
      <w:r>
        <w:rPr>
          <w:b/>
          <w:bCs/>
        </w:rPr>
        <w:t>University:</w:t>
      </w:r>
      <w:r>
        <w:t xml:space="preserve"> University of Massachusetts Dartmouth</w:t>
      </w:r>
    </w:p>
    <w:p w14:paraId="11FD9FB0" w14:textId="77777777" w:rsidR="00B0718C" w:rsidRDefault="00000000">
      <w:r>
        <w:pict w14:anchorId="3726A440">
          <v:rect id="_x0000_i1025" style="width:0;height:1.5pt" o:hralign="center" o:hrstd="t" o:hr="t"/>
        </w:pict>
      </w:r>
    </w:p>
    <w:p w14:paraId="49E3D297" w14:textId="77777777" w:rsidR="00B0718C" w:rsidRDefault="00000000">
      <w:pPr>
        <w:pStyle w:val="Heading2"/>
      </w:pPr>
      <w:bookmarkStart w:id="3" w:name="abstract"/>
      <w:bookmarkStart w:id="4" w:name="_Toc232631020"/>
      <w:bookmarkEnd w:id="2"/>
      <w:r>
        <w:t>Abstract</w:t>
      </w:r>
      <w:bookmarkEnd w:id="4"/>
    </w:p>
    <w:p w14:paraId="4412D8C6" w14:textId="741FB105" w:rsidR="00B0718C" w:rsidRDefault="00000000">
      <w:pPr>
        <w:pStyle w:val="FirstParagraph"/>
      </w:pPr>
      <w:r>
        <w:t xml:space="preserve">This project develops an end-to-end system for forecasting the next-quarter revenue of U.S. public companies and translating those forecasts into a finance-ready variance analysis. Revenue data was extracted from the SEC Financial Statement Data Sets (2021–2025) and enriched with macroeconomic indicators from FRED. A sequence of models was evaluated: a year-over-year (YoY) seasonal baseline, a Random Forest residual-correction model, and a final improved log-growth model that predicts proportional revenue change rather than dollar level. On a fully held-out 2025 test set of 13,496 firm-quarters, the log-growth model reduced mean absolute error (MAE) from $184.3M to $146.7M </w:t>
      </w:r>
      <w:r w:rsidR="00655366">
        <w:t>,</w:t>
      </w:r>
      <w:r>
        <w:t xml:space="preserve"> a 20.4% improvement over the seasonal baseline</w:t>
      </w:r>
      <w:r w:rsidR="00655366">
        <w:t>,</w:t>
      </w:r>
      <w:r>
        <w:t xml:space="preserve"> lowered the median absolute percentage error to 7.6%, and eliminated all impossible negative forecasts produced by the dollar-scale model. The work demonstrates that careful problem formulation, rather than model complexity, is the primary driver of both accuracy and business usability in firm-level revenue forecasting.</w:t>
      </w:r>
    </w:p>
    <w:p w14:paraId="22130FAE" w14:textId="44032F93" w:rsidR="00655366" w:rsidRDefault="00000000">
      <w:r>
        <w:pict w14:anchorId="6077EEC2">
          <v:rect id="_x0000_i1026" style="width:0;height:1.5pt" o:hralign="center" o:hrstd="t" o:hr="t"/>
        </w:pict>
      </w:r>
      <w:r w:rsidR="00655366">
        <w:br/>
      </w:r>
    </w:p>
    <w:p w14:paraId="494500E7" w14:textId="77777777" w:rsidR="00655366" w:rsidRDefault="00655366">
      <w:r>
        <w:br w:type="page"/>
      </w:r>
    </w:p>
    <w:sdt>
      <w:sdtPr>
        <w:rPr>
          <w:rFonts w:asciiTheme="minorHAnsi" w:eastAsiaTheme="minorHAnsi" w:hAnsiTheme="minorHAnsi" w:cstheme="minorBidi"/>
          <w:color w:val="auto"/>
          <w:sz w:val="24"/>
          <w:szCs w:val="24"/>
        </w:rPr>
        <w:id w:val="1864634379"/>
        <w:docPartObj>
          <w:docPartGallery w:val="Table of Contents"/>
          <w:docPartUnique/>
        </w:docPartObj>
      </w:sdtPr>
      <w:sdtContent>
        <w:p w14:paraId="2315BC26" w14:textId="77777777" w:rsidR="00655366" w:rsidRDefault="00655366" w:rsidP="00655366">
          <w:pPr>
            <w:pStyle w:val="TOCHeading"/>
          </w:pPr>
        </w:p>
        <w:p w14:paraId="1CFC4A82" w14:textId="6ADA9E29" w:rsidR="00655366" w:rsidRDefault="00655366">
          <w:pPr>
            <w:pStyle w:val="TOC1"/>
            <w:tabs>
              <w:tab w:val="right" w:leader="dot" w:pos="9350"/>
            </w:tabs>
            <w:rPr>
              <w:rFonts w:eastAsiaTheme="minorEastAsia"/>
              <w:noProof/>
              <w:kern w:val="2"/>
              <w14:ligatures w14:val="standardContextual"/>
            </w:rPr>
          </w:pPr>
          <w:r>
            <w:fldChar w:fldCharType="begin"/>
          </w:r>
          <w:r>
            <w:instrText>TOC \o "1-2" \h \z \u</w:instrText>
          </w:r>
          <w:r>
            <w:fldChar w:fldCharType="separate"/>
          </w:r>
          <w:hyperlink w:anchor="_Toc232631019" w:history="1">
            <w:r w:rsidRPr="001D6002">
              <w:rPr>
                <w:rStyle w:val="Hyperlink"/>
                <w:noProof/>
              </w:rPr>
              <w:t>Panel Forecasting of Firm Revenue Using SEC and Macroeconomic Data</w:t>
            </w:r>
            <w:r>
              <w:rPr>
                <w:noProof/>
                <w:webHidden/>
              </w:rPr>
              <w:tab/>
            </w:r>
            <w:r>
              <w:rPr>
                <w:noProof/>
                <w:webHidden/>
              </w:rPr>
              <w:fldChar w:fldCharType="begin"/>
            </w:r>
            <w:r>
              <w:rPr>
                <w:noProof/>
                <w:webHidden/>
              </w:rPr>
              <w:instrText xml:space="preserve"> PAGEREF _Toc232631019 \h </w:instrText>
            </w:r>
            <w:r>
              <w:rPr>
                <w:noProof/>
                <w:webHidden/>
              </w:rPr>
            </w:r>
            <w:r>
              <w:rPr>
                <w:noProof/>
                <w:webHidden/>
              </w:rPr>
              <w:fldChar w:fldCharType="separate"/>
            </w:r>
            <w:r>
              <w:rPr>
                <w:noProof/>
                <w:webHidden/>
              </w:rPr>
              <w:t>1</w:t>
            </w:r>
            <w:r>
              <w:rPr>
                <w:noProof/>
                <w:webHidden/>
              </w:rPr>
              <w:fldChar w:fldCharType="end"/>
            </w:r>
          </w:hyperlink>
        </w:p>
        <w:p w14:paraId="15C3272F" w14:textId="7359B7A9" w:rsidR="00655366" w:rsidRDefault="00655366">
          <w:pPr>
            <w:pStyle w:val="TOC2"/>
            <w:tabs>
              <w:tab w:val="right" w:leader="dot" w:pos="9350"/>
            </w:tabs>
            <w:rPr>
              <w:rFonts w:eastAsiaTheme="minorEastAsia"/>
              <w:noProof/>
              <w:kern w:val="2"/>
              <w14:ligatures w14:val="standardContextual"/>
            </w:rPr>
          </w:pPr>
          <w:hyperlink w:anchor="_Toc232631020" w:history="1">
            <w:r w:rsidRPr="001D6002">
              <w:rPr>
                <w:rStyle w:val="Hyperlink"/>
                <w:noProof/>
              </w:rPr>
              <w:t>Abstract</w:t>
            </w:r>
            <w:r>
              <w:rPr>
                <w:noProof/>
                <w:webHidden/>
              </w:rPr>
              <w:tab/>
            </w:r>
            <w:r>
              <w:rPr>
                <w:noProof/>
                <w:webHidden/>
              </w:rPr>
              <w:fldChar w:fldCharType="begin"/>
            </w:r>
            <w:r>
              <w:rPr>
                <w:noProof/>
                <w:webHidden/>
              </w:rPr>
              <w:instrText xml:space="preserve"> PAGEREF _Toc232631020 \h </w:instrText>
            </w:r>
            <w:r>
              <w:rPr>
                <w:noProof/>
                <w:webHidden/>
              </w:rPr>
            </w:r>
            <w:r>
              <w:rPr>
                <w:noProof/>
                <w:webHidden/>
              </w:rPr>
              <w:fldChar w:fldCharType="separate"/>
            </w:r>
            <w:r>
              <w:rPr>
                <w:noProof/>
                <w:webHidden/>
              </w:rPr>
              <w:t>1</w:t>
            </w:r>
            <w:r>
              <w:rPr>
                <w:noProof/>
                <w:webHidden/>
              </w:rPr>
              <w:fldChar w:fldCharType="end"/>
            </w:r>
          </w:hyperlink>
        </w:p>
        <w:p w14:paraId="7AC2F443" w14:textId="7AA666AC" w:rsidR="00655366" w:rsidRDefault="00655366">
          <w:pPr>
            <w:pStyle w:val="TOC2"/>
            <w:tabs>
              <w:tab w:val="right" w:leader="dot" w:pos="9350"/>
            </w:tabs>
            <w:rPr>
              <w:rFonts w:eastAsiaTheme="minorEastAsia"/>
              <w:noProof/>
              <w:kern w:val="2"/>
              <w14:ligatures w14:val="standardContextual"/>
            </w:rPr>
          </w:pPr>
          <w:hyperlink w:anchor="_Toc232631021" w:history="1">
            <w:r w:rsidRPr="001D6002">
              <w:rPr>
                <w:rStyle w:val="Hyperlink"/>
                <w:noProof/>
              </w:rPr>
              <w:t>1. Introduction</w:t>
            </w:r>
            <w:r>
              <w:rPr>
                <w:noProof/>
                <w:webHidden/>
              </w:rPr>
              <w:tab/>
            </w:r>
            <w:r>
              <w:rPr>
                <w:noProof/>
                <w:webHidden/>
              </w:rPr>
              <w:fldChar w:fldCharType="begin"/>
            </w:r>
            <w:r>
              <w:rPr>
                <w:noProof/>
                <w:webHidden/>
              </w:rPr>
              <w:instrText xml:space="preserve"> PAGEREF _Toc232631021 \h </w:instrText>
            </w:r>
            <w:r>
              <w:rPr>
                <w:noProof/>
                <w:webHidden/>
              </w:rPr>
            </w:r>
            <w:r>
              <w:rPr>
                <w:noProof/>
                <w:webHidden/>
              </w:rPr>
              <w:fldChar w:fldCharType="separate"/>
            </w:r>
            <w:r>
              <w:rPr>
                <w:noProof/>
                <w:webHidden/>
              </w:rPr>
              <w:t>3</w:t>
            </w:r>
            <w:r>
              <w:rPr>
                <w:noProof/>
                <w:webHidden/>
              </w:rPr>
              <w:fldChar w:fldCharType="end"/>
            </w:r>
          </w:hyperlink>
        </w:p>
        <w:p w14:paraId="2421A567" w14:textId="7B304343" w:rsidR="00655366" w:rsidRDefault="00655366">
          <w:pPr>
            <w:pStyle w:val="TOC2"/>
            <w:tabs>
              <w:tab w:val="right" w:leader="dot" w:pos="9350"/>
            </w:tabs>
            <w:rPr>
              <w:rFonts w:eastAsiaTheme="minorEastAsia"/>
              <w:noProof/>
              <w:kern w:val="2"/>
              <w14:ligatures w14:val="standardContextual"/>
            </w:rPr>
          </w:pPr>
          <w:hyperlink w:anchor="_Toc232631022" w:history="1">
            <w:r w:rsidRPr="001D6002">
              <w:rPr>
                <w:rStyle w:val="Hyperlink"/>
                <w:noProof/>
              </w:rPr>
              <w:t>2. Purpose and Motivation</w:t>
            </w:r>
            <w:r>
              <w:rPr>
                <w:noProof/>
                <w:webHidden/>
              </w:rPr>
              <w:tab/>
            </w:r>
            <w:r>
              <w:rPr>
                <w:noProof/>
                <w:webHidden/>
              </w:rPr>
              <w:fldChar w:fldCharType="begin"/>
            </w:r>
            <w:r>
              <w:rPr>
                <w:noProof/>
                <w:webHidden/>
              </w:rPr>
              <w:instrText xml:space="preserve"> PAGEREF _Toc232631022 \h </w:instrText>
            </w:r>
            <w:r>
              <w:rPr>
                <w:noProof/>
                <w:webHidden/>
              </w:rPr>
            </w:r>
            <w:r>
              <w:rPr>
                <w:noProof/>
                <w:webHidden/>
              </w:rPr>
              <w:fldChar w:fldCharType="separate"/>
            </w:r>
            <w:r>
              <w:rPr>
                <w:noProof/>
                <w:webHidden/>
              </w:rPr>
              <w:t>3</w:t>
            </w:r>
            <w:r>
              <w:rPr>
                <w:noProof/>
                <w:webHidden/>
              </w:rPr>
              <w:fldChar w:fldCharType="end"/>
            </w:r>
          </w:hyperlink>
        </w:p>
        <w:p w14:paraId="39D32C05" w14:textId="354983F7" w:rsidR="00655366" w:rsidRDefault="00655366">
          <w:pPr>
            <w:pStyle w:val="TOC2"/>
            <w:tabs>
              <w:tab w:val="right" w:leader="dot" w:pos="9350"/>
            </w:tabs>
            <w:rPr>
              <w:rFonts w:eastAsiaTheme="minorEastAsia"/>
              <w:noProof/>
              <w:kern w:val="2"/>
              <w14:ligatures w14:val="standardContextual"/>
            </w:rPr>
          </w:pPr>
          <w:hyperlink w:anchor="_Toc232631023" w:history="1">
            <w:r w:rsidRPr="001D6002">
              <w:rPr>
                <w:rStyle w:val="Hyperlink"/>
                <w:noProof/>
              </w:rPr>
              <w:t>3. Goals</w:t>
            </w:r>
            <w:r>
              <w:rPr>
                <w:noProof/>
                <w:webHidden/>
              </w:rPr>
              <w:tab/>
            </w:r>
            <w:r>
              <w:rPr>
                <w:noProof/>
                <w:webHidden/>
              </w:rPr>
              <w:fldChar w:fldCharType="begin"/>
            </w:r>
            <w:r>
              <w:rPr>
                <w:noProof/>
                <w:webHidden/>
              </w:rPr>
              <w:instrText xml:space="preserve"> PAGEREF _Toc232631023 \h </w:instrText>
            </w:r>
            <w:r>
              <w:rPr>
                <w:noProof/>
                <w:webHidden/>
              </w:rPr>
            </w:r>
            <w:r>
              <w:rPr>
                <w:noProof/>
                <w:webHidden/>
              </w:rPr>
              <w:fldChar w:fldCharType="separate"/>
            </w:r>
            <w:r>
              <w:rPr>
                <w:noProof/>
                <w:webHidden/>
              </w:rPr>
              <w:t>3</w:t>
            </w:r>
            <w:r>
              <w:rPr>
                <w:noProof/>
                <w:webHidden/>
              </w:rPr>
              <w:fldChar w:fldCharType="end"/>
            </w:r>
          </w:hyperlink>
        </w:p>
        <w:p w14:paraId="754CA038" w14:textId="3BD8FE15" w:rsidR="00655366" w:rsidRDefault="00655366">
          <w:pPr>
            <w:pStyle w:val="TOC2"/>
            <w:tabs>
              <w:tab w:val="right" w:leader="dot" w:pos="9350"/>
            </w:tabs>
            <w:rPr>
              <w:rFonts w:eastAsiaTheme="minorEastAsia"/>
              <w:noProof/>
              <w:kern w:val="2"/>
              <w14:ligatures w14:val="standardContextual"/>
            </w:rPr>
          </w:pPr>
          <w:hyperlink w:anchor="_Toc232631024" w:history="1">
            <w:r w:rsidRPr="001D6002">
              <w:rPr>
                <w:rStyle w:val="Hyperlink"/>
                <w:noProof/>
              </w:rPr>
              <w:t>4. Data Sources</w:t>
            </w:r>
            <w:r>
              <w:rPr>
                <w:noProof/>
                <w:webHidden/>
              </w:rPr>
              <w:tab/>
            </w:r>
            <w:r>
              <w:rPr>
                <w:noProof/>
                <w:webHidden/>
              </w:rPr>
              <w:fldChar w:fldCharType="begin"/>
            </w:r>
            <w:r>
              <w:rPr>
                <w:noProof/>
                <w:webHidden/>
              </w:rPr>
              <w:instrText xml:space="preserve"> PAGEREF _Toc232631024 \h </w:instrText>
            </w:r>
            <w:r>
              <w:rPr>
                <w:noProof/>
                <w:webHidden/>
              </w:rPr>
            </w:r>
            <w:r>
              <w:rPr>
                <w:noProof/>
                <w:webHidden/>
              </w:rPr>
              <w:fldChar w:fldCharType="separate"/>
            </w:r>
            <w:r>
              <w:rPr>
                <w:noProof/>
                <w:webHidden/>
              </w:rPr>
              <w:t>3</w:t>
            </w:r>
            <w:r>
              <w:rPr>
                <w:noProof/>
                <w:webHidden/>
              </w:rPr>
              <w:fldChar w:fldCharType="end"/>
            </w:r>
          </w:hyperlink>
        </w:p>
        <w:p w14:paraId="17AB6D79" w14:textId="0351B6E6" w:rsidR="00655366" w:rsidRDefault="00655366">
          <w:pPr>
            <w:pStyle w:val="TOC2"/>
            <w:tabs>
              <w:tab w:val="right" w:leader="dot" w:pos="9350"/>
            </w:tabs>
            <w:rPr>
              <w:rFonts w:eastAsiaTheme="minorEastAsia"/>
              <w:noProof/>
              <w:kern w:val="2"/>
              <w14:ligatures w14:val="standardContextual"/>
            </w:rPr>
          </w:pPr>
          <w:hyperlink w:anchor="_Toc232631025" w:history="1">
            <w:r w:rsidRPr="001D6002">
              <w:rPr>
                <w:rStyle w:val="Hyperlink"/>
                <w:noProof/>
              </w:rPr>
              <w:t>5. Methodology</w:t>
            </w:r>
            <w:r>
              <w:rPr>
                <w:noProof/>
                <w:webHidden/>
              </w:rPr>
              <w:tab/>
            </w:r>
            <w:r>
              <w:rPr>
                <w:noProof/>
                <w:webHidden/>
              </w:rPr>
              <w:fldChar w:fldCharType="begin"/>
            </w:r>
            <w:r>
              <w:rPr>
                <w:noProof/>
                <w:webHidden/>
              </w:rPr>
              <w:instrText xml:space="preserve"> PAGEREF _Toc232631025 \h </w:instrText>
            </w:r>
            <w:r>
              <w:rPr>
                <w:noProof/>
                <w:webHidden/>
              </w:rPr>
            </w:r>
            <w:r>
              <w:rPr>
                <w:noProof/>
                <w:webHidden/>
              </w:rPr>
              <w:fldChar w:fldCharType="separate"/>
            </w:r>
            <w:r>
              <w:rPr>
                <w:noProof/>
                <w:webHidden/>
              </w:rPr>
              <w:t>4</w:t>
            </w:r>
            <w:r>
              <w:rPr>
                <w:noProof/>
                <w:webHidden/>
              </w:rPr>
              <w:fldChar w:fldCharType="end"/>
            </w:r>
          </w:hyperlink>
        </w:p>
        <w:p w14:paraId="26936871" w14:textId="33523281" w:rsidR="00655366" w:rsidRDefault="00655366">
          <w:pPr>
            <w:pStyle w:val="TOC2"/>
            <w:tabs>
              <w:tab w:val="right" w:leader="dot" w:pos="9350"/>
            </w:tabs>
            <w:rPr>
              <w:rFonts w:eastAsiaTheme="minorEastAsia"/>
              <w:noProof/>
              <w:kern w:val="2"/>
              <w14:ligatures w14:val="standardContextual"/>
            </w:rPr>
          </w:pPr>
          <w:hyperlink w:anchor="_Toc232631026" w:history="1">
            <w:r w:rsidRPr="001D6002">
              <w:rPr>
                <w:rStyle w:val="Hyperlink"/>
                <w:noProof/>
              </w:rPr>
              <w:t>6. Results</w:t>
            </w:r>
            <w:r>
              <w:rPr>
                <w:noProof/>
                <w:webHidden/>
              </w:rPr>
              <w:tab/>
            </w:r>
            <w:r>
              <w:rPr>
                <w:noProof/>
                <w:webHidden/>
              </w:rPr>
              <w:fldChar w:fldCharType="begin"/>
            </w:r>
            <w:r>
              <w:rPr>
                <w:noProof/>
                <w:webHidden/>
              </w:rPr>
              <w:instrText xml:space="preserve"> PAGEREF _Toc232631026 \h </w:instrText>
            </w:r>
            <w:r>
              <w:rPr>
                <w:noProof/>
                <w:webHidden/>
              </w:rPr>
            </w:r>
            <w:r>
              <w:rPr>
                <w:noProof/>
                <w:webHidden/>
              </w:rPr>
              <w:fldChar w:fldCharType="separate"/>
            </w:r>
            <w:r>
              <w:rPr>
                <w:noProof/>
                <w:webHidden/>
              </w:rPr>
              <w:t>5</w:t>
            </w:r>
            <w:r>
              <w:rPr>
                <w:noProof/>
                <w:webHidden/>
              </w:rPr>
              <w:fldChar w:fldCharType="end"/>
            </w:r>
          </w:hyperlink>
        </w:p>
        <w:p w14:paraId="001A7459" w14:textId="051FC311" w:rsidR="00655366" w:rsidRDefault="00655366">
          <w:pPr>
            <w:pStyle w:val="TOC2"/>
            <w:tabs>
              <w:tab w:val="right" w:leader="dot" w:pos="9350"/>
            </w:tabs>
            <w:rPr>
              <w:rFonts w:eastAsiaTheme="minorEastAsia"/>
              <w:noProof/>
              <w:kern w:val="2"/>
              <w14:ligatures w14:val="standardContextual"/>
            </w:rPr>
          </w:pPr>
          <w:hyperlink w:anchor="_Toc232631027" w:history="1">
            <w:r w:rsidRPr="001D6002">
              <w:rPr>
                <w:rStyle w:val="Hyperlink"/>
                <w:noProof/>
              </w:rPr>
              <w:t>7. Limitations</w:t>
            </w:r>
            <w:r>
              <w:rPr>
                <w:noProof/>
                <w:webHidden/>
              </w:rPr>
              <w:tab/>
            </w:r>
            <w:r>
              <w:rPr>
                <w:noProof/>
                <w:webHidden/>
              </w:rPr>
              <w:fldChar w:fldCharType="begin"/>
            </w:r>
            <w:r>
              <w:rPr>
                <w:noProof/>
                <w:webHidden/>
              </w:rPr>
              <w:instrText xml:space="preserve"> PAGEREF _Toc232631027 \h </w:instrText>
            </w:r>
            <w:r>
              <w:rPr>
                <w:noProof/>
                <w:webHidden/>
              </w:rPr>
            </w:r>
            <w:r>
              <w:rPr>
                <w:noProof/>
                <w:webHidden/>
              </w:rPr>
              <w:fldChar w:fldCharType="separate"/>
            </w:r>
            <w:r>
              <w:rPr>
                <w:noProof/>
                <w:webHidden/>
              </w:rPr>
              <w:t>6</w:t>
            </w:r>
            <w:r>
              <w:rPr>
                <w:noProof/>
                <w:webHidden/>
              </w:rPr>
              <w:fldChar w:fldCharType="end"/>
            </w:r>
          </w:hyperlink>
        </w:p>
        <w:p w14:paraId="11EE1DC7" w14:textId="28E556DC" w:rsidR="00655366" w:rsidRDefault="00655366">
          <w:pPr>
            <w:pStyle w:val="TOC2"/>
            <w:tabs>
              <w:tab w:val="right" w:leader="dot" w:pos="9350"/>
            </w:tabs>
            <w:rPr>
              <w:rFonts w:eastAsiaTheme="minorEastAsia"/>
              <w:noProof/>
              <w:kern w:val="2"/>
              <w14:ligatures w14:val="standardContextual"/>
            </w:rPr>
          </w:pPr>
          <w:hyperlink w:anchor="_Toc232631028" w:history="1">
            <w:r w:rsidRPr="001D6002">
              <w:rPr>
                <w:rStyle w:val="Hyperlink"/>
                <w:noProof/>
              </w:rPr>
              <w:t>8. Business Implications</w:t>
            </w:r>
            <w:r>
              <w:rPr>
                <w:noProof/>
                <w:webHidden/>
              </w:rPr>
              <w:tab/>
            </w:r>
            <w:r>
              <w:rPr>
                <w:noProof/>
                <w:webHidden/>
              </w:rPr>
              <w:fldChar w:fldCharType="begin"/>
            </w:r>
            <w:r>
              <w:rPr>
                <w:noProof/>
                <w:webHidden/>
              </w:rPr>
              <w:instrText xml:space="preserve"> PAGEREF _Toc232631028 \h </w:instrText>
            </w:r>
            <w:r>
              <w:rPr>
                <w:noProof/>
                <w:webHidden/>
              </w:rPr>
            </w:r>
            <w:r>
              <w:rPr>
                <w:noProof/>
                <w:webHidden/>
              </w:rPr>
              <w:fldChar w:fldCharType="separate"/>
            </w:r>
            <w:r>
              <w:rPr>
                <w:noProof/>
                <w:webHidden/>
              </w:rPr>
              <w:t>6</w:t>
            </w:r>
            <w:r>
              <w:rPr>
                <w:noProof/>
                <w:webHidden/>
              </w:rPr>
              <w:fldChar w:fldCharType="end"/>
            </w:r>
          </w:hyperlink>
        </w:p>
        <w:p w14:paraId="76F90B8C" w14:textId="5B0AE40D" w:rsidR="00655366" w:rsidRDefault="00655366">
          <w:pPr>
            <w:pStyle w:val="TOC2"/>
            <w:tabs>
              <w:tab w:val="right" w:leader="dot" w:pos="9350"/>
            </w:tabs>
            <w:rPr>
              <w:rFonts w:eastAsiaTheme="minorEastAsia"/>
              <w:noProof/>
              <w:kern w:val="2"/>
              <w14:ligatures w14:val="standardContextual"/>
            </w:rPr>
          </w:pPr>
          <w:hyperlink w:anchor="_Toc232631029" w:history="1">
            <w:r w:rsidRPr="001D6002">
              <w:rPr>
                <w:rStyle w:val="Hyperlink"/>
                <w:noProof/>
              </w:rPr>
              <w:t>9. Future Work</w:t>
            </w:r>
            <w:r>
              <w:rPr>
                <w:noProof/>
                <w:webHidden/>
              </w:rPr>
              <w:tab/>
            </w:r>
            <w:r>
              <w:rPr>
                <w:noProof/>
                <w:webHidden/>
              </w:rPr>
              <w:fldChar w:fldCharType="begin"/>
            </w:r>
            <w:r>
              <w:rPr>
                <w:noProof/>
                <w:webHidden/>
              </w:rPr>
              <w:instrText xml:space="preserve"> PAGEREF _Toc232631029 \h </w:instrText>
            </w:r>
            <w:r>
              <w:rPr>
                <w:noProof/>
                <w:webHidden/>
              </w:rPr>
            </w:r>
            <w:r>
              <w:rPr>
                <w:noProof/>
                <w:webHidden/>
              </w:rPr>
              <w:fldChar w:fldCharType="separate"/>
            </w:r>
            <w:r>
              <w:rPr>
                <w:noProof/>
                <w:webHidden/>
              </w:rPr>
              <w:t>6</w:t>
            </w:r>
            <w:r>
              <w:rPr>
                <w:noProof/>
                <w:webHidden/>
              </w:rPr>
              <w:fldChar w:fldCharType="end"/>
            </w:r>
          </w:hyperlink>
        </w:p>
        <w:p w14:paraId="4B3CE12B" w14:textId="43AB9173" w:rsidR="00655366" w:rsidRDefault="00655366">
          <w:pPr>
            <w:pStyle w:val="TOC2"/>
            <w:tabs>
              <w:tab w:val="right" w:leader="dot" w:pos="9350"/>
            </w:tabs>
            <w:rPr>
              <w:rFonts w:eastAsiaTheme="minorEastAsia"/>
              <w:noProof/>
              <w:kern w:val="2"/>
              <w14:ligatures w14:val="standardContextual"/>
            </w:rPr>
          </w:pPr>
          <w:hyperlink w:anchor="_Toc232631030" w:history="1">
            <w:r w:rsidRPr="001D6002">
              <w:rPr>
                <w:rStyle w:val="Hyperlink"/>
                <w:noProof/>
              </w:rPr>
              <w:t>10. Conclusion</w:t>
            </w:r>
            <w:r>
              <w:rPr>
                <w:noProof/>
                <w:webHidden/>
              </w:rPr>
              <w:tab/>
            </w:r>
            <w:r>
              <w:rPr>
                <w:noProof/>
                <w:webHidden/>
              </w:rPr>
              <w:fldChar w:fldCharType="begin"/>
            </w:r>
            <w:r>
              <w:rPr>
                <w:noProof/>
                <w:webHidden/>
              </w:rPr>
              <w:instrText xml:space="preserve"> PAGEREF _Toc232631030 \h </w:instrText>
            </w:r>
            <w:r>
              <w:rPr>
                <w:noProof/>
                <w:webHidden/>
              </w:rPr>
            </w:r>
            <w:r>
              <w:rPr>
                <w:noProof/>
                <w:webHidden/>
              </w:rPr>
              <w:fldChar w:fldCharType="separate"/>
            </w:r>
            <w:r>
              <w:rPr>
                <w:noProof/>
                <w:webHidden/>
              </w:rPr>
              <w:t>6</w:t>
            </w:r>
            <w:r>
              <w:rPr>
                <w:noProof/>
                <w:webHidden/>
              </w:rPr>
              <w:fldChar w:fldCharType="end"/>
            </w:r>
          </w:hyperlink>
        </w:p>
        <w:p w14:paraId="7996FC78" w14:textId="65AD27AF" w:rsidR="00655366" w:rsidRDefault="00655366">
          <w:pPr>
            <w:pStyle w:val="TOC2"/>
            <w:tabs>
              <w:tab w:val="right" w:leader="dot" w:pos="9350"/>
            </w:tabs>
            <w:rPr>
              <w:rFonts w:eastAsiaTheme="minorEastAsia"/>
              <w:noProof/>
              <w:kern w:val="2"/>
              <w14:ligatures w14:val="standardContextual"/>
            </w:rPr>
          </w:pPr>
          <w:hyperlink w:anchor="_Toc232631031" w:history="1">
            <w:r w:rsidRPr="001D6002">
              <w:rPr>
                <w:rStyle w:val="Hyperlink"/>
                <w:noProof/>
              </w:rPr>
              <w:t>Appendix</w:t>
            </w:r>
            <w:r>
              <w:rPr>
                <w:noProof/>
                <w:webHidden/>
              </w:rPr>
              <w:tab/>
            </w:r>
            <w:r>
              <w:rPr>
                <w:noProof/>
                <w:webHidden/>
              </w:rPr>
              <w:fldChar w:fldCharType="begin"/>
            </w:r>
            <w:r>
              <w:rPr>
                <w:noProof/>
                <w:webHidden/>
              </w:rPr>
              <w:instrText xml:space="preserve"> PAGEREF _Toc232631031 \h </w:instrText>
            </w:r>
            <w:r>
              <w:rPr>
                <w:noProof/>
                <w:webHidden/>
              </w:rPr>
            </w:r>
            <w:r>
              <w:rPr>
                <w:noProof/>
                <w:webHidden/>
              </w:rPr>
              <w:fldChar w:fldCharType="separate"/>
            </w:r>
            <w:r>
              <w:rPr>
                <w:noProof/>
                <w:webHidden/>
              </w:rPr>
              <w:t>7</w:t>
            </w:r>
            <w:r>
              <w:rPr>
                <w:noProof/>
                <w:webHidden/>
              </w:rPr>
              <w:fldChar w:fldCharType="end"/>
            </w:r>
          </w:hyperlink>
        </w:p>
        <w:p w14:paraId="44DD60C7" w14:textId="30607D3C" w:rsidR="00655366" w:rsidRDefault="00655366" w:rsidP="00655366">
          <w:r>
            <w:fldChar w:fldCharType="end"/>
          </w:r>
        </w:p>
      </w:sdtContent>
    </w:sdt>
    <w:p w14:paraId="714F0012" w14:textId="58A43B77" w:rsidR="00B0718C" w:rsidRDefault="00655366">
      <w:r>
        <w:br w:type="page"/>
      </w:r>
    </w:p>
    <w:p w14:paraId="504D4154" w14:textId="77777777" w:rsidR="00B0718C" w:rsidRDefault="00000000">
      <w:pPr>
        <w:pStyle w:val="Heading2"/>
      </w:pPr>
      <w:bookmarkStart w:id="5" w:name="introduction"/>
      <w:bookmarkStart w:id="6" w:name="_Toc232631021"/>
      <w:bookmarkEnd w:id="3"/>
      <w:r>
        <w:lastRenderedPageBreak/>
        <w:t>1. Introduction</w:t>
      </w:r>
      <w:bookmarkEnd w:id="6"/>
    </w:p>
    <w:p w14:paraId="3ED0196B" w14:textId="77777777" w:rsidR="00B0718C" w:rsidRDefault="00000000">
      <w:pPr>
        <w:pStyle w:val="FirstParagraph"/>
      </w:pPr>
      <w:r>
        <w:t>Revenue forecasting is a foundational activity in corporate finance and Financial Planning &amp; Analysis (FP&amp;A). Forecasts inform budgets, hiring, investment, and external guidance, and the quality of those decisions depends directly on forecast reliability. This project applies data-science methods to a large corpus of real public-company financials with two goals: to produce accurate next-quarter revenue forecasts, and to express those forecasts in the form finance teams actually use for review — variance against expectation, accuracy by segment, and identification of unpredictable firms.</w:t>
      </w:r>
    </w:p>
    <w:p w14:paraId="506BF8E9" w14:textId="77777777" w:rsidR="00B0718C" w:rsidRDefault="00000000">
      <w:pPr>
        <w:pStyle w:val="Heading2"/>
      </w:pPr>
      <w:bookmarkStart w:id="7" w:name="purpose-and-motivation"/>
      <w:bookmarkStart w:id="8" w:name="_Toc232631022"/>
      <w:bookmarkEnd w:id="5"/>
      <w:r>
        <w:t>2. Purpose and Motivation</w:t>
      </w:r>
      <w:bookmarkEnd w:id="8"/>
    </w:p>
    <w:p w14:paraId="5938D0B8" w14:textId="77777777" w:rsidR="00B0718C" w:rsidRDefault="00000000">
      <w:pPr>
        <w:pStyle w:val="FirstParagraph"/>
      </w:pPr>
      <w:r>
        <w:t xml:space="preserve">Finance teams require forecasts that are simultaneously accurate, explainable, and economically sensible. A model that predicts negative revenue, or that is accurate only for the largest firms, cannot be deployed regardless of its aggregate error statistics. The motivating research question is therefore not merely </w:t>
      </w:r>
      <w:r>
        <w:rPr>
          <w:i/>
          <w:iCs/>
        </w:rPr>
        <w:t>can revenue be predicted</w:t>
      </w:r>
      <w:r>
        <w:t>, but:</w:t>
      </w:r>
    </w:p>
    <w:p w14:paraId="73AC0705" w14:textId="77777777" w:rsidR="00B0718C" w:rsidRDefault="00000000">
      <w:pPr>
        <w:pStyle w:val="BlockText"/>
      </w:pPr>
      <w:r>
        <w:t>Can historical SEC revenue data and macroeconomic indicators be used to build a reliable, explainable, and business-ready revenue forecasting model whose output a finance team can trust and act upon?</w:t>
      </w:r>
    </w:p>
    <w:p w14:paraId="29964567" w14:textId="77777777" w:rsidR="00B0718C" w:rsidRDefault="00000000">
      <w:pPr>
        <w:pStyle w:val="Heading2"/>
      </w:pPr>
      <w:bookmarkStart w:id="9" w:name="goals"/>
      <w:bookmarkStart w:id="10" w:name="_Toc232631023"/>
      <w:bookmarkEnd w:id="7"/>
      <w:r>
        <w:t>3. Goals</w:t>
      </w:r>
      <w:bookmarkEnd w:id="10"/>
    </w:p>
    <w:p w14:paraId="04F13A31" w14:textId="77777777" w:rsidR="00B0718C" w:rsidRDefault="00000000">
      <w:pPr>
        <w:pStyle w:val="FirstParagraph"/>
      </w:pPr>
      <w:r>
        <w:t>The project pursued four concrete goals:</w:t>
      </w:r>
    </w:p>
    <w:p w14:paraId="35521F00" w14:textId="77777777" w:rsidR="00B0718C" w:rsidRDefault="00000000">
      <w:pPr>
        <w:pStyle w:val="Compact"/>
        <w:numPr>
          <w:ilvl w:val="0"/>
          <w:numId w:val="2"/>
        </w:numPr>
      </w:pPr>
      <w:r>
        <w:t>Construct a clean, consistent firm-quarter revenue panel from heterogeneous SEC filings.</w:t>
      </w:r>
    </w:p>
    <w:p w14:paraId="2A7C1B7E" w14:textId="77777777" w:rsidR="00B0718C" w:rsidRDefault="00000000">
      <w:pPr>
        <w:pStyle w:val="Compact"/>
        <w:numPr>
          <w:ilvl w:val="0"/>
          <w:numId w:val="2"/>
        </w:numPr>
      </w:pPr>
      <w:r>
        <w:t>Forecast next-quarter revenue with measurable, out-of-sample accuracy.</w:t>
      </w:r>
    </w:p>
    <w:p w14:paraId="7637781A" w14:textId="77777777" w:rsidR="00B0718C" w:rsidRDefault="00000000">
      <w:pPr>
        <w:pStyle w:val="Compact"/>
        <w:numPr>
          <w:ilvl w:val="0"/>
          <w:numId w:val="2"/>
        </w:numPr>
      </w:pPr>
      <w:r>
        <w:t>Ensure forecasts are economically valid (non-negative) and fair across firm sizes.</w:t>
      </w:r>
    </w:p>
    <w:p w14:paraId="49077AA6" w14:textId="2FDC0E75" w:rsidR="00B0718C" w:rsidRDefault="00000000">
      <w:pPr>
        <w:pStyle w:val="Compact"/>
        <w:numPr>
          <w:ilvl w:val="0"/>
          <w:numId w:val="2"/>
        </w:numPr>
      </w:pPr>
      <w:r>
        <w:t>Deliver the results as finance artifacts</w:t>
      </w:r>
      <w:r w:rsidR="00655366">
        <w:t>,</w:t>
      </w:r>
      <w:r>
        <w:t xml:space="preserve"> variance analysis and a review </w:t>
      </w:r>
      <w:proofErr w:type="spellStart"/>
      <w:proofErr w:type="gramStart"/>
      <w:r>
        <w:t>dashboard</w:t>
      </w:r>
      <w:r w:rsidR="00655366">
        <w:t>,</w:t>
      </w:r>
      <w:r>
        <w:t>rather</w:t>
      </w:r>
      <w:proofErr w:type="spellEnd"/>
      <w:proofErr w:type="gramEnd"/>
      <w:r>
        <w:t xml:space="preserve"> than as a notebook result alone.</w:t>
      </w:r>
    </w:p>
    <w:p w14:paraId="3EF9203A" w14:textId="77777777" w:rsidR="00B0718C" w:rsidRDefault="00000000">
      <w:pPr>
        <w:pStyle w:val="Heading2"/>
      </w:pPr>
      <w:bookmarkStart w:id="11" w:name="data-sources"/>
      <w:bookmarkStart w:id="12" w:name="_Toc232631024"/>
      <w:bookmarkEnd w:id="9"/>
      <w:r>
        <w:t>4. Data Sources</w:t>
      </w:r>
      <w:bookmarkEnd w:id="12"/>
    </w:p>
    <w:p w14:paraId="76561673" w14:textId="77777777" w:rsidR="00B0718C" w:rsidRDefault="00000000">
      <w:pPr>
        <w:pStyle w:val="FirstParagraph"/>
      </w:pPr>
      <w:r>
        <w:rPr>
          <w:b/>
          <w:bCs/>
        </w:rPr>
        <w:t>SEC Financial Statement Data Sets (2021–2025).</w:t>
      </w:r>
      <w:r>
        <w:t xml:space="preserve"> Quarterly numeric XBRL facts filed by U.S. public companies, drawn from the standard </w:t>
      </w:r>
      <w:r>
        <w:rPr>
          <w:rStyle w:val="VerbatimChar"/>
        </w:rPr>
        <w:t>sub.txt</w:t>
      </w:r>
      <w:r>
        <w:t xml:space="preserve">, </w:t>
      </w:r>
      <w:r>
        <w:rPr>
          <w:rStyle w:val="VerbatimChar"/>
        </w:rPr>
        <w:t>num.txt</w:t>
      </w:r>
      <w:r>
        <w:t xml:space="preserve">, </w:t>
      </w:r>
      <w:r>
        <w:rPr>
          <w:rStyle w:val="VerbatimChar"/>
        </w:rPr>
        <w:t>tag.txt</w:t>
      </w:r>
      <w:r>
        <w:t xml:space="preserve">, and </w:t>
      </w:r>
      <w:r>
        <w:rPr>
          <w:rStyle w:val="VerbatimChar"/>
        </w:rPr>
        <w:t>pre.txt</w:t>
      </w:r>
      <w:r>
        <w:t xml:space="preserve"> files. Coverage spans 2021Q1–2025Q4; 2026Q1 data was consulted only to capture late-filed 2025 reports.</w:t>
      </w:r>
    </w:p>
    <w:p w14:paraId="5FA8419F" w14:textId="77777777" w:rsidR="00B0718C" w:rsidRDefault="00000000">
      <w:pPr>
        <w:pStyle w:val="BodyText"/>
      </w:pPr>
      <w:r>
        <w:rPr>
          <w:b/>
          <w:bCs/>
        </w:rPr>
        <w:t>FRED Macroeconomic Series.</w:t>
      </w:r>
      <w:r>
        <w:t xml:space="preserve"> The Consumer Price Index (CPI), federal funds rate, and unemployment rate were aligned to each fiscal quarter, along with their quarter-over- quarter changes, to test whether broader economic conditions improve firm-level revenue prediction.</w:t>
      </w:r>
    </w:p>
    <w:p w14:paraId="54EA56BD" w14:textId="77777777" w:rsidR="00B0718C" w:rsidRDefault="00000000">
      <w:pPr>
        <w:pStyle w:val="Heading2"/>
      </w:pPr>
      <w:bookmarkStart w:id="13" w:name="methodology"/>
      <w:bookmarkStart w:id="14" w:name="_Toc232631025"/>
      <w:bookmarkEnd w:id="11"/>
      <w:r>
        <w:lastRenderedPageBreak/>
        <w:t>5. Methodology</w:t>
      </w:r>
      <w:bookmarkEnd w:id="14"/>
    </w:p>
    <w:p w14:paraId="3D0E72AB" w14:textId="77777777" w:rsidR="00B0718C" w:rsidRDefault="00000000">
      <w:pPr>
        <w:pStyle w:val="Heading3"/>
      </w:pPr>
      <w:bookmarkStart w:id="15" w:name="revenue-extraction-and-data-cleaning"/>
      <w:r>
        <w:t>5.1 Revenue Extraction and Data Cleaning</w:t>
      </w:r>
    </w:p>
    <w:p w14:paraId="6E51D413" w14:textId="77777777" w:rsidR="00B0718C" w:rsidRDefault="00000000">
      <w:pPr>
        <w:pStyle w:val="FirstParagraph"/>
      </w:pPr>
      <w:r>
        <w:t xml:space="preserve">Because companies report revenue under different XBRL tags and may file multiple values per period, a consistent panel was built through three steps. First, a </w:t>
      </w:r>
      <w:r>
        <w:rPr>
          <w:b/>
          <w:bCs/>
        </w:rPr>
        <w:t>priority-based tag selection rule</w:t>
      </w:r>
      <w:r>
        <w:t xml:space="preserve"> resolved each filing to a single revenue concept, in the order: </w:t>
      </w:r>
      <w:r>
        <w:rPr>
          <w:rStyle w:val="VerbatimChar"/>
        </w:rPr>
        <w:t>RevenueFromContractWithCustomerExcludingAssessedTax</w:t>
      </w:r>
      <w:r>
        <w:t xml:space="preserve">, </w:t>
      </w:r>
      <w:r>
        <w:rPr>
          <w:rStyle w:val="VerbatimChar"/>
        </w:rPr>
        <w:t>Revenues</w:t>
      </w:r>
      <w:r>
        <w:t xml:space="preserve">, </w:t>
      </w:r>
      <w:r>
        <w:rPr>
          <w:rStyle w:val="VerbatimChar"/>
        </w:rPr>
        <w:t>RevenueFromContractWithCustomerIncludingAssessedTax</w:t>
      </w:r>
      <w:r>
        <w:t xml:space="preserve">, </w:t>
      </w:r>
      <w:r>
        <w:rPr>
          <w:rStyle w:val="VerbatimChar"/>
        </w:rPr>
        <w:t>Revenue</w:t>
      </w:r>
      <w:r>
        <w:t>. Second, records were filtered to retain only income-statement revenue, quarterly values, USD denomination, standard non-abstract monetary tags, consolidated company values, valid SEC forms, and the current reporting period. Third, duplicates were resolved: where multiple rows existed for a filing, the highest-priority tag was kept; where multiple filings existed for a company- period, the latest-filed version was retained (with the SEC accession number as a deterministic tiebreaker).</w:t>
      </w:r>
    </w:p>
    <w:p w14:paraId="5441C175" w14:textId="77777777" w:rsidR="00B0718C" w:rsidRDefault="00000000">
      <w:pPr>
        <w:pStyle w:val="Heading3"/>
      </w:pPr>
      <w:bookmarkStart w:id="16" w:name="q4-revenue-derivation"/>
      <w:bookmarkEnd w:id="15"/>
      <w:r>
        <w:t>5.2 Q4 Revenue Derivation</w:t>
      </w:r>
    </w:p>
    <w:p w14:paraId="79A77659" w14:textId="77777777" w:rsidR="00B0718C" w:rsidRDefault="00000000">
      <w:pPr>
        <w:pStyle w:val="FirstParagraph"/>
      </w:pPr>
      <w:r>
        <w:t xml:space="preserve">Many companies report annual rather than discrete fourth-quarter revenue. Where annual and Q1–Q3 values were available, Q4 was derived as </w:t>
      </w:r>
      <w:r>
        <w:rPr>
          <w:rStyle w:val="VerbatimChar"/>
        </w:rPr>
        <w:t>annual − (Q1 + Q2 + Q3)</w:t>
      </w:r>
      <w:r>
        <w:t>. Derived rows were flagged (</w:t>
      </w:r>
      <w:r>
        <w:rPr>
          <w:rStyle w:val="VerbatimChar"/>
        </w:rPr>
        <w:t>is_derived_q4 = 1</w:t>
      </w:r>
      <w:r>
        <w:t>) to preserve auditability; this improves panel completeness at the cost of some derivation noise.</w:t>
      </w:r>
    </w:p>
    <w:p w14:paraId="28743429" w14:textId="77777777" w:rsidR="00B0718C" w:rsidRDefault="00000000">
      <w:pPr>
        <w:pStyle w:val="Heading3"/>
      </w:pPr>
      <w:bookmarkStart w:id="17" w:name="forecasting-dataset-construction"/>
      <w:bookmarkEnd w:id="16"/>
      <w:r>
        <w:t>5.3 Forecasting Dataset Construction</w:t>
      </w:r>
    </w:p>
    <w:p w14:paraId="0D01DE3E" w14:textId="19B6617C" w:rsidR="00B0718C" w:rsidRDefault="00000000">
      <w:pPr>
        <w:pStyle w:val="FirstParagraph"/>
      </w:pPr>
      <w:r>
        <w:t xml:space="preserve">The cleaned data formed a firm-quarter panel of 51,168 observations. The target variable is next-quarter revenue. The panel was split </w:t>
      </w:r>
      <w:proofErr w:type="gramStart"/>
      <w:r>
        <w:t xml:space="preserve">chronologically </w:t>
      </w:r>
      <w:r w:rsidR="00655366">
        <w:t>,</w:t>
      </w:r>
      <w:proofErr w:type="gramEnd"/>
      <w:r>
        <w:t xml:space="preserve"> train 2021–2023, validation 2024, test 2025 with the split keyed to the </w:t>
      </w:r>
      <w:r>
        <w:rPr>
          <w:b/>
          <w:bCs/>
        </w:rPr>
        <w:t>target</w:t>
      </w:r>
      <w:r>
        <w:t xml:space="preserve"> quarter rather than the feature quarter, to prevent look-ahead leakage.</w:t>
      </w:r>
    </w:p>
    <w:p w14:paraId="1BB79FBB" w14:textId="77777777" w:rsidR="00B0718C" w:rsidRDefault="00000000">
      <w:pPr>
        <w:pStyle w:val="Heading3"/>
      </w:pPr>
      <w:bookmarkStart w:id="18" w:name="feature-engineering"/>
      <w:bookmarkEnd w:id="17"/>
      <w:r>
        <w:t>5.4 Feature Engineering</w:t>
      </w:r>
    </w:p>
    <w:p w14:paraId="6E778D0A" w14:textId="77777777" w:rsidR="00B0718C" w:rsidRDefault="00000000">
      <w:pPr>
        <w:pStyle w:val="FirstParagraph"/>
      </w:pPr>
      <w:r>
        <w:t>Features emphasized firm-level revenue dynamics: current revenue; revenue lags (1–4 quarters); same-quarter-last-year revenue; quarter-over-quarter and year-over-year growth; rolling revenue statistics and volatility; a firm observation count; the Q4-derived flag; and sector encoding from SIC codes. Macroeconomic features (CPI, fed funds rate, unemployment, and their changes) were included as economy-wide context.</w:t>
      </w:r>
    </w:p>
    <w:p w14:paraId="7B6ABD1A" w14:textId="77777777" w:rsidR="00B0718C" w:rsidRDefault="00000000">
      <w:pPr>
        <w:pStyle w:val="Heading3"/>
      </w:pPr>
      <w:bookmarkStart w:id="19" w:name="models"/>
      <w:bookmarkEnd w:id="18"/>
      <w:r>
        <w:t>5.5 Models</w:t>
      </w:r>
    </w:p>
    <w:p w14:paraId="48E5940B" w14:textId="77777777" w:rsidR="00B0718C" w:rsidRDefault="00000000">
      <w:pPr>
        <w:pStyle w:val="FirstParagraph"/>
      </w:pPr>
      <w:r>
        <w:rPr>
          <w:b/>
          <w:bCs/>
        </w:rPr>
        <w:t>Baseline — YoY seasonal forecast.</w:t>
      </w:r>
      <w:r>
        <w:t xml:space="preserve"> Next-quarter revenue is forecast from the prior-year same quarter, adjusted for recent movement. Simple, explainable, and a strong benchmark.</w:t>
      </w:r>
    </w:p>
    <w:p w14:paraId="2A6D3EBE" w14:textId="77777777" w:rsidR="00B0718C" w:rsidRDefault="00000000">
      <w:pPr>
        <w:pStyle w:val="BodyText"/>
      </w:pPr>
      <w:r>
        <w:rPr>
          <w:b/>
          <w:bCs/>
        </w:rPr>
        <w:t>First ML model — YoY + Random Forest residual correction.</w:t>
      </w:r>
      <w:r>
        <w:t xml:space="preserve"> A Random Forest is trained to predict the residual (error) of the seasonal baseline; the predicted residual is added back. This operated on the raw-dollar scale.</w:t>
      </w:r>
    </w:p>
    <w:p w14:paraId="3C0CC335" w14:textId="77777777" w:rsidR="00B0718C" w:rsidRDefault="00000000">
      <w:pPr>
        <w:pStyle w:val="BodyText"/>
      </w:pPr>
      <w:r>
        <w:rPr>
          <w:b/>
          <w:bCs/>
        </w:rPr>
        <w:t>Final model — log-growth forecast.</w:t>
      </w:r>
      <w:r>
        <w:t xml:space="preserve"> Rather than predicting dollars, the model predicts </w:t>
      </w:r>
      <w:r>
        <w:rPr>
          <w:rStyle w:val="VerbatimChar"/>
        </w:rPr>
        <w:t>log(next_revenue / current_revenue)</w:t>
      </w:r>
      <w:r>
        <w:t xml:space="preserve"> and reconstructs the forecast as </w:t>
      </w:r>
      <w:r>
        <w:rPr>
          <w:rStyle w:val="VerbatimChar"/>
        </w:rPr>
        <w:lastRenderedPageBreak/>
        <w:t>current_revenue × exp(prediction)</w:t>
      </w:r>
      <w:r>
        <w:t>. Because the exponential is strictly positive, the forecast cannot be negative. Modeling growth rather than level also prevents the model from merely learning firm scale, distributing accuracy more evenly across firm sizes. The final configuration was a Random Forest (500 trees, minimum leaf size 20), selected on the 2024 validation set by sMAPE. Firm-quarters with non-positive revenue (which cannot be modeled in log space) were routed to a seasonal fallback rather than deleted.</w:t>
      </w:r>
    </w:p>
    <w:p w14:paraId="50A9AD55" w14:textId="77777777" w:rsidR="00B0718C" w:rsidRDefault="00000000">
      <w:pPr>
        <w:pStyle w:val="Heading3"/>
      </w:pPr>
      <w:bookmarkStart w:id="20" w:name="macroeconomic-regression"/>
      <w:bookmarkEnd w:id="19"/>
      <w:r>
        <w:t>5.6 Macroeconomic Regression</w:t>
      </w:r>
    </w:p>
    <w:p w14:paraId="186B70FF" w14:textId="77777777" w:rsidR="00B0718C" w:rsidRDefault="00000000">
      <w:pPr>
        <w:pStyle w:val="FirstParagraph"/>
      </w:pPr>
      <w:r>
        <w:t>A separate ordinary-least-squares analysis tested whether macroeconomic variables relate to next-quarter revenue change after controlling for firm revenue history.</w:t>
      </w:r>
    </w:p>
    <w:p w14:paraId="6CDA9551" w14:textId="77777777" w:rsidR="00B0718C" w:rsidRDefault="00000000">
      <w:pPr>
        <w:pStyle w:val="Heading2"/>
      </w:pPr>
      <w:bookmarkStart w:id="21" w:name="results"/>
      <w:bookmarkStart w:id="22" w:name="_Toc232631026"/>
      <w:bookmarkEnd w:id="13"/>
      <w:bookmarkEnd w:id="20"/>
      <w:r>
        <w:t>6. Results</w:t>
      </w:r>
      <w:bookmarkEnd w:id="22"/>
    </w:p>
    <w:p w14:paraId="189F247D" w14:textId="77777777" w:rsidR="00B0718C" w:rsidRDefault="00000000">
      <w:pPr>
        <w:pStyle w:val="Heading3"/>
      </w:pPr>
      <w:bookmarkStart w:id="23" w:name="model-comparison"/>
      <w:r>
        <w:t>6.1 Model Comparison</w:t>
      </w:r>
    </w:p>
    <w:tbl>
      <w:tblPr>
        <w:tblStyle w:val="Table"/>
        <w:tblW w:w="5000" w:type="pct"/>
        <w:tblLook w:val="0020" w:firstRow="1" w:lastRow="0" w:firstColumn="0" w:lastColumn="0" w:noHBand="0" w:noVBand="0"/>
      </w:tblPr>
      <w:tblGrid>
        <w:gridCol w:w="1866"/>
        <w:gridCol w:w="1174"/>
        <w:gridCol w:w="1419"/>
        <w:gridCol w:w="972"/>
        <w:gridCol w:w="1546"/>
        <w:gridCol w:w="2599"/>
      </w:tblGrid>
      <w:tr w:rsidR="00B0718C" w14:paraId="4B9335E9" w14:textId="77777777" w:rsidTr="00B0718C">
        <w:trPr>
          <w:cnfStyle w:val="100000000000" w:firstRow="1" w:lastRow="0" w:firstColumn="0" w:lastColumn="0" w:oddVBand="0" w:evenVBand="0" w:oddHBand="0" w:evenHBand="0" w:firstRowFirstColumn="0" w:firstRowLastColumn="0" w:lastRowFirstColumn="0" w:lastRowLastColumn="0"/>
          <w:tblHeader/>
        </w:trPr>
        <w:tc>
          <w:tcPr>
            <w:tcW w:w="0" w:type="auto"/>
          </w:tcPr>
          <w:p w14:paraId="2C477DCB" w14:textId="77777777" w:rsidR="00B0718C" w:rsidRPr="00655366" w:rsidRDefault="00000000">
            <w:pPr>
              <w:pStyle w:val="Compact"/>
              <w:rPr>
                <w:b/>
                <w:bCs/>
              </w:rPr>
            </w:pPr>
            <w:r w:rsidRPr="00655366">
              <w:rPr>
                <w:b/>
                <w:bCs/>
              </w:rPr>
              <w:t>Model</w:t>
            </w:r>
          </w:p>
        </w:tc>
        <w:tc>
          <w:tcPr>
            <w:tcW w:w="0" w:type="auto"/>
          </w:tcPr>
          <w:p w14:paraId="4DB198EE" w14:textId="77777777" w:rsidR="00B0718C" w:rsidRPr="00655366" w:rsidRDefault="00000000">
            <w:pPr>
              <w:pStyle w:val="Compact"/>
              <w:jc w:val="right"/>
              <w:rPr>
                <w:b/>
                <w:bCs/>
              </w:rPr>
            </w:pPr>
            <w:r w:rsidRPr="00655366">
              <w:rPr>
                <w:b/>
                <w:bCs/>
              </w:rPr>
              <w:t>MAE</w:t>
            </w:r>
          </w:p>
        </w:tc>
        <w:tc>
          <w:tcPr>
            <w:tcW w:w="0" w:type="auto"/>
          </w:tcPr>
          <w:p w14:paraId="3144C78A" w14:textId="77777777" w:rsidR="00B0718C" w:rsidRPr="00655366" w:rsidRDefault="00000000">
            <w:pPr>
              <w:pStyle w:val="Compact"/>
              <w:jc w:val="right"/>
              <w:rPr>
                <w:b/>
                <w:bCs/>
              </w:rPr>
            </w:pPr>
            <w:r w:rsidRPr="00655366">
              <w:rPr>
                <w:b/>
                <w:bCs/>
              </w:rPr>
              <w:t>Median Abs % Error</w:t>
            </w:r>
          </w:p>
        </w:tc>
        <w:tc>
          <w:tcPr>
            <w:tcW w:w="0" w:type="auto"/>
          </w:tcPr>
          <w:p w14:paraId="36A7D43F" w14:textId="77777777" w:rsidR="00B0718C" w:rsidRPr="00655366" w:rsidRDefault="00000000">
            <w:pPr>
              <w:pStyle w:val="Compact"/>
              <w:jc w:val="right"/>
              <w:rPr>
                <w:b/>
                <w:bCs/>
              </w:rPr>
            </w:pPr>
            <w:r w:rsidRPr="00655366">
              <w:rPr>
                <w:b/>
                <w:bCs/>
              </w:rPr>
              <w:t>sMAPE</w:t>
            </w:r>
          </w:p>
        </w:tc>
        <w:tc>
          <w:tcPr>
            <w:tcW w:w="0" w:type="auto"/>
          </w:tcPr>
          <w:p w14:paraId="5F8649EE" w14:textId="77777777" w:rsidR="00B0718C" w:rsidRDefault="00000000">
            <w:pPr>
              <w:pStyle w:val="Compact"/>
              <w:jc w:val="right"/>
            </w:pPr>
            <w:r w:rsidRPr="00655366">
              <w:rPr>
                <w:b/>
                <w:bCs/>
              </w:rPr>
              <w:t>Negative</w:t>
            </w:r>
            <w:r>
              <w:t xml:space="preserve"> </w:t>
            </w:r>
            <w:r w:rsidRPr="00655366">
              <w:rPr>
                <w:b/>
                <w:bCs/>
              </w:rPr>
              <w:t>Forecasts</w:t>
            </w:r>
          </w:p>
        </w:tc>
        <w:tc>
          <w:tcPr>
            <w:tcW w:w="0" w:type="auto"/>
          </w:tcPr>
          <w:p w14:paraId="3DCF0F85" w14:textId="77777777" w:rsidR="00B0718C" w:rsidRPr="00655366" w:rsidRDefault="00000000">
            <w:pPr>
              <w:pStyle w:val="Compact"/>
              <w:rPr>
                <w:b/>
                <w:bCs/>
              </w:rPr>
            </w:pPr>
            <w:r w:rsidRPr="00655366">
              <w:rPr>
                <w:b/>
                <w:bCs/>
              </w:rPr>
              <w:t>Interpretation</w:t>
            </w:r>
          </w:p>
        </w:tc>
      </w:tr>
      <w:tr w:rsidR="00B0718C" w14:paraId="71FC1711" w14:textId="77777777">
        <w:tc>
          <w:tcPr>
            <w:tcW w:w="0" w:type="auto"/>
          </w:tcPr>
          <w:p w14:paraId="69880841" w14:textId="77777777" w:rsidR="00B0718C" w:rsidRDefault="00000000">
            <w:pPr>
              <w:pStyle w:val="Compact"/>
            </w:pPr>
            <w:r>
              <w:t>YoY Seasonal Baseline</w:t>
            </w:r>
          </w:p>
        </w:tc>
        <w:tc>
          <w:tcPr>
            <w:tcW w:w="0" w:type="auto"/>
          </w:tcPr>
          <w:p w14:paraId="22B192F0" w14:textId="77777777" w:rsidR="00B0718C" w:rsidRDefault="00000000">
            <w:pPr>
              <w:pStyle w:val="Compact"/>
              <w:jc w:val="right"/>
            </w:pPr>
            <w:r>
              <w:t>$184.3M</w:t>
            </w:r>
          </w:p>
        </w:tc>
        <w:tc>
          <w:tcPr>
            <w:tcW w:w="0" w:type="auto"/>
          </w:tcPr>
          <w:p w14:paraId="115EB531" w14:textId="77777777" w:rsidR="00B0718C" w:rsidRDefault="00000000">
            <w:pPr>
              <w:pStyle w:val="Compact"/>
              <w:jc w:val="right"/>
            </w:pPr>
            <w:r>
              <w:t>10.9%</w:t>
            </w:r>
          </w:p>
        </w:tc>
        <w:tc>
          <w:tcPr>
            <w:tcW w:w="0" w:type="auto"/>
          </w:tcPr>
          <w:p w14:paraId="7959CE85" w14:textId="77777777" w:rsidR="00B0718C" w:rsidRDefault="00000000">
            <w:pPr>
              <w:pStyle w:val="Compact"/>
              <w:jc w:val="right"/>
            </w:pPr>
            <w:r>
              <w:t>0.281</w:t>
            </w:r>
          </w:p>
        </w:tc>
        <w:tc>
          <w:tcPr>
            <w:tcW w:w="0" w:type="auto"/>
          </w:tcPr>
          <w:p w14:paraId="0554CD97" w14:textId="77777777" w:rsidR="00B0718C" w:rsidRDefault="00000000">
            <w:pPr>
              <w:pStyle w:val="Compact"/>
              <w:jc w:val="right"/>
            </w:pPr>
            <w:r>
              <w:t>64</w:t>
            </w:r>
          </w:p>
        </w:tc>
        <w:tc>
          <w:tcPr>
            <w:tcW w:w="0" w:type="auto"/>
          </w:tcPr>
          <w:p w14:paraId="215FC458" w14:textId="77777777" w:rsidR="00B0718C" w:rsidRDefault="00000000">
            <w:pPr>
              <w:pStyle w:val="Compact"/>
            </w:pPr>
            <w:r>
              <w:t>Strong, explainable benchmark</w:t>
            </w:r>
          </w:p>
        </w:tc>
      </w:tr>
      <w:tr w:rsidR="00B0718C" w14:paraId="1003FDEE" w14:textId="77777777">
        <w:tc>
          <w:tcPr>
            <w:tcW w:w="0" w:type="auto"/>
          </w:tcPr>
          <w:p w14:paraId="6F0DE2BB" w14:textId="77777777" w:rsidR="00B0718C" w:rsidRDefault="00000000">
            <w:pPr>
              <w:pStyle w:val="Compact"/>
            </w:pPr>
            <w:r>
              <w:t>YoY + Random Forest Residual</w:t>
            </w:r>
          </w:p>
        </w:tc>
        <w:tc>
          <w:tcPr>
            <w:tcW w:w="0" w:type="auto"/>
          </w:tcPr>
          <w:p w14:paraId="02C00E02" w14:textId="77777777" w:rsidR="00B0718C" w:rsidRDefault="00000000">
            <w:pPr>
              <w:pStyle w:val="Compact"/>
              <w:jc w:val="right"/>
            </w:pPr>
            <w:r>
              <w:t>$127.7M</w:t>
            </w:r>
          </w:p>
        </w:tc>
        <w:tc>
          <w:tcPr>
            <w:tcW w:w="0" w:type="auto"/>
          </w:tcPr>
          <w:p w14:paraId="1CE60FC3" w14:textId="77777777" w:rsidR="00B0718C" w:rsidRDefault="00000000">
            <w:pPr>
              <w:pStyle w:val="Compact"/>
              <w:jc w:val="right"/>
            </w:pPr>
            <w:r>
              <w:t>8.7%</w:t>
            </w:r>
          </w:p>
        </w:tc>
        <w:tc>
          <w:tcPr>
            <w:tcW w:w="0" w:type="auto"/>
          </w:tcPr>
          <w:p w14:paraId="40F765B0" w14:textId="77777777" w:rsidR="00B0718C" w:rsidRDefault="00000000">
            <w:pPr>
              <w:pStyle w:val="Compact"/>
              <w:jc w:val="right"/>
            </w:pPr>
            <w:r>
              <w:t>0.459</w:t>
            </w:r>
          </w:p>
        </w:tc>
        <w:tc>
          <w:tcPr>
            <w:tcW w:w="0" w:type="auto"/>
          </w:tcPr>
          <w:p w14:paraId="6E04E41B" w14:textId="77777777" w:rsidR="00B0718C" w:rsidRDefault="00000000">
            <w:pPr>
              <w:pStyle w:val="Compact"/>
              <w:jc w:val="right"/>
            </w:pPr>
            <w:r>
              <w:t>1,836</w:t>
            </w:r>
          </w:p>
        </w:tc>
        <w:tc>
          <w:tcPr>
            <w:tcW w:w="0" w:type="auto"/>
          </w:tcPr>
          <w:p w14:paraId="4CAFD179" w14:textId="77777777" w:rsidR="00B0718C" w:rsidRDefault="00000000">
            <w:pPr>
              <w:pStyle w:val="Compact"/>
            </w:pPr>
            <w:r>
              <w:t>Lower dollar MAE but not production-ready</w:t>
            </w:r>
          </w:p>
        </w:tc>
      </w:tr>
      <w:tr w:rsidR="00B0718C" w14:paraId="26F656DD" w14:textId="77777777">
        <w:tc>
          <w:tcPr>
            <w:tcW w:w="0" w:type="auto"/>
          </w:tcPr>
          <w:p w14:paraId="04314751" w14:textId="77777777" w:rsidR="00B0718C" w:rsidRDefault="00000000">
            <w:pPr>
              <w:pStyle w:val="Compact"/>
            </w:pPr>
            <w:r>
              <w:rPr>
                <w:b/>
                <w:bCs/>
              </w:rPr>
              <w:t>Improved Log-Growth Model</w:t>
            </w:r>
          </w:p>
        </w:tc>
        <w:tc>
          <w:tcPr>
            <w:tcW w:w="0" w:type="auto"/>
          </w:tcPr>
          <w:p w14:paraId="71899636" w14:textId="77777777" w:rsidR="00B0718C" w:rsidRDefault="00000000">
            <w:pPr>
              <w:pStyle w:val="Compact"/>
              <w:jc w:val="right"/>
            </w:pPr>
            <w:r>
              <w:rPr>
                <w:b/>
                <w:bCs/>
              </w:rPr>
              <w:t>$146.7M</w:t>
            </w:r>
          </w:p>
        </w:tc>
        <w:tc>
          <w:tcPr>
            <w:tcW w:w="0" w:type="auto"/>
          </w:tcPr>
          <w:p w14:paraId="465480C4" w14:textId="77777777" w:rsidR="00B0718C" w:rsidRDefault="00000000">
            <w:pPr>
              <w:pStyle w:val="Compact"/>
              <w:jc w:val="right"/>
            </w:pPr>
            <w:r>
              <w:rPr>
                <w:b/>
                <w:bCs/>
              </w:rPr>
              <w:t>7.6%</w:t>
            </w:r>
          </w:p>
        </w:tc>
        <w:tc>
          <w:tcPr>
            <w:tcW w:w="0" w:type="auto"/>
          </w:tcPr>
          <w:p w14:paraId="32DCAF74" w14:textId="77777777" w:rsidR="00B0718C" w:rsidRDefault="00000000">
            <w:pPr>
              <w:pStyle w:val="Compact"/>
              <w:jc w:val="right"/>
            </w:pPr>
            <w:r>
              <w:rPr>
                <w:b/>
                <w:bCs/>
              </w:rPr>
              <w:t>0.211</w:t>
            </w:r>
          </w:p>
        </w:tc>
        <w:tc>
          <w:tcPr>
            <w:tcW w:w="0" w:type="auto"/>
          </w:tcPr>
          <w:p w14:paraId="5743BD38" w14:textId="77777777" w:rsidR="00B0718C" w:rsidRDefault="00000000">
            <w:pPr>
              <w:pStyle w:val="Compact"/>
              <w:jc w:val="right"/>
            </w:pPr>
            <w:r>
              <w:rPr>
                <w:b/>
                <w:bCs/>
              </w:rPr>
              <w:t>0</w:t>
            </w:r>
          </w:p>
        </w:tc>
        <w:tc>
          <w:tcPr>
            <w:tcW w:w="0" w:type="auto"/>
          </w:tcPr>
          <w:p w14:paraId="5CBF0381" w14:textId="77777777" w:rsidR="00B0718C" w:rsidRDefault="00000000">
            <w:pPr>
              <w:pStyle w:val="Compact"/>
            </w:pPr>
            <w:r>
              <w:rPr>
                <w:b/>
                <w:bCs/>
              </w:rPr>
              <w:t>Final, business-ready model</w:t>
            </w:r>
          </w:p>
        </w:tc>
      </w:tr>
    </w:tbl>
    <w:p w14:paraId="536F1E72" w14:textId="77777777" w:rsidR="00B0718C" w:rsidRDefault="00000000">
      <w:pPr>
        <w:pStyle w:val="BodyText"/>
      </w:pPr>
      <w:r>
        <w:t>The Random Forest residual model achieved the lowest raw-dollar MAE but produced 1,836 impossible negative forecasts and the worst proportional accuracy (sMAPE 0.459). The log-growth model was therefore selected as final: it improves on the seasonal baseline across MAE, median percentage error, and sMAPE, and eliminates negative forecasts entirely.</w:t>
      </w:r>
    </w:p>
    <w:p w14:paraId="68EFE429" w14:textId="77777777" w:rsidR="00B0718C" w:rsidRDefault="00000000">
      <w:pPr>
        <w:pStyle w:val="Heading3"/>
      </w:pPr>
      <w:bookmarkStart w:id="24" w:name="accuracy-distribution"/>
      <w:bookmarkEnd w:id="23"/>
      <w:r>
        <w:t>6.2 Accuracy Distribution</w:t>
      </w:r>
    </w:p>
    <w:tbl>
      <w:tblPr>
        <w:tblStyle w:val="Table"/>
        <w:tblW w:w="0" w:type="auto"/>
        <w:tblLook w:val="0020" w:firstRow="1" w:lastRow="0" w:firstColumn="0" w:lastColumn="0" w:noHBand="0" w:noVBand="0"/>
      </w:tblPr>
      <w:tblGrid>
        <w:gridCol w:w="1832"/>
        <w:gridCol w:w="2172"/>
      </w:tblGrid>
      <w:tr w:rsidR="00B0718C" w14:paraId="225C8639" w14:textId="77777777" w:rsidTr="00B0718C">
        <w:trPr>
          <w:cnfStyle w:val="100000000000" w:firstRow="1" w:lastRow="0" w:firstColumn="0" w:lastColumn="0" w:oddVBand="0" w:evenVBand="0" w:oddHBand="0" w:evenHBand="0" w:firstRowFirstColumn="0" w:firstRowLastColumn="0" w:lastRowFirstColumn="0" w:lastRowLastColumn="0"/>
          <w:tblHeader/>
        </w:trPr>
        <w:tc>
          <w:tcPr>
            <w:tcW w:w="0" w:type="auto"/>
          </w:tcPr>
          <w:p w14:paraId="5610F68C" w14:textId="77777777" w:rsidR="00B0718C" w:rsidRPr="00655366" w:rsidRDefault="00000000">
            <w:pPr>
              <w:pStyle w:val="Compact"/>
              <w:rPr>
                <w:b/>
                <w:bCs/>
              </w:rPr>
            </w:pPr>
            <w:r w:rsidRPr="00655366">
              <w:rPr>
                <w:b/>
                <w:bCs/>
              </w:rPr>
              <w:t>Accuracy band</w:t>
            </w:r>
          </w:p>
        </w:tc>
        <w:tc>
          <w:tcPr>
            <w:tcW w:w="0" w:type="auto"/>
          </w:tcPr>
          <w:p w14:paraId="63CF4A26" w14:textId="77777777" w:rsidR="00B0718C" w:rsidRPr="00655366" w:rsidRDefault="00000000">
            <w:pPr>
              <w:pStyle w:val="Compact"/>
              <w:jc w:val="right"/>
              <w:rPr>
                <w:b/>
                <w:bCs/>
              </w:rPr>
            </w:pPr>
            <w:r w:rsidRPr="00655366">
              <w:rPr>
                <w:b/>
                <w:bCs/>
              </w:rPr>
              <w:t>Share of forecasts</w:t>
            </w:r>
          </w:p>
        </w:tc>
      </w:tr>
      <w:tr w:rsidR="00B0718C" w14:paraId="0C6A0A55" w14:textId="77777777">
        <w:tc>
          <w:tcPr>
            <w:tcW w:w="0" w:type="auto"/>
          </w:tcPr>
          <w:p w14:paraId="5295FA32" w14:textId="77777777" w:rsidR="00B0718C" w:rsidRDefault="00000000">
            <w:pPr>
              <w:pStyle w:val="Compact"/>
            </w:pPr>
            <w:r>
              <w:t>Within 5%</w:t>
            </w:r>
          </w:p>
        </w:tc>
        <w:tc>
          <w:tcPr>
            <w:tcW w:w="0" w:type="auto"/>
          </w:tcPr>
          <w:p w14:paraId="5EAC2090" w14:textId="77777777" w:rsidR="00B0718C" w:rsidRDefault="00000000">
            <w:pPr>
              <w:pStyle w:val="Compact"/>
              <w:jc w:val="right"/>
            </w:pPr>
            <w:r>
              <w:t>37.7%</w:t>
            </w:r>
          </w:p>
        </w:tc>
      </w:tr>
      <w:tr w:rsidR="00B0718C" w14:paraId="453F0005" w14:textId="77777777">
        <w:tc>
          <w:tcPr>
            <w:tcW w:w="0" w:type="auto"/>
          </w:tcPr>
          <w:p w14:paraId="5B1B266F" w14:textId="77777777" w:rsidR="00B0718C" w:rsidRDefault="00000000">
            <w:pPr>
              <w:pStyle w:val="Compact"/>
            </w:pPr>
            <w:r>
              <w:t>Within 10%</w:t>
            </w:r>
          </w:p>
        </w:tc>
        <w:tc>
          <w:tcPr>
            <w:tcW w:w="0" w:type="auto"/>
          </w:tcPr>
          <w:p w14:paraId="3B9E5C12" w14:textId="77777777" w:rsidR="00B0718C" w:rsidRDefault="00000000">
            <w:pPr>
              <w:pStyle w:val="Compact"/>
              <w:jc w:val="right"/>
            </w:pPr>
            <w:r>
              <w:t>57.5%</w:t>
            </w:r>
          </w:p>
        </w:tc>
      </w:tr>
      <w:tr w:rsidR="00B0718C" w14:paraId="76CED22C" w14:textId="77777777">
        <w:tc>
          <w:tcPr>
            <w:tcW w:w="0" w:type="auto"/>
          </w:tcPr>
          <w:p w14:paraId="1CF0A5B9" w14:textId="77777777" w:rsidR="00B0718C" w:rsidRDefault="00000000">
            <w:pPr>
              <w:pStyle w:val="Compact"/>
            </w:pPr>
            <w:r>
              <w:t>Within 20%</w:t>
            </w:r>
          </w:p>
        </w:tc>
        <w:tc>
          <w:tcPr>
            <w:tcW w:w="0" w:type="auto"/>
          </w:tcPr>
          <w:p w14:paraId="57125EE1" w14:textId="77777777" w:rsidR="00B0718C" w:rsidRDefault="00000000">
            <w:pPr>
              <w:pStyle w:val="Compact"/>
              <w:jc w:val="right"/>
            </w:pPr>
            <w:r>
              <w:t>75.7%</w:t>
            </w:r>
          </w:p>
        </w:tc>
      </w:tr>
      <w:tr w:rsidR="00B0718C" w14:paraId="7974896A" w14:textId="77777777">
        <w:tc>
          <w:tcPr>
            <w:tcW w:w="0" w:type="auto"/>
          </w:tcPr>
          <w:p w14:paraId="7761EC86" w14:textId="77777777" w:rsidR="00B0718C" w:rsidRDefault="00000000">
            <w:pPr>
              <w:pStyle w:val="Compact"/>
            </w:pPr>
            <w:r>
              <w:t>Within 30%</w:t>
            </w:r>
          </w:p>
        </w:tc>
        <w:tc>
          <w:tcPr>
            <w:tcW w:w="0" w:type="auto"/>
          </w:tcPr>
          <w:p w14:paraId="02BBCB57" w14:textId="77777777" w:rsidR="00B0718C" w:rsidRDefault="00000000">
            <w:pPr>
              <w:pStyle w:val="Compact"/>
              <w:jc w:val="right"/>
            </w:pPr>
            <w:r>
              <w:t>83.5%</w:t>
            </w:r>
          </w:p>
        </w:tc>
      </w:tr>
      <w:tr w:rsidR="00B0718C" w14:paraId="46382C45" w14:textId="77777777">
        <w:tc>
          <w:tcPr>
            <w:tcW w:w="0" w:type="auto"/>
          </w:tcPr>
          <w:p w14:paraId="06C8AC49" w14:textId="77777777" w:rsidR="00B0718C" w:rsidRDefault="00000000">
            <w:pPr>
              <w:pStyle w:val="Compact"/>
            </w:pPr>
            <w:r>
              <w:t>Within 50%</w:t>
            </w:r>
          </w:p>
        </w:tc>
        <w:tc>
          <w:tcPr>
            <w:tcW w:w="0" w:type="auto"/>
          </w:tcPr>
          <w:p w14:paraId="5B8631FA" w14:textId="77777777" w:rsidR="00B0718C" w:rsidRDefault="00000000">
            <w:pPr>
              <w:pStyle w:val="Compact"/>
              <w:jc w:val="right"/>
            </w:pPr>
            <w:r>
              <w:t>90.7%</w:t>
            </w:r>
          </w:p>
        </w:tc>
      </w:tr>
    </w:tbl>
    <w:p w14:paraId="740734D8" w14:textId="77777777" w:rsidR="00B0718C" w:rsidRDefault="00000000">
      <w:pPr>
        <w:pStyle w:val="Heading3"/>
      </w:pPr>
      <w:bookmarkStart w:id="25" w:name="interpretation"/>
      <w:bookmarkEnd w:id="24"/>
      <w:r>
        <w:t>6.3 Interpretation</w:t>
      </w:r>
    </w:p>
    <w:p w14:paraId="5383443E" w14:textId="77777777" w:rsidR="00B0718C" w:rsidRDefault="00000000">
      <w:pPr>
        <w:pStyle w:val="FirstParagraph"/>
      </w:pPr>
      <w:r>
        <w:t xml:space="preserve">The typical firm is forecast within approximately 8%, while the mean absolute dollar error ($146.7M) is inflated by a small number of very large, volatile firms whose dollar swings dominate aggregate error. A naive “same as last quarter” forecast matches the log-growth model on percentage error, underscoring the high persistence of quarterly revenue; the </w:t>
      </w:r>
      <w:r>
        <w:lastRenderedPageBreak/>
        <w:t>model’s clear advantages are dollar-weighted accuracy and the elimination of impossible forecasts.</w:t>
      </w:r>
    </w:p>
    <w:p w14:paraId="6DDDEF70" w14:textId="77777777" w:rsidR="00B0718C" w:rsidRDefault="00000000">
      <w:pPr>
        <w:pStyle w:val="Heading3"/>
      </w:pPr>
      <w:bookmarkStart w:id="26" w:name="macroeconomic-findings"/>
      <w:bookmarkEnd w:id="25"/>
      <w:r>
        <w:t>6.4 Macroeconomic Findings</w:t>
      </w:r>
    </w:p>
    <w:p w14:paraId="7637919F" w14:textId="77777777" w:rsidR="00B0718C" w:rsidRDefault="00000000">
      <w:pPr>
        <w:pStyle w:val="FirstParagraph"/>
      </w:pPr>
      <w:r>
        <w:t>Macroeconomic variables were weak standalone predictors. A macro-only specification explained little variance; firm revenue history explained substantially more; and adding macro variables improved explanatory power only marginally. Among the macro series, the federal funds rate showed a statistically significant negative relationship, while CPI and unemployment were weaker or insignificant. Macro conditions are best treated as business context rather than primary forecast drivers — intuitive, since macro series are identical across all firms in a given quarter and cannot explain cross-firm differences.</w:t>
      </w:r>
    </w:p>
    <w:p w14:paraId="4CDA7D5E" w14:textId="77777777" w:rsidR="00B0718C" w:rsidRDefault="00000000">
      <w:pPr>
        <w:pStyle w:val="Heading2"/>
      </w:pPr>
      <w:bookmarkStart w:id="27" w:name="limitations"/>
      <w:bookmarkStart w:id="28" w:name="_Toc232631027"/>
      <w:bookmarkEnd w:id="21"/>
      <w:bookmarkEnd w:id="26"/>
      <w:r>
        <w:t>7. Limitations</w:t>
      </w:r>
      <w:bookmarkEnd w:id="28"/>
    </w:p>
    <w:p w14:paraId="75085BAF" w14:textId="77777777" w:rsidR="00B0718C" w:rsidRDefault="00000000">
      <w:pPr>
        <w:pStyle w:val="Compact"/>
        <w:numPr>
          <w:ilvl w:val="0"/>
          <w:numId w:val="3"/>
        </w:numPr>
      </w:pPr>
      <w:r>
        <w:t>Some SEC firm-quarters report zero or negative revenue; log-growth requires positive revenue, so these rows use a seasonal fallback and are flagged rather than deleted.</w:t>
      </w:r>
    </w:p>
    <w:p w14:paraId="5CB22EED" w14:textId="77777777" w:rsidR="00B0718C" w:rsidRDefault="00000000">
      <w:pPr>
        <w:pStyle w:val="Compact"/>
        <w:numPr>
          <w:ilvl w:val="0"/>
          <w:numId w:val="3"/>
        </w:numPr>
      </w:pPr>
      <w:r>
        <w:t>Macroeconomic variables added little predictive value as standalone drivers.</w:t>
      </w:r>
    </w:p>
    <w:p w14:paraId="3ABF18BC" w14:textId="77777777" w:rsidR="00B0718C" w:rsidRDefault="00000000">
      <w:pPr>
        <w:pStyle w:val="Compact"/>
        <w:numPr>
          <w:ilvl w:val="0"/>
          <w:numId w:val="3"/>
        </w:numPr>
      </w:pPr>
      <w:r>
        <w:t>Derived Q4 revenue can introduce noise.</w:t>
      </w:r>
    </w:p>
    <w:p w14:paraId="5024A795" w14:textId="77777777" w:rsidR="00B0718C" w:rsidRDefault="00000000">
      <w:pPr>
        <w:pStyle w:val="Compact"/>
        <w:numPr>
          <w:ilvl w:val="0"/>
          <w:numId w:val="3"/>
        </w:numPr>
      </w:pPr>
      <w:r>
        <w:t>Dollar-based error metrics are dominated by very large firms.</w:t>
      </w:r>
    </w:p>
    <w:p w14:paraId="293DDD51" w14:textId="77777777" w:rsidR="00B0718C" w:rsidRDefault="00000000">
      <w:pPr>
        <w:pStyle w:val="Compact"/>
        <w:numPr>
          <w:ilvl w:val="0"/>
          <w:numId w:val="3"/>
        </w:numPr>
      </w:pPr>
      <w:r>
        <w:t>A quarterly revenue forecast is not equivalent to a 13-week cash-flow forecast.</w:t>
      </w:r>
    </w:p>
    <w:p w14:paraId="45602C44" w14:textId="77777777" w:rsidR="00B0718C" w:rsidRDefault="00000000">
      <w:pPr>
        <w:pStyle w:val="Compact"/>
        <w:numPr>
          <w:ilvl w:val="0"/>
          <w:numId w:val="3"/>
        </w:numPr>
      </w:pPr>
      <w:r>
        <w:t>Any small illustrative dashboard sample is for storytelling, not full model evaluation.</w:t>
      </w:r>
    </w:p>
    <w:p w14:paraId="158EFD41" w14:textId="77777777" w:rsidR="00B0718C" w:rsidRDefault="00000000">
      <w:pPr>
        <w:pStyle w:val="Compact"/>
        <w:numPr>
          <w:ilvl w:val="0"/>
          <w:numId w:val="3"/>
        </w:numPr>
      </w:pPr>
      <w:r>
        <w:t>The model is more production-ready, not perfect; deployment would require monitoring.</w:t>
      </w:r>
    </w:p>
    <w:p w14:paraId="29966435" w14:textId="77777777" w:rsidR="00B0718C" w:rsidRDefault="00000000">
      <w:pPr>
        <w:pStyle w:val="Heading2"/>
      </w:pPr>
      <w:bookmarkStart w:id="29" w:name="business-implications"/>
      <w:bookmarkStart w:id="30" w:name="_Toc232631028"/>
      <w:bookmarkEnd w:id="27"/>
      <w:r>
        <w:t>8. Business Implications</w:t>
      </w:r>
      <w:bookmarkEnd w:id="30"/>
    </w:p>
    <w:p w14:paraId="098F0492" w14:textId="77777777" w:rsidR="00B0718C" w:rsidRDefault="00000000">
      <w:pPr>
        <w:pStyle w:val="FirstParagraph"/>
      </w:pPr>
      <w:r>
        <w:t>The improved model is usable for FP&amp;A review because it produces economically sensible forecasts and quantifies its own accuracy. It supports budget-versus-actual review, variance tracking, and segment-level comparison, using a transparent, explainable method.</w:t>
      </w:r>
    </w:p>
    <w:p w14:paraId="4EAF1B2C" w14:textId="77777777" w:rsidR="00B0718C" w:rsidRDefault="00000000">
      <w:pPr>
        <w:pStyle w:val="Heading2"/>
      </w:pPr>
      <w:bookmarkStart w:id="31" w:name="future-work"/>
      <w:bookmarkStart w:id="32" w:name="_Toc232631029"/>
      <w:bookmarkEnd w:id="29"/>
      <w:r>
        <w:t>9. Future Work</w:t>
      </w:r>
      <w:bookmarkEnd w:id="32"/>
    </w:p>
    <w:p w14:paraId="2EB2416D" w14:textId="77777777" w:rsidR="00B0718C" w:rsidRDefault="00000000">
      <w:pPr>
        <w:pStyle w:val="FirstParagraph"/>
      </w:pPr>
      <w:r>
        <w:t>Industry-specific models; a dedicated mega-cap model; richer sector and firm-level features; confidence intervals around forecasts; a full interactive Power BI dashboard; a separate 13-week cash-forecast project; and an automated dashboard-refresh workflow.</w:t>
      </w:r>
    </w:p>
    <w:p w14:paraId="0784AF4B" w14:textId="77777777" w:rsidR="00B0718C" w:rsidRDefault="00000000">
      <w:pPr>
        <w:pStyle w:val="Heading2"/>
      </w:pPr>
      <w:bookmarkStart w:id="33" w:name="conclusion"/>
      <w:bookmarkStart w:id="34" w:name="_Toc232631030"/>
      <w:bookmarkEnd w:id="31"/>
      <w:r>
        <w:t>10. Conclusion</w:t>
      </w:r>
      <w:bookmarkEnd w:id="34"/>
    </w:p>
    <w:p w14:paraId="084588AC" w14:textId="77777777" w:rsidR="00B0718C" w:rsidRDefault="00000000">
      <w:pPr>
        <w:pStyle w:val="FirstParagraph"/>
      </w:pPr>
      <w:r>
        <w:t>Reformulating the forecasting problem into log-growth space delivered a material, honestly-measured improvement: a 20.4% reduction in mean absolute error over a strong seasonal baseline, tighter percentage accuracy, and the complete elimination of impossible negative forecasts. The result is a model meaningfully more production-ready for FP&amp;A use, paired with variance-analysis and dashboard layers that translate model output into the review process finance teams already run — while remaining clear-eyed about the limitations any responsible deployment must monitor.</w:t>
      </w:r>
    </w:p>
    <w:p w14:paraId="6E98D957" w14:textId="77777777" w:rsidR="00B0718C" w:rsidRDefault="00000000">
      <w:r>
        <w:lastRenderedPageBreak/>
        <w:pict w14:anchorId="740F7B90">
          <v:rect id="_x0000_i1027" style="width:0;height:1.5pt" o:hralign="center" o:hrstd="t" o:hr="t"/>
        </w:pict>
      </w:r>
    </w:p>
    <w:p w14:paraId="78D6DAE9" w14:textId="77777777" w:rsidR="00B0718C" w:rsidRDefault="00000000">
      <w:pPr>
        <w:pStyle w:val="Heading2"/>
      </w:pPr>
      <w:bookmarkStart w:id="35" w:name="appendix"/>
      <w:bookmarkStart w:id="36" w:name="_Toc232631031"/>
      <w:bookmarkEnd w:id="33"/>
      <w:r>
        <w:t>Appendix</w:t>
      </w:r>
      <w:bookmarkEnd w:id="36"/>
    </w:p>
    <w:p w14:paraId="659903AB" w14:textId="77777777" w:rsidR="00B0718C" w:rsidRDefault="00000000">
      <w:pPr>
        <w:pStyle w:val="Heading3"/>
      </w:pPr>
      <w:bookmarkStart w:id="37" w:name="a.-revenue-tag-priority-rule"/>
      <w:r>
        <w:t>A. Revenue Tag Priority Rule</w:t>
      </w:r>
    </w:p>
    <w:p w14:paraId="3A2EAE08" w14:textId="77777777" w:rsidR="00B0718C" w:rsidRDefault="00000000">
      <w:pPr>
        <w:pStyle w:val="Compact"/>
        <w:numPr>
          <w:ilvl w:val="0"/>
          <w:numId w:val="4"/>
        </w:numPr>
      </w:pPr>
      <w:r>
        <w:rPr>
          <w:rStyle w:val="VerbatimChar"/>
        </w:rPr>
        <w:t>RevenueFromContractWithCustomerExcludingAssessedTax</w:t>
      </w:r>
    </w:p>
    <w:p w14:paraId="2BD74CDD" w14:textId="77777777" w:rsidR="00B0718C" w:rsidRDefault="00000000">
      <w:pPr>
        <w:pStyle w:val="Compact"/>
        <w:numPr>
          <w:ilvl w:val="0"/>
          <w:numId w:val="4"/>
        </w:numPr>
      </w:pPr>
      <w:r>
        <w:rPr>
          <w:rStyle w:val="VerbatimChar"/>
        </w:rPr>
        <w:t>Revenues</w:t>
      </w:r>
    </w:p>
    <w:p w14:paraId="7DAC7999" w14:textId="77777777" w:rsidR="00B0718C" w:rsidRDefault="00000000">
      <w:pPr>
        <w:pStyle w:val="Compact"/>
        <w:numPr>
          <w:ilvl w:val="0"/>
          <w:numId w:val="4"/>
        </w:numPr>
      </w:pPr>
      <w:r>
        <w:rPr>
          <w:rStyle w:val="VerbatimChar"/>
        </w:rPr>
        <w:t>RevenueFromContractWithCustomerIncludingAssessedTax</w:t>
      </w:r>
    </w:p>
    <w:p w14:paraId="5CC1CF14" w14:textId="77777777" w:rsidR="00B0718C" w:rsidRDefault="00000000">
      <w:pPr>
        <w:pStyle w:val="Compact"/>
        <w:numPr>
          <w:ilvl w:val="0"/>
          <w:numId w:val="4"/>
        </w:numPr>
      </w:pPr>
      <w:r>
        <w:rPr>
          <w:rStyle w:val="VerbatimChar"/>
        </w:rPr>
        <w:t>Revenue</w:t>
      </w:r>
    </w:p>
    <w:p w14:paraId="12320CB5" w14:textId="77777777" w:rsidR="00B0718C" w:rsidRDefault="00000000">
      <w:pPr>
        <w:pStyle w:val="Heading3"/>
      </w:pPr>
      <w:bookmarkStart w:id="38" w:name="b.-full-feature-list"/>
      <w:bookmarkEnd w:id="37"/>
      <w:r>
        <w:t>B. Full Feature List</w:t>
      </w:r>
    </w:p>
    <w:p w14:paraId="251E3873" w14:textId="77777777" w:rsidR="00B0718C" w:rsidRDefault="00000000">
      <w:pPr>
        <w:pStyle w:val="FirstParagraph"/>
      </w:pPr>
      <w:r>
        <w:rPr>
          <w:i/>
          <w:iCs/>
        </w:rPr>
        <w:t>Firm-level:</w:t>
      </w:r>
      <w:r>
        <w:t xml:space="preserve"> current revenue; revenue lags 1–4; same-quarter-last-year revenue; quarter-over-quarter growth; year-over-year growth; rolling revenue statistics; revenue volatility; firm observation count; Q4 derived flag. </w:t>
      </w:r>
      <w:r>
        <w:rPr>
          <w:i/>
          <w:iCs/>
        </w:rPr>
        <w:t>Macro:</w:t>
      </w:r>
      <w:r>
        <w:t xml:space="preserve"> CPI; federal funds rate; unemployment rate; quarter-over-quarter macro changes.</w:t>
      </w:r>
    </w:p>
    <w:p w14:paraId="13684C34" w14:textId="77777777" w:rsidR="00B0718C" w:rsidRDefault="00000000">
      <w:pPr>
        <w:pStyle w:val="Heading3"/>
      </w:pPr>
      <w:bookmarkStart w:id="39" w:name="c.-final-model-configuration"/>
      <w:bookmarkEnd w:id="38"/>
      <w:r>
        <w:t>C. Final Model Configuration</w:t>
      </w:r>
    </w:p>
    <w:p w14:paraId="234011C0" w14:textId="77777777" w:rsidR="00B0718C" w:rsidRDefault="00000000">
      <w:pPr>
        <w:pStyle w:val="FirstParagraph"/>
      </w:pPr>
      <w:r>
        <w:t xml:space="preserve">Random Forest; 500 trees; minimum leaf size 20; target = </w:t>
      </w:r>
      <w:r>
        <w:rPr>
          <w:rStyle w:val="VerbatimChar"/>
        </w:rPr>
        <w:t>log(next_revenue / current_revenue)</w:t>
      </w:r>
      <w:r>
        <w:t xml:space="preserve">; selected on the 2024 validation set by sMAPE; forecast reconstructed as </w:t>
      </w:r>
      <w:r>
        <w:rPr>
          <w:rStyle w:val="VerbatimChar"/>
        </w:rPr>
        <w:t>current_revenue × exp(prediction)</w:t>
      </w:r>
      <w:r>
        <w:t xml:space="preserve"> and floored at zero.</w:t>
      </w:r>
    </w:p>
    <w:p w14:paraId="6BF5C8B1" w14:textId="77777777" w:rsidR="00B0718C" w:rsidRDefault="00000000">
      <w:pPr>
        <w:pStyle w:val="Heading3"/>
      </w:pPr>
      <w:bookmarkStart w:id="40" w:name="d.-data-dictionary-selected-fields"/>
      <w:bookmarkEnd w:id="39"/>
      <w:r>
        <w:t>D. Data Dictionary (selected fields)</w:t>
      </w:r>
    </w:p>
    <w:p w14:paraId="4F211540" w14:textId="77777777" w:rsidR="00B0718C" w:rsidRDefault="00000000">
      <w:pPr>
        <w:pStyle w:val="Compact"/>
        <w:numPr>
          <w:ilvl w:val="0"/>
          <w:numId w:val="5"/>
        </w:numPr>
      </w:pPr>
      <w:r>
        <w:rPr>
          <w:rStyle w:val="VerbatimChar"/>
        </w:rPr>
        <w:t>cik</w:t>
      </w:r>
      <w:r>
        <w:t xml:space="preserve"> — SEC Central Index Key (firm identifier)</w:t>
      </w:r>
    </w:p>
    <w:p w14:paraId="43392845" w14:textId="77777777" w:rsidR="00B0718C" w:rsidRDefault="00000000">
      <w:pPr>
        <w:pStyle w:val="Compact"/>
        <w:numPr>
          <w:ilvl w:val="0"/>
          <w:numId w:val="5"/>
        </w:numPr>
      </w:pPr>
      <w:r>
        <w:rPr>
          <w:rStyle w:val="VerbatimChar"/>
        </w:rPr>
        <w:t>sic</w:t>
      </w:r>
      <w:r>
        <w:t xml:space="preserve"> — Standard Industrial Classification code (sector)</w:t>
      </w:r>
    </w:p>
    <w:p w14:paraId="02CAA7C0" w14:textId="77777777" w:rsidR="00B0718C" w:rsidRDefault="00000000">
      <w:pPr>
        <w:pStyle w:val="Compact"/>
        <w:numPr>
          <w:ilvl w:val="0"/>
          <w:numId w:val="5"/>
        </w:numPr>
      </w:pPr>
      <w:r>
        <w:rPr>
          <w:rStyle w:val="VerbatimChar"/>
        </w:rPr>
        <w:t>revenue_usd</w:t>
      </w:r>
      <w:r>
        <w:t xml:space="preserve"> — current-quarter revenue (USD)</w:t>
      </w:r>
    </w:p>
    <w:p w14:paraId="33922B92" w14:textId="77777777" w:rsidR="00B0718C" w:rsidRDefault="00000000">
      <w:pPr>
        <w:pStyle w:val="Compact"/>
        <w:numPr>
          <w:ilvl w:val="0"/>
          <w:numId w:val="5"/>
        </w:numPr>
      </w:pPr>
      <w:r>
        <w:rPr>
          <w:rStyle w:val="VerbatimChar"/>
        </w:rPr>
        <w:t>target_revenue_next_qtr</w:t>
      </w:r>
      <w:r>
        <w:t xml:space="preserve"> — next-quarter revenue (model target)</w:t>
      </w:r>
    </w:p>
    <w:p w14:paraId="099E4A13" w14:textId="77777777" w:rsidR="00B0718C" w:rsidRDefault="00000000">
      <w:pPr>
        <w:pStyle w:val="Compact"/>
        <w:numPr>
          <w:ilvl w:val="0"/>
          <w:numId w:val="5"/>
        </w:numPr>
      </w:pPr>
      <w:r>
        <w:rPr>
          <w:rStyle w:val="VerbatimChar"/>
        </w:rPr>
        <w:t>seasonal_naive_forecast_next_qtr</w:t>
      </w:r>
      <w:r>
        <w:t xml:space="preserve"> — prior-year same-quarter baseline</w:t>
      </w:r>
    </w:p>
    <w:p w14:paraId="188C70B4" w14:textId="77777777" w:rsidR="00B0718C" w:rsidRDefault="00000000">
      <w:pPr>
        <w:pStyle w:val="Compact"/>
        <w:numPr>
          <w:ilvl w:val="0"/>
          <w:numId w:val="5"/>
        </w:numPr>
      </w:pPr>
      <w:r>
        <w:rPr>
          <w:rStyle w:val="VerbatimChar"/>
        </w:rPr>
        <w:t>is_derived_q4</w:t>
      </w:r>
      <w:r>
        <w:t xml:space="preserve"> — flag: 1 if Q4 revenue was derived, else 0</w:t>
      </w:r>
    </w:p>
    <w:p w14:paraId="5ECC6CE6" w14:textId="77777777" w:rsidR="00B0718C" w:rsidRDefault="00000000">
      <w:pPr>
        <w:pStyle w:val="Compact"/>
        <w:numPr>
          <w:ilvl w:val="0"/>
          <w:numId w:val="5"/>
        </w:numPr>
      </w:pPr>
      <w:r>
        <w:rPr>
          <w:rStyle w:val="VerbatimChar"/>
        </w:rPr>
        <w:t>model_split</w:t>
      </w:r>
      <w:r>
        <w:t xml:space="preserve"> — train_2021_2023 / validation_2024 / test_2025</w:t>
      </w:r>
    </w:p>
    <w:p w14:paraId="637AA6A5" w14:textId="77777777" w:rsidR="00B0718C" w:rsidRDefault="00000000">
      <w:pPr>
        <w:pStyle w:val="Heading3"/>
      </w:pPr>
      <w:bookmarkStart w:id="41" w:name="e.-splits"/>
      <w:bookmarkEnd w:id="40"/>
      <w:r>
        <w:t>E. Splits</w:t>
      </w:r>
    </w:p>
    <w:p w14:paraId="7357E1C7" w14:textId="77777777" w:rsidR="00B0718C" w:rsidRDefault="00000000">
      <w:pPr>
        <w:pStyle w:val="FirstParagraph"/>
      </w:pPr>
      <w:r>
        <w:t>Train 2021–2023 (23,547 rows); validation 2024 (14,125 rows); test 2025 (13,496 rows).</w:t>
      </w:r>
    </w:p>
    <w:p w14:paraId="0D7D8755" w14:textId="77777777" w:rsidR="00B0718C" w:rsidRDefault="00000000">
      <w:pPr>
        <w:pStyle w:val="Heading3"/>
      </w:pPr>
      <w:bookmarkStart w:id="42" w:name="f.-note-on-reported-figures"/>
      <w:bookmarkEnd w:id="41"/>
      <w:r>
        <w:t>F. Note on Reported Figures</w:t>
      </w:r>
    </w:p>
    <w:p w14:paraId="23BD7B0F" w14:textId="77777777" w:rsidR="00B0718C" w:rsidRDefault="00000000">
      <w:pPr>
        <w:pStyle w:val="FirstParagraph"/>
      </w:pPr>
      <w:r>
        <w:t>Headline results are from the final full-panel model run. The Random Forest residual figures ($127.7M MAE; 1,836 negative forecasts) derive from an earlier development run and are reported to document the project’s evolution; they are directionally comparable but were measured on an earlier panel scope.</w:t>
      </w:r>
      <w:bookmarkEnd w:id="0"/>
      <w:bookmarkEnd w:id="35"/>
      <w:bookmarkEnd w:id="42"/>
    </w:p>
    <w:sectPr w:rsidR="00B071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78DA" w14:textId="77777777" w:rsidR="00927AD0" w:rsidRDefault="00927AD0">
      <w:pPr>
        <w:spacing w:after="0"/>
      </w:pPr>
      <w:r>
        <w:separator/>
      </w:r>
    </w:p>
  </w:endnote>
  <w:endnote w:type="continuationSeparator" w:id="0">
    <w:p w14:paraId="4D5DE5CA" w14:textId="77777777" w:rsidR="00927AD0" w:rsidRDefault="00927A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3B6D2" w14:textId="77777777" w:rsidR="00927AD0" w:rsidRDefault="00927AD0">
      <w:r>
        <w:separator/>
      </w:r>
    </w:p>
  </w:footnote>
  <w:footnote w:type="continuationSeparator" w:id="0">
    <w:p w14:paraId="25B4708F" w14:textId="77777777" w:rsidR="00927AD0" w:rsidRDefault="00927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9AC2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1086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E1E3F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35182876">
    <w:abstractNumId w:val="0"/>
  </w:num>
  <w:num w:numId="2" w16cid:durableId="277491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3070058">
    <w:abstractNumId w:val="1"/>
  </w:num>
  <w:num w:numId="4" w16cid:durableId="1870532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1966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718C"/>
    <w:rsid w:val="005670CB"/>
    <w:rsid w:val="00655366"/>
    <w:rsid w:val="00927AD0"/>
    <w:rsid w:val="00B0718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19D0"/>
  <w15:docId w15:val="{CC38A71D-5828-4AFA-B67D-7A126731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55366"/>
    <w:pPr>
      <w:spacing w:after="100"/>
    </w:pPr>
  </w:style>
  <w:style w:type="paragraph" w:styleId="TOC2">
    <w:name w:val="toc 2"/>
    <w:basedOn w:val="Normal"/>
    <w:next w:val="Normal"/>
    <w:autoRedefine/>
    <w:uiPriority w:val="39"/>
    <w:rsid w:val="006553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1985</Words>
  <Characters>11315</Characters>
  <Application>Microsoft Office Word</Application>
  <DocSecurity>0</DocSecurity>
  <Lines>94</Lines>
  <Paragraphs>26</Paragraphs>
  <ScaleCrop>false</ScaleCrop>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BoiNgoc Dinh</cp:lastModifiedBy>
  <cp:revision>2</cp:revision>
  <dcterms:created xsi:type="dcterms:W3CDTF">2026-06-18T03:11:00Z</dcterms:created>
  <dcterms:modified xsi:type="dcterms:W3CDTF">2026-06-18T03:23:00Z</dcterms:modified>
</cp:coreProperties>
</file>