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BEEE6" w14:textId="77777777" w:rsidR="001D3463" w:rsidRDefault="00000000">
      <w:pPr>
        <w:pStyle w:val="Heading1"/>
      </w:pPr>
      <w:bookmarkStart w:id="0" w:name="Xd42c37cf82761423564d1e07255a7c6aadfa8f4"/>
      <w:r>
        <w:t>Revenue Forecast: Business Review &amp; Recommendations</w:t>
      </w:r>
    </w:p>
    <w:p w14:paraId="3B48E477" w14:textId="77777777" w:rsidR="001D3463" w:rsidRDefault="00000000">
      <w:pPr>
        <w:pStyle w:val="Heading3"/>
      </w:pPr>
      <w:bookmarkStart w:id="1" w:name="X3d824bd7dfb7ca42f6e1ffd4cc5418d8fcfe4c4"/>
      <w:r>
        <w:t>FP&amp;A Leadership Briefing — Quarterly Revenue Forecasting &amp; Variance Analysis</w:t>
      </w:r>
    </w:p>
    <w:p w14:paraId="38887284" w14:textId="77777777" w:rsidR="00333B9B" w:rsidRDefault="00000000">
      <w:pPr>
        <w:pStyle w:val="FirstParagraph"/>
      </w:pPr>
      <w:r>
        <w:rPr>
          <w:b/>
          <w:bCs/>
        </w:rPr>
        <w:t>Prepared by:</w:t>
      </w:r>
      <w:r>
        <w:t xml:space="preserve"> Boi Ngoc Dinh </w:t>
      </w:r>
    </w:p>
    <w:p w14:paraId="79966F2B" w14:textId="77777777" w:rsidR="00333B9B" w:rsidRDefault="00000000">
      <w:pPr>
        <w:pStyle w:val="FirstParagraph"/>
      </w:pPr>
      <w:r>
        <w:rPr>
          <w:b/>
          <w:bCs/>
        </w:rPr>
        <w:t>Program:</w:t>
      </w:r>
      <w:r>
        <w:t xml:space="preserve"> M.S. Data Science, University of Massachusetts Dartmouth </w:t>
      </w:r>
    </w:p>
    <w:p w14:paraId="2991A12A" w14:textId="77777777" w:rsidR="00333B9B" w:rsidRDefault="00000000">
      <w:pPr>
        <w:pStyle w:val="FirstParagraph"/>
      </w:pPr>
      <w:r>
        <w:rPr>
          <w:b/>
          <w:bCs/>
        </w:rPr>
        <w:t>Audience:</w:t>
      </w:r>
      <w:r>
        <w:t xml:space="preserve"> Finance leadership / FP&amp;A </w:t>
      </w:r>
    </w:p>
    <w:p w14:paraId="76718D2F" w14:textId="1B33B41E" w:rsidR="001D3463" w:rsidRDefault="00000000">
      <w:pPr>
        <w:pStyle w:val="FirstParagraph"/>
      </w:pPr>
      <w:r>
        <w:rPr>
          <w:b/>
          <w:bCs/>
        </w:rPr>
        <w:t>Basis:</w:t>
      </w:r>
      <w:r>
        <w:t xml:space="preserve"> Improved log-growth forecasting model, FY2025 out-of-sample results</w:t>
      </w:r>
    </w:p>
    <w:p w14:paraId="7D4229C0" w14:textId="77777777" w:rsidR="001D3463" w:rsidRDefault="00000000">
      <w:r>
        <w:pict w14:anchorId="7E213E30">
          <v:rect id="_x0000_i1025" style="width:0;height:1.5pt" o:hralign="center" o:hrstd="t" o:hr="t"/>
        </w:pict>
      </w:r>
    </w:p>
    <w:p w14:paraId="6E489752" w14:textId="77777777" w:rsidR="001D3463" w:rsidRDefault="00000000">
      <w:pPr>
        <w:pStyle w:val="Heading2"/>
      </w:pPr>
      <w:bookmarkStart w:id="2" w:name="executive-summary"/>
      <w:bookmarkEnd w:id="1"/>
      <w:r>
        <w:t>Executive Summary</w:t>
      </w:r>
    </w:p>
    <w:p w14:paraId="71E20645" w14:textId="456D65F7" w:rsidR="001D3463" w:rsidRDefault="00000000">
      <w:pPr>
        <w:pStyle w:val="FirstParagraph"/>
      </w:pPr>
      <w:r>
        <w:t xml:space="preserve">We built a model that forecasts next-quarter revenue for thousands of public companies and frames the output for finance review </w:t>
      </w:r>
      <w:r w:rsidR="00333B9B">
        <w:t>:</w:t>
      </w:r>
      <w:r>
        <w:t xml:space="preserve"> variance, accuracy bands, and dashboards. Tested on a full year of held-out 2025 data, the final model </w:t>
      </w:r>
      <w:r>
        <w:rPr>
          <w:b/>
          <w:bCs/>
        </w:rPr>
        <w:t>cut average forecast error 20% versus a strong seasonal baseline</w:t>
      </w:r>
      <w:r>
        <w:t xml:space="preserve"> ($184.3M to $146.7M), forecasts the typical company </w:t>
      </w:r>
      <w:r>
        <w:rPr>
          <w:b/>
          <w:bCs/>
        </w:rPr>
        <w:t>within ~8%</w:t>
      </w:r>
      <w:r>
        <w:t xml:space="preserve">, lands </w:t>
      </w:r>
      <w:r>
        <w:rPr>
          <w:b/>
          <w:bCs/>
        </w:rPr>
        <w:t>within ±10% about 61% of the time</w:t>
      </w:r>
      <w:r>
        <w:t xml:space="preserve">, and </w:t>
      </w:r>
      <w:r>
        <w:rPr>
          <w:b/>
          <w:bCs/>
        </w:rPr>
        <w:t>never produces an impossible negative forecast</w:t>
      </w:r>
      <w:r>
        <w:t xml:space="preserve"> (the prior approach did so 1,836 times). It is meaningfully </w:t>
      </w:r>
      <w:r>
        <w:rPr>
          <w:b/>
          <w:bCs/>
        </w:rPr>
        <w:t>more production-ready</w:t>
      </w:r>
      <w:r>
        <w:t xml:space="preserve"> </w:t>
      </w:r>
      <w:r w:rsidR="00333B9B">
        <w:t>,</w:t>
      </w:r>
      <w:r>
        <w:t xml:space="preserve"> though not perfect, and it still requires monitoring.</w:t>
      </w:r>
    </w:p>
    <w:p w14:paraId="07176B0C" w14:textId="77777777" w:rsidR="001D3463" w:rsidRDefault="00000000">
      <w:r>
        <w:pict w14:anchorId="5C5BC0A1">
          <v:rect id="_x0000_i1026" style="width:0;height:1.5pt" o:hralign="center" o:hrstd="t" o:hr="t"/>
        </w:pict>
      </w:r>
    </w:p>
    <w:p w14:paraId="28726714" w14:textId="77777777" w:rsidR="001D3463" w:rsidRDefault="00000000">
      <w:pPr>
        <w:pStyle w:val="Heading3"/>
      </w:pPr>
      <w:bookmarkStart w:id="3" w:name="what-problem-are-we-solving"/>
      <w:r>
        <w:t>1. What problem are we solving?</w:t>
      </w:r>
    </w:p>
    <w:p w14:paraId="47E93B30" w14:textId="77777777" w:rsidR="001D3463" w:rsidRDefault="00000000">
      <w:pPr>
        <w:pStyle w:val="FirstParagraph"/>
      </w:pPr>
      <w:r>
        <w:t>Leadership needs a reliable, sensible estimate of next quarter’s revenue to support budgeting, planning, and guidance. Simple rules are explainable but leave accuracy on the table; a more complex model improved dollar error but produced impossible negative forecasts. We need a forecast that is more accurate, always economically sensible, and reviewable in the tools finance already uses.</w:t>
      </w:r>
    </w:p>
    <w:p w14:paraId="599080DE" w14:textId="77777777" w:rsidR="001D3463" w:rsidRDefault="00000000">
      <w:pPr>
        <w:pStyle w:val="Heading3"/>
      </w:pPr>
      <w:bookmarkStart w:id="4" w:name="what-forecast-should-leadership-trust"/>
      <w:bookmarkEnd w:id="3"/>
      <w:r>
        <w:t>2. What forecast should leadership trust?</w:t>
      </w:r>
    </w:p>
    <w:p w14:paraId="17ACBC16" w14:textId="77777777" w:rsidR="001D3463" w:rsidRDefault="00000000">
      <w:pPr>
        <w:pStyle w:val="FirstParagraph"/>
      </w:pPr>
      <w:r>
        <w:t xml:space="preserve">Use the </w:t>
      </w:r>
      <w:r>
        <w:rPr>
          <w:b/>
          <w:bCs/>
        </w:rPr>
        <w:t>improved log-growth forecast</w:t>
      </w:r>
      <w:r>
        <w:t xml:space="preserve"> as the primary number for dashboard reporting. It is the most accurate model we tested and never produces a negative figure. Keep the </w:t>
      </w:r>
      <w:r>
        <w:rPr>
          <w:b/>
          <w:bCs/>
        </w:rPr>
        <w:t>seasonal (year-over-year) baseline</w:t>
      </w:r>
      <w:r>
        <w:t xml:space="preserve"> alongside it as an explainable reference point.</w:t>
      </w:r>
    </w:p>
    <w:p w14:paraId="58B85FFF" w14:textId="77777777" w:rsidR="001D3463" w:rsidRDefault="00000000">
      <w:pPr>
        <w:pStyle w:val="Heading3"/>
      </w:pPr>
      <w:bookmarkStart w:id="5" w:name="what-changed-across-the-models"/>
      <w:bookmarkEnd w:id="4"/>
      <w:r>
        <w:t>3. What changed across the models?</w:t>
      </w:r>
    </w:p>
    <w:tbl>
      <w:tblPr>
        <w:tblStyle w:val="Table"/>
        <w:tblW w:w="5000" w:type="pct"/>
        <w:tblLook w:val="0020" w:firstRow="1" w:lastRow="0" w:firstColumn="0" w:lastColumn="0" w:noHBand="0" w:noVBand="0"/>
      </w:tblPr>
      <w:tblGrid>
        <w:gridCol w:w="2198"/>
        <w:gridCol w:w="1897"/>
        <w:gridCol w:w="1448"/>
        <w:gridCol w:w="1670"/>
        <w:gridCol w:w="2363"/>
      </w:tblGrid>
      <w:tr w:rsidR="001D3463" w14:paraId="24B1914A" w14:textId="77777777" w:rsidTr="001D3463">
        <w:trPr>
          <w:cnfStyle w:val="100000000000" w:firstRow="1" w:lastRow="0" w:firstColumn="0" w:lastColumn="0" w:oddVBand="0" w:evenVBand="0" w:oddHBand="0" w:evenHBand="0" w:firstRowFirstColumn="0" w:firstRowLastColumn="0" w:lastRowFirstColumn="0" w:lastRowLastColumn="0"/>
          <w:tblHeader/>
        </w:trPr>
        <w:tc>
          <w:tcPr>
            <w:tcW w:w="0" w:type="auto"/>
          </w:tcPr>
          <w:p w14:paraId="3447A8D5" w14:textId="77777777" w:rsidR="001D3463" w:rsidRPr="00333B9B" w:rsidRDefault="00000000">
            <w:pPr>
              <w:pStyle w:val="Compact"/>
              <w:rPr>
                <w:b/>
                <w:bCs/>
              </w:rPr>
            </w:pPr>
            <w:r w:rsidRPr="00333B9B">
              <w:rPr>
                <w:b/>
                <w:bCs/>
              </w:rPr>
              <w:t>Model</w:t>
            </w:r>
          </w:p>
        </w:tc>
        <w:tc>
          <w:tcPr>
            <w:tcW w:w="0" w:type="auto"/>
          </w:tcPr>
          <w:p w14:paraId="3C24BC23" w14:textId="77777777" w:rsidR="001D3463" w:rsidRPr="00333B9B" w:rsidRDefault="00000000">
            <w:pPr>
              <w:pStyle w:val="Compact"/>
              <w:jc w:val="right"/>
              <w:rPr>
                <w:b/>
                <w:bCs/>
              </w:rPr>
            </w:pPr>
            <w:r w:rsidRPr="00333B9B">
              <w:rPr>
                <w:b/>
                <w:bCs/>
              </w:rPr>
              <w:t>Avg. dollar error (MAE)</w:t>
            </w:r>
          </w:p>
        </w:tc>
        <w:tc>
          <w:tcPr>
            <w:tcW w:w="0" w:type="auto"/>
          </w:tcPr>
          <w:p w14:paraId="68524C80" w14:textId="77777777" w:rsidR="001D3463" w:rsidRPr="00333B9B" w:rsidRDefault="00000000">
            <w:pPr>
              <w:pStyle w:val="Compact"/>
              <w:jc w:val="right"/>
              <w:rPr>
                <w:b/>
                <w:bCs/>
              </w:rPr>
            </w:pPr>
            <w:r w:rsidRPr="00333B9B">
              <w:rPr>
                <w:b/>
                <w:bCs/>
              </w:rPr>
              <w:t>Typical % error</w:t>
            </w:r>
          </w:p>
        </w:tc>
        <w:tc>
          <w:tcPr>
            <w:tcW w:w="0" w:type="auto"/>
          </w:tcPr>
          <w:p w14:paraId="384DB6C6" w14:textId="77777777" w:rsidR="001D3463" w:rsidRPr="00333B9B" w:rsidRDefault="00000000">
            <w:pPr>
              <w:pStyle w:val="Compact"/>
              <w:jc w:val="right"/>
              <w:rPr>
                <w:b/>
                <w:bCs/>
              </w:rPr>
            </w:pPr>
            <w:r w:rsidRPr="00333B9B">
              <w:rPr>
                <w:b/>
                <w:bCs/>
              </w:rPr>
              <w:t>Negative forecasts</w:t>
            </w:r>
          </w:p>
        </w:tc>
        <w:tc>
          <w:tcPr>
            <w:tcW w:w="0" w:type="auto"/>
          </w:tcPr>
          <w:p w14:paraId="18698F77" w14:textId="77777777" w:rsidR="001D3463" w:rsidRPr="00333B9B" w:rsidRDefault="00000000">
            <w:pPr>
              <w:pStyle w:val="Compact"/>
              <w:rPr>
                <w:b/>
                <w:bCs/>
              </w:rPr>
            </w:pPr>
            <w:r w:rsidRPr="00333B9B">
              <w:rPr>
                <w:b/>
                <w:bCs/>
              </w:rPr>
              <w:t>Verdict</w:t>
            </w:r>
          </w:p>
        </w:tc>
      </w:tr>
      <w:tr w:rsidR="001D3463" w14:paraId="6E0C5967" w14:textId="77777777">
        <w:tc>
          <w:tcPr>
            <w:tcW w:w="0" w:type="auto"/>
          </w:tcPr>
          <w:p w14:paraId="4B1F7B2E" w14:textId="77777777" w:rsidR="001D3463" w:rsidRDefault="00000000">
            <w:pPr>
              <w:pStyle w:val="Compact"/>
            </w:pPr>
            <w:r>
              <w:t>Seasonal baseline</w:t>
            </w:r>
          </w:p>
        </w:tc>
        <w:tc>
          <w:tcPr>
            <w:tcW w:w="0" w:type="auto"/>
          </w:tcPr>
          <w:p w14:paraId="11C56F80" w14:textId="77777777" w:rsidR="001D3463" w:rsidRDefault="00000000">
            <w:pPr>
              <w:pStyle w:val="Compact"/>
              <w:jc w:val="right"/>
            </w:pPr>
            <w:r>
              <w:t>$184.3M</w:t>
            </w:r>
          </w:p>
        </w:tc>
        <w:tc>
          <w:tcPr>
            <w:tcW w:w="0" w:type="auto"/>
          </w:tcPr>
          <w:p w14:paraId="5E534888" w14:textId="77777777" w:rsidR="001D3463" w:rsidRDefault="00000000">
            <w:pPr>
              <w:pStyle w:val="Compact"/>
              <w:jc w:val="right"/>
            </w:pPr>
            <w:r>
              <w:t>10.9%</w:t>
            </w:r>
          </w:p>
        </w:tc>
        <w:tc>
          <w:tcPr>
            <w:tcW w:w="0" w:type="auto"/>
          </w:tcPr>
          <w:p w14:paraId="3C126ABD" w14:textId="77777777" w:rsidR="001D3463" w:rsidRDefault="00000000">
            <w:pPr>
              <w:pStyle w:val="Compact"/>
              <w:jc w:val="right"/>
            </w:pPr>
            <w:r>
              <w:t>64</w:t>
            </w:r>
          </w:p>
        </w:tc>
        <w:tc>
          <w:tcPr>
            <w:tcW w:w="0" w:type="auto"/>
          </w:tcPr>
          <w:p w14:paraId="2995ACA1" w14:textId="77777777" w:rsidR="001D3463" w:rsidRDefault="00000000">
            <w:pPr>
              <w:pStyle w:val="Compact"/>
            </w:pPr>
            <w:r>
              <w:t>Explainable benchmark</w:t>
            </w:r>
          </w:p>
        </w:tc>
      </w:tr>
      <w:tr w:rsidR="001D3463" w14:paraId="62D56B07" w14:textId="77777777">
        <w:tc>
          <w:tcPr>
            <w:tcW w:w="0" w:type="auto"/>
          </w:tcPr>
          <w:p w14:paraId="6ACEB81B" w14:textId="77777777" w:rsidR="001D3463" w:rsidRDefault="00000000">
            <w:pPr>
              <w:pStyle w:val="Compact"/>
            </w:pPr>
            <w:r>
              <w:t>Random Forest correction</w:t>
            </w:r>
          </w:p>
        </w:tc>
        <w:tc>
          <w:tcPr>
            <w:tcW w:w="0" w:type="auto"/>
          </w:tcPr>
          <w:p w14:paraId="1779CF09" w14:textId="77777777" w:rsidR="001D3463" w:rsidRDefault="00000000">
            <w:pPr>
              <w:pStyle w:val="Compact"/>
              <w:jc w:val="right"/>
            </w:pPr>
            <w:r>
              <w:t>$127.7M</w:t>
            </w:r>
          </w:p>
        </w:tc>
        <w:tc>
          <w:tcPr>
            <w:tcW w:w="0" w:type="auto"/>
          </w:tcPr>
          <w:p w14:paraId="37083D0C" w14:textId="77777777" w:rsidR="001D3463" w:rsidRDefault="00000000">
            <w:pPr>
              <w:pStyle w:val="Compact"/>
              <w:jc w:val="right"/>
            </w:pPr>
            <w:r>
              <w:t>8.7%</w:t>
            </w:r>
          </w:p>
        </w:tc>
        <w:tc>
          <w:tcPr>
            <w:tcW w:w="0" w:type="auto"/>
          </w:tcPr>
          <w:p w14:paraId="521AD8B7" w14:textId="77777777" w:rsidR="001D3463" w:rsidRDefault="00000000">
            <w:pPr>
              <w:pStyle w:val="Compact"/>
              <w:jc w:val="right"/>
            </w:pPr>
            <w:r>
              <w:t>1,836</w:t>
            </w:r>
          </w:p>
        </w:tc>
        <w:tc>
          <w:tcPr>
            <w:tcW w:w="0" w:type="auto"/>
          </w:tcPr>
          <w:p w14:paraId="6AF8B8C6" w14:textId="77777777" w:rsidR="001D3463" w:rsidRDefault="00000000">
            <w:pPr>
              <w:pStyle w:val="Compact"/>
            </w:pPr>
            <w:r>
              <w:t>Rejected — impossible forecasts</w:t>
            </w:r>
          </w:p>
        </w:tc>
      </w:tr>
      <w:tr w:rsidR="001D3463" w14:paraId="7EFD941E" w14:textId="77777777">
        <w:tc>
          <w:tcPr>
            <w:tcW w:w="0" w:type="auto"/>
          </w:tcPr>
          <w:p w14:paraId="3077E959" w14:textId="77777777" w:rsidR="001D3463" w:rsidRDefault="00000000">
            <w:pPr>
              <w:pStyle w:val="Compact"/>
            </w:pPr>
            <w:r>
              <w:rPr>
                <w:b/>
                <w:bCs/>
              </w:rPr>
              <w:lastRenderedPageBreak/>
              <w:t>Improved log-growth (final)</w:t>
            </w:r>
          </w:p>
        </w:tc>
        <w:tc>
          <w:tcPr>
            <w:tcW w:w="0" w:type="auto"/>
          </w:tcPr>
          <w:p w14:paraId="033FD433" w14:textId="77777777" w:rsidR="001D3463" w:rsidRDefault="00000000">
            <w:pPr>
              <w:pStyle w:val="Compact"/>
              <w:jc w:val="right"/>
            </w:pPr>
            <w:r>
              <w:rPr>
                <w:b/>
                <w:bCs/>
              </w:rPr>
              <w:t>$146.7M</w:t>
            </w:r>
          </w:p>
        </w:tc>
        <w:tc>
          <w:tcPr>
            <w:tcW w:w="0" w:type="auto"/>
          </w:tcPr>
          <w:p w14:paraId="42BC6C56" w14:textId="77777777" w:rsidR="001D3463" w:rsidRDefault="00000000">
            <w:pPr>
              <w:pStyle w:val="Compact"/>
              <w:jc w:val="right"/>
            </w:pPr>
            <w:r>
              <w:rPr>
                <w:b/>
                <w:bCs/>
              </w:rPr>
              <w:t>7.6%</w:t>
            </w:r>
          </w:p>
        </w:tc>
        <w:tc>
          <w:tcPr>
            <w:tcW w:w="0" w:type="auto"/>
          </w:tcPr>
          <w:p w14:paraId="519507D8" w14:textId="77777777" w:rsidR="001D3463" w:rsidRDefault="00000000">
            <w:pPr>
              <w:pStyle w:val="Compact"/>
              <w:jc w:val="right"/>
            </w:pPr>
            <w:r>
              <w:rPr>
                <w:b/>
                <w:bCs/>
              </w:rPr>
              <w:t>0</w:t>
            </w:r>
          </w:p>
        </w:tc>
        <w:tc>
          <w:tcPr>
            <w:tcW w:w="0" w:type="auto"/>
          </w:tcPr>
          <w:p w14:paraId="5D5AC9D3" w14:textId="77777777" w:rsidR="001D3463" w:rsidRDefault="00000000">
            <w:pPr>
              <w:pStyle w:val="Compact"/>
            </w:pPr>
            <w:r>
              <w:rPr>
                <w:b/>
                <w:bCs/>
              </w:rPr>
              <w:t>Adopted</w:t>
            </w:r>
          </w:p>
        </w:tc>
      </w:tr>
    </w:tbl>
    <w:p w14:paraId="61283563" w14:textId="5A29D835" w:rsidR="001D3463" w:rsidRDefault="00000000">
      <w:pPr>
        <w:pStyle w:val="BodyText"/>
      </w:pPr>
      <w:r>
        <w:t xml:space="preserve">The key lesson: the Random Forest’s lower dollar error was misleading </w:t>
      </w:r>
      <w:r w:rsidR="00333B9B">
        <w:t>,</w:t>
      </w:r>
      <w:r>
        <w:t xml:space="preserve"> it came with 1,836 negative forecasts and the worst proportional accuracy of the three. The log-growth model is the right business choice: ~20% better than the baseline, sensible in every case, and tighter on percentage error.</w:t>
      </w:r>
    </w:p>
    <w:p w14:paraId="5E9505C8" w14:textId="77777777" w:rsidR="001D3463" w:rsidRDefault="00000000">
      <w:pPr>
        <w:pStyle w:val="Heading3"/>
      </w:pPr>
      <w:bookmarkStart w:id="6" w:name="what-does-the-variance-analysis-show"/>
      <w:bookmarkEnd w:id="5"/>
      <w:r>
        <w:t>4. What does the variance analysis show?</w:t>
      </w:r>
    </w:p>
    <w:p w14:paraId="160BBC4D" w14:textId="3540C616" w:rsidR="001D3463" w:rsidRDefault="00000000">
      <w:pPr>
        <w:pStyle w:val="FirstParagraph"/>
      </w:pPr>
      <w:r>
        <w:t>Most forecasts are close</w:t>
      </w:r>
      <w:r w:rsidR="00333B9B">
        <w:t>,</w:t>
      </w:r>
      <w:r>
        <w:t xml:space="preserve"> about </w:t>
      </w:r>
      <w:r>
        <w:rPr>
          <w:b/>
          <w:bCs/>
        </w:rPr>
        <w:t>61% within 10%</w:t>
      </w:r>
      <w:r>
        <w:t xml:space="preserve"> and </w:t>
      </w:r>
      <w:r>
        <w:rPr>
          <w:b/>
          <w:bCs/>
        </w:rPr>
        <w:t>76% within 20%</w:t>
      </w:r>
      <w:r>
        <w:t xml:space="preserve"> of actual revenue. The largest </w:t>
      </w:r>
      <w:r>
        <w:rPr>
          <w:i/>
          <w:iCs/>
        </w:rPr>
        <w:t>dollar</w:t>
      </w:r>
      <w:r>
        <w:t xml:space="preserve"> misses concentrate in a small number of very large, fast- moving companies; the typical company is forecast well. Variance should be reviewed </w:t>
      </w:r>
      <w:r>
        <w:rPr>
          <w:b/>
          <w:bCs/>
        </w:rPr>
        <w:t>by company and by quarter</w:t>
      </w:r>
      <w:r>
        <w:t>, with particular attention to large-cap outliers that drive most of the total dollar error.</w:t>
      </w:r>
    </w:p>
    <w:p w14:paraId="5B438600" w14:textId="77777777" w:rsidR="001D3463" w:rsidRDefault="00000000">
      <w:pPr>
        <w:pStyle w:val="BodyText"/>
      </w:pPr>
      <w:r>
        <w:rPr>
          <w:b/>
          <w:bCs/>
        </w:rPr>
        <w:t>Accuracy at a glance:</w:t>
      </w:r>
    </w:p>
    <w:tbl>
      <w:tblPr>
        <w:tblStyle w:val="Table"/>
        <w:tblW w:w="0" w:type="auto"/>
        <w:tblLook w:val="0020" w:firstRow="1" w:lastRow="0" w:firstColumn="0" w:lastColumn="0" w:noHBand="0" w:noVBand="0"/>
      </w:tblPr>
      <w:tblGrid>
        <w:gridCol w:w="974"/>
        <w:gridCol w:w="2172"/>
      </w:tblGrid>
      <w:tr w:rsidR="001D3463" w14:paraId="77F35984" w14:textId="77777777" w:rsidTr="001D3463">
        <w:trPr>
          <w:cnfStyle w:val="100000000000" w:firstRow="1" w:lastRow="0" w:firstColumn="0" w:lastColumn="0" w:oddVBand="0" w:evenVBand="0" w:oddHBand="0" w:evenHBand="0" w:firstRowFirstColumn="0" w:firstRowLastColumn="0" w:lastRowFirstColumn="0" w:lastRowLastColumn="0"/>
          <w:tblHeader/>
        </w:trPr>
        <w:tc>
          <w:tcPr>
            <w:tcW w:w="0" w:type="auto"/>
          </w:tcPr>
          <w:p w14:paraId="48789866" w14:textId="77777777" w:rsidR="001D3463" w:rsidRPr="00333B9B" w:rsidRDefault="00000000">
            <w:pPr>
              <w:pStyle w:val="Compact"/>
              <w:rPr>
                <w:b/>
                <w:bCs/>
              </w:rPr>
            </w:pPr>
            <w:r w:rsidRPr="00333B9B">
              <w:rPr>
                <w:b/>
                <w:bCs/>
              </w:rPr>
              <w:t>Within</w:t>
            </w:r>
          </w:p>
        </w:tc>
        <w:tc>
          <w:tcPr>
            <w:tcW w:w="0" w:type="auto"/>
          </w:tcPr>
          <w:p w14:paraId="557B5832" w14:textId="77777777" w:rsidR="001D3463" w:rsidRPr="00333B9B" w:rsidRDefault="00000000">
            <w:pPr>
              <w:pStyle w:val="Compact"/>
              <w:jc w:val="right"/>
              <w:rPr>
                <w:b/>
                <w:bCs/>
              </w:rPr>
            </w:pPr>
            <w:r w:rsidRPr="00333B9B">
              <w:rPr>
                <w:b/>
                <w:bCs/>
              </w:rPr>
              <w:t>Share of forecasts</w:t>
            </w:r>
          </w:p>
        </w:tc>
      </w:tr>
      <w:tr w:rsidR="001D3463" w14:paraId="64203D3D" w14:textId="77777777">
        <w:tc>
          <w:tcPr>
            <w:tcW w:w="0" w:type="auto"/>
          </w:tcPr>
          <w:p w14:paraId="4DBE179C" w14:textId="77777777" w:rsidR="001D3463" w:rsidRDefault="00000000">
            <w:pPr>
              <w:pStyle w:val="Compact"/>
            </w:pPr>
            <w:r>
              <w:t>±5%</w:t>
            </w:r>
          </w:p>
        </w:tc>
        <w:tc>
          <w:tcPr>
            <w:tcW w:w="0" w:type="auto"/>
          </w:tcPr>
          <w:p w14:paraId="109CA2DA" w14:textId="77777777" w:rsidR="001D3463" w:rsidRDefault="00000000">
            <w:pPr>
              <w:pStyle w:val="Compact"/>
              <w:jc w:val="right"/>
            </w:pPr>
            <w:r>
              <w:t>38%</w:t>
            </w:r>
          </w:p>
        </w:tc>
      </w:tr>
      <w:tr w:rsidR="001D3463" w14:paraId="0607D355" w14:textId="77777777">
        <w:tc>
          <w:tcPr>
            <w:tcW w:w="0" w:type="auto"/>
          </w:tcPr>
          <w:p w14:paraId="43DA4844" w14:textId="77777777" w:rsidR="001D3463" w:rsidRDefault="00000000">
            <w:pPr>
              <w:pStyle w:val="Compact"/>
            </w:pPr>
            <w:r>
              <w:t>±10%</w:t>
            </w:r>
          </w:p>
        </w:tc>
        <w:tc>
          <w:tcPr>
            <w:tcW w:w="0" w:type="auto"/>
          </w:tcPr>
          <w:p w14:paraId="28134341" w14:textId="77777777" w:rsidR="001D3463" w:rsidRDefault="00000000">
            <w:pPr>
              <w:pStyle w:val="Compact"/>
              <w:jc w:val="right"/>
            </w:pPr>
            <w:r>
              <w:t>61%</w:t>
            </w:r>
          </w:p>
        </w:tc>
      </w:tr>
      <w:tr w:rsidR="001D3463" w14:paraId="76521A89" w14:textId="77777777">
        <w:tc>
          <w:tcPr>
            <w:tcW w:w="0" w:type="auto"/>
          </w:tcPr>
          <w:p w14:paraId="754318A0" w14:textId="77777777" w:rsidR="001D3463" w:rsidRDefault="00000000">
            <w:pPr>
              <w:pStyle w:val="Compact"/>
            </w:pPr>
            <w:r>
              <w:t>±20%</w:t>
            </w:r>
          </w:p>
        </w:tc>
        <w:tc>
          <w:tcPr>
            <w:tcW w:w="0" w:type="auto"/>
          </w:tcPr>
          <w:p w14:paraId="2A14AD89" w14:textId="77777777" w:rsidR="001D3463" w:rsidRDefault="00000000">
            <w:pPr>
              <w:pStyle w:val="Compact"/>
              <w:jc w:val="right"/>
            </w:pPr>
            <w:r>
              <w:t>76%</w:t>
            </w:r>
          </w:p>
        </w:tc>
      </w:tr>
      <w:tr w:rsidR="001D3463" w14:paraId="7E95E99A" w14:textId="77777777">
        <w:tc>
          <w:tcPr>
            <w:tcW w:w="0" w:type="auto"/>
          </w:tcPr>
          <w:p w14:paraId="46D0FBB2" w14:textId="77777777" w:rsidR="001D3463" w:rsidRDefault="00000000">
            <w:pPr>
              <w:pStyle w:val="Compact"/>
            </w:pPr>
            <w:r>
              <w:t>±30%</w:t>
            </w:r>
          </w:p>
        </w:tc>
        <w:tc>
          <w:tcPr>
            <w:tcW w:w="0" w:type="auto"/>
          </w:tcPr>
          <w:p w14:paraId="5A54B44E" w14:textId="77777777" w:rsidR="001D3463" w:rsidRDefault="00000000">
            <w:pPr>
              <w:pStyle w:val="Compact"/>
              <w:jc w:val="right"/>
            </w:pPr>
            <w:r>
              <w:t>84%</w:t>
            </w:r>
          </w:p>
        </w:tc>
      </w:tr>
      <w:tr w:rsidR="001D3463" w14:paraId="1318CDFC" w14:textId="77777777">
        <w:tc>
          <w:tcPr>
            <w:tcW w:w="0" w:type="auto"/>
          </w:tcPr>
          <w:p w14:paraId="582FADE8" w14:textId="77777777" w:rsidR="001D3463" w:rsidRDefault="00000000">
            <w:pPr>
              <w:pStyle w:val="Compact"/>
            </w:pPr>
            <w:r>
              <w:t>±50%</w:t>
            </w:r>
          </w:p>
        </w:tc>
        <w:tc>
          <w:tcPr>
            <w:tcW w:w="0" w:type="auto"/>
          </w:tcPr>
          <w:p w14:paraId="382F8BF3" w14:textId="77777777" w:rsidR="001D3463" w:rsidRDefault="00000000">
            <w:pPr>
              <w:pStyle w:val="Compact"/>
              <w:jc w:val="right"/>
            </w:pPr>
            <w:r>
              <w:t>91%</w:t>
            </w:r>
          </w:p>
        </w:tc>
      </w:tr>
    </w:tbl>
    <w:p w14:paraId="39A2F4D2" w14:textId="77777777" w:rsidR="001D3463" w:rsidRDefault="00000000">
      <w:pPr>
        <w:pStyle w:val="Heading3"/>
      </w:pPr>
      <w:bookmarkStart w:id="7" w:name="what-are-the-risks-and-limitations"/>
      <w:bookmarkEnd w:id="6"/>
      <w:r>
        <w:t>5. What are the risks and limitations?</w:t>
      </w:r>
    </w:p>
    <w:p w14:paraId="3B96DF93" w14:textId="77777777" w:rsidR="001D3463" w:rsidRDefault="00000000">
      <w:pPr>
        <w:pStyle w:val="FirstParagraph"/>
      </w:pPr>
      <w:r>
        <w:t xml:space="preserve">The model is </w:t>
      </w:r>
      <w:r>
        <w:rPr>
          <w:b/>
          <w:bCs/>
        </w:rPr>
        <w:t>more production-ready, not perfect.</w:t>
      </w:r>
      <w:r>
        <w:t xml:space="preserve"> It needs positive revenue to model growth (a minority of firms use a fallback); macro conditions are context rather than drivers; derived Q4 figures can add noise; a quarterly revenue forecast is not a 13-week cash-flow forecast; a few mega-cap firms dominate dollar error; and the model requires ongoing monitoring as new quarters arrive.</w:t>
      </w:r>
    </w:p>
    <w:p w14:paraId="260BE897" w14:textId="77777777" w:rsidR="001D3463" w:rsidRDefault="00000000">
      <w:pPr>
        <w:pStyle w:val="Heading3"/>
      </w:pPr>
      <w:bookmarkStart w:id="8" w:name="what-actions-should-finance-teams-take"/>
      <w:bookmarkEnd w:id="7"/>
      <w:r>
        <w:t>6. What actions should finance teams take?</w:t>
      </w:r>
    </w:p>
    <w:p w14:paraId="31E6A8B2" w14:textId="77777777" w:rsidR="001D3463" w:rsidRDefault="00000000">
      <w:pPr>
        <w:pStyle w:val="Compact"/>
        <w:numPr>
          <w:ilvl w:val="0"/>
          <w:numId w:val="2"/>
        </w:numPr>
      </w:pPr>
      <w:r>
        <w:t xml:space="preserve">Adopt the </w:t>
      </w:r>
      <w:r>
        <w:rPr>
          <w:b/>
          <w:bCs/>
        </w:rPr>
        <w:t>improved log-growth forecast</w:t>
      </w:r>
      <w:r>
        <w:t xml:space="preserve"> as the primary dashboard forecast.</w:t>
      </w:r>
    </w:p>
    <w:p w14:paraId="78E28535" w14:textId="77777777" w:rsidR="001D3463" w:rsidRDefault="00000000">
      <w:pPr>
        <w:pStyle w:val="Compact"/>
        <w:numPr>
          <w:ilvl w:val="0"/>
          <w:numId w:val="2"/>
        </w:numPr>
      </w:pPr>
      <w:r>
        <w:t xml:space="preserve">Keep the </w:t>
      </w:r>
      <w:r>
        <w:rPr>
          <w:b/>
          <w:bCs/>
        </w:rPr>
        <w:t>YoY baseline</w:t>
      </w:r>
      <w:r>
        <w:t xml:space="preserve"> as an explainable reference point.</w:t>
      </w:r>
    </w:p>
    <w:p w14:paraId="251D4C93" w14:textId="77777777" w:rsidR="001D3463" w:rsidRDefault="00000000">
      <w:pPr>
        <w:pStyle w:val="Compact"/>
        <w:numPr>
          <w:ilvl w:val="0"/>
          <w:numId w:val="2"/>
        </w:numPr>
      </w:pPr>
      <w:r>
        <w:rPr>
          <w:b/>
          <w:bCs/>
        </w:rPr>
        <w:t>Track forecast variance</w:t>
      </w:r>
      <w:r>
        <w:t xml:space="preserve"> by company and quarter.</w:t>
      </w:r>
    </w:p>
    <w:p w14:paraId="700F62DD" w14:textId="77777777" w:rsidR="001D3463" w:rsidRDefault="00000000">
      <w:pPr>
        <w:pStyle w:val="Compact"/>
        <w:numPr>
          <w:ilvl w:val="0"/>
          <w:numId w:val="2"/>
        </w:numPr>
      </w:pPr>
      <w:r>
        <w:t xml:space="preserve">Compare behavior across </w:t>
      </w:r>
      <w:r>
        <w:rPr>
          <w:b/>
          <w:bCs/>
        </w:rPr>
        <w:t>Big / Mid / Small</w:t>
      </w:r>
      <w:r>
        <w:t xml:space="preserve"> firm-size groups.</w:t>
      </w:r>
    </w:p>
    <w:p w14:paraId="1950B2B8" w14:textId="77777777" w:rsidR="001D3463" w:rsidRDefault="00000000">
      <w:pPr>
        <w:pStyle w:val="Compact"/>
        <w:numPr>
          <w:ilvl w:val="0"/>
          <w:numId w:val="2"/>
        </w:numPr>
      </w:pPr>
      <w:r>
        <w:rPr>
          <w:b/>
          <w:bCs/>
        </w:rPr>
        <w:t>Flag high-variance company-quarters</w:t>
      </w:r>
      <w:r>
        <w:t xml:space="preserve"> for manual review.</w:t>
      </w:r>
    </w:p>
    <w:p w14:paraId="47E50F31" w14:textId="77777777" w:rsidR="001D3463" w:rsidRDefault="00000000">
      <w:pPr>
        <w:pStyle w:val="Compact"/>
        <w:numPr>
          <w:ilvl w:val="0"/>
          <w:numId w:val="2"/>
        </w:numPr>
      </w:pPr>
      <w:r>
        <w:t xml:space="preserve">Treat </w:t>
      </w:r>
      <w:r>
        <w:rPr>
          <w:b/>
          <w:bCs/>
        </w:rPr>
        <w:t>macro variables as business context</w:t>
      </w:r>
      <w:r>
        <w:t>, not primary drivers.</w:t>
      </w:r>
    </w:p>
    <w:p w14:paraId="3984962E" w14:textId="77777777" w:rsidR="001D3463" w:rsidRDefault="00000000">
      <w:pPr>
        <w:pStyle w:val="Compact"/>
        <w:numPr>
          <w:ilvl w:val="0"/>
          <w:numId w:val="2"/>
        </w:numPr>
      </w:pPr>
      <w:r>
        <w:rPr>
          <w:b/>
          <w:bCs/>
        </w:rPr>
        <w:t>Review high-growth and volatile firms separately</w:t>
      </w:r>
      <w:r>
        <w:t>, since they drive most error.</w:t>
      </w:r>
    </w:p>
    <w:p w14:paraId="2E823236" w14:textId="77777777" w:rsidR="001D3463" w:rsidRDefault="00000000">
      <w:pPr>
        <w:pStyle w:val="Heading3"/>
      </w:pPr>
      <w:bookmarkStart w:id="9" w:name="what-dashboard-should-be-used-for-review"/>
      <w:bookmarkEnd w:id="8"/>
      <w:r>
        <w:lastRenderedPageBreak/>
        <w:t>7. What dashboard should be used for review?</w:t>
      </w:r>
    </w:p>
    <w:p w14:paraId="53CD10BE" w14:textId="10FC08F8" w:rsidR="001D3463" w:rsidRDefault="00000000">
      <w:pPr>
        <w:pStyle w:val="FirstParagraph"/>
      </w:pPr>
      <w:r>
        <w:t>A Power BI forecast-review dashboard with KPI tiles (hit rate within ±10%, typical and average error, companies covered); forecast vs. actual revenue by quarter; accuracy by sector; variance by firm size; and a top-variances table for exception review with slicers for quarter, sector, and firm size.</w:t>
      </w:r>
    </w:p>
    <w:p w14:paraId="7D081BAA" w14:textId="77777777" w:rsidR="001D3463" w:rsidRDefault="00000000">
      <w:r>
        <w:pict w14:anchorId="46F9D0CE">
          <v:rect id="_x0000_i1027" style="width:0;height:1.5pt" o:hralign="center" o:hrstd="t" o:hr="t"/>
        </w:pict>
      </w:r>
    </w:p>
    <w:p w14:paraId="3B1A565F" w14:textId="77777777" w:rsidR="001D3463" w:rsidRDefault="00000000">
      <w:pPr>
        <w:pStyle w:val="Heading2"/>
      </w:pPr>
      <w:bookmarkStart w:id="10" w:name="bottom-line"/>
      <w:bookmarkEnd w:id="2"/>
      <w:bookmarkEnd w:id="9"/>
      <w:r>
        <w:t>Bottom line</w:t>
      </w:r>
    </w:p>
    <w:p w14:paraId="7C706009" w14:textId="77777777" w:rsidR="001D3463" w:rsidRDefault="00000000">
      <w:pPr>
        <w:pStyle w:val="FirstParagraph"/>
      </w:pPr>
      <w:r>
        <w:t>The improved log-growth model is the right primary forecast for FP&amp;A review: ~20% more accurate than the seasonal baseline, sensible in every case (no negative forecasts), and transparent about where it is weak. The earlier Random Forest model was rejected precisely because lower dollar error hid an unacceptable flaw. Pair the final model with the variance dashboard, review the large-cap and high-growth outliers by hand, and monitor accuracy each quarter.</w:t>
      </w:r>
      <w:bookmarkEnd w:id="0"/>
      <w:bookmarkEnd w:id="10"/>
    </w:p>
    <w:sectPr w:rsidR="001D34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73D8" w14:textId="77777777" w:rsidR="001D092C" w:rsidRDefault="001D092C">
      <w:pPr>
        <w:spacing w:after="0"/>
      </w:pPr>
      <w:r>
        <w:separator/>
      </w:r>
    </w:p>
  </w:endnote>
  <w:endnote w:type="continuationSeparator" w:id="0">
    <w:p w14:paraId="4F4590BF" w14:textId="77777777" w:rsidR="001D092C" w:rsidRDefault="001D09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419F2" w14:textId="77777777" w:rsidR="001D092C" w:rsidRDefault="001D092C">
      <w:r>
        <w:separator/>
      </w:r>
    </w:p>
  </w:footnote>
  <w:footnote w:type="continuationSeparator" w:id="0">
    <w:p w14:paraId="023B1A8B" w14:textId="77777777" w:rsidR="001D092C" w:rsidRDefault="001D0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3345F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8BCF4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07160897">
    <w:abstractNumId w:val="0"/>
  </w:num>
  <w:num w:numId="2" w16cid:durableId="8500279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3463"/>
    <w:rsid w:val="001D092C"/>
    <w:rsid w:val="001D3463"/>
    <w:rsid w:val="00333B9B"/>
    <w:rsid w:val="005670C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2B91"/>
  <w15:docId w15:val="{CC38A71D-5828-4AFA-B67D-7A126731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BoiNgoc Dinh</cp:lastModifiedBy>
  <cp:revision>2</cp:revision>
  <dcterms:created xsi:type="dcterms:W3CDTF">2026-06-18T03:11:00Z</dcterms:created>
  <dcterms:modified xsi:type="dcterms:W3CDTF">2026-06-18T03:19:00Z</dcterms:modified>
</cp:coreProperties>
</file>