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3DC92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1、申请</w:t>
      </w:r>
      <w:r>
        <w:rPr>
          <w:rFonts w:hint="eastAsia"/>
          <w:sz w:val="24"/>
          <w:szCs w:val="24"/>
          <w:lang w:eastAsia="zh-CN"/>
        </w:rPr>
        <w:t>人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eastAsia="zh-CN"/>
        </w:rPr>
        <w:t>{applicant_name}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申办烟草零售许可证的经营场所为固定的商业门面，核定经营场所为一楼，经营面积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{business_area}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平方;</w:t>
      </w:r>
    </w:p>
    <w:p w14:paraId="3B96B51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2、该经营场所周围50米范围内无中、小学校、幼儿园进出通道口;</w:t>
      </w:r>
    </w:p>
    <w:p w14:paraId="3E947D3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3、该经营场所位置不属于规模较大、容易形成卷烟批发的集贸市场、货物集散中心、物流园区等区域;</w:t>
      </w:r>
    </w:p>
    <w:p w14:paraId="64678930">
      <w:pPr>
        <w:rPr>
          <w:rFonts w:hint="eastAsia" w:eastAsia="宋体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4、该店实际地址未发生变化</w:t>
      </w:r>
      <w:r>
        <w:rPr>
          <w:rFonts w:hint="eastAsia"/>
          <w:sz w:val="24"/>
          <w:szCs w:val="24"/>
          <w:lang w:eastAsia="zh-CN"/>
        </w:rPr>
        <w:t>。</w:t>
      </w:r>
    </w:p>
    <w:p w14:paraId="260D5469"/>
    <w:p w14:paraId="3B4E53C0"/>
    <w:p w14:paraId="289A14EB"/>
    <w:p w14:paraId="7F19F750"/>
    <w:p w14:paraId="67132CDD"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{%location_map}</w:t>
      </w:r>
    </w:p>
    <w:p w14:paraId="700AE599">
      <w:pPr>
        <w:rPr>
          <w:rFonts w:hint="eastAsia" w:eastAsia="宋体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8FC69F"/>
    <w:rsid w:val="3EAB0813"/>
    <w:rsid w:val="3FF2CFE7"/>
    <w:rsid w:val="6B5FF724"/>
    <w:rsid w:val="753FE77A"/>
    <w:rsid w:val="7BD60F6B"/>
    <w:rsid w:val="FDFCF6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2014-10-30T12:08:00Z</dcterms:created>
  <dc:creator>Administrator</dc:creator>
  <cp:lastModifiedBy>du</cp:lastModifiedBy>
  <dcterms:modified xsi:type="dcterms:W3CDTF">2026-03-31T10:10:18Z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640E10678680E4ED961FCB69D113960E_42</vt:lpwstr>
  </property>
</Properties>
</file>