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00AD2C">
      <w:pPr>
        <w:rPr>
          <w:rFonts w:hint="eastAsia"/>
        </w:rPr>
      </w:pPr>
      <w:r>
        <w:rPr>
          <w:rFonts w:hint="eastAsia"/>
          <w:sz w:val="24"/>
          <w:szCs w:val="24"/>
          <w:lang w:eastAsia="zh-CN"/>
        </w:rPr>
        <w:t>{%location_map}</w:t>
      </w:r>
    </w:p>
    <w:p w14:paraId="3AEFFBDC">
      <w:pPr>
        <w:rPr>
          <w:rFonts w:hint="eastAsia"/>
        </w:rPr>
      </w:pPr>
    </w:p>
    <w:p w14:paraId="59E2AF5E">
      <w:pPr>
        <w:rPr>
          <w:rFonts w:hint="eastAsia"/>
        </w:rPr>
      </w:pPr>
    </w:p>
    <w:p w14:paraId="296B776C">
      <w:pPr>
        <w:rPr>
          <w:rFonts w:hint="eastAsia"/>
        </w:rPr>
      </w:pPr>
    </w:p>
    <w:p w14:paraId="6CA02EFC">
      <w:pPr>
        <w:rPr>
          <w:rFonts w:hint="eastAsia"/>
        </w:rPr>
      </w:pPr>
    </w:p>
    <w:p w14:paraId="1912A304">
      <w:pPr>
        <w:rPr>
          <w:rFonts w:hint="eastAsia" w:eastAsia="宋体"/>
          <w:sz w:val="24"/>
          <w:szCs w:val="24"/>
        </w:rPr>
      </w:pPr>
    </w:p>
    <w:p w14:paraId="19E042B3">
      <w:pPr>
        <w:rPr>
          <w:rFonts w:hint="eastAsia" w:eastAsia="宋体"/>
          <w:sz w:val="24"/>
          <w:szCs w:val="24"/>
        </w:rPr>
      </w:pPr>
    </w:p>
    <w:p w14:paraId="0DCA4E1B">
      <w:pPr>
        <w:rPr>
          <w:rFonts w:hint="eastAsia" w:eastAsia="宋体"/>
          <w:sz w:val="24"/>
          <w:szCs w:val="24"/>
        </w:rPr>
      </w:pPr>
    </w:p>
    <w:p w14:paraId="7002E3A4">
      <w:pPr>
        <w:rPr>
          <w:rFonts w:hint="eastAsia" w:eastAsia="宋体"/>
          <w:sz w:val="24"/>
          <w:szCs w:val="24"/>
        </w:rPr>
      </w:pPr>
    </w:p>
    <w:p w14:paraId="2708EC74">
      <w:pPr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1、申请人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eastAsia="zh-CN"/>
        </w:rPr>
        <w:t>{applicant_name}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  <w:lang w:eastAsia="zh-CN"/>
        </w:rPr>
        <w:t>申</w:t>
      </w:r>
      <w:r>
        <w:rPr>
          <w:rFonts w:hint="eastAsia" w:eastAsia="宋体"/>
          <w:sz w:val="24"/>
          <w:szCs w:val="24"/>
        </w:rPr>
        <w:t>办烟草零售许可证的经营场所为固定的商业门面，核定经营场所为一楼，经营面积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{business_area}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 w:eastAsia="宋体"/>
          <w:sz w:val="24"/>
          <w:szCs w:val="24"/>
        </w:rPr>
        <w:t>平方米，二层为住房，两者相独立;</w:t>
      </w:r>
    </w:p>
    <w:p w14:paraId="5B9E1B8C">
      <w:pPr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2、该经营场所周围50米范围内无中、小学校、幼儿园进出通道口;</w:t>
      </w:r>
    </w:p>
    <w:p w14:paraId="545B3EBE">
      <w:pPr>
        <w:rPr>
          <w:rFonts w:hint="eastAsia" w:eastAsia="宋体"/>
          <w:sz w:val="24"/>
          <w:szCs w:val="24"/>
        </w:rPr>
      </w:pPr>
      <w:r>
        <w:rPr>
          <w:rFonts w:hint="eastAsia" w:eastAsia="宋体"/>
          <w:sz w:val="24"/>
          <w:szCs w:val="24"/>
        </w:rPr>
        <w:t>3、该经营场所位置不属于规模较大、容易形成卷烟批发的集贸市场、货物集散中心、物流园区等区域;</w:t>
      </w:r>
    </w:p>
    <w:p w14:paraId="6A1692A6">
      <w:pPr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</w:rPr>
        <w:t>4、该经营场所位于</w:t>
      </w:r>
      <w:r>
        <w:rPr>
          <w:rFonts w:hint="eastAsia"/>
          <w:sz w:val="24"/>
          <w:szCs w:val="24"/>
          <w:lang w:eastAsia="zh-CN"/>
        </w:rPr>
        <w:t>湖南省邵阳市</w:t>
      </w:r>
      <w:r>
        <w:rPr>
          <w:rFonts w:hint="eastAsia" w:eastAsia="宋体"/>
          <w:sz w:val="24"/>
          <w:szCs w:val="24"/>
          <w:lang w:eastAsia="zh-CN"/>
        </w:rPr>
        <w:t>武冈市</w:t>
      </w:r>
      <w:r>
        <w:rPr>
          <w:rFonts w:hint="eastAsia"/>
          <w:sz w:val="24"/>
          <w:szCs w:val="24"/>
          <w:lang w:val="en-US" w:eastAsia="zh-CN"/>
        </w:rPr>
        <w:t xml:space="preserve"> {street_address} </w:t>
      </w:r>
      <w:r>
        <w:rPr>
          <w:rFonts w:hint="eastAsia" w:eastAsia="宋体"/>
          <w:sz w:val="24"/>
          <w:szCs w:val="24"/>
        </w:rPr>
        <w:t>管辖范围内，布局容量</w:t>
      </w:r>
      <w:r>
        <w:rPr>
          <w:rFonts w:hint="eastAsia"/>
          <w:sz w:val="24"/>
          <w:szCs w:val="24"/>
          <w:lang w:val="en-US" w:eastAsia="zh-CN"/>
        </w:rPr>
        <w:t xml:space="preserve"> {layout_capacity} </w:t>
      </w:r>
      <w:r>
        <w:rPr>
          <w:rFonts w:hint="eastAsia" w:eastAsia="宋体"/>
          <w:sz w:val="24"/>
          <w:szCs w:val="24"/>
        </w:rPr>
        <w:t>个，已设置零售店</w:t>
      </w:r>
      <w:r>
        <w:rPr>
          <w:rFonts w:hint="eastAsia"/>
          <w:sz w:val="24"/>
          <w:szCs w:val="24"/>
          <w:lang w:val="en-US" w:eastAsia="zh-CN"/>
        </w:rPr>
        <w:t xml:space="preserve"> {existing_shops} </w:t>
      </w:r>
      <w:bookmarkStart w:id="0" w:name="_GoBack"/>
      <w:bookmarkEnd w:id="0"/>
      <w:r>
        <w:rPr>
          <w:rFonts w:hint="eastAsia" w:eastAsia="宋体"/>
          <w:sz w:val="24"/>
          <w:szCs w:val="24"/>
        </w:rPr>
        <w:t>个，该店为面积超过1000平方米的超市，属于《邵阳市烟草制品零售点布局规划(2025年修订)</w:t>
      </w:r>
      <w:r>
        <w:rPr>
          <w:rFonts w:hint="eastAsia" w:eastAsia="宋体"/>
          <w:sz w:val="24"/>
          <w:szCs w:val="24"/>
          <w:lang w:eastAsia="zh-CN"/>
        </w:rPr>
        <w:t>》</w:t>
      </w:r>
      <w:r>
        <w:rPr>
          <w:rFonts w:hint="eastAsia" w:eastAsia="宋体"/>
          <w:sz w:val="24"/>
          <w:szCs w:val="24"/>
        </w:rPr>
        <w:t>第十一条第二款的布局规划放宽情形，符合办证条件</w:t>
      </w:r>
      <w:r>
        <w:rPr>
          <w:rFonts w:hint="eastAsia" w:eastAsia="宋体"/>
          <w:sz w:val="24"/>
          <w:szCs w:val="24"/>
          <w:lang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AB0813"/>
    <w:rsid w:val="3FFF88BF"/>
    <w:rsid w:val="5E7FB150"/>
    <w:rsid w:val="76A5F94D"/>
    <w:rsid w:val="FF632B0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Administrator</dc:creator>
  <cp:lastModifiedBy>du</cp:lastModifiedBy>
  <cp:lastPrinted>2026-01-15T00:53:00Z</cp:lastPrinted>
  <dcterms:modified xsi:type="dcterms:W3CDTF">2026-03-31T19:58:21Z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453D483E1EC78CA1DDB6CB69FA26A999_43</vt:lpwstr>
  </property>
</Properties>
</file>