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apitre-2-la-belgique-au-xixe-siècle"/>
    <w:p>
      <w:pPr>
        <w:pStyle w:val="Heading1"/>
      </w:pPr>
      <w:r>
        <w:t xml:space="preserve">Chapitre 2 : La Belgique au XIX</w:t>
      </w:r>
      <w:r>
        <w:rPr>
          <w:vertAlign w:val="superscript"/>
        </w:rPr>
        <w:t xml:space="preserve">e</w:t>
      </w:r>
      <w:r>
        <w:t xml:space="preserve"> </w:t>
      </w:r>
      <w:r>
        <w:t xml:space="preserve">siècle</w:t>
      </w:r>
    </w:p>
    <w:p>
      <w:pPr>
        <w:pStyle w:val="FirstParagraph"/>
      </w:pPr>
      <w:r>
        <w:t xml:space="preserve">Introduction avec un lien vers</w:t>
      </w:r>
      <w:r>
        <w:t xml:space="preserve"> </w:t>
      </w:r>
      <w:hyperlink r:id="rId20">
        <w:r>
          <w:rPr>
            <w:rStyle w:val="Hyperlink"/>
          </w:rPr>
          <w:t xml:space="preserve">le site de la RTBF</w:t>
        </w:r>
      </w:hyperlink>
      <w:r>
        <w:t xml:space="preserve"> </w:t>
      </w:r>
      <w:r>
        <w:t xml:space="preserve">et une note</w:t>
      </w:r>
      <w:r>
        <w:rPr>
          <w:rStyle w:val="FootnoteReference"/>
        </w:rPr>
        <w:footnoteReference w:id="21"/>
      </w:r>
      <w:r>
        <w:t xml:space="preserve">.</w:t>
      </w:r>
    </w:p>
    <w:bookmarkStart w:id="22" w:name="plan"/>
    <w:p>
      <w:pPr>
        <w:pStyle w:val="Heading2"/>
      </w:pPr>
      <w:r>
        <w:t xml:space="preserve">Plan</w:t>
      </w:r>
    </w:p>
    <w:p>
      <w:pPr>
        <w:numPr>
          <w:ilvl w:val="0"/>
          <w:numId w:val="1001"/>
        </w:numPr>
        <w:pStyle w:val="Compact"/>
      </w:pPr>
      <w:r>
        <w:t xml:space="preserve">Premier point</w:t>
      </w:r>
    </w:p>
    <w:p>
      <w:pPr>
        <w:numPr>
          <w:ilvl w:val="1"/>
          <w:numId w:val="1002"/>
        </w:numPr>
        <w:pStyle w:val="Compact"/>
      </w:pPr>
      <w:r>
        <w:t xml:space="preserve">sous-point A</w:t>
      </w:r>
    </w:p>
    <w:p>
      <w:pPr>
        <w:numPr>
          <w:ilvl w:val="1"/>
          <w:numId w:val="1002"/>
        </w:numPr>
        <w:pStyle w:val="Compact"/>
      </w:pPr>
      <w:r>
        <w:t xml:space="preserve">sous-point B</w:t>
      </w:r>
    </w:p>
    <w:p>
      <w:pPr>
        <w:numPr>
          <w:ilvl w:val="2"/>
          <w:numId w:val="1003"/>
        </w:numPr>
        <w:pStyle w:val="Compact"/>
      </w:pPr>
      <w:r>
        <w:t xml:space="preserve">sous-sous-point</w:t>
      </w:r>
    </w:p>
    <w:p>
      <w:pPr>
        <w:numPr>
          <w:ilvl w:val="0"/>
          <w:numId w:val="1001"/>
        </w:numPr>
        <w:pStyle w:val="Compact"/>
      </w:pPr>
      <w:r>
        <w:t xml:space="preserve">Deuxième point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Wallonie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Charbon, acier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Liège, Charleroi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Flandre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Gand</w:t>
            </w:r>
          </w:p>
        </w:tc>
      </w:tr>
    </w:tbl>
    <w:p>
      <w:pPr>
        <w:pStyle w:val="BlockText"/>
      </w:pPr>
      <w:r>
        <w:t xml:space="preserve">Citation : « L’union fait la force. »</w:t>
      </w:r>
    </w:p>
    <w:p>
      <w:pPr>
        <w:pStyle w:val="FirstParagraph"/>
      </w:pPr>
      <w:r>
        <w:t xml:space="preserve">Formule : H</w:t>
      </w:r>
      <w:r>
        <w:rPr>
          <w:vertAlign w:val="subscript"/>
        </w:rPr>
        <w:t xml:space="preserve">2</w:t>
      </w:r>
      <w:r>
        <w:t xml:space="preserve">O et CO₂, 10 m² et x⁴.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Ceci est une note de bas de page.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rtbf.b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rtbf.b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2026-10-07T13:42:37Z</dcterms:created>
  <dcterms:modified xsi:type="dcterms:W3CDTF">2026-10-07T13:42:37Z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