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_blank.xml" ContentType="application/vnd.openxmlformats-officedocument.wordprocessingml.footer+xml"/>
  <Override PartName="/word/footer_title.xml" ContentType="application/vnd.openxmlformats-officedocument.wordprocessingml.footer+xml"/>
  <Override PartName="/word/footnotes.xml" ContentType="application/vnd.openxmlformats-officedocument.wordprocessingml.footnotes+xml"/>
  <Override PartName="/word/header_blank.xml" ContentType="application/vnd.openxmlformats-officedocument.wordprocessingml.header+xml"/>
  <Override PartName="/word/header_even.xml" ContentType="application/vnd.openxmlformats-officedocument.wordprocessingml.header+xml"/>
  <Override PartName="/word/header_front_matter_even.xml" ContentType="application/vnd.openxmlformats-officedocument.wordprocessingml.header+xml"/>
  <Override PartName="/word/header_front_matter_odd.xml" ContentType="application/vnd.openxmlformats-officedocument.wordprocessingml.header+xml"/>
  <Override PartName="/word/header_odd.xml" ContentType="application/vnd.openxmlformats-officedocument.wordprocessingml.header+xml"/>
  <Override PartName="/word/media/rId260.png" ContentType="image/png;base64"/>
  <Override PartName="/word/media/rId261.png" ContentType="image/png;base64"/>
  <Override PartName="/word/media/rId292.png" ContentType="image/png;base64"/>
  <Override PartName="/word/media/rId293.png" ContentType="image/png;base64"/>
  <Override PartName="/word/media/rId68.png" ContentType="image/png;base64"/>
  <Override PartName="/word/media/rId69.png" ContentType="image/png;base64"/>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sebookTitle"/>
      </w:pPr>
      <w:r>
        <w:t xml:space="preserve">Greiner Civil Procedure Version 02</w:t>
      </w:r>
    </w:p>
    <w:p>
      <w:pPr>
        <w:pStyle w:val="AboutPageTitle"/>
      </w:pPr>
      <w:r>
        <w:t xml:space="preserve">Export Customization Tips</w:t>
      </w:r>
    </w:p>
    <w:p>
      <w:pPr>
        <w:pStyle w:val="AboutPageInstructions"/>
      </w:pPr>
      <w:r>
        <w:t xml:space="preserve">We designed this opencasebook.org export using MS Word Styles to</w:t>
      </w:r>
      <w:r>
        <w:t xml:space="preserve"> </w:t>
      </w:r>
      <w:r>
        <w:t xml:space="preserve">simplify customization. The "Styles Pane" in Word's "Home" tab shows a list of styles in the document, and the</w:t>
      </w:r>
      <w:r>
        <w:t xml:space="preserve"> </w:t>
      </w:r>
      <w:r>
        <w:t xml:space="preserve">active style of your current element or selection.</w:t>
      </w:r>
    </w:p>
    <w:p>
      <w:pPr>
        <w:pStyle w:val="AboutPageInstructions"/>
      </w:pPr>
      <w:r>
        <w:t xml:space="preserve">For example, you can quickly change the case text font for the whole document by modifying the "Case Body" style.</w:t>
      </w:r>
      <w:r>
        <w:t xml:space="preserve"> </w:t>
      </w:r>
      <w:r>
        <w:t xml:space="preserve">The style modification screen also shows which style your style is "Based On." If you modify the style listed</w:t>
      </w:r>
      <w:r>
        <w:t xml:space="preserve"> </w:t>
      </w:r>
      <w:r>
        <w:t xml:space="preserve">there, all styles based on it will also change. Some older documents might use different styles than newer ones—</w:t>
      </w:r>
      <w:r>
        <w:t xml:space="preserve"> </w:t>
      </w:r>
      <w:r>
        <w:t xml:space="preserve">click into an element and check the Styles Pane to confirm its style.</w:t>
      </w:r>
    </w:p>
    <w:p>
      <w:pPr>
        <w:pStyle w:val="AboutPageInstructions"/>
      </w:pPr>
      <w:r>
        <w:t xml:space="preserve">Check out Microsoft's</w:t>
      </w:r>
      <w:r>
        <w:t xml:space="preserve"> </w:t>
      </w:r>
      <w:hyperlink r:id="rId20">
        <w:r>
          <w:rPr>
            <w:rStyle w:val="Hyperlink"/>
          </w:rPr>
          <w:t xml:space="preserve">extensive styles documentation</w:t>
        </w:r>
      </w:hyperlink>
      <w:r>
        <w:t xml:space="preserve"> </w:t>
      </w:r>
      <w:r>
        <w:t xml:space="preserve">for the finer points and caveats.</w:t>
      </w:r>
    </w:p>
    <w:p>
      <w:pPr>
        <w:pStyle w:val="AboutPageInstructions"/>
      </w:pPr>
      <w:r>
        <w:rPr>
          <w:bCs/>
          <w:b/>
        </w:rPr>
        <w:t xml:space="preserve">Remember:</w:t>
      </w:r>
      <w:r>
        <w:t xml:space="preserve"> </w:t>
      </w:r>
      <w:r>
        <w:t xml:space="preserve">style modifications can yield sweeping results that aren't always apparent on the page you're</w:t>
      </w:r>
      <w:r>
        <w:t xml:space="preserve"> </w:t>
      </w:r>
      <w:r>
        <w:t xml:space="preserve">viewing. Make a backup copy of your document before experimenting.</w:t>
      </w:r>
    </w:p>
    <w:sdt>
      <w:sdtPr>
        <w:docPartObj>
          <w:docPartGallery w:val="Table of Contents"/>
          <w:docPartUnique/>
        </w:docPartObj>
      </w:sdtPr>
      <w:sdtContent>
        <w:p>
          <w:pPr>
            <w:pStyle w:val="TOCHeading"/>
          </w:pPr>
          <w:r>
            <w:t>Table of Contents</w:t>
          </w:r>
        </w:p>
        <w:p>
          <w:r>
            <w:rPr>
              <w:b w:val="0"/>
              <w:bCs w:val="0"/>
            </w:rPr>
            <w:fldChar w:fldCharType="begin"/>
          </w:r>
          <w:r>
            <w:instrText xml:space="preserve"> TOC \o "1-3" \h \z \u </w:instrText>
          </w:r>
          <w:r>
            <w:rPr>
              <w:b w:val="0"/>
              <w:bCs w:val="0"/>
            </w:rPr>
            <w:fldChar w:fldCharType="separate"/>
          </w:r>
        </w:p>
        <w:p>
          <w:pPr>
            <w:pStyle w:val="TOC1"/>
            <w:rPr>
              <w:noProof/>
            </w:rPr>
          </w:pPr>
          <w:hyperlink w:anchor="_auto_toc_1" w:history="1">
            <w:r>
              <w:rPr>
                <w:rStyle w:val="TOCOrdinalChar1"/>
                <w:noProof/>
                <w:iCs/>
              </w:rPr>
              <w:t>
            1
          </w:t>
            </w:r>
            <w:r>
              <w:rPr>
                <w:noProof/>
                <w:webHidden/>
              </w:rPr>
              <w:tab/>
            </w:r>
            <w:r>
              <w:rPr>
                <w:rStyle w:val="TOCTitleChar1"/>
                <w:noProof/>
                <w:iCs/>
              </w:rPr>
              <w:t>
            Day 1
          </w:t>
            </w:r>
            <w:r>
              <w:rPr>
                <w:noProof/>
                <w:webHidden/>
              </w:rPr>
              <w:tab/>
            </w:r>
            <w:r>
              <w:rPr>
                <w:noProof/>
                <w:webHidden/>
              </w:rPr>
              <w:fldChar w:fldCharType="begin"/>
            </w:r>
            <w:r>
              <w:rPr>
                <w:noProof/>
                <w:webHidden/>
              </w:rPr>
              <w:instrText xml:space="preserve"> PAGEREF _auto_toc_1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 w:history="1">
            <w:r>
              <w:rPr>
                <w:rStyle w:val="TOCOrdinalChar2"/>
                <w:noProof/>
                <w:iCs/>
              </w:rPr>
              <w:t>
            1.1
          </w:t>
            </w:r>
            <w:r>
              <w:rPr>
                <w:noProof/>
                <w:webHidden/>
              </w:rPr>
              <w:tab/>
            </w:r>
            <w:r>
              <w:rPr>
                <w:rStyle w:val="TOCTitleChar2"/>
                <w:noProof/>
                <w:iCs/>
              </w:rPr>
              <w:t>
            Before Day 1
          </w:t>
            </w:r>
            <w:r>
              <w:rPr>
                <w:noProof/>
                <w:webHidden/>
              </w:rPr>
              <w:tab/>
            </w:r>
            <w:r>
              <w:rPr>
                <w:noProof/>
                <w:webHidden/>
              </w:rPr>
              <w:fldChar w:fldCharType="begin"/>
            </w:r>
            <w:r>
              <w:rPr>
                <w:noProof/>
                <w:webHidden/>
              </w:rPr>
              <w:instrText xml:space="preserve"> PAGEREF _auto_toc_2 \h </w:instrText>
            </w:r>
            <w:r>
              <w:rPr>
                <w:noProof/>
                <w:webHidden/>
              </w:rPr>
            </w:r>
            <w:r>
              <w:rPr>
                <w:noProof/>
                <w:webHidden/>
              </w:rPr>
              <w:fldChar w:fldCharType="separate"/>
            </w:r>
            <w:r>
              <w:rPr>
                <w:noProof/>
                <w:webHidden/>
              </w:rPr>
              <w:t>[ ]</w:t>
            </w:r>
            <w:r>
              <w:rPr>
                <w:noProof/>
                <w:webHidden/>
              </w:rPr>
              <w:fldChar w:fldCharType="end"/>
            </w:r>
          </w:hyperlink>
        </w:p>
        <w:p>
          <w:pPr>
            <w:pStyle w:val="TOC3"/>
            <w:rPr>
              <w:noProof/>
            </w:rPr>
          </w:pPr>
          <w:hyperlink w:anchor="_auto_toc_3" w:history="1">
            <w:r>
              <w:rPr>
                <w:rStyle w:val="TOCOrdinalChar3"/>
                <w:noProof/>
                <w:iCs/>
              </w:rPr>
              <w:t>
            1.1.1
          </w:t>
            </w:r>
            <w:r>
              <w:rPr>
                <w:noProof/>
                <w:webHidden/>
              </w:rPr>
              <w:tab/>
            </w:r>
            <w:r>
              <w:rPr>
                <w:rStyle w:val="TOCTitleChar3"/>
                <w:noProof/>
                <w:iCs/>
              </w:rPr>
              <w:t>
            Three Videos
          </w:t>
            </w:r>
            <w:r>
              <w:rPr>
                <w:noProof/>
                <w:webHidden/>
              </w:rPr>
              <w:tab/>
            </w:r>
            <w:r>
              <w:rPr>
                <w:noProof/>
                <w:webHidden/>
              </w:rPr>
              <w:fldChar w:fldCharType="begin"/>
            </w:r>
            <w:r>
              <w:rPr>
                <w:noProof/>
                <w:webHidden/>
              </w:rPr>
              <w:instrText xml:space="preserve"> PAGEREF _auto_toc_3 \h </w:instrText>
            </w:r>
            <w:r>
              <w:rPr>
                <w:noProof/>
                <w:webHidden/>
              </w:rPr>
            </w:r>
            <w:r>
              <w:rPr>
                <w:noProof/>
                <w:webHidden/>
              </w:rPr>
              <w:fldChar w:fldCharType="separate"/>
            </w:r>
            <w:r>
              <w:rPr>
                <w:noProof/>
                <w:webHidden/>
              </w:rPr>
              <w:t>[ ]</w:t>
            </w:r>
            <w:r>
              <w:rPr>
                <w:noProof/>
                <w:webHidden/>
              </w:rPr>
              <w:fldChar w:fldCharType="end"/>
            </w:r>
          </w:hyperlink>
        </w:p>
        <w:p>
          <w:pPr>
            <w:pStyle w:val="TOC3"/>
            <w:rPr>
              <w:noProof/>
            </w:rPr>
          </w:pPr>
          <w:hyperlink w:anchor="_auto_toc_4" w:history="1">
            <w:r>
              <w:rPr>
                <w:rStyle w:val="TOCOrdinalChar3"/>
                <w:noProof/>
                <w:iCs/>
              </w:rPr>
              <w:t>
            1.1.2
          </w:t>
            </w:r>
            <w:r>
              <w:rPr>
                <w:noProof/>
                <w:webHidden/>
              </w:rPr>
              <w:tab/>
            </w:r>
            <w:r>
              <w:rPr>
                <w:rStyle w:val="TOCTitleChar3"/>
                <w:noProof/>
                <w:iCs/>
              </w:rPr>
              <w:t>
            Introductory Handouts
          </w:t>
            </w:r>
            <w:r>
              <w:rPr>
                <w:noProof/>
                <w:webHidden/>
              </w:rPr>
              <w:tab/>
            </w:r>
            <w:r>
              <w:rPr>
                <w:noProof/>
                <w:webHidden/>
              </w:rPr>
              <w:fldChar w:fldCharType="begin"/>
            </w:r>
            <w:r>
              <w:rPr>
                <w:noProof/>
                <w:webHidden/>
              </w:rPr>
              <w:instrText xml:space="preserve"> PAGEREF _auto_toc_4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5" w:history="1">
            <w:r>
              <w:rPr>
                <w:rStyle w:val="TOCOrdinalChar2"/>
                <w:noProof/>
                <w:iCs/>
              </w:rPr>
              <w:t>
            1.2
          </w:t>
            </w:r>
            <w:r>
              <w:rPr>
                <w:noProof/>
                <w:webHidden/>
              </w:rPr>
              <w:tab/>
            </w:r>
            <w:r>
              <w:rPr>
                <w:rStyle w:val="TOCTitleChar2"/>
                <w:noProof/>
                <w:iCs/>
              </w:rPr>
              <w:t>
            Civil Procedure in Context
          </w:t>
            </w:r>
            <w:r>
              <w:rPr>
                <w:noProof/>
                <w:webHidden/>
              </w:rPr>
              <w:tab/>
            </w:r>
            <w:r>
              <w:rPr>
                <w:noProof/>
                <w:webHidden/>
              </w:rPr>
              <w:fldChar w:fldCharType="begin"/>
            </w:r>
            <w:r>
              <w:rPr>
                <w:noProof/>
                <w:webHidden/>
              </w:rPr>
              <w:instrText xml:space="preserve"> PAGEREF _auto_toc_5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6" w:history="1">
            <w:r>
              <w:rPr>
                <w:rStyle w:val="TOCOrdinalChar2"/>
                <w:noProof/>
                <w:iCs/>
              </w:rPr>
              <w:t>
            1.3
          </w:t>
            </w:r>
            <w:r>
              <w:rPr>
                <w:noProof/>
                <w:webHidden/>
              </w:rPr>
              <w:tab/>
            </w:r>
            <w:r>
              <w:rPr>
                <w:rStyle w:val="TOCTitleChar2"/>
                <w:noProof/>
                <w:iCs/>
              </w:rPr>
              <w:t>
            A Survey of the Civil Action
          </w:t>
            </w:r>
            <w:r>
              <w:rPr>
                <w:noProof/>
                <w:webHidden/>
              </w:rPr>
              <w:tab/>
            </w:r>
            <w:r>
              <w:rPr>
                <w:noProof/>
                <w:webHidden/>
              </w:rPr>
              <w:fldChar w:fldCharType="begin"/>
            </w:r>
            <w:r>
              <w:rPr>
                <w:noProof/>
                <w:webHidden/>
              </w:rPr>
              <w:instrText xml:space="preserve"> PAGEREF _auto_toc_6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7" w:history="1">
            <w:r>
              <w:rPr>
                <w:rStyle w:val="TOCOrdinalChar2"/>
                <w:noProof/>
                <w:iCs/>
              </w:rPr>
              <w:t>
            1.4
          </w:t>
            </w:r>
            <w:r>
              <w:rPr>
                <w:noProof/>
                <w:webHidden/>
              </w:rPr>
              <w:tab/>
            </w:r>
            <w:r>
              <w:rPr>
                <w:rStyle w:val="TOCTitleChar2"/>
                <w:noProof/>
                <w:iCs/>
              </w:rPr>
              <w:t>
            Statutes and Constitutional Provisions
          </w:t>
            </w:r>
            <w:r>
              <w:rPr>
                <w:noProof/>
                <w:webHidden/>
              </w:rPr>
              <w:tab/>
            </w:r>
            <w:r>
              <w:rPr>
                <w:noProof/>
                <w:webHidden/>
              </w:rPr>
              <w:fldChar w:fldCharType="begin"/>
            </w:r>
            <w:r>
              <w:rPr>
                <w:noProof/>
                <w:webHidden/>
              </w:rPr>
              <w:instrText xml:space="preserve"> PAGEREF _auto_toc_7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8" w:history="1">
            <w:r>
              <w:rPr>
                <w:rStyle w:val="TOCOrdinalChar2"/>
                <w:noProof/>
                <w:iCs/>
              </w:rPr>
              <w:t>
            1.5
          </w:t>
            </w:r>
            <w:r>
              <w:rPr>
                <w:noProof/>
                <w:webHidden/>
              </w:rPr>
              <w:tab/>
            </w:r>
            <w:r>
              <w:rPr>
                <w:rStyle w:val="TOCTitleChar2"/>
                <w:noProof/>
                <w:iCs/>
              </w:rPr>
              <w:t>
            Cooper v. Aaron
          </w:t>
            </w:r>
            <w:r>
              <w:rPr>
                <w:noProof/>
                <w:webHidden/>
              </w:rPr>
              <w:tab/>
            </w:r>
            <w:r>
              <w:rPr>
                <w:noProof/>
                <w:webHidden/>
              </w:rPr>
              <w:fldChar w:fldCharType="begin"/>
            </w:r>
            <w:r>
              <w:rPr>
                <w:noProof/>
                <w:webHidden/>
              </w:rPr>
              <w:instrText xml:space="preserve"> PAGEREF _auto_toc_8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9" w:history="1">
            <w:r>
              <w:rPr>
                <w:rStyle w:val="TOCOrdinalChar2"/>
                <w:noProof/>
                <w:iCs/>
              </w:rPr>
              <w:t>
            1.6
          </w:t>
            </w:r>
            <w:r>
              <w:rPr>
                <w:noProof/>
                <w:webHidden/>
              </w:rPr>
              <w:tab/>
            </w:r>
            <w:r>
              <w:rPr>
                <w:rStyle w:val="TOCTitleChar2"/>
                <w:noProof/>
                <w:iCs/>
              </w:rPr>
              <w:t>
            Notes following Cooper
          </w:t>
            </w:r>
            <w:r>
              <w:rPr>
                <w:noProof/>
                <w:webHidden/>
              </w:rPr>
              <w:tab/>
            </w:r>
            <w:r>
              <w:rPr>
                <w:noProof/>
                <w:webHidden/>
              </w:rPr>
              <w:fldChar w:fldCharType="begin"/>
            </w:r>
            <w:r>
              <w:rPr>
                <w:noProof/>
                <w:webHidden/>
              </w:rPr>
              <w:instrText xml:space="preserve"> PAGEREF _auto_toc_9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0" w:history="1">
            <w:r>
              <w:rPr>
                <w:rStyle w:val="TOCOrdinalChar2"/>
                <w:noProof/>
                <w:iCs/>
              </w:rPr>
              <w:t>
            1.7
          </w:t>
            </w:r>
            <w:r>
              <w:rPr>
                <w:noProof/>
                <w:webHidden/>
              </w:rPr>
              <w:tab/>
            </w:r>
            <w:r>
              <w:rPr>
                <w:rStyle w:val="TOCTitleChar2"/>
                <w:noProof/>
                <w:iCs/>
              </w:rPr>
              <w:t>
            Concurrent Jurisdiction
          </w:t>
            </w:r>
            <w:r>
              <w:rPr>
                <w:noProof/>
                <w:webHidden/>
              </w:rPr>
              <w:tab/>
            </w:r>
            <w:r>
              <w:rPr>
                <w:noProof/>
                <w:webHidden/>
              </w:rPr>
              <w:fldChar w:fldCharType="begin"/>
            </w:r>
            <w:r>
              <w:rPr>
                <w:noProof/>
                <w:webHidden/>
              </w:rPr>
              <w:instrText xml:space="preserve"> PAGEREF _auto_toc_10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1" w:history="1">
            <w:r>
              <w:rPr>
                <w:rStyle w:val="TOCOrdinalChar2"/>
                <w:noProof/>
                <w:iCs/>
              </w:rPr>
              <w:t>
            1.8
          </w:t>
            </w:r>
            <w:r>
              <w:rPr>
                <w:noProof/>
                <w:webHidden/>
              </w:rPr>
              <w:tab/>
            </w:r>
            <w:r>
              <w:rPr>
                <w:rStyle w:val="TOCTitleChar2"/>
                <w:noProof/>
                <w:iCs/>
              </w:rPr>
              <w:t>
            Osborn v. Bank of the United States, 22 U.S. 738 (1824)
          </w:t>
            </w:r>
            <w:r>
              <w:rPr>
                <w:noProof/>
                <w:webHidden/>
              </w:rPr>
              <w:tab/>
            </w:r>
            <w:r>
              <w:rPr>
                <w:noProof/>
                <w:webHidden/>
              </w:rPr>
              <w:fldChar w:fldCharType="begin"/>
            </w:r>
            <w:r>
              <w:rPr>
                <w:noProof/>
                <w:webHidden/>
              </w:rPr>
              <w:instrText xml:space="preserve"> PAGEREF _auto_toc_11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2" w:history="1">
            <w:r>
              <w:rPr>
                <w:rStyle w:val="TOCOrdinalChar2"/>
                <w:noProof/>
                <w:iCs/>
              </w:rPr>
              <w:t>
            1.9
          </w:t>
            </w:r>
            <w:r>
              <w:rPr>
                <w:noProof/>
                <w:webHidden/>
              </w:rPr>
              <w:tab/>
            </w:r>
            <w:r>
              <w:rPr>
                <w:rStyle w:val="TOCTitleChar2"/>
                <w:noProof/>
                <w:iCs/>
              </w:rPr>
              <w:t>
            Notes following Osborn
          </w:t>
            </w:r>
            <w:r>
              <w:rPr>
                <w:noProof/>
                <w:webHidden/>
              </w:rPr>
              <w:tab/>
            </w:r>
            <w:r>
              <w:rPr>
                <w:noProof/>
                <w:webHidden/>
              </w:rPr>
              <w:fldChar w:fldCharType="begin"/>
            </w:r>
            <w:r>
              <w:rPr>
                <w:noProof/>
                <w:webHidden/>
              </w:rPr>
              <w:instrText xml:space="preserve"> PAGEREF _auto_toc_12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3" w:history="1">
            <w:r>
              <w:rPr>
                <w:rStyle w:val="TOCOrdinalChar2"/>
                <w:noProof/>
                <w:iCs/>
              </w:rPr>
              <w:t>
            1.10
          </w:t>
            </w:r>
            <w:r>
              <w:rPr>
                <w:noProof/>
                <w:webHidden/>
              </w:rPr>
              <w:tab/>
            </w:r>
            <w:r>
              <w:rPr>
                <w:rStyle w:val="TOCTitleChar2"/>
                <w:noProof/>
                <w:iCs/>
              </w:rPr>
              <w:t>
            Louisville &amp; Nashville Railroad v. Mottley
          </w:t>
            </w:r>
            <w:r>
              <w:rPr>
                <w:noProof/>
                <w:webHidden/>
              </w:rPr>
              <w:tab/>
            </w:r>
            <w:r>
              <w:rPr>
                <w:noProof/>
                <w:webHidden/>
              </w:rPr>
              <w:fldChar w:fldCharType="begin"/>
            </w:r>
            <w:r>
              <w:rPr>
                <w:noProof/>
                <w:webHidden/>
              </w:rPr>
              <w:instrText xml:space="preserve"> PAGEREF _auto_toc_13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4" w:history="1">
            <w:r>
              <w:rPr>
                <w:rStyle w:val="TOCOrdinalChar2"/>
                <w:noProof/>
                <w:iCs/>
              </w:rPr>
              <w:t>
            1.11
          </w:t>
            </w:r>
            <w:r>
              <w:rPr>
                <w:noProof/>
                <w:webHidden/>
              </w:rPr>
              <w:tab/>
            </w:r>
            <w:r>
              <w:rPr>
                <w:rStyle w:val="TOCTitleChar2"/>
                <w:noProof/>
                <w:iCs/>
              </w:rPr>
              <w:t>
            Notes following Mottley
          </w:t>
            </w:r>
            <w:r>
              <w:rPr>
                <w:noProof/>
                <w:webHidden/>
              </w:rPr>
              <w:tab/>
            </w:r>
            <w:r>
              <w:rPr>
                <w:noProof/>
                <w:webHidden/>
              </w:rPr>
              <w:fldChar w:fldCharType="begin"/>
            </w:r>
            <w:r>
              <w:rPr>
                <w:noProof/>
                <w:webHidden/>
              </w:rPr>
              <w:instrText xml:space="preserve"> PAGEREF _auto_toc_14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5" w:history="1">
            <w:r>
              <w:rPr>
                <w:rStyle w:val="TOCOrdinalChar2"/>
                <w:noProof/>
                <w:iCs/>
              </w:rPr>
              <w:t>
            1.12
          </w:t>
            </w:r>
            <w:r>
              <w:rPr>
                <w:noProof/>
                <w:webHidden/>
              </w:rPr>
              <w:tab/>
            </w:r>
            <w:r>
              <w:rPr>
                <w:rStyle w:val="TOCTitleChar2"/>
                <w:noProof/>
                <w:iCs/>
              </w:rPr>
              <w:t>
            Utterly Oversimplified Summary of Three Causes of Action
          </w:t>
            </w:r>
            <w:r>
              <w:rPr>
                <w:noProof/>
                <w:webHidden/>
              </w:rPr>
              <w:tab/>
            </w:r>
            <w:r>
              <w:rPr>
                <w:noProof/>
                <w:webHidden/>
              </w:rPr>
              <w:fldChar w:fldCharType="begin"/>
            </w:r>
            <w:r>
              <w:rPr>
                <w:noProof/>
                <w:webHidden/>
              </w:rPr>
              <w:instrText xml:space="preserve"> PAGEREF _auto_toc_15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6" w:history="1">
            <w:r>
              <w:rPr>
                <w:rStyle w:val="TOCOrdinalChar2"/>
                <w:noProof/>
                <w:iCs/>
              </w:rPr>
              <w:t>
            1.13
          </w:t>
            </w:r>
            <w:r>
              <w:rPr>
                <w:noProof/>
                <w:webHidden/>
              </w:rPr>
              <w:tab/>
            </w:r>
            <w:r>
              <w:rPr>
                <w:rStyle w:val="TOCTitleChar2"/>
                <w:noProof/>
                <w:iCs/>
              </w:rPr>
              <w:t>
            Exclusive Federal Jurisdiction
          </w:t>
            </w:r>
            <w:r>
              <w:rPr>
                <w:noProof/>
                <w:webHidden/>
              </w:rPr>
              <w:tab/>
            </w:r>
            <w:r>
              <w:rPr>
                <w:noProof/>
                <w:webHidden/>
              </w:rPr>
              <w:fldChar w:fldCharType="begin"/>
            </w:r>
            <w:r>
              <w:rPr>
                <w:noProof/>
                <w:webHidden/>
              </w:rPr>
              <w:instrText xml:space="preserve"> PAGEREF _auto_toc_16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7" w:history="1">
            <w:r>
              <w:rPr>
                <w:rStyle w:val="TOCOrdinalChar2"/>
                <w:noProof/>
                <w:iCs/>
              </w:rPr>
              <w:t>
            1.14
          </w:t>
            </w:r>
            <w:r>
              <w:rPr>
                <w:noProof/>
                <w:webHidden/>
              </w:rPr>
              <w:tab/>
            </w:r>
            <w:r>
              <w:rPr>
                <w:rStyle w:val="TOCTitleChar2"/>
                <w:noProof/>
                <w:iCs/>
              </w:rPr>
              <w:t>
            Smith v. Kansas City Title &amp; Trust Co., 255 U.S. 180 (1921)
          </w:t>
            </w:r>
            <w:r>
              <w:rPr>
                <w:noProof/>
                <w:webHidden/>
              </w:rPr>
              <w:tab/>
            </w:r>
            <w:r>
              <w:rPr>
                <w:noProof/>
                <w:webHidden/>
              </w:rPr>
              <w:fldChar w:fldCharType="begin"/>
            </w:r>
            <w:r>
              <w:rPr>
                <w:noProof/>
                <w:webHidden/>
              </w:rPr>
              <w:instrText xml:space="preserve"> PAGEREF _auto_toc_17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8" w:history="1">
            <w:r>
              <w:rPr>
                <w:rStyle w:val="TOCOrdinalChar2"/>
                <w:noProof/>
                <w:iCs/>
              </w:rPr>
              <w:t>
            1.15
          </w:t>
            </w:r>
            <w:r>
              <w:rPr>
                <w:noProof/>
                <w:webHidden/>
              </w:rPr>
              <w:tab/>
            </w:r>
            <w:r>
              <w:rPr>
                <w:rStyle w:val="TOCTitleChar2"/>
                <w:noProof/>
                <w:iCs/>
              </w:rPr>
              <w:t>
            Moore v. Chesapeake &amp; Ohio Railway Co., 291 U.S. 205 (1934)
          </w:t>
            </w:r>
            <w:r>
              <w:rPr>
                <w:noProof/>
                <w:webHidden/>
              </w:rPr>
              <w:tab/>
            </w:r>
            <w:r>
              <w:rPr>
                <w:noProof/>
                <w:webHidden/>
              </w:rPr>
              <w:fldChar w:fldCharType="begin"/>
            </w:r>
            <w:r>
              <w:rPr>
                <w:noProof/>
                <w:webHidden/>
              </w:rPr>
              <w:instrText xml:space="preserve"> PAGEREF _auto_toc_18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9" w:history="1">
            <w:r>
              <w:rPr>
                <w:rStyle w:val="TOCOrdinalChar2"/>
                <w:noProof/>
                <w:iCs/>
              </w:rPr>
              <w:t>
            1.16
          </w:t>
            </w:r>
            <w:r>
              <w:rPr>
                <w:noProof/>
                <w:webHidden/>
              </w:rPr>
              <w:tab/>
            </w:r>
            <w:r>
              <w:rPr>
                <w:rStyle w:val="TOCTitleChar2"/>
                <w:noProof/>
                <w:iCs/>
              </w:rPr>
              <w:t>
            Grable &amp; Sons Metal Products, Inc. v. Darue Engineering &amp; Manufacturing
          </w:t>
            </w:r>
            <w:r>
              <w:rPr>
                <w:noProof/>
                <w:webHidden/>
              </w:rPr>
              <w:tab/>
            </w:r>
            <w:r>
              <w:rPr>
                <w:noProof/>
                <w:webHidden/>
              </w:rPr>
              <w:fldChar w:fldCharType="begin"/>
            </w:r>
            <w:r>
              <w:rPr>
                <w:noProof/>
                <w:webHidden/>
              </w:rPr>
              <w:instrText xml:space="preserve"> PAGEREF _auto_toc_19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0" w:history="1">
            <w:r>
              <w:rPr>
                <w:rStyle w:val="TOCOrdinalChar2"/>
                <w:noProof/>
                <w:iCs/>
              </w:rPr>
              <w:t>
            1.17
          </w:t>
            </w:r>
            <w:r>
              <w:rPr>
                <w:noProof/>
                <w:webHidden/>
              </w:rPr>
              <w:tab/>
            </w:r>
            <w:r>
              <w:rPr>
                <w:rStyle w:val="TOCTitleChar2"/>
                <w:noProof/>
                <w:iCs/>
              </w:rPr>
              <w:t>
            First Federal Savings &amp; Loan Ass'n v. McReynolds
          </w:t>
            </w:r>
            <w:r>
              <w:rPr>
                <w:noProof/>
                <w:webHidden/>
              </w:rPr>
              <w:tab/>
            </w:r>
            <w:r>
              <w:rPr>
                <w:noProof/>
                <w:webHidden/>
              </w:rPr>
              <w:fldChar w:fldCharType="begin"/>
            </w:r>
            <w:r>
              <w:rPr>
                <w:noProof/>
                <w:webHidden/>
              </w:rPr>
              <w:instrText xml:space="preserve"> PAGEREF _auto_toc_20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21" w:history="1">
            <w:r>
              <w:rPr>
                <w:rStyle w:val="TOCOrdinalChar1"/>
                <w:noProof/>
                <w:iCs/>
              </w:rPr>
              <w:t>
            2
          </w:t>
            </w:r>
            <w:r>
              <w:rPr>
                <w:noProof/>
                <w:webHidden/>
              </w:rPr>
              <w:tab/>
            </w:r>
            <w:r>
              <w:rPr>
                <w:rStyle w:val="TOCTitleChar1"/>
                <w:noProof/>
                <w:iCs/>
              </w:rPr>
              <w:t>
            Day 2
          </w:t>
            </w:r>
            <w:r>
              <w:rPr>
                <w:noProof/>
                <w:webHidden/>
              </w:rPr>
              <w:tab/>
            </w:r>
            <w:r>
              <w:rPr>
                <w:noProof/>
                <w:webHidden/>
              </w:rPr>
              <w:fldChar w:fldCharType="begin"/>
            </w:r>
            <w:r>
              <w:rPr>
                <w:noProof/>
                <w:webHidden/>
              </w:rPr>
              <w:instrText xml:space="preserve"> PAGEREF _auto_toc_21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2" w:history="1">
            <w:r>
              <w:rPr>
                <w:rStyle w:val="TOCOrdinalChar2"/>
                <w:noProof/>
                <w:iCs/>
              </w:rPr>
              <w:t>
            2.1
          </w:t>
            </w:r>
            <w:r>
              <w:rPr>
                <w:noProof/>
                <w:webHidden/>
              </w:rPr>
              <w:tab/>
            </w:r>
            <w:r>
              <w:rPr>
                <w:rStyle w:val="TOCTitleChar2"/>
                <w:noProof/>
                <w:iCs/>
              </w:rPr>
              <w:t>
            Statutes and Constitutional Provisions
          </w:t>
            </w:r>
            <w:r>
              <w:rPr>
                <w:noProof/>
                <w:webHidden/>
              </w:rPr>
              <w:tab/>
            </w:r>
            <w:r>
              <w:rPr>
                <w:noProof/>
                <w:webHidden/>
              </w:rPr>
              <w:fldChar w:fldCharType="begin"/>
            </w:r>
            <w:r>
              <w:rPr>
                <w:noProof/>
                <w:webHidden/>
              </w:rPr>
              <w:instrText xml:space="preserve"> PAGEREF _auto_toc_22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3" w:history="1">
            <w:r>
              <w:rPr>
                <w:rStyle w:val="TOCOrdinalChar2"/>
                <w:noProof/>
                <w:iCs/>
              </w:rPr>
              <w:t>
            2.2
          </w:t>
            </w:r>
            <w:r>
              <w:rPr>
                <w:noProof/>
                <w:webHidden/>
              </w:rPr>
              <w:tab/>
            </w:r>
            <w:r>
              <w:rPr>
                <w:rStyle w:val="TOCTitleChar2"/>
                <w:noProof/>
                <w:iCs/>
              </w:rPr>
              <w:t>
            Diversity Jurisdiction
          </w:t>
            </w:r>
            <w:r>
              <w:rPr>
                <w:noProof/>
                <w:webHidden/>
              </w:rPr>
              <w:tab/>
            </w:r>
            <w:r>
              <w:rPr>
                <w:noProof/>
                <w:webHidden/>
              </w:rPr>
              <w:fldChar w:fldCharType="begin"/>
            </w:r>
            <w:r>
              <w:rPr>
                <w:noProof/>
                <w:webHidden/>
              </w:rPr>
              <w:instrText xml:space="preserve"> PAGEREF _auto_toc_23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4" w:history="1">
            <w:r>
              <w:rPr>
                <w:rStyle w:val="TOCOrdinalChar2"/>
                <w:noProof/>
                <w:iCs/>
              </w:rPr>
              <w:t>
            2.3
          </w:t>
            </w:r>
            <w:r>
              <w:rPr>
                <w:noProof/>
                <w:webHidden/>
              </w:rPr>
              <w:tab/>
            </w:r>
            <w:r>
              <w:rPr>
                <w:rStyle w:val="TOCTitleChar2"/>
                <w:noProof/>
                <w:iCs/>
              </w:rPr>
              <w:t>
            Strawbridge v. Curtiss
          </w:t>
            </w:r>
            <w:r>
              <w:rPr>
                <w:noProof/>
                <w:webHidden/>
              </w:rPr>
              <w:tab/>
            </w:r>
            <w:r>
              <w:rPr>
                <w:noProof/>
                <w:webHidden/>
              </w:rPr>
              <w:fldChar w:fldCharType="begin"/>
            </w:r>
            <w:r>
              <w:rPr>
                <w:noProof/>
                <w:webHidden/>
              </w:rPr>
              <w:instrText xml:space="preserve"> PAGEREF _auto_toc_24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5" w:history="1">
            <w:r>
              <w:rPr>
                <w:rStyle w:val="TOCOrdinalChar2"/>
                <w:noProof/>
                <w:iCs/>
              </w:rPr>
              <w:t>
            2.4
          </w:t>
            </w:r>
            <w:r>
              <w:rPr>
                <w:noProof/>
                <w:webHidden/>
              </w:rPr>
              <w:tab/>
            </w:r>
            <w:r>
              <w:rPr>
                <w:rStyle w:val="TOCTitleChar2"/>
                <w:noProof/>
                <w:iCs/>
              </w:rPr>
              <w:t>
            Mas v. Perry
          </w:t>
            </w:r>
            <w:r>
              <w:rPr>
                <w:noProof/>
                <w:webHidden/>
              </w:rPr>
              <w:tab/>
            </w:r>
            <w:r>
              <w:rPr>
                <w:noProof/>
                <w:webHidden/>
              </w:rPr>
              <w:fldChar w:fldCharType="begin"/>
            </w:r>
            <w:r>
              <w:rPr>
                <w:noProof/>
                <w:webHidden/>
              </w:rPr>
              <w:instrText xml:space="preserve"> PAGEREF _auto_toc_25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6" w:history="1">
            <w:r>
              <w:rPr>
                <w:rStyle w:val="TOCOrdinalChar2"/>
                <w:noProof/>
                <w:iCs/>
              </w:rPr>
              <w:t>
            2.5
          </w:t>
            </w:r>
            <w:r>
              <w:rPr>
                <w:noProof/>
                <w:webHidden/>
              </w:rPr>
              <w:tab/>
            </w:r>
            <w:r>
              <w:rPr>
                <w:rStyle w:val="TOCTitleChar2"/>
                <w:noProof/>
                <w:iCs/>
              </w:rPr>
              <w:t>
            Notes following Mas v. Perry
          </w:t>
            </w:r>
            <w:r>
              <w:rPr>
                <w:noProof/>
                <w:webHidden/>
              </w:rPr>
              <w:tab/>
            </w:r>
            <w:r>
              <w:rPr>
                <w:noProof/>
                <w:webHidden/>
              </w:rPr>
              <w:fldChar w:fldCharType="begin"/>
            </w:r>
            <w:r>
              <w:rPr>
                <w:noProof/>
                <w:webHidden/>
              </w:rPr>
              <w:instrText xml:space="preserve"> PAGEREF _auto_toc_26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7" w:history="1">
            <w:r>
              <w:rPr>
                <w:rStyle w:val="TOCOrdinalChar2"/>
                <w:noProof/>
                <w:iCs/>
              </w:rPr>
              <w:t>
            2.6
          </w:t>
            </w:r>
            <w:r>
              <w:rPr>
                <w:noProof/>
                <w:webHidden/>
              </w:rPr>
              <w:tab/>
            </w:r>
            <w:r>
              <w:rPr>
                <w:rStyle w:val="TOCTitleChar2"/>
                <w:noProof/>
                <w:iCs/>
              </w:rPr>
              <w:t>
            Professor Greiner's Life
          </w:t>
            </w:r>
            <w:r>
              <w:rPr>
                <w:noProof/>
                <w:webHidden/>
              </w:rPr>
              <w:tab/>
            </w:r>
            <w:r>
              <w:rPr>
                <w:noProof/>
                <w:webHidden/>
              </w:rPr>
              <w:fldChar w:fldCharType="begin"/>
            </w:r>
            <w:r>
              <w:rPr>
                <w:noProof/>
                <w:webHidden/>
              </w:rPr>
              <w:instrText xml:space="preserve"> PAGEREF _auto_toc_27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8" w:history="1">
            <w:r>
              <w:rPr>
                <w:rStyle w:val="TOCOrdinalChar2"/>
                <w:noProof/>
                <w:iCs/>
              </w:rPr>
              <w:t>
            2.7
          </w:t>
            </w:r>
            <w:r>
              <w:rPr>
                <w:noProof/>
                <w:webHidden/>
              </w:rPr>
              <w:tab/>
            </w:r>
            <w:r>
              <w:rPr>
                <w:rStyle w:val="TOCTitleChar2"/>
                <w:noProof/>
                <w:iCs/>
              </w:rPr>
              <w:t>
            Amount in Controversy (AIC) Requirement
          </w:t>
            </w:r>
            <w:r>
              <w:rPr>
                <w:noProof/>
                <w:webHidden/>
              </w:rPr>
              <w:tab/>
            </w:r>
            <w:r>
              <w:rPr>
                <w:noProof/>
                <w:webHidden/>
              </w:rPr>
              <w:fldChar w:fldCharType="begin"/>
            </w:r>
            <w:r>
              <w:rPr>
                <w:noProof/>
                <w:webHidden/>
              </w:rPr>
              <w:instrText xml:space="preserve"> PAGEREF _auto_toc_28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9" w:history="1">
            <w:r>
              <w:rPr>
                <w:rStyle w:val="TOCOrdinalChar2"/>
                <w:noProof/>
                <w:iCs/>
              </w:rPr>
              <w:t>
            2.8
          </w:t>
            </w:r>
            <w:r>
              <w:rPr>
                <w:noProof/>
                <w:webHidden/>
              </w:rPr>
              <w:tab/>
            </w:r>
            <w:r>
              <w:rPr>
                <w:rStyle w:val="TOCTitleChar2"/>
                <w:noProof/>
                <w:iCs/>
              </w:rPr>
              <w:t>
            United Mine Workers of America v. Gibbs
          </w:t>
            </w:r>
            <w:r>
              <w:rPr>
                <w:noProof/>
                <w:webHidden/>
              </w:rPr>
              <w:tab/>
            </w:r>
            <w:r>
              <w:rPr>
                <w:noProof/>
                <w:webHidden/>
              </w:rPr>
              <w:fldChar w:fldCharType="begin"/>
            </w:r>
            <w:r>
              <w:rPr>
                <w:noProof/>
                <w:webHidden/>
              </w:rPr>
              <w:instrText xml:space="preserve"> PAGEREF _auto_toc_29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30" w:history="1">
            <w:r>
              <w:rPr>
                <w:rStyle w:val="TOCOrdinalChar2"/>
                <w:noProof/>
                <w:iCs/>
              </w:rPr>
              <w:t>
            2.9
          </w:t>
            </w:r>
            <w:r>
              <w:rPr>
                <w:noProof/>
                <w:webHidden/>
              </w:rPr>
              <w:tab/>
            </w:r>
            <w:r>
              <w:rPr>
                <w:rStyle w:val="TOCTitleChar2"/>
                <w:noProof/>
                <w:iCs/>
              </w:rPr>
              <w:t>
            Notes following Gibbs
          </w:t>
            </w:r>
            <w:r>
              <w:rPr>
                <w:noProof/>
                <w:webHidden/>
              </w:rPr>
              <w:tab/>
            </w:r>
            <w:r>
              <w:rPr>
                <w:noProof/>
                <w:webHidden/>
              </w:rPr>
              <w:fldChar w:fldCharType="begin"/>
            </w:r>
            <w:r>
              <w:rPr>
                <w:noProof/>
                <w:webHidden/>
              </w:rPr>
              <w:instrText xml:space="preserve"> PAGEREF _auto_toc_30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31" w:history="1">
            <w:r>
              <w:rPr>
                <w:rStyle w:val="TOCOrdinalChar1"/>
                <w:noProof/>
                <w:iCs/>
              </w:rPr>
              <w:t>
            3
          </w:t>
            </w:r>
            <w:r>
              <w:rPr>
                <w:noProof/>
                <w:webHidden/>
              </w:rPr>
              <w:tab/>
            </w:r>
            <w:r>
              <w:rPr>
                <w:rStyle w:val="TOCTitleChar1"/>
                <w:noProof/>
                <w:iCs/>
              </w:rPr>
              <w:t>
            Day 3
          </w:t>
            </w:r>
            <w:r>
              <w:rPr>
                <w:noProof/>
                <w:webHidden/>
              </w:rPr>
              <w:tab/>
            </w:r>
            <w:r>
              <w:rPr>
                <w:noProof/>
                <w:webHidden/>
              </w:rPr>
              <w:fldChar w:fldCharType="begin"/>
            </w:r>
            <w:r>
              <w:rPr>
                <w:noProof/>
                <w:webHidden/>
              </w:rPr>
              <w:instrText xml:space="preserve"> PAGEREF _auto_toc_31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32" w:history="1">
            <w:r>
              <w:rPr>
                <w:rStyle w:val="TOCOrdinalChar2"/>
                <w:noProof/>
                <w:iCs/>
              </w:rPr>
              <w:t>
            3.1
          </w:t>
            </w:r>
            <w:r>
              <w:rPr>
                <w:noProof/>
                <w:webHidden/>
              </w:rPr>
              <w:tab/>
            </w:r>
            <w:r>
              <w:rPr>
                <w:rStyle w:val="TOCTitleChar2"/>
                <w:noProof/>
                <w:iCs/>
              </w:rPr>
              <w:t>
            Statutes and Constitutional Provisions
          </w:t>
            </w:r>
            <w:r>
              <w:rPr>
                <w:noProof/>
                <w:webHidden/>
              </w:rPr>
              <w:tab/>
            </w:r>
            <w:r>
              <w:rPr>
                <w:noProof/>
                <w:webHidden/>
              </w:rPr>
              <w:fldChar w:fldCharType="begin"/>
            </w:r>
            <w:r>
              <w:rPr>
                <w:noProof/>
                <w:webHidden/>
              </w:rPr>
              <w:instrText xml:space="preserve"> PAGEREF _auto_toc_32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33" w:history="1">
            <w:r>
              <w:rPr>
                <w:rStyle w:val="TOCOrdinalChar2"/>
                <w:noProof/>
                <w:iCs/>
              </w:rPr>
              <w:t>
            3.2
          </w:t>
            </w:r>
            <w:r>
              <w:rPr>
                <w:noProof/>
                <w:webHidden/>
              </w:rPr>
              <w:tab/>
            </w:r>
            <w:r>
              <w:rPr>
                <w:rStyle w:val="TOCTitleChar2"/>
                <w:noProof/>
                <w:iCs/>
              </w:rPr>
              <w:t>
            Causes of Action Review
          </w:t>
            </w:r>
            <w:r>
              <w:rPr>
                <w:noProof/>
                <w:webHidden/>
              </w:rPr>
              <w:tab/>
            </w:r>
            <w:r>
              <w:rPr>
                <w:noProof/>
                <w:webHidden/>
              </w:rPr>
              <w:fldChar w:fldCharType="begin"/>
            </w:r>
            <w:r>
              <w:rPr>
                <w:noProof/>
                <w:webHidden/>
              </w:rPr>
              <w:instrText xml:space="preserve"> PAGEREF _auto_toc_33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34" w:history="1">
            <w:r>
              <w:rPr>
                <w:rStyle w:val="TOCOrdinalChar2"/>
                <w:noProof/>
                <w:iCs/>
              </w:rPr>
              <w:t>
            3.3
          </w:t>
            </w:r>
            <w:r>
              <w:rPr>
                <w:noProof/>
                <w:webHidden/>
              </w:rPr>
              <w:tab/>
            </w:r>
            <w:r>
              <w:rPr>
                <w:rStyle w:val="TOCTitleChar2"/>
                <w:noProof/>
                <w:iCs/>
              </w:rPr>
              <w:t>
            Cases on Supplemental Jurisdiction
          </w:t>
            </w:r>
            <w:r>
              <w:rPr>
                <w:noProof/>
                <w:webHidden/>
              </w:rPr>
              <w:tab/>
            </w:r>
            <w:r>
              <w:rPr>
                <w:noProof/>
                <w:webHidden/>
              </w:rPr>
              <w:fldChar w:fldCharType="begin"/>
            </w:r>
            <w:r>
              <w:rPr>
                <w:noProof/>
                <w:webHidden/>
              </w:rPr>
              <w:instrText xml:space="preserve"> PAGEREF _auto_toc_34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35" w:history="1">
            <w:r>
              <w:rPr>
                <w:rStyle w:val="TOCOrdinalChar2"/>
                <w:noProof/>
                <w:iCs/>
              </w:rPr>
              <w:t>
            3.4
          </w:t>
            </w:r>
            <w:r>
              <w:rPr>
                <w:noProof/>
                <w:webHidden/>
              </w:rPr>
              <w:tab/>
            </w:r>
            <w:r>
              <w:rPr>
                <w:rStyle w:val="TOCTitleChar2"/>
                <w:noProof/>
                <w:iCs/>
              </w:rPr>
              <w:t>
            Guaranteed Systems, Inc. v. American National Can Co.
          </w:t>
            </w:r>
            <w:r>
              <w:rPr>
                <w:noProof/>
                <w:webHidden/>
              </w:rPr>
              <w:tab/>
            </w:r>
            <w:r>
              <w:rPr>
                <w:noProof/>
                <w:webHidden/>
              </w:rPr>
              <w:fldChar w:fldCharType="begin"/>
            </w:r>
            <w:r>
              <w:rPr>
                <w:noProof/>
                <w:webHidden/>
              </w:rPr>
              <w:instrText xml:space="preserve"> PAGEREF _auto_toc_35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36" w:history="1">
            <w:r>
              <w:rPr>
                <w:rStyle w:val="TOCOrdinalChar2"/>
                <w:noProof/>
                <w:iCs/>
              </w:rPr>
              <w:t>
            3.5
          </w:t>
            </w:r>
            <w:r>
              <w:rPr>
                <w:noProof/>
                <w:webHidden/>
              </w:rPr>
              <w:tab/>
            </w:r>
            <w:r>
              <w:rPr>
                <w:rStyle w:val="TOCTitleChar2"/>
                <w:noProof/>
                <w:iCs/>
              </w:rPr>
              <w:t>
            Shamrock Oil and Removal Jurisdiction
          </w:t>
            </w:r>
            <w:r>
              <w:rPr>
                <w:noProof/>
                <w:webHidden/>
              </w:rPr>
              <w:tab/>
            </w:r>
            <w:r>
              <w:rPr>
                <w:noProof/>
                <w:webHidden/>
              </w:rPr>
              <w:fldChar w:fldCharType="begin"/>
            </w:r>
            <w:r>
              <w:rPr>
                <w:noProof/>
                <w:webHidden/>
              </w:rPr>
              <w:instrText xml:space="preserve"> PAGEREF _auto_toc_36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37" w:history="1">
            <w:r>
              <w:rPr>
                <w:rStyle w:val="TOCOrdinalChar1"/>
                <w:noProof/>
                <w:iCs/>
              </w:rPr>
              <w:t>
            4
          </w:t>
            </w:r>
            <w:r>
              <w:rPr>
                <w:noProof/>
                <w:webHidden/>
              </w:rPr>
              <w:tab/>
            </w:r>
            <w:r>
              <w:rPr>
                <w:rStyle w:val="TOCTitleChar1"/>
                <w:noProof/>
                <w:iCs/>
              </w:rPr>
              <w:t>
            Day 4
          </w:t>
            </w:r>
            <w:r>
              <w:rPr>
                <w:noProof/>
                <w:webHidden/>
              </w:rPr>
              <w:tab/>
            </w:r>
            <w:r>
              <w:rPr>
                <w:noProof/>
                <w:webHidden/>
              </w:rPr>
              <w:fldChar w:fldCharType="begin"/>
            </w:r>
            <w:r>
              <w:rPr>
                <w:noProof/>
                <w:webHidden/>
              </w:rPr>
              <w:instrText xml:space="preserve"> PAGEREF _auto_toc_37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38" w:history="1">
            <w:r>
              <w:rPr>
                <w:rStyle w:val="TOCOrdinalChar2"/>
                <w:noProof/>
                <w:iCs/>
              </w:rPr>
              <w:t>
            4.1
          </w:t>
            </w:r>
            <w:r>
              <w:rPr>
                <w:noProof/>
                <w:webHidden/>
              </w:rPr>
              <w:tab/>
            </w:r>
            <w:r>
              <w:rPr>
                <w:rStyle w:val="TOCTitleChar2"/>
                <w:noProof/>
                <w:iCs/>
              </w:rPr>
              <w:t>
            Constitutional Provisions
          </w:t>
            </w:r>
            <w:r>
              <w:rPr>
                <w:noProof/>
                <w:webHidden/>
              </w:rPr>
              <w:tab/>
            </w:r>
            <w:r>
              <w:rPr>
                <w:noProof/>
                <w:webHidden/>
              </w:rPr>
              <w:fldChar w:fldCharType="begin"/>
            </w:r>
            <w:r>
              <w:rPr>
                <w:noProof/>
                <w:webHidden/>
              </w:rPr>
              <w:instrText xml:space="preserve"> PAGEREF _auto_toc_38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39" w:history="1">
            <w:r>
              <w:rPr>
                <w:rStyle w:val="TOCOrdinalChar2"/>
                <w:noProof/>
                <w:iCs/>
              </w:rPr>
              <w:t>
            4.2
          </w:t>
            </w:r>
            <w:r>
              <w:rPr>
                <w:noProof/>
                <w:webHidden/>
              </w:rPr>
              <w:tab/>
            </w:r>
            <w:r>
              <w:rPr>
                <w:rStyle w:val="TOCTitleChar2"/>
                <w:noProof/>
                <w:iCs/>
              </w:rPr>
              <w:t>
            The Marital and Probate Exceptions
          </w:t>
            </w:r>
            <w:r>
              <w:rPr>
                <w:noProof/>
                <w:webHidden/>
              </w:rPr>
              <w:tab/>
            </w:r>
            <w:r>
              <w:rPr>
                <w:noProof/>
                <w:webHidden/>
              </w:rPr>
              <w:fldChar w:fldCharType="begin"/>
            </w:r>
            <w:r>
              <w:rPr>
                <w:noProof/>
                <w:webHidden/>
              </w:rPr>
              <w:instrText xml:space="preserve"> PAGEREF _auto_toc_39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40" w:history="1">
            <w:r>
              <w:rPr>
                <w:rStyle w:val="TOCOrdinalChar2"/>
                <w:noProof/>
                <w:iCs/>
              </w:rPr>
              <w:t>
            4.3
          </w:t>
            </w:r>
            <w:r>
              <w:rPr>
                <w:noProof/>
                <w:webHidden/>
              </w:rPr>
              <w:tab/>
            </w:r>
            <w:r>
              <w:rPr>
                <w:rStyle w:val="TOCTitleChar2"/>
                <w:noProof/>
                <w:iCs/>
              </w:rPr>
              <w:t>
            Colorado River Water Conservation District v. United States
          </w:t>
            </w:r>
            <w:r>
              <w:rPr>
                <w:noProof/>
                <w:webHidden/>
              </w:rPr>
              <w:tab/>
            </w:r>
            <w:r>
              <w:rPr>
                <w:noProof/>
                <w:webHidden/>
              </w:rPr>
              <w:fldChar w:fldCharType="begin"/>
            </w:r>
            <w:r>
              <w:rPr>
                <w:noProof/>
                <w:webHidden/>
              </w:rPr>
              <w:instrText xml:space="preserve"> PAGEREF _auto_toc_40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41" w:history="1">
            <w:r>
              <w:rPr>
                <w:rStyle w:val="TOCOrdinalChar2"/>
                <w:noProof/>
                <w:iCs/>
              </w:rPr>
              <w:t>
            4.4
          </w:t>
            </w:r>
            <w:r>
              <w:rPr>
                <w:noProof/>
                <w:webHidden/>
              </w:rPr>
              <w:tab/>
            </w:r>
            <w:r>
              <w:rPr>
                <w:rStyle w:val="TOCTitleChar2"/>
                <w:noProof/>
                <w:iCs/>
              </w:rPr>
              <w:t>
            Notes following Colorado River
          </w:t>
            </w:r>
            <w:r>
              <w:rPr>
                <w:noProof/>
                <w:webHidden/>
              </w:rPr>
              <w:tab/>
            </w:r>
            <w:r>
              <w:rPr>
                <w:noProof/>
                <w:webHidden/>
              </w:rPr>
              <w:fldChar w:fldCharType="begin"/>
            </w:r>
            <w:r>
              <w:rPr>
                <w:noProof/>
                <w:webHidden/>
              </w:rPr>
              <w:instrText xml:space="preserve"> PAGEREF _auto_toc_41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42" w:history="1">
            <w:r>
              <w:rPr>
                <w:rStyle w:val="TOCOrdinalChar2"/>
                <w:noProof/>
                <w:iCs/>
              </w:rPr>
              <w:t>
            4.5
          </w:t>
            </w:r>
            <w:r>
              <w:rPr>
                <w:noProof/>
                <w:webHidden/>
              </w:rPr>
              <w:tab/>
            </w:r>
            <w:r>
              <w:rPr>
                <w:rStyle w:val="TOCTitleChar2"/>
                <w:noProof/>
                <w:iCs/>
              </w:rPr>
              <w:t>
            Clark ex rel. Sears v. Lacy
          </w:t>
            </w:r>
            <w:r>
              <w:rPr>
                <w:noProof/>
                <w:webHidden/>
              </w:rPr>
              <w:tab/>
            </w:r>
            <w:r>
              <w:rPr>
                <w:noProof/>
                <w:webHidden/>
              </w:rPr>
              <w:fldChar w:fldCharType="begin"/>
            </w:r>
            <w:r>
              <w:rPr>
                <w:noProof/>
                <w:webHidden/>
              </w:rPr>
              <w:instrText xml:space="preserve"> PAGEREF _auto_toc_42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43" w:history="1">
            <w:r>
              <w:rPr>
                <w:rStyle w:val="TOCOrdinalChar1"/>
                <w:noProof/>
                <w:iCs/>
              </w:rPr>
              <w:t>
            5
          </w:t>
            </w:r>
            <w:r>
              <w:rPr>
                <w:noProof/>
                <w:webHidden/>
              </w:rPr>
              <w:tab/>
            </w:r>
            <w:r>
              <w:rPr>
                <w:rStyle w:val="TOCTitleChar1"/>
                <w:noProof/>
                <w:iCs/>
              </w:rPr>
              <w:t>
            Day 5
          </w:t>
            </w:r>
            <w:r>
              <w:rPr>
                <w:noProof/>
                <w:webHidden/>
              </w:rPr>
              <w:tab/>
            </w:r>
            <w:r>
              <w:rPr>
                <w:noProof/>
                <w:webHidden/>
              </w:rPr>
              <w:fldChar w:fldCharType="begin"/>
            </w:r>
            <w:r>
              <w:rPr>
                <w:noProof/>
                <w:webHidden/>
              </w:rPr>
              <w:instrText xml:space="preserve"> PAGEREF _auto_toc_43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44" w:history="1">
            <w:r>
              <w:rPr>
                <w:rStyle w:val="TOCOrdinalChar2"/>
                <w:noProof/>
                <w:iCs/>
              </w:rPr>
              <w:t>
            5.1
          </w:t>
            </w:r>
            <w:r>
              <w:rPr>
                <w:noProof/>
                <w:webHidden/>
              </w:rPr>
              <w:tab/>
            </w:r>
            <w:r>
              <w:rPr>
                <w:rStyle w:val="TOCTitleChar2"/>
                <w:noProof/>
                <w:iCs/>
              </w:rPr>
              <w:t>
            Horizontal Choice of Law
          </w:t>
            </w:r>
            <w:r>
              <w:rPr>
                <w:noProof/>
                <w:webHidden/>
              </w:rPr>
              <w:tab/>
            </w:r>
            <w:r>
              <w:rPr>
                <w:noProof/>
                <w:webHidden/>
              </w:rPr>
              <w:fldChar w:fldCharType="begin"/>
            </w:r>
            <w:r>
              <w:rPr>
                <w:noProof/>
                <w:webHidden/>
              </w:rPr>
              <w:instrText xml:space="preserve"> PAGEREF _auto_toc_44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45" w:history="1">
            <w:r>
              <w:rPr>
                <w:rStyle w:val="TOCOrdinalChar2"/>
                <w:noProof/>
                <w:iCs/>
              </w:rPr>
              <w:t>
            5.2
          </w:t>
            </w:r>
            <w:r>
              <w:rPr>
                <w:noProof/>
                <w:webHidden/>
              </w:rPr>
              <w:tab/>
            </w:r>
            <w:r>
              <w:rPr>
                <w:rStyle w:val="TOCTitleChar2"/>
                <w:noProof/>
                <w:iCs/>
              </w:rPr>
              <w:t>
            Excerpts from the Restatement (First) on Conflicts (1953)
          </w:t>
            </w:r>
            <w:r>
              <w:rPr>
                <w:noProof/>
                <w:webHidden/>
              </w:rPr>
              <w:tab/>
            </w:r>
            <w:r>
              <w:rPr>
                <w:noProof/>
                <w:webHidden/>
              </w:rPr>
              <w:fldChar w:fldCharType="begin"/>
            </w:r>
            <w:r>
              <w:rPr>
                <w:noProof/>
                <w:webHidden/>
              </w:rPr>
              <w:instrText xml:space="preserve"> PAGEREF _auto_toc_45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46" w:history="1">
            <w:r>
              <w:rPr>
                <w:rStyle w:val="TOCOrdinalChar2"/>
                <w:noProof/>
                <w:iCs/>
              </w:rPr>
              <w:t>
            5.3
          </w:t>
            </w:r>
            <w:r>
              <w:rPr>
                <w:noProof/>
                <w:webHidden/>
              </w:rPr>
              <w:tab/>
            </w:r>
            <w:r>
              <w:rPr>
                <w:rStyle w:val="TOCTitleChar2"/>
                <w:noProof/>
                <w:iCs/>
              </w:rPr>
              <w:t>
            Excerpts from the Restatement (Second) on Conflicts (1971)
          </w:t>
            </w:r>
            <w:r>
              <w:rPr>
                <w:noProof/>
                <w:webHidden/>
              </w:rPr>
              <w:tab/>
            </w:r>
            <w:r>
              <w:rPr>
                <w:noProof/>
                <w:webHidden/>
              </w:rPr>
              <w:fldChar w:fldCharType="begin"/>
            </w:r>
            <w:r>
              <w:rPr>
                <w:noProof/>
                <w:webHidden/>
              </w:rPr>
              <w:instrText xml:space="preserve"> PAGEREF _auto_toc_46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47" w:history="1">
            <w:r>
              <w:rPr>
                <w:rStyle w:val="TOCOrdinalChar2"/>
                <w:noProof/>
                <w:iCs/>
              </w:rPr>
              <w:t>
            5.4
          </w:t>
            </w:r>
            <w:r>
              <w:rPr>
                <w:noProof/>
                <w:webHidden/>
              </w:rPr>
              <w:tab/>
            </w:r>
            <w:r>
              <w:rPr>
                <w:rStyle w:val="TOCTitleChar2"/>
                <w:noProof/>
                <w:iCs/>
              </w:rPr>
              <w:t>
            Alabama Great Southern Railroad v. Carroll
          </w:t>
            </w:r>
            <w:r>
              <w:rPr>
                <w:noProof/>
                <w:webHidden/>
              </w:rPr>
              <w:tab/>
            </w:r>
            <w:r>
              <w:rPr>
                <w:noProof/>
                <w:webHidden/>
              </w:rPr>
              <w:fldChar w:fldCharType="begin"/>
            </w:r>
            <w:r>
              <w:rPr>
                <w:noProof/>
                <w:webHidden/>
              </w:rPr>
              <w:instrText xml:space="preserve"> PAGEREF _auto_toc_47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48" w:history="1">
            <w:r>
              <w:rPr>
                <w:rStyle w:val="TOCOrdinalChar2"/>
                <w:noProof/>
                <w:iCs/>
              </w:rPr>
              <w:t>
            5.5
          </w:t>
            </w:r>
            <w:r>
              <w:rPr>
                <w:noProof/>
                <w:webHidden/>
              </w:rPr>
              <w:tab/>
            </w:r>
            <w:r>
              <w:rPr>
                <w:rStyle w:val="TOCTitleChar2"/>
                <w:noProof/>
                <w:iCs/>
              </w:rPr>
              <w:t>
            Notes following Alabama Great Southern Railroad
          </w:t>
            </w:r>
            <w:r>
              <w:rPr>
                <w:noProof/>
                <w:webHidden/>
              </w:rPr>
              <w:tab/>
            </w:r>
            <w:r>
              <w:rPr>
                <w:noProof/>
                <w:webHidden/>
              </w:rPr>
              <w:fldChar w:fldCharType="begin"/>
            </w:r>
            <w:r>
              <w:rPr>
                <w:noProof/>
                <w:webHidden/>
              </w:rPr>
              <w:instrText xml:space="preserve"> PAGEREF _auto_toc_48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49" w:history="1">
            <w:r>
              <w:rPr>
                <w:rStyle w:val="TOCOrdinalChar2"/>
                <w:noProof/>
                <w:iCs/>
              </w:rPr>
              <w:t>
            5.6
          </w:t>
            </w:r>
            <w:r>
              <w:rPr>
                <w:noProof/>
                <w:webHidden/>
              </w:rPr>
              <w:tab/>
            </w:r>
            <w:r>
              <w:rPr>
                <w:rStyle w:val="TOCTitleChar2"/>
                <w:noProof/>
                <w:iCs/>
              </w:rPr>
              <w:t>
            Babcock v. Jackson
          </w:t>
            </w:r>
            <w:r>
              <w:rPr>
                <w:noProof/>
                <w:webHidden/>
              </w:rPr>
              <w:tab/>
            </w:r>
            <w:r>
              <w:rPr>
                <w:noProof/>
                <w:webHidden/>
              </w:rPr>
              <w:fldChar w:fldCharType="begin"/>
            </w:r>
            <w:r>
              <w:rPr>
                <w:noProof/>
                <w:webHidden/>
              </w:rPr>
              <w:instrText xml:space="preserve"> PAGEREF _auto_toc_49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50" w:history="1">
            <w:r>
              <w:rPr>
                <w:rStyle w:val="TOCOrdinalChar2"/>
                <w:noProof/>
                <w:iCs/>
              </w:rPr>
              <w:t>
            5.7
          </w:t>
            </w:r>
            <w:r>
              <w:rPr>
                <w:noProof/>
                <w:webHidden/>
              </w:rPr>
              <w:tab/>
            </w:r>
            <w:r>
              <w:rPr>
                <w:rStyle w:val="TOCTitleChar2"/>
                <w:noProof/>
                <w:iCs/>
              </w:rPr>
              <w:t>
            Notes following Babcock v. Jackson
          </w:t>
            </w:r>
            <w:r>
              <w:rPr>
                <w:noProof/>
                <w:webHidden/>
              </w:rPr>
              <w:tab/>
            </w:r>
            <w:r>
              <w:rPr>
                <w:noProof/>
                <w:webHidden/>
              </w:rPr>
              <w:fldChar w:fldCharType="begin"/>
            </w:r>
            <w:r>
              <w:rPr>
                <w:noProof/>
                <w:webHidden/>
              </w:rPr>
              <w:instrText xml:space="preserve"> PAGEREF _auto_toc_50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51" w:history="1">
            <w:r>
              <w:rPr>
                <w:rStyle w:val="TOCOrdinalChar2"/>
                <w:noProof/>
                <w:iCs/>
              </w:rPr>
              <w:t>
            5.8
          </w:t>
            </w:r>
            <w:r>
              <w:rPr>
                <w:noProof/>
                <w:webHidden/>
              </w:rPr>
              <w:tab/>
            </w:r>
            <w:r>
              <w:rPr>
                <w:rStyle w:val="TOCTitleChar2"/>
                <w:noProof/>
                <w:iCs/>
              </w:rPr>
              <w:t>
            Neumeier v. Kuehner
          </w:t>
            </w:r>
            <w:r>
              <w:rPr>
                <w:noProof/>
                <w:webHidden/>
              </w:rPr>
              <w:tab/>
            </w:r>
            <w:r>
              <w:rPr>
                <w:noProof/>
                <w:webHidden/>
              </w:rPr>
              <w:fldChar w:fldCharType="begin"/>
            </w:r>
            <w:r>
              <w:rPr>
                <w:noProof/>
                <w:webHidden/>
              </w:rPr>
              <w:instrText xml:space="preserve"> PAGEREF _auto_toc_51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52" w:history="1">
            <w:r>
              <w:rPr>
                <w:rStyle w:val="TOCOrdinalChar2"/>
                <w:noProof/>
                <w:iCs/>
              </w:rPr>
              <w:t>
            5.9
          </w:t>
            </w:r>
            <w:r>
              <w:rPr>
                <w:noProof/>
                <w:webHidden/>
              </w:rPr>
              <w:tab/>
            </w:r>
            <w:r>
              <w:rPr>
                <w:rStyle w:val="TOCTitleChar2"/>
                <w:noProof/>
                <w:iCs/>
              </w:rPr>
              <w:t>
            Notes following Neumeier
          </w:t>
            </w:r>
            <w:r>
              <w:rPr>
                <w:noProof/>
                <w:webHidden/>
              </w:rPr>
              <w:tab/>
            </w:r>
            <w:r>
              <w:rPr>
                <w:noProof/>
                <w:webHidden/>
              </w:rPr>
              <w:fldChar w:fldCharType="begin"/>
            </w:r>
            <w:r>
              <w:rPr>
                <w:noProof/>
                <w:webHidden/>
              </w:rPr>
              <w:instrText xml:space="preserve"> PAGEREF _auto_toc_52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53" w:history="1">
            <w:r>
              <w:rPr>
                <w:rStyle w:val="TOCOrdinalChar2"/>
                <w:noProof/>
                <w:iCs/>
              </w:rPr>
              <w:t>
            5.10
          </w:t>
            </w:r>
            <w:r>
              <w:rPr>
                <w:noProof/>
                <w:webHidden/>
              </w:rPr>
              <w:tab/>
            </w:r>
            <w:r>
              <w:rPr>
                <w:rStyle w:val="TOCTitleChar2"/>
                <w:noProof/>
                <w:iCs/>
              </w:rPr>
              <w:t>
            Video (42 minutes)
          </w:t>
            </w:r>
            <w:r>
              <w:rPr>
                <w:noProof/>
                <w:webHidden/>
              </w:rPr>
              <w:tab/>
            </w:r>
            <w:r>
              <w:rPr>
                <w:noProof/>
                <w:webHidden/>
              </w:rPr>
              <w:fldChar w:fldCharType="begin"/>
            </w:r>
            <w:r>
              <w:rPr>
                <w:noProof/>
                <w:webHidden/>
              </w:rPr>
              <w:instrText xml:space="preserve"> PAGEREF _auto_toc_53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54" w:history="1">
            <w:r>
              <w:rPr>
                <w:rStyle w:val="TOCOrdinalChar2"/>
                <w:noProof/>
                <w:iCs/>
              </w:rPr>
              <w:t>
            5.11
          </w:t>
            </w:r>
            <w:r>
              <w:rPr>
                <w:noProof/>
                <w:webHidden/>
              </w:rPr>
              <w:tab/>
            </w:r>
            <w:r>
              <w:rPr>
                <w:rStyle w:val="TOCTitleChar2"/>
                <w:noProof/>
                <w:iCs/>
              </w:rPr>
              <w:t>
            Three Types of Personal Jurisdiction
          </w:t>
            </w:r>
            <w:r>
              <w:rPr>
                <w:noProof/>
                <w:webHidden/>
              </w:rPr>
              <w:tab/>
            </w:r>
            <w:r>
              <w:rPr>
                <w:noProof/>
                <w:webHidden/>
              </w:rPr>
              <w:fldChar w:fldCharType="begin"/>
            </w:r>
            <w:r>
              <w:rPr>
                <w:noProof/>
                <w:webHidden/>
              </w:rPr>
              <w:instrText xml:space="preserve"> PAGEREF _auto_toc_54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55" w:history="1">
            <w:r>
              <w:rPr>
                <w:rStyle w:val="TOCOrdinalChar2"/>
                <w:noProof/>
                <w:iCs/>
              </w:rPr>
              <w:t>
            5.12
          </w:t>
            </w:r>
            <w:r>
              <w:rPr>
                <w:noProof/>
                <w:webHidden/>
              </w:rPr>
              <w:tab/>
            </w:r>
            <w:r>
              <w:rPr>
                <w:rStyle w:val="TOCTitleChar2"/>
                <w:noProof/>
                <w:iCs/>
              </w:rPr>
              <w:t>
            Constitutional Provisions
          </w:t>
            </w:r>
            <w:r>
              <w:rPr>
                <w:noProof/>
                <w:webHidden/>
              </w:rPr>
              <w:tab/>
            </w:r>
            <w:r>
              <w:rPr>
                <w:noProof/>
                <w:webHidden/>
              </w:rPr>
              <w:fldChar w:fldCharType="begin"/>
            </w:r>
            <w:r>
              <w:rPr>
                <w:noProof/>
                <w:webHidden/>
              </w:rPr>
              <w:instrText xml:space="preserve"> PAGEREF _auto_toc_55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56" w:history="1">
            <w:r>
              <w:rPr>
                <w:rStyle w:val="TOCOrdinalChar2"/>
                <w:noProof/>
                <w:iCs/>
              </w:rPr>
              <w:t>
            5.13
          </w:t>
            </w:r>
            <w:r>
              <w:rPr>
                <w:noProof/>
                <w:webHidden/>
              </w:rPr>
              <w:tab/>
            </w:r>
            <w:r>
              <w:rPr>
                <w:rStyle w:val="TOCTitleChar2"/>
                <w:noProof/>
                <w:iCs/>
              </w:rPr>
              <w:t>
            The Preamble to Pennoyer
          </w:t>
            </w:r>
            <w:r>
              <w:rPr>
                <w:noProof/>
                <w:webHidden/>
              </w:rPr>
              <w:tab/>
            </w:r>
            <w:r>
              <w:rPr>
                <w:noProof/>
                <w:webHidden/>
              </w:rPr>
              <w:fldChar w:fldCharType="begin"/>
            </w:r>
            <w:r>
              <w:rPr>
                <w:noProof/>
                <w:webHidden/>
              </w:rPr>
              <w:instrText xml:space="preserve"> PAGEREF _auto_toc_56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57" w:history="1">
            <w:r>
              <w:rPr>
                <w:rStyle w:val="TOCOrdinalChar2"/>
                <w:noProof/>
                <w:iCs/>
              </w:rPr>
              <w:t>
            5.14
          </w:t>
            </w:r>
            <w:r>
              <w:rPr>
                <w:noProof/>
                <w:webHidden/>
              </w:rPr>
              <w:tab/>
            </w:r>
            <w:r>
              <w:rPr>
                <w:rStyle w:val="TOCTitleChar2"/>
                <w:noProof/>
                <w:iCs/>
              </w:rPr>
              <w:t>
            Pennoyer v. Neff
          </w:t>
            </w:r>
            <w:r>
              <w:rPr>
                <w:noProof/>
                <w:webHidden/>
              </w:rPr>
              <w:tab/>
            </w:r>
            <w:r>
              <w:rPr>
                <w:noProof/>
                <w:webHidden/>
              </w:rPr>
              <w:fldChar w:fldCharType="begin"/>
            </w:r>
            <w:r>
              <w:rPr>
                <w:noProof/>
                <w:webHidden/>
              </w:rPr>
              <w:instrText xml:space="preserve"> PAGEREF _auto_toc_57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58" w:history="1">
            <w:r>
              <w:rPr>
                <w:rStyle w:val="TOCOrdinalChar2"/>
                <w:noProof/>
                <w:iCs/>
              </w:rPr>
              <w:t>
            5.15
          </w:t>
            </w:r>
            <w:r>
              <w:rPr>
                <w:noProof/>
                <w:webHidden/>
              </w:rPr>
              <w:tab/>
            </w:r>
            <w:r>
              <w:rPr>
                <w:rStyle w:val="TOCTitleChar2"/>
                <w:noProof/>
                <w:iCs/>
              </w:rPr>
              <w:t>
            Pennoyer's Post-Credits Scene
          </w:t>
            </w:r>
            <w:r>
              <w:rPr>
                <w:noProof/>
                <w:webHidden/>
              </w:rPr>
              <w:tab/>
            </w:r>
            <w:r>
              <w:rPr>
                <w:noProof/>
                <w:webHidden/>
              </w:rPr>
              <w:fldChar w:fldCharType="begin"/>
            </w:r>
            <w:r>
              <w:rPr>
                <w:noProof/>
                <w:webHidden/>
              </w:rPr>
              <w:instrText xml:space="preserve"> PAGEREF _auto_toc_58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59" w:history="1">
            <w:r>
              <w:rPr>
                <w:rStyle w:val="TOCOrdinalChar1"/>
                <w:noProof/>
                <w:iCs/>
              </w:rPr>
              <w:t>
            6
          </w:t>
            </w:r>
            <w:r>
              <w:rPr>
                <w:noProof/>
                <w:webHidden/>
              </w:rPr>
              <w:tab/>
            </w:r>
            <w:r>
              <w:rPr>
                <w:rStyle w:val="TOCTitleChar1"/>
                <w:noProof/>
                <w:iCs/>
              </w:rPr>
              <w:t>
            Day 6
          </w:t>
            </w:r>
            <w:r>
              <w:rPr>
                <w:noProof/>
                <w:webHidden/>
              </w:rPr>
              <w:tab/>
            </w:r>
            <w:r>
              <w:rPr>
                <w:noProof/>
                <w:webHidden/>
              </w:rPr>
              <w:fldChar w:fldCharType="begin"/>
            </w:r>
            <w:r>
              <w:rPr>
                <w:noProof/>
                <w:webHidden/>
              </w:rPr>
              <w:instrText xml:space="preserve"> PAGEREF _auto_toc_59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60" w:history="1">
            <w:r>
              <w:rPr>
                <w:rStyle w:val="TOCOrdinalChar2"/>
                <w:noProof/>
                <w:iCs/>
              </w:rPr>
              <w:t>
            6.1
          </w:t>
            </w:r>
            <w:r>
              <w:rPr>
                <w:noProof/>
                <w:webHidden/>
              </w:rPr>
              <w:tab/>
            </w:r>
            <w:r>
              <w:rPr>
                <w:rStyle w:val="TOCTitleChar2"/>
                <w:noProof/>
                <w:iCs/>
              </w:rPr>
              <w:t>
            Rules and Constitutional Provisions
          </w:t>
            </w:r>
            <w:r>
              <w:rPr>
                <w:noProof/>
                <w:webHidden/>
              </w:rPr>
              <w:tab/>
            </w:r>
            <w:r>
              <w:rPr>
                <w:noProof/>
                <w:webHidden/>
              </w:rPr>
              <w:fldChar w:fldCharType="begin"/>
            </w:r>
            <w:r>
              <w:rPr>
                <w:noProof/>
                <w:webHidden/>
              </w:rPr>
              <w:instrText xml:space="preserve"> PAGEREF _auto_toc_60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61" w:history="1">
            <w:r>
              <w:rPr>
                <w:rStyle w:val="TOCOrdinalChar2"/>
                <w:noProof/>
                <w:iCs/>
              </w:rPr>
              <w:t>
            6.2
          </w:t>
            </w:r>
            <w:r>
              <w:rPr>
                <w:noProof/>
                <w:webHidden/>
              </w:rPr>
              <w:tab/>
            </w:r>
            <w:r>
              <w:rPr>
                <w:rStyle w:val="TOCTitleChar2"/>
                <w:noProof/>
                <w:iCs/>
              </w:rPr>
              <w:t>
            Kane v. New Jersey
          </w:t>
            </w:r>
            <w:r>
              <w:rPr>
                <w:noProof/>
                <w:webHidden/>
              </w:rPr>
              <w:tab/>
            </w:r>
            <w:r>
              <w:rPr>
                <w:noProof/>
                <w:webHidden/>
              </w:rPr>
              <w:fldChar w:fldCharType="begin"/>
            </w:r>
            <w:r>
              <w:rPr>
                <w:noProof/>
                <w:webHidden/>
              </w:rPr>
              <w:instrText xml:space="preserve"> PAGEREF _auto_toc_61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62" w:history="1">
            <w:r>
              <w:rPr>
                <w:rStyle w:val="TOCOrdinalChar2"/>
                <w:noProof/>
                <w:iCs/>
              </w:rPr>
              <w:t>
            6.3
          </w:t>
            </w:r>
            <w:r>
              <w:rPr>
                <w:noProof/>
                <w:webHidden/>
              </w:rPr>
              <w:tab/>
            </w:r>
            <w:r>
              <w:rPr>
                <w:rStyle w:val="TOCTitleChar2"/>
                <w:noProof/>
                <w:iCs/>
              </w:rPr>
              <w:t>
            Hess v. Pawloski
          </w:t>
            </w:r>
            <w:r>
              <w:rPr>
                <w:noProof/>
                <w:webHidden/>
              </w:rPr>
              <w:tab/>
            </w:r>
            <w:r>
              <w:rPr>
                <w:noProof/>
                <w:webHidden/>
              </w:rPr>
              <w:fldChar w:fldCharType="begin"/>
            </w:r>
            <w:r>
              <w:rPr>
                <w:noProof/>
                <w:webHidden/>
              </w:rPr>
              <w:instrText xml:space="preserve"> PAGEREF _auto_toc_62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63" w:history="1">
            <w:r>
              <w:rPr>
                <w:rStyle w:val="TOCOrdinalChar2"/>
                <w:noProof/>
                <w:iCs/>
              </w:rPr>
              <w:t>
            6.4
          </w:t>
            </w:r>
            <w:r>
              <w:rPr>
                <w:noProof/>
                <w:webHidden/>
              </w:rPr>
              <w:tab/>
            </w:r>
            <w:r>
              <w:rPr>
                <w:rStyle w:val="TOCTitleChar2"/>
                <w:noProof/>
                <w:iCs/>
              </w:rPr>
              <w:t>
            International Shoe Co. v. Washington
          </w:t>
            </w:r>
            <w:r>
              <w:rPr>
                <w:noProof/>
                <w:webHidden/>
              </w:rPr>
              <w:tab/>
            </w:r>
            <w:r>
              <w:rPr>
                <w:noProof/>
                <w:webHidden/>
              </w:rPr>
              <w:fldChar w:fldCharType="begin"/>
            </w:r>
            <w:r>
              <w:rPr>
                <w:noProof/>
                <w:webHidden/>
              </w:rPr>
              <w:instrText xml:space="preserve"> PAGEREF _auto_toc_63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64" w:history="1">
            <w:r>
              <w:rPr>
                <w:rStyle w:val="TOCOrdinalChar2"/>
                <w:noProof/>
                <w:iCs/>
              </w:rPr>
              <w:t>
            6.5
          </w:t>
            </w:r>
            <w:r>
              <w:rPr>
                <w:noProof/>
                <w:webHidden/>
              </w:rPr>
              <w:tab/>
            </w:r>
            <w:r>
              <w:rPr>
                <w:rStyle w:val="TOCTitleChar2"/>
                <w:noProof/>
                <w:iCs/>
              </w:rPr>
              <w:t>
            Notes following International Shoe
          </w:t>
            </w:r>
            <w:r>
              <w:rPr>
                <w:noProof/>
                <w:webHidden/>
              </w:rPr>
              <w:tab/>
            </w:r>
            <w:r>
              <w:rPr>
                <w:noProof/>
                <w:webHidden/>
              </w:rPr>
              <w:fldChar w:fldCharType="begin"/>
            </w:r>
            <w:r>
              <w:rPr>
                <w:noProof/>
                <w:webHidden/>
              </w:rPr>
              <w:instrText xml:space="preserve"> PAGEREF _auto_toc_64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65" w:history="1">
            <w:r>
              <w:rPr>
                <w:rStyle w:val="TOCOrdinalChar2"/>
                <w:noProof/>
                <w:iCs/>
              </w:rPr>
              <w:t>
            6.6
          </w:t>
            </w:r>
            <w:r>
              <w:rPr>
                <w:noProof/>
                <w:webHidden/>
              </w:rPr>
              <w:tab/>
            </w:r>
            <w:r>
              <w:rPr>
                <w:rStyle w:val="TOCTitleChar2"/>
                <w:noProof/>
                <w:iCs/>
              </w:rPr>
              <w:t>
            Contesting Jurisdiction and Limited Appearances
          </w:t>
            </w:r>
            <w:r>
              <w:rPr>
                <w:noProof/>
                <w:webHidden/>
              </w:rPr>
              <w:tab/>
            </w:r>
            <w:r>
              <w:rPr>
                <w:noProof/>
                <w:webHidden/>
              </w:rPr>
              <w:fldChar w:fldCharType="begin"/>
            </w:r>
            <w:r>
              <w:rPr>
                <w:noProof/>
                <w:webHidden/>
              </w:rPr>
              <w:instrText xml:space="preserve"> PAGEREF _auto_toc_65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66" w:history="1">
            <w:r>
              <w:rPr>
                <w:rStyle w:val="TOCOrdinalChar2"/>
                <w:noProof/>
                <w:iCs/>
              </w:rPr>
              <w:t>
            6.7
          </w:t>
            </w:r>
            <w:r>
              <w:rPr>
                <w:noProof/>
                <w:webHidden/>
              </w:rPr>
              <w:tab/>
            </w:r>
            <w:r>
              <w:rPr>
                <w:rStyle w:val="TOCTitleChar2"/>
                <w:noProof/>
                <w:iCs/>
              </w:rPr>
              <w:t>
            Long-arm Statute Examples
          </w:t>
            </w:r>
            <w:r>
              <w:rPr>
                <w:noProof/>
                <w:webHidden/>
              </w:rPr>
              <w:tab/>
            </w:r>
            <w:r>
              <w:rPr>
                <w:noProof/>
                <w:webHidden/>
              </w:rPr>
              <w:fldChar w:fldCharType="begin"/>
            </w:r>
            <w:r>
              <w:rPr>
                <w:noProof/>
                <w:webHidden/>
              </w:rPr>
              <w:instrText xml:space="preserve"> PAGEREF _auto_toc_66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67" w:history="1">
            <w:r>
              <w:rPr>
                <w:rStyle w:val="TOCOrdinalChar2"/>
                <w:noProof/>
                <w:iCs/>
              </w:rPr>
              <w:t>
            6.8
          </w:t>
            </w:r>
            <w:r>
              <w:rPr>
                <w:noProof/>
                <w:webHidden/>
              </w:rPr>
              <w:tab/>
            </w:r>
            <w:r>
              <w:rPr>
                <w:rStyle w:val="TOCTitleChar2"/>
                <w:noProof/>
                <w:iCs/>
              </w:rPr>
              <w:t>
            Daimler AG v. Bauman
          </w:t>
            </w:r>
            <w:r>
              <w:rPr>
                <w:noProof/>
                <w:webHidden/>
              </w:rPr>
              <w:tab/>
            </w:r>
            <w:r>
              <w:rPr>
                <w:noProof/>
                <w:webHidden/>
              </w:rPr>
              <w:fldChar w:fldCharType="begin"/>
            </w:r>
            <w:r>
              <w:rPr>
                <w:noProof/>
                <w:webHidden/>
              </w:rPr>
              <w:instrText xml:space="preserve"> PAGEREF _auto_toc_67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68" w:history="1">
            <w:r>
              <w:rPr>
                <w:rStyle w:val="TOCOrdinalChar2"/>
                <w:noProof/>
                <w:iCs/>
              </w:rPr>
              <w:t>
            6.9
          </w:t>
            </w:r>
            <w:r>
              <w:rPr>
                <w:noProof/>
                <w:webHidden/>
              </w:rPr>
              <w:tab/>
            </w:r>
            <w:r>
              <w:rPr>
                <w:rStyle w:val="TOCTitleChar2"/>
                <w:noProof/>
                <w:iCs/>
              </w:rPr>
              <w:t>
            McGee v. International Life Insurance
          </w:t>
            </w:r>
            <w:r>
              <w:rPr>
                <w:noProof/>
                <w:webHidden/>
              </w:rPr>
              <w:tab/>
            </w:r>
            <w:r>
              <w:rPr>
                <w:noProof/>
                <w:webHidden/>
              </w:rPr>
              <w:fldChar w:fldCharType="begin"/>
            </w:r>
            <w:r>
              <w:rPr>
                <w:noProof/>
                <w:webHidden/>
              </w:rPr>
              <w:instrText xml:space="preserve"> PAGEREF _auto_toc_68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69" w:history="1">
            <w:r>
              <w:rPr>
                <w:rStyle w:val="TOCOrdinalChar2"/>
                <w:noProof/>
                <w:iCs/>
              </w:rPr>
              <w:t>
            6.10
          </w:t>
            </w:r>
            <w:r>
              <w:rPr>
                <w:noProof/>
                <w:webHidden/>
              </w:rPr>
              <w:tab/>
            </w:r>
            <w:r>
              <w:rPr>
                <w:rStyle w:val="TOCTitleChar2"/>
                <w:noProof/>
                <w:iCs/>
              </w:rPr>
              <w:t>
            Notes following McGee
          </w:t>
            </w:r>
            <w:r>
              <w:rPr>
                <w:noProof/>
                <w:webHidden/>
              </w:rPr>
              <w:tab/>
            </w:r>
            <w:r>
              <w:rPr>
                <w:noProof/>
                <w:webHidden/>
              </w:rPr>
              <w:fldChar w:fldCharType="begin"/>
            </w:r>
            <w:r>
              <w:rPr>
                <w:noProof/>
                <w:webHidden/>
              </w:rPr>
              <w:instrText xml:space="preserve"> PAGEREF _auto_toc_69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70" w:history="1">
            <w:r>
              <w:rPr>
                <w:rStyle w:val="TOCOrdinalChar1"/>
                <w:noProof/>
                <w:iCs/>
              </w:rPr>
              <w:t>
            7
          </w:t>
            </w:r>
            <w:r>
              <w:rPr>
                <w:noProof/>
                <w:webHidden/>
              </w:rPr>
              <w:tab/>
            </w:r>
            <w:r>
              <w:rPr>
                <w:rStyle w:val="TOCTitleChar1"/>
                <w:noProof/>
                <w:iCs/>
              </w:rPr>
              <w:t>
            Day 7
          </w:t>
            </w:r>
            <w:r>
              <w:rPr>
                <w:noProof/>
                <w:webHidden/>
              </w:rPr>
              <w:tab/>
            </w:r>
            <w:r>
              <w:rPr>
                <w:noProof/>
                <w:webHidden/>
              </w:rPr>
              <w:fldChar w:fldCharType="begin"/>
            </w:r>
            <w:r>
              <w:rPr>
                <w:noProof/>
                <w:webHidden/>
              </w:rPr>
              <w:instrText xml:space="preserve"> PAGEREF _auto_toc_70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71" w:history="1">
            <w:r>
              <w:rPr>
                <w:rStyle w:val="TOCOrdinalChar2"/>
                <w:noProof/>
                <w:iCs/>
              </w:rPr>
              <w:t>
            7.1
          </w:t>
            </w:r>
            <w:r>
              <w:rPr>
                <w:noProof/>
                <w:webHidden/>
              </w:rPr>
              <w:tab/>
            </w:r>
            <w:r>
              <w:rPr>
                <w:rStyle w:val="TOCTitleChar2"/>
                <w:noProof/>
                <w:iCs/>
              </w:rPr>
              <w:t>
            Rules and Constitutional Provisions
          </w:t>
            </w:r>
            <w:r>
              <w:rPr>
                <w:noProof/>
                <w:webHidden/>
              </w:rPr>
              <w:tab/>
            </w:r>
            <w:r>
              <w:rPr>
                <w:noProof/>
                <w:webHidden/>
              </w:rPr>
              <w:fldChar w:fldCharType="begin"/>
            </w:r>
            <w:r>
              <w:rPr>
                <w:noProof/>
                <w:webHidden/>
              </w:rPr>
              <w:instrText xml:space="preserve"> PAGEREF _auto_toc_71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72" w:history="1">
            <w:r>
              <w:rPr>
                <w:rStyle w:val="TOCOrdinalChar2"/>
                <w:noProof/>
                <w:iCs/>
              </w:rPr>
              <w:t>
            7.2
          </w:t>
            </w:r>
            <w:r>
              <w:rPr>
                <w:noProof/>
                <w:webHidden/>
              </w:rPr>
              <w:tab/>
            </w:r>
            <w:r>
              <w:rPr>
                <w:rStyle w:val="TOCTitleChar2"/>
                <w:noProof/>
                <w:iCs/>
              </w:rPr>
              <w:t>
            Video (13 min)
          </w:t>
            </w:r>
            <w:r>
              <w:rPr>
                <w:noProof/>
                <w:webHidden/>
              </w:rPr>
              <w:tab/>
            </w:r>
            <w:r>
              <w:rPr>
                <w:noProof/>
                <w:webHidden/>
              </w:rPr>
              <w:fldChar w:fldCharType="begin"/>
            </w:r>
            <w:r>
              <w:rPr>
                <w:noProof/>
                <w:webHidden/>
              </w:rPr>
              <w:instrText xml:space="preserve"> PAGEREF _auto_toc_72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73" w:history="1">
            <w:r>
              <w:rPr>
                <w:rStyle w:val="TOCOrdinalChar2"/>
                <w:noProof/>
                <w:iCs/>
              </w:rPr>
              <w:t>
            7.3
          </w:t>
            </w:r>
            <w:r>
              <w:rPr>
                <w:noProof/>
                <w:webHidden/>
              </w:rPr>
              <w:tab/>
            </w:r>
            <w:r>
              <w:rPr>
                <w:rStyle w:val="TOCTitleChar2"/>
                <w:noProof/>
                <w:iCs/>
              </w:rPr>
              <w:t>
            Hanson v. Denckla
          </w:t>
            </w:r>
            <w:r>
              <w:rPr>
                <w:noProof/>
                <w:webHidden/>
              </w:rPr>
              <w:tab/>
            </w:r>
            <w:r>
              <w:rPr>
                <w:noProof/>
                <w:webHidden/>
              </w:rPr>
              <w:fldChar w:fldCharType="begin"/>
            </w:r>
            <w:r>
              <w:rPr>
                <w:noProof/>
                <w:webHidden/>
              </w:rPr>
              <w:instrText xml:space="preserve"> PAGEREF _auto_toc_73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74" w:history="1">
            <w:r>
              <w:rPr>
                <w:rStyle w:val="TOCOrdinalChar2"/>
                <w:noProof/>
                <w:iCs/>
              </w:rPr>
              <w:t>
            7.4
          </w:t>
            </w:r>
            <w:r>
              <w:rPr>
                <w:noProof/>
                <w:webHidden/>
              </w:rPr>
              <w:tab/>
            </w:r>
            <w:r>
              <w:rPr>
                <w:rStyle w:val="TOCTitleChar2"/>
                <w:noProof/>
                <w:iCs/>
              </w:rPr>
              <w:t>
            Note following Hanson
          </w:t>
            </w:r>
            <w:r>
              <w:rPr>
                <w:noProof/>
                <w:webHidden/>
              </w:rPr>
              <w:tab/>
            </w:r>
            <w:r>
              <w:rPr>
                <w:noProof/>
                <w:webHidden/>
              </w:rPr>
              <w:fldChar w:fldCharType="begin"/>
            </w:r>
            <w:r>
              <w:rPr>
                <w:noProof/>
                <w:webHidden/>
              </w:rPr>
              <w:instrText xml:space="preserve"> PAGEREF _auto_toc_74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75" w:history="1">
            <w:r>
              <w:rPr>
                <w:rStyle w:val="TOCOrdinalChar2"/>
                <w:noProof/>
                <w:iCs/>
              </w:rPr>
              <w:t>
            7.5
          </w:t>
            </w:r>
            <w:r>
              <w:rPr>
                <w:noProof/>
                <w:webHidden/>
              </w:rPr>
              <w:tab/>
            </w:r>
            <w:r>
              <w:rPr>
                <w:rStyle w:val="TOCTitleChar2"/>
                <w:noProof/>
                <w:iCs/>
              </w:rPr>
              <w:t>
            World-Wide Volkswagen Corp. v. Woodson
          </w:t>
            </w:r>
            <w:r>
              <w:rPr>
                <w:noProof/>
                <w:webHidden/>
              </w:rPr>
              <w:tab/>
            </w:r>
            <w:r>
              <w:rPr>
                <w:noProof/>
                <w:webHidden/>
              </w:rPr>
              <w:fldChar w:fldCharType="begin"/>
            </w:r>
            <w:r>
              <w:rPr>
                <w:noProof/>
                <w:webHidden/>
              </w:rPr>
              <w:instrText xml:space="preserve"> PAGEREF _auto_toc_75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76" w:history="1">
            <w:r>
              <w:rPr>
                <w:rStyle w:val="TOCOrdinalChar2"/>
                <w:noProof/>
                <w:iCs/>
              </w:rPr>
              <w:t>
            7.6
          </w:t>
            </w:r>
            <w:r>
              <w:rPr>
                <w:noProof/>
                <w:webHidden/>
              </w:rPr>
              <w:tab/>
            </w:r>
            <w:r>
              <w:rPr>
                <w:rStyle w:val="TOCTitleChar2"/>
                <w:noProof/>
                <w:iCs/>
              </w:rPr>
              <w:t>
            Notes following WW Volkswagen
          </w:t>
            </w:r>
            <w:r>
              <w:rPr>
                <w:noProof/>
                <w:webHidden/>
              </w:rPr>
              <w:tab/>
            </w:r>
            <w:r>
              <w:rPr>
                <w:noProof/>
                <w:webHidden/>
              </w:rPr>
              <w:fldChar w:fldCharType="begin"/>
            </w:r>
            <w:r>
              <w:rPr>
                <w:noProof/>
                <w:webHidden/>
              </w:rPr>
              <w:instrText xml:space="preserve"> PAGEREF _auto_toc_76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77" w:history="1">
            <w:r>
              <w:rPr>
                <w:rStyle w:val="TOCOrdinalChar2"/>
                <w:noProof/>
                <w:iCs/>
              </w:rPr>
              <w:t>
            7.7
          </w:t>
            </w:r>
            <w:r>
              <w:rPr>
                <w:noProof/>
                <w:webHidden/>
              </w:rPr>
              <w:tab/>
            </w:r>
            <w:r>
              <w:rPr>
                <w:rStyle w:val="TOCTitleChar2"/>
                <w:noProof/>
                <w:iCs/>
              </w:rPr>
              <w:t>
            J. McIntyre Machinery, Ltd. v. Nicastro
          </w:t>
            </w:r>
            <w:r>
              <w:rPr>
                <w:noProof/>
                <w:webHidden/>
              </w:rPr>
              <w:tab/>
            </w:r>
            <w:r>
              <w:rPr>
                <w:noProof/>
                <w:webHidden/>
              </w:rPr>
              <w:fldChar w:fldCharType="begin"/>
            </w:r>
            <w:r>
              <w:rPr>
                <w:noProof/>
                <w:webHidden/>
              </w:rPr>
              <w:instrText xml:space="preserve"> PAGEREF _auto_toc_77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78" w:history="1">
            <w:r>
              <w:rPr>
                <w:rStyle w:val="TOCOrdinalChar2"/>
                <w:noProof/>
                <w:iCs/>
              </w:rPr>
              <w:t>
            7.8
          </w:t>
            </w:r>
            <w:r>
              <w:rPr>
                <w:noProof/>
                <w:webHidden/>
              </w:rPr>
              <w:tab/>
            </w:r>
            <w:r>
              <w:rPr>
                <w:rStyle w:val="TOCTitleChar2"/>
                <w:noProof/>
                <w:iCs/>
              </w:rPr>
              <w:t>
            Notes following J.McIntyre
          </w:t>
            </w:r>
            <w:r>
              <w:rPr>
                <w:noProof/>
                <w:webHidden/>
              </w:rPr>
              <w:tab/>
            </w:r>
            <w:r>
              <w:rPr>
                <w:noProof/>
                <w:webHidden/>
              </w:rPr>
              <w:fldChar w:fldCharType="begin"/>
            </w:r>
            <w:r>
              <w:rPr>
                <w:noProof/>
                <w:webHidden/>
              </w:rPr>
              <w:instrText xml:space="preserve"> PAGEREF _auto_toc_78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79" w:history="1">
            <w:r>
              <w:rPr>
                <w:rStyle w:val="TOCOrdinalChar2"/>
                <w:noProof/>
                <w:iCs/>
              </w:rPr>
              <w:t>
            7.9
          </w:t>
            </w:r>
            <w:r>
              <w:rPr>
                <w:noProof/>
                <w:webHidden/>
              </w:rPr>
              <w:tab/>
            </w:r>
            <w:r>
              <w:rPr>
                <w:rStyle w:val="TOCTitleChar2"/>
                <w:noProof/>
                <w:iCs/>
              </w:rPr>
              <w:t>
            Kulko v. Superior Court
          </w:t>
            </w:r>
            <w:r>
              <w:rPr>
                <w:noProof/>
                <w:webHidden/>
              </w:rPr>
              <w:tab/>
            </w:r>
            <w:r>
              <w:rPr>
                <w:noProof/>
                <w:webHidden/>
              </w:rPr>
              <w:fldChar w:fldCharType="begin"/>
            </w:r>
            <w:r>
              <w:rPr>
                <w:noProof/>
                <w:webHidden/>
              </w:rPr>
              <w:instrText xml:space="preserve"> PAGEREF _auto_toc_79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80" w:history="1">
            <w:r>
              <w:rPr>
                <w:rStyle w:val="TOCOrdinalChar2"/>
                <w:noProof/>
                <w:iCs/>
              </w:rPr>
              <w:t>
            7.10
          </w:t>
            </w:r>
            <w:r>
              <w:rPr>
                <w:noProof/>
                <w:webHidden/>
              </w:rPr>
              <w:tab/>
            </w:r>
            <w:r>
              <w:rPr>
                <w:rStyle w:val="TOCTitleChar2"/>
                <w:noProof/>
                <w:iCs/>
              </w:rPr>
              <w:t>
            Harris v. Balk
          </w:t>
            </w:r>
            <w:r>
              <w:rPr>
                <w:noProof/>
                <w:webHidden/>
              </w:rPr>
              <w:tab/>
            </w:r>
            <w:r>
              <w:rPr>
                <w:noProof/>
                <w:webHidden/>
              </w:rPr>
              <w:fldChar w:fldCharType="begin"/>
            </w:r>
            <w:r>
              <w:rPr>
                <w:noProof/>
                <w:webHidden/>
              </w:rPr>
              <w:instrText xml:space="preserve"> PAGEREF _auto_toc_80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81" w:history="1">
            <w:r>
              <w:rPr>
                <w:rStyle w:val="TOCOrdinalChar2"/>
                <w:noProof/>
                <w:iCs/>
              </w:rPr>
              <w:t>
            7.11
          </w:t>
            </w:r>
            <w:r>
              <w:rPr>
                <w:noProof/>
                <w:webHidden/>
              </w:rPr>
              <w:tab/>
            </w:r>
            <w:r>
              <w:rPr>
                <w:rStyle w:val="TOCTitleChar2"/>
                <w:noProof/>
                <w:iCs/>
              </w:rPr>
              <w:t>
            Note following Harris
          </w:t>
            </w:r>
            <w:r>
              <w:rPr>
                <w:noProof/>
                <w:webHidden/>
              </w:rPr>
              <w:tab/>
            </w:r>
            <w:r>
              <w:rPr>
                <w:noProof/>
                <w:webHidden/>
              </w:rPr>
              <w:fldChar w:fldCharType="begin"/>
            </w:r>
            <w:r>
              <w:rPr>
                <w:noProof/>
                <w:webHidden/>
              </w:rPr>
              <w:instrText xml:space="preserve"> PAGEREF _auto_toc_81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82" w:history="1">
            <w:r>
              <w:rPr>
                <w:rStyle w:val="TOCOrdinalChar2"/>
                <w:noProof/>
                <w:iCs/>
              </w:rPr>
              <w:t>
            7.12
          </w:t>
            </w:r>
            <w:r>
              <w:rPr>
                <w:noProof/>
                <w:webHidden/>
              </w:rPr>
              <w:tab/>
            </w:r>
            <w:r>
              <w:rPr>
                <w:rStyle w:val="TOCTitleChar2"/>
                <w:noProof/>
                <w:iCs/>
              </w:rPr>
              <w:t>
            Shaffer v. Heitner
          </w:t>
            </w:r>
            <w:r>
              <w:rPr>
                <w:noProof/>
                <w:webHidden/>
              </w:rPr>
              <w:tab/>
            </w:r>
            <w:r>
              <w:rPr>
                <w:noProof/>
                <w:webHidden/>
              </w:rPr>
              <w:fldChar w:fldCharType="begin"/>
            </w:r>
            <w:r>
              <w:rPr>
                <w:noProof/>
                <w:webHidden/>
              </w:rPr>
              <w:instrText xml:space="preserve"> PAGEREF _auto_toc_82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83" w:history="1">
            <w:r>
              <w:rPr>
                <w:rStyle w:val="TOCOrdinalChar2"/>
                <w:noProof/>
                <w:iCs/>
              </w:rPr>
              <w:t>
            7.13
          </w:t>
            </w:r>
            <w:r>
              <w:rPr>
                <w:noProof/>
                <w:webHidden/>
              </w:rPr>
              <w:tab/>
            </w:r>
            <w:r>
              <w:rPr>
                <w:rStyle w:val="TOCTitleChar2"/>
                <w:noProof/>
                <w:iCs/>
              </w:rPr>
              <w:t>
            Notes following Shaffer
          </w:t>
            </w:r>
            <w:r>
              <w:rPr>
                <w:noProof/>
                <w:webHidden/>
              </w:rPr>
              <w:tab/>
            </w:r>
            <w:r>
              <w:rPr>
                <w:noProof/>
                <w:webHidden/>
              </w:rPr>
              <w:fldChar w:fldCharType="begin"/>
            </w:r>
            <w:r>
              <w:rPr>
                <w:noProof/>
                <w:webHidden/>
              </w:rPr>
              <w:instrText xml:space="preserve"> PAGEREF _auto_toc_83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84" w:history="1">
            <w:r>
              <w:rPr>
                <w:rStyle w:val="TOCOrdinalChar1"/>
                <w:noProof/>
                <w:iCs/>
              </w:rPr>
              <w:t>
            8
          </w:t>
            </w:r>
            <w:r>
              <w:rPr>
                <w:noProof/>
                <w:webHidden/>
              </w:rPr>
              <w:tab/>
            </w:r>
            <w:r>
              <w:rPr>
                <w:rStyle w:val="TOCTitleChar1"/>
                <w:noProof/>
                <w:iCs/>
              </w:rPr>
              <w:t>
            Day 8
          </w:t>
            </w:r>
            <w:r>
              <w:rPr>
                <w:noProof/>
                <w:webHidden/>
              </w:rPr>
              <w:tab/>
            </w:r>
            <w:r>
              <w:rPr>
                <w:noProof/>
                <w:webHidden/>
              </w:rPr>
              <w:fldChar w:fldCharType="begin"/>
            </w:r>
            <w:r>
              <w:rPr>
                <w:noProof/>
                <w:webHidden/>
              </w:rPr>
              <w:instrText xml:space="preserve"> PAGEREF _auto_toc_84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85" w:history="1">
            <w:r>
              <w:rPr>
                <w:rStyle w:val="TOCOrdinalChar2"/>
                <w:noProof/>
                <w:iCs/>
              </w:rPr>
              <w:t>
            8.1
          </w:t>
            </w:r>
            <w:r>
              <w:rPr>
                <w:noProof/>
                <w:webHidden/>
              </w:rPr>
              <w:tab/>
            </w:r>
            <w:r>
              <w:rPr>
                <w:rStyle w:val="TOCTitleChar2"/>
                <w:noProof/>
                <w:iCs/>
              </w:rPr>
              <w:t>
            Constitutional Provisions
          </w:t>
            </w:r>
            <w:r>
              <w:rPr>
                <w:noProof/>
                <w:webHidden/>
              </w:rPr>
              <w:tab/>
            </w:r>
            <w:r>
              <w:rPr>
                <w:noProof/>
                <w:webHidden/>
              </w:rPr>
              <w:fldChar w:fldCharType="begin"/>
            </w:r>
            <w:r>
              <w:rPr>
                <w:noProof/>
                <w:webHidden/>
              </w:rPr>
              <w:instrText xml:space="preserve"> PAGEREF _auto_toc_85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86" w:history="1">
            <w:r>
              <w:rPr>
                <w:rStyle w:val="TOCOrdinalChar2"/>
                <w:noProof/>
                <w:iCs/>
              </w:rPr>
              <w:t>
            8.2
          </w:t>
            </w:r>
            <w:r>
              <w:rPr>
                <w:noProof/>
                <w:webHidden/>
              </w:rPr>
              <w:tab/>
            </w:r>
            <w:r>
              <w:rPr>
                <w:rStyle w:val="TOCTitleChar2"/>
                <w:noProof/>
                <w:iCs/>
              </w:rPr>
              <w:t>
            Burnham v. Superior Court
          </w:t>
            </w:r>
            <w:r>
              <w:rPr>
                <w:noProof/>
                <w:webHidden/>
              </w:rPr>
              <w:tab/>
            </w:r>
            <w:r>
              <w:rPr>
                <w:noProof/>
                <w:webHidden/>
              </w:rPr>
              <w:fldChar w:fldCharType="begin"/>
            </w:r>
            <w:r>
              <w:rPr>
                <w:noProof/>
                <w:webHidden/>
              </w:rPr>
              <w:instrText xml:space="preserve"> PAGEREF _auto_toc_86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87" w:history="1">
            <w:r>
              <w:rPr>
                <w:rStyle w:val="TOCOrdinalChar2"/>
                <w:noProof/>
                <w:iCs/>
              </w:rPr>
              <w:t>
            8.3
          </w:t>
            </w:r>
            <w:r>
              <w:rPr>
                <w:noProof/>
                <w:webHidden/>
              </w:rPr>
              <w:tab/>
            </w:r>
            <w:r>
              <w:rPr>
                <w:rStyle w:val="TOCTitleChar2"/>
                <w:noProof/>
                <w:iCs/>
              </w:rPr>
              <w:t>
            Notes following Burnham
          </w:t>
            </w:r>
            <w:r>
              <w:rPr>
                <w:noProof/>
                <w:webHidden/>
              </w:rPr>
              <w:tab/>
            </w:r>
            <w:r>
              <w:rPr>
                <w:noProof/>
                <w:webHidden/>
              </w:rPr>
              <w:fldChar w:fldCharType="begin"/>
            </w:r>
            <w:r>
              <w:rPr>
                <w:noProof/>
                <w:webHidden/>
              </w:rPr>
              <w:instrText xml:space="preserve"> PAGEREF _auto_toc_87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88" w:history="1">
            <w:r>
              <w:rPr>
                <w:rStyle w:val="TOCOrdinalChar2"/>
                <w:noProof/>
                <w:iCs/>
              </w:rPr>
              <w:t>
            8.4
          </w:t>
            </w:r>
            <w:r>
              <w:rPr>
                <w:noProof/>
                <w:webHidden/>
              </w:rPr>
              <w:tab/>
            </w:r>
            <w:r>
              <w:rPr>
                <w:rStyle w:val="TOCTitleChar2"/>
                <w:noProof/>
                <w:iCs/>
              </w:rPr>
              <w:t>
            Grace v. MacArthur
          </w:t>
            </w:r>
            <w:r>
              <w:rPr>
                <w:noProof/>
                <w:webHidden/>
              </w:rPr>
              <w:tab/>
            </w:r>
            <w:r>
              <w:rPr>
                <w:noProof/>
                <w:webHidden/>
              </w:rPr>
              <w:fldChar w:fldCharType="begin"/>
            </w:r>
            <w:r>
              <w:rPr>
                <w:noProof/>
                <w:webHidden/>
              </w:rPr>
              <w:instrText xml:space="preserve"> PAGEREF _auto_toc_88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89" w:history="1">
            <w:r>
              <w:rPr>
                <w:rStyle w:val="TOCOrdinalChar2"/>
                <w:noProof/>
                <w:iCs/>
              </w:rPr>
              <w:t>
            8.5
          </w:t>
            </w:r>
            <w:r>
              <w:rPr>
                <w:noProof/>
                <w:webHidden/>
              </w:rPr>
              <w:tab/>
            </w:r>
            <w:r>
              <w:rPr>
                <w:rStyle w:val="TOCTitleChar2"/>
                <w:noProof/>
                <w:iCs/>
              </w:rPr>
              <w:t>
            Notes following Grace v. MacArthur
          </w:t>
            </w:r>
            <w:r>
              <w:rPr>
                <w:noProof/>
                <w:webHidden/>
              </w:rPr>
              <w:tab/>
            </w:r>
            <w:r>
              <w:rPr>
                <w:noProof/>
                <w:webHidden/>
              </w:rPr>
              <w:fldChar w:fldCharType="begin"/>
            </w:r>
            <w:r>
              <w:rPr>
                <w:noProof/>
                <w:webHidden/>
              </w:rPr>
              <w:instrText xml:space="preserve"> PAGEREF _auto_toc_89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90" w:history="1">
            <w:r>
              <w:rPr>
                <w:rStyle w:val="TOCOrdinalChar2"/>
                <w:noProof/>
                <w:iCs/>
              </w:rPr>
              <w:t>
            8.6
          </w:t>
            </w:r>
            <w:r>
              <w:rPr>
                <w:noProof/>
                <w:webHidden/>
              </w:rPr>
              <w:tab/>
            </w:r>
            <w:r>
              <w:rPr>
                <w:rStyle w:val="TOCTitleChar2"/>
                <w:noProof/>
                <w:iCs/>
              </w:rPr>
              <w:t>
            Griffis v. Luban
          </w:t>
            </w:r>
            <w:r>
              <w:rPr>
                <w:noProof/>
                <w:webHidden/>
              </w:rPr>
              <w:tab/>
            </w:r>
            <w:r>
              <w:rPr>
                <w:noProof/>
                <w:webHidden/>
              </w:rPr>
              <w:fldChar w:fldCharType="begin"/>
            </w:r>
            <w:r>
              <w:rPr>
                <w:noProof/>
                <w:webHidden/>
              </w:rPr>
              <w:instrText xml:space="preserve"> PAGEREF _auto_toc_90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91" w:history="1">
            <w:r>
              <w:rPr>
                <w:rStyle w:val="TOCOrdinalChar2"/>
                <w:noProof/>
                <w:iCs/>
              </w:rPr>
              <w:t>
            8.7
          </w:t>
            </w:r>
            <w:r>
              <w:rPr>
                <w:noProof/>
                <w:webHidden/>
              </w:rPr>
              <w:tab/>
            </w:r>
            <w:r>
              <w:rPr>
                <w:rStyle w:val="TOCTitleChar2"/>
                <w:noProof/>
                <w:iCs/>
              </w:rPr>
              <w:t>
            Notes following Griffis v. Luban
          </w:t>
            </w:r>
            <w:r>
              <w:rPr>
                <w:noProof/>
                <w:webHidden/>
              </w:rPr>
              <w:tab/>
            </w:r>
            <w:r>
              <w:rPr>
                <w:noProof/>
                <w:webHidden/>
              </w:rPr>
              <w:fldChar w:fldCharType="begin"/>
            </w:r>
            <w:r>
              <w:rPr>
                <w:noProof/>
                <w:webHidden/>
              </w:rPr>
              <w:instrText xml:space="preserve"> PAGEREF _auto_toc_91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92" w:history="1">
            <w:r>
              <w:rPr>
                <w:rStyle w:val="TOCOrdinalChar2"/>
                <w:noProof/>
                <w:iCs/>
              </w:rPr>
              <w:t>
            8.8
          </w:t>
            </w:r>
            <w:r>
              <w:rPr>
                <w:noProof/>
                <w:webHidden/>
              </w:rPr>
              <w:tab/>
            </w:r>
            <w:r>
              <w:rPr>
                <w:rStyle w:val="TOCTitleChar2"/>
                <w:noProof/>
                <w:iCs/>
              </w:rPr>
              <w:t>
            Video Conferencing, Web Conferencing, Webinars, Screen Sharing - Zoom
          </w:t>
            </w:r>
            <w:r>
              <w:rPr>
                <w:noProof/>
                <w:webHidden/>
              </w:rPr>
              <w:tab/>
            </w:r>
            <w:r>
              <w:rPr>
                <w:noProof/>
                <w:webHidden/>
              </w:rPr>
              <w:fldChar w:fldCharType="begin"/>
            </w:r>
            <w:r>
              <w:rPr>
                <w:noProof/>
                <w:webHidden/>
              </w:rPr>
              <w:instrText xml:space="preserve"> PAGEREF _auto_toc_92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93" w:history="1">
            <w:r>
              <w:rPr>
                <w:rStyle w:val="TOCOrdinalChar2"/>
                <w:noProof/>
                <w:iCs/>
              </w:rPr>
              <w:t>
            8.9
          </w:t>
            </w:r>
            <w:r>
              <w:rPr>
                <w:noProof/>
                <w:webHidden/>
              </w:rPr>
              <w:tab/>
            </w:r>
            <w:r>
              <w:rPr>
                <w:rStyle w:val="TOCTitleChar2"/>
                <w:noProof/>
                <w:iCs/>
              </w:rPr>
              <w:t>
            Class 8 Practice Questions
          </w:t>
            </w:r>
            <w:r>
              <w:rPr>
                <w:noProof/>
                <w:webHidden/>
              </w:rPr>
              <w:tab/>
            </w:r>
            <w:r>
              <w:rPr>
                <w:noProof/>
                <w:webHidden/>
              </w:rPr>
              <w:fldChar w:fldCharType="begin"/>
            </w:r>
            <w:r>
              <w:rPr>
                <w:noProof/>
                <w:webHidden/>
              </w:rPr>
              <w:instrText xml:space="preserve"> PAGEREF _auto_toc_93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94" w:history="1">
            <w:r>
              <w:rPr>
                <w:rStyle w:val="TOCOrdinalChar1"/>
                <w:noProof/>
                <w:iCs/>
              </w:rPr>
              <w:t>
            9
          </w:t>
            </w:r>
            <w:r>
              <w:rPr>
                <w:noProof/>
                <w:webHidden/>
              </w:rPr>
              <w:tab/>
            </w:r>
            <w:r>
              <w:rPr>
                <w:rStyle w:val="TOCTitleChar1"/>
                <w:noProof/>
                <w:iCs/>
              </w:rPr>
              <w:t>
            Day 9
          </w:t>
            </w:r>
            <w:r>
              <w:rPr>
                <w:noProof/>
                <w:webHidden/>
              </w:rPr>
              <w:tab/>
            </w:r>
            <w:r>
              <w:rPr>
                <w:noProof/>
                <w:webHidden/>
              </w:rPr>
              <w:fldChar w:fldCharType="begin"/>
            </w:r>
            <w:r>
              <w:rPr>
                <w:noProof/>
                <w:webHidden/>
              </w:rPr>
              <w:instrText xml:space="preserve"> PAGEREF _auto_toc_94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95" w:history="1">
            <w:r>
              <w:rPr>
                <w:rStyle w:val="TOCOrdinalChar2"/>
                <w:noProof/>
                <w:iCs/>
              </w:rPr>
              <w:t>
            9.1
          </w:t>
            </w:r>
            <w:r>
              <w:rPr>
                <w:noProof/>
                <w:webHidden/>
              </w:rPr>
              <w:tab/>
            </w:r>
            <w:r>
              <w:rPr>
                <w:rStyle w:val="TOCTitleChar2"/>
                <w:noProof/>
                <w:iCs/>
              </w:rPr>
              <w:t>
            Venue, Forum Non Conveniens, and Federal Court Transfers
          </w:t>
            </w:r>
            <w:r>
              <w:rPr>
                <w:noProof/>
                <w:webHidden/>
              </w:rPr>
              <w:tab/>
            </w:r>
            <w:r>
              <w:rPr>
                <w:noProof/>
                <w:webHidden/>
              </w:rPr>
              <w:fldChar w:fldCharType="begin"/>
            </w:r>
            <w:r>
              <w:rPr>
                <w:noProof/>
                <w:webHidden/>
              </w:rPr>
              <w:instrText xml:space="preserve"> PAGEREF _auto_toc_95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96" w:history="1">
            <w:r>
              <w:rPr>
                <w:rStyle w:val="TOCOrdinalChar2"/>
                <w:noProof/>
                <w:iCs/>
              </w:rPr>
              <w:t>
            9.2
          </w:t>
            </w:r>
            <w:r>
              <w:rPr>
                <w:noProof/>
                <w:webHidden/>
              </w:rPr>
              <w:tab/>
            </w:r>
            <w:r>
              <w:rPr>
                <w:rStyle w:val="TOCTitleChar2"/>
                <w:noProof/>
                <w:iCs/>
              </w:rPr>
              <w:t>
            Statutes
          </w:t>
            </w:r>
            <w:r>
              <w:rPr>
                <w:noProof/>
                <w:webHidden/>
              </w:rPr>
              <w:tab/>
            </w:r>
            <w:r>
              <w:rPr>
                <w:noProof/>
                <w:webHidden/>
              </w:rPr>
              <w:fldChar w:fldCharType="begin"/>
            </w:r>
            <w:r>
              <w:rPr>
                <w:noProof/>
                <w:webHidden/>
              </w:rPr>
              <w:instrText xml:space="preserve"> PAGEREF _auto_toc_96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97" w:history="1">
            <w:r>
              <w:rPr>
                <w:rStyle w:val="TOCOrdinalChar2"/>
                <w:noProof/>
                <w:iCs/>
              </w:rPr>
              <w:t>
            9.3
          </w:t>
            </w:r>
            <w:r>
              <w:rPr>
                <w:noProof/>
                <w:webHidden/>
              </w:rPr>
              <w:tab/>
            </w:r>
            <w:r>
              <w:rPr>
                <w:rStyle w:val="TOCTitleChar2"/>
                <w:noProof/>
                <w:iCs/>
              </w:rPr>
              <w:t>
            Gulf Oil Corp. v. Gilbert
          </w:t>
            </w:r>
            <w:r>
              <w:rPr>
                <w:noProof/>
                <w:webHidden/>
              </w:rPr>
              <w:tab/>
            </w:r>
            <w:r>
              <w:rPr>
                <w:noProof/>
                <w:webHidden/>
              </w:rPr>
              <w:fldChar w:fldCharType="begin"/>
            </w:r>
            <w:r>
              <w:rPr>
                <w:noProof/>
                <w:webHidden/>
              </w:rPr>
              <w:instrText xml:space="preserve"> PAGEREF _auto_toc_97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98" w:history="1">
            <w:r>
              <w:rPr>
                <w:rStyle w:val="TOCOrdinalChar2"/>
                <w:noProof/>
                <w:iCs/>
              </w:rPr>
              <w:t>
            9.4
          </w:t>
            </w:r>
            <w:r>
              <w:rPr>
                <w:noProof/>
                <w:webHidden/>
              </w:rPr>
              <w:tab/>
            </w:r>
            <w:r>
              <w:rPr>
                <w:rStyle w:val="TOCTitleChar2"/>
                <w:noProof/>
                <w:iCs/>
              </w:rPr>
              <w:t>
            Piper Aircraft Co. v. Reyno
          </w:t>
            </w:r>
            <w:r>
              <w:rPr>
                <w:noProof/>
                <w:webHidden/>
              </w:rPr>
              <w:tab/>
            </w:r>
            <w:r>
              <w:rPr>
                <w:noProof/>
                <w:webHidden/>
              </w:rPr>
              <w:fldChar w:fldCharType="begin"/>
            </w:r>
            <w:r>
              <w:rPr>
                <w:noProof/>
                <w:webHidden/>
              </w:rPr>
              <w:instrText xml:space="preserve"> PAGEREF _auto_toc_98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99" w:history="1">
            <w:r>
              <w:rPr>
                <w:rStyle w:val="TOCOrdinalChar2"/>
                <w:noProof/>
                <w:iCs/>
              </w:rPr>
              <w:t>
            9.5
          </w:t>
            </w:r>
            <w:r>
              <w:rPr>
                <w:noProof/>
                <w:webHidden/>
              </w:rPr>
              <w:tab/>
            </w:r>
            <w:r>
              <w:rPr>
                <w:rStyle w:val="TOCTitleChar2"/>
                <w:noProof/>
                <w:iCs/>
              </w:rPr>
              <w:t>
            Goldlawr, Inc. v. Heiman
          </w:t>
            </w:r>
            <w:r>
              <w:rPr>
                <w:noProof/>
                <w:webHidden/>
              </w:rPr>
              <w:tab/>
            </w:r>
            <w:r>
              <w:rPr>
                <w:noProof/>
                <w:webHidden/>
              </w:rPr>
              <w:fldChar w:fldCharType="begin"/>
            </w:r>
            <w:r>
              <w:rPr>
                <w:noProof/>
                <w:webHidden/>
              </w:rPr>
              <w:instrText xml:space="preserve"> PAGEREF _auto_toc_99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00" w:history="1">
            <w:r>
              <w:rPr>
                <w:rStyle w:val="TOCOrdinalChar2"/>
                <w:noProof/>
                <w:iCs/>
              </w:rPr>
              <w:t>
            9.6
          </w:t>
            </w:r>
            <w:r>
              <w:rPr>
                <w:noProof/>
                <w:webHidden/>
              </w:rPr>
              <w:tab/>
            </w:r>
            <w:r>
              <w:rPr>
                <w:rStyle w:val="TOCTitleChar2"/>
                <w:noProof/>
                <w:iCs/>
              </w:rPr>
              <w:t>
            Hoffman v. Blaski
          </w:t>
            </w:r>
            <w:r>
              <w:rPr>
                <w:noProof/>
                <w:webHidden/>
              </w:rPr>
              <w:tab/>
            </w:r>
            <w:r>
              <w:rPr>
                <w:noProof/>
                <w:webHidden/>
              </w:rPr>
              <w:fldChar w:fldCharType="begin"/>
            </w:r>
            <w:r>
              <w:rPr>
                <w:noProof/>
                <w:webHidden/>
              </w:rPr>
              <w:instrText xml:space="preserve"> PAGEREF _auto_toc_100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01" w:history="1">
            <w:r>
              <w:rPr>
                <w:rStyle w:val="TOCOrdinalChar2"/>
                <w:noProof/>
                <w:iCs/>
              </w:rPr>
              <w:t>
            9.7
          </w:t>
            </w:r>
            <w:r>
              <w:rPr>
                <w:noProof/>
                <w:webHidden/>
              </w:rPr>
              <w:tab/>
            </w:r>
            <w:r>
              <w:rPr>
                <w:rStyle w:val="TOCTitleChar2"/>
                <w:noProof/>
                <w:iCs/>
              </w:rPr>
              <w:t>
            Van Dusen v. Barrack
          </w:t>
            </w:r>
            <w:r>
              <w:rPr>
                <w:noProof/>
                <w:webHidden/>
              </w:rPr>
              <w:tab/>
            </w:r>
            <w:r>
              <w:rPr>
                <w:noProof/>
                <w:webHidden/>
              </w:rPr>
              <w:fldChar w:fldCharType="begin"/>
            </w:r>
            <w:r>
              <w:rPr>
                <w:noProof/>
                <w:webHidden/>
              </w:rPr>
              <w:instrText xml:space="preserve"> PAGEREF _auto_toc_101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02" w:history="1">
            <w:r>
              <w:rPr>
                <w:rStyle w:val="TOCOrdinalChar2"/>
                <w:noProof/>
                <w:iCs/>
              </w:rPr>
              <w:t>
            9.8
          </w:t>
            </w:r>
            <w:r>
              <w:rPr>
                <w:noProof/>
                <w:webHidden/>
              </w:rPr>
              <w:tab/>
            </w:r>
            <w:r>
              <w:rPr>
                <w:rStyle w:val="TOCTitleChar2"/>
                <w:noProof/>
                <w:iCs/>
              </w:rPr>
              <w:t>
            Ferens v. John Deere Co.
          </w:t>
            </w:r>
            <w:r>
              <w:rPr>
                <w:noProof/>
                <w:webHidden/>
              </w:rPr>
              <w:tab/>
            </w:r>
            <w:r>
              <w:rPr>
                <w:noProof/>
                <w:webHidden/>
              </w:rPr>
              <w:fldChar w:fldCharType="begin"/>
            </w:r>
            <w:r>
              <w:rPr>
                <w:noProof/>
                <w:webHidden/>
              </w:rPr>
              <w:instrText xml:space="preserve"> PAGEREF _auto_toc_102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03" w:history="1">
            <w:r>
              <w:rPr>
                <w:rStyle w:val="TOCOrdinalChar2"/>
                <w:noProof/>
                <w:iCs/>
              </w:rPr>
              <w:t>
            9.9
          </w:t>
            </w:r>
            <w:r>
              <w:rPr>
                <w:noProof/>
                <w:webHidden/>
              </w:rPr>
              <w:tab/>
            </w:r>
            <w:r>
              <w:rPr>
                <w:rStyle w:val="TOCTitleChar2"/>
                <w:noProof/>
                <w:iCs/>
              </w:rPr>
              <w:t>
            Atlantic Marine Construction Co., Inc. v. U.S. District Court for the Western District of Texas
          </w:t>
            </w:r>
            <w:r>
              <w:rPr>
                <w:noProof/>
                <w:webHidden/>
              </w:rPr>
              <w:tab/>
            </w:r>
            <w:r>
              <w:rPr>
                <w:noProof/>
                <w:webHidden/>
              </w:rPr>
              <w:fldChar w:fldCharType="begin"/>
            </w:r>
            <w:r>
              <w:rPr>
                <w:noProof/>
                <w:webHidden/>
              </w:rPr>
              <w:instrText xml:space="preserve"> PAGEREF _auto_toc_103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04" w:history="1">
            <w:r>
              <w:rPr>
                <w:rStyle w:val="TOCOrdinalChar2"/>
                <w:noProof/>
                <w:iCs/>
              </w:rPr>
              <w:t>
            9.10
          </w:t>
            </w:r>
            <w:r>
              <w:rPr>
                <w:noProof/>
                <w:webHidden/>
              </w:rPr>
              <w:tab/>
            </w:r>
            <w:r>
              <w:rPr>
                <w:rStyle w:val="TOCTitleChar2"/>
                <w:noProof/>
                <w:iCs/>
              </w:rPr>
              <w:t>
            Statutes and Constitutional Provisions
          </w:t>
            </w:r>
            <w:r>
              <w:rPr>
                <w:noProof/>
                <w:webHidden/>
              </w:rPr>
              <w:tab/>
            </w:r>
            <w:r>
              <w:rPr>
                <w:noProof/>
                <w:webHidden/>
              </w:rPr>
              <w:fldChar w:fldCharType="begin"/>
            </w:r>
            <w:r>
              <w:rPr>
                <w:noProof/>
                <w:webHidden/>
              </w:rPr>
              <w:instrText xml:space="preserve"> PAGEREF _auto_toc_104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05" w:history="1">
            <w:r>
              <w:rPr>
                <w:rStyle w:val="TOCOrdinalChar2"/>
                <w:noProof/>
                <w:iCs/>
              </w:rPr>
              <w:t>
            9.11
          </w:t>
            </w:r>
            <w:r>
              <w:rPr>
                <w:noProof/>
                <w:webHidden/>
              </w:rPr>
              <w:tab/>
            </w:r>
            <w:r>
              <w:rPr>
                <w:rStyle w:val="TOCTitleChar2"/>
                <w:noProof/>
                <w:iCs/>
              </w:rPr>
              <w:t>
            Video (14 min)
          </w:t>
            </w:r>
            <w:r>
              <w:rPr>
                <w:noProof/>
                <w:webHidden/>
              </w:rPr>
              <w:tab/>
            </w:r>
            <w:r>
              <w:rPr>
                <w:noProof/>
                <w:webHidden/>
              </w:rPr>
              <w:fldChar w:fldCharType="begin"/>
            </w:r>
            <w:r>
              <w:rPr>
                <w:noProof/>
                <w:webHidden/>
              </w:rPr>
              <w:instrText xml:space="preserve"> PAGEREF _auto_toc_105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06" w:history="1">
            <w:r>
              <w:rPr>
                <w:rStyle w:val="TOCOrdinalChar2"/>
                <w:noProof/>
                <w:iCs/>
              </w:rPr>
              <w:t>
            9.12
          </w:t>
            </w:r>
            <w:r>
              <w:rPr>
                <w:noProof/>
                <w:webHidden/>
              </w:rPr>
              <w:tab/>
            </w:r>
            <w:r>
              <w:rPr>
                <w:rStyle w:val="TOCTitleChar2"/>
                <w:noProof/>
                <w:iCs/>
              </w:rPr>
              <w:t>
            Swift v. Tyson
          </w:t>
            </w:r>
            <w:r>
              <w:rPr>
                <w:noProof/>
                <w:webHidden/>
              </w:rPr>
              <w:tab/>
            </w:r>
            <w:r>
              <w:rPr>
                <w:noProof/>
                <w:webHidden/>
              </w:rPr>
              <w:fldChar w:fldCharType="begin"/>
            </w:r>
            <w:r>
              <w:rPr>
                <w:noProof/>
                <w:webHidden/>
              </w:rPr>
              <w:instrText xml:space="preserve"> PAGEREF _auto_toc_106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07" w:history="1">
            <w:r>
              <w:rPr>
                <w:rStyle w:val="TOCOrdinalChar2"/>
                <w:noProof/>
                <w:iCs/>
              </w:rPr>
              <w:t>
            9.13
          </w:t>
            </w:r>
            <w:r>
              <w:rPr>
                <w:noProof/>
                <w:webHidden/>
              </w:rPr>
              <w:tab/>
            </w:r>
            <w:r>
              <w:rPr>
                <w:rStyle w:val="TOCTitleChar2"/>
                <w:noProof/>
                <w:iCs/>
              </w:rPr>
              <w:t>
            Erie Railroad v. Tompkins
          </w:t>
            </w:r>
            <w:r>
              <w:rPr>
                <w:noProof/>
                <w:webHidden/>
              </w:rPr>
              <w:tab/>
            </w:r>
            <w:r>
              <w:rPr>
                <w:noProof/>
                <w:webHidden/>
              </w:rPr>
              <w:fldChar w:fldCharType="begin"/>
            </w:r>
            <w:r>
              <w:rPr>
                <w:noProof/>
                <w:webHidden/>
              </w:rPr>
              <w:instrText xml:space="preserve"> PAGEREF _auto_toc_107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08" w:history="1">
            <w:r>
              <w:rPr>
                <w:rStyle w:val="TOCOrdinalChar2"/>
                <w:noProof/>
                <w:iCs/>
              </w:rPr>
              <w:t>
            9.14
          </w:t>
            </w:r>
            <w:r>
              <w:rPr>
                <w:noProof/>
                <w:webHidden/>
              </w:rPr>
              <w:tab/>
            </w:r>
            <w:r>
              <w:rPr>
                <w:rStyle w:val="TOCTitleChar2"/>
                <w:noProof/>
                <w:iCs/>
              </w:rPr>
              <w:t>
            Notes following Erie
          </w:t>
            </w:r>
            <w:r>
              <w:rPr>
                <w:noProof/>
                <w:webHidden/>
              </w:rPr>
              <w:tab/>
            </w:r>
            <w:r>
              <w:rPr>
                <w:noProof/>
                <w:webHidden/>
              </w:rPr>
              <w:fldChar w:fldCharType="begin"/>
            </w:r>
            <w:r>
              <w:rPr>
                <w:noProof/>
                <w:webHidden/>
              </w:rPr>
              <w:instrText xml:space="preserve"> PAGEREF _auto_toc_108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109" w:history="1">
            <w:r>
              <w:rPr>
                <w:rStyle w:val="TOCOrdinalChar1"/>
                <w:noProof/>
                <w:iCs/>
              </w:rPr>
              <w:t>
            10
          </w:t>
            </w:r>
            <w:r>
              <w:rPr>
                <w:noProof/>
                <w:webHidden/>
              </w:rPr>
              <w:tab/>
            </w:r>
            <w:r>
              <w:rPr>
                <w:rStyle w:val="TOCTitleChar1"/>
                <w:noProof/>
                <w:iCs/>
              </w:rPr>
              <w:t>
            Day 10
          </w:t>
            </w:r>
            <w:r>
              <w:rPr>
                <w:noProof/>
                <w:webHidden/>
              </w:rPr>
              <w:tab/>
            </w:r>
            <w:r>
              <w:rPr>
                <w:noProof/>
                <w:webHidden/>
              </w:rPr>
              <w:fldChar w:fldCharType="begin"/>
            </w:r>
            <w:r>
              <w:rPr>
                <w:noProof/>
                <w:webHidden/>
              </w:rPr>
              <w:instrText xml:space="preserve"> PAGEREF _auto_toc_109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10" w:history="1">
            <w:r>
              <w:rPr>
                <w:rStyle w:val="TOCOrdinalChar2"/>
                <w:noProof/>
                <w:iCs/>
              </w:rPr>
              <w:t>
            10.1
          </w:t>
            </w:r>
            <w:r>
              <w:rPr>
                <w:noProof/>
                <w:webHidden/>
              </w:rPr>
              <w:tab/>
            </w:r>
            <w:r>
              <w:rPr>
                <w:rStyle w:val="TOCTitleChar2"/>
                <w:noProof/>
                <w:iCs/>
              </w:rPr>
              <w:t>
            Rules and Statutes
          </w:t>
            </w:r>
            <w:r>
              <w:rPr>
                <w:noProof/>
                <w:webHidden/>
              </w:rPr>
              <w:tab/>
            </w:r>
            <w:r>
              <w:rPr>
                <w:noProof/>
                <w:webHidden/>
              </w:rPr>
              <w:fldChar w:fldCharType="begin"/>
            </w:r>
            <w:r>
              <w:rPr>
                <w:noProof/>
                <w:webHidden/>
              </w:rPr>
              <w:instrText xml:space="preserve"> PAGEREF _auto_toc_110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11" w:history="1">
            <w:r>
              <w:rPr>
                <w:rStyle w:val="TOCOrdinalChar2"/>
                <w:noProof/>
                <w:iCs/>
              </w:rPr>
              <w:t>
            10.2
          </w:t>
            </w:r>
            <w:r>
              <w:rPr>
                <w:noProof/>
                <w:webHidden/>
              </w:rPr>
              <w:tab/>
            </w:r>
            <w:r>
              <w:rPr>
                <w:rStyle w:val="TOCTitleChar2"/>
                <w:noProof/>
                <w:iCs/>
              </w:rPr>
              <w:t>
            Notice and Service of Process
          </w:t>
            </w:r>
            <w:r>
              <w:rPr>
                <w:noProof/>
                <w:webHidden/>
              </w:rPr>
              <w:tab/>
            </w:r>
            <w:r>
              <w:rPr>
                <w:noProof/>
                <w:webHidden/>
              </w:rPr>
              <w:fldChar w:fldCharType="begin"/>
            </w:r>
            <w:r>
              <w:rPr>
                <w:noProof/>
                <w:webHidden/>
              </w:rPr>
              <w:instrText xml:space="preserve"> PAGEREF _auto_toc_111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12" w:history="1">
            <w:r>
              <w:rPr>
                <w:rStyle w:val="TOCOrdinalChar2"/>
                <w:noProof/>
                <w:iCs/>
              </w:rPr>
              <w:t>
            10.3
          </w:t>
            </w:r>
            <w:r>
              <w:rPr>
                <w:noProof/>
                <w:webHidden/>
              </w:rPr>
              <w:tab/>
            </w:r>
            <w:r>
              <w:rPr>
                <w:rStyle w:val="TOCTitleChar2"/>
                <w:noProof/>
                <w:iCs/>
              </w:rPr>
              <w:t>
            Video (12 min)
          </w:t>
            </w:r>
            <w:r>
              <w:rPr>
                <w:noProof/>
                <w:webHidden/>
              </w:rPr>
              <w:tab/>
            </w:r>
            <w:r>
              <w:rPr>
                <w:noProof/>
                <w:webHidden/>
              </w:rPr>
              <w:fldChar w:fldCharType="begin"/>
            </w:r>
            <w:r>
              <w:rPr>
                <w:noProof/>
                <w:webHidden/>
              </w:rPr>
              <w:instrText xml:space="preserve"> PAGEREF _auto_toc_112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13" w:history="1">
            <w:r>
              <w:rPr>
                <w:rStyle w:val="TOCOrdinalChar2"/>
                <w:noProof/>
                <w:iCs/>
              </w:rPr>
              <w:t>
            10.4
          </w:t>
            </w:r>
            <w:r>
              <w:rPr>
                <w:noProof/>
                <w:webHidden/>
              </w:rPr>
              <w:tab/>
            </w:r>
            <w:r>
              <w:rPr>
                <w:rStyle w:val="TOCTitleChar2"/>
                <w:noProof/>
                <w:iCs/>
              </w:rPr>
              <w:t>
            Guaranty Trust Co. v. York
          </w:t>
            </w:r>
            <w:r>
              <w:rPr>
                <w:noProof/>
                <w:webHidden/>
              </w:rPr>
              <w:tab/>
            </w:r>
            <w:r>
              <w:rPr>
                <w:noProof/>
                <w:webHidden/>
              </w:rPr>
              <w:fldChar w:fldCharType="begin"/>
            </w:r>
            <w:r>
              <w:rPr>
                <w:noProof/>
                <w:webHidden/>
              </w:rPr>
              <w:instrText xml:space="preserve"> PAGEREF _auto_toc_113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14" w:history="1">
            <w:r>
              <w:rPr>
                <w:rStyle w:val="TOCOrdinalChar2"/>
                <w:noProof/>
                <w:iCs/>
              </w:rPr>
              <w:t>
            10.5
          </w:t>
            </w:r>
            <w:r>
              <w:rPr>
                <w:noProof/>
                <w:webHidden/>
              </w:rPr>
              <w:tab/>
            </w:r>
            <w:r>
              <w:rPr>
                <w:rStyle w:val="TOCTitleChar2"/>
                <w:noProof/>
                <w:iCs/>
              </w:rPr>
              <w:t>
            Notes following York
          </w:t>
            </w:r>
            <w:r>
              <w:rPr>
                <w:noProof/>
                <w:webHidden/>
              </w:rPr>
              <w:tab/>
            </w:r>
            <w:r>
              <w:rPr>
                <w:noProof/>
                <w:webHidden/>
              </w:rPr>
              <w:fldChar w:fldCharType="begin"/>
            </w:r>
            <w:r>
              <w:rPr>
                <w:noProof/>
                <w:webHidden/>
              </w:rPr>
              <w:instrText xml:space="preserve"> PAGEREF _auto_toc_114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15" w:history="1">
            <w:r>
              <w:rPr>
                <w:rStyle w:val="TOCOrdinalChar2"/>
                <w:noProof/>
                <w:iCs/>
              </w:rPr>
              <w:t>
            10.6
          </w:t>
            </w:r>
            <w:r>
              <w:rPr>
                <w:noProof/>
                <w:webHidden/>
              </w:rPr>
              <w:tab/>
            </w:r>
            <w:r>
              <w:rPr>
                <w:rStyle w:val="TOCTitleChar2"/>
                <w:noProof/>
                <w:iCs/>
              </w:rPr>
              <w:t>
            Erie Board Notes
          </w:t>
            </w:r>
            <w:r>
              <w:rPr>
                <w:noProof/>
                <w:webHidden/>
              </w:rPr>
              <w:tab/>
            </w:r>
            <w:r>
              <w:rPr>
                <w:noProof/>
                <w:webHidden/>
              </w:rPr>
              <w:fldChar w:fldCharType="begin"/>
            </w:r>
            <w:r>
              <w:rPr>
                <w:noProof/>
                <w:webHidden/>
              </w:rPr>
              <w:instrText xml:space="preserve"> PAGEREF _auto_toc_115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16" w:history="1">
            <w:r>
              <w:rPr>
                <w:rStyle w:val="TOCOrdinalChar2"/>
                <w:noProof/>
                <w:iCs/>
              </w:rPr>
              <w:t>
            10.7
          </w:t>
            </w:r>
            <w:r>
              <w:rPr>
                <w:noProof/>
                <w:webHidden/>
              </w:rPr>
              <w:tab/>
            </w:r>
            <w:r>
              <w:rPr>
                <w:rStyle w:val="TOCTitleChar2"/>
                <w:noProof/>
                <w:iCs/>
              </w:rPr>
              <w:t>
            The Rules Enabling Act
          </w:t>
            </w:r>
            <w:r>
              <w:rPr>
                <w:noProof/>
                <w:webHidden/>
              </w:rPr>
              <w:tab/>
            </w:r>
            <w:r>
              <w:rPr>
                <w:noProof/>
                <w:webHidden/>
              </w:rPr>
              <w:fldChar w:fldCharType="begin"/>
            </w:r>
            <w:r>
              <w:rPr>
                <w:noProof/>
                <w:webHidden/>
              </w:rPr>
              <w:instrText xml:space="preserve"> PAGEREF _auto_toc_116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17" w:history="1">
            <w:r>
              <w:rPr>
                <w:rStyle w:val="TOCOrdinalChar2"/>
                <w:noProof/>
                <w:iCs/>
              </w:rPr>
              <w:t>
            10.8
          </w:t>
            </w:r>
            <w:r>
              <w:rPr>
                <w:noProof/>
                <w:webHidden/>
              </w:rPr>
              <w:tab/>
            </w:r>
            <w:r>
              <w:rPr>
                <w:rStyle w:val="TOCTitleChar2"/>
                <w:noProof/>
                <w:iCs/>
              </w:rPr>
              <w:t>
            Hanna v. Plumer
          </w:t>
            </w:r>
            <w:r>
              <w:rPr>
                <w:noProof/>
                <w:webHidden/>
              </w:rPr>
              <w:tab/>
            </w:r>
            <w:r>
              <w:rPr>
                <w:noProof/>
                <w:webHidden/>
              </w:rPr>
              <w:fldChar w:fldCharType="begin"/>
            </w:r>
            <w:r>
              <w:rPr>
                <w:noProof/>
                <w:webHidden/>
              </w:rPr>
              <w:instrText xml:space="preserve"> PAGEREF _auto_toc_117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18" w:history="1">
            <w:r>
              <w:rPr>
                <w:rStyle w:val="TOCOrdinalChar2"/>
                <w:noProof/>
                <w:iCs/>
              </w:rPr>
              <w:t>
            10.9
          </w:t>
            </w:r>
            <w:r>
              <w:rPr>
                <w:noProof/>
                <w:webHidden/>
              </w:rPr>
              <w:tab/>
            </w:r>
            <w:r>
              <w:rPr>
                <w:rStyle w:val="TOCTitleChar2"/>
                <w:noProof/>
                <w:iCs/>
              </w:rPr>
              <w:t>
            Notes following Hanna
          </w:t>
            </w:r>
            <w:r>
              <w:rPr>
                <w:noProof/>
                <w:webHidden/>
              </w:rPr>
              <w:tab/>
            </w:r>
            <w:r>
              <w:rPr>
                <w:noProof/>
                <w:webHidden/>
              </w:rPr>
              <w:fldChar w:fldCharType="begin"/>
            </w:r>
            <w:r>
              <w:rPr>
                <w:noProof/>
                <w:webHidden/>
              </w:rPr>
              <w:instrText xml:space="preserve"> PAGEREF _auto_toc_118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19" w:history="1">
            <w:r>
              <w:rPr>
                <w:rStyle w:val="TOCOrdinalChar2"/>
                <w:noProof/>
                <w:iCs/>
              </w:rPr>
              <w:t>
            10.10
          </w:t>
            </w:r>
            <w:r>
              <w:rPr>
                <w:noProof/>
                <w:webHidden/>
              </w:rPr>
              <w:tab/>
            </w:r>
            <w:r>
              <w:rPr>
                <w:rStyle w:val="TOCTitleChar2"/>
                <w:noProof/>
                <w:iCs/>
              </w:rPr>
              <w:t>
            Walker v. Armco Steel Corp.
          </w:t>
            </w:r>
            <w:r>
              <w:rPr>
                <w:noProof/>
                <w:webHidden/>
              </w:rPr>
              <w:tab/>
            </w:r>
            <w:r>
              <w:rPr>
                <w:noProof/>
                <w:webHidden/>
              </w:rPr>
              <w:fldChar w:fldCharType="begin"/>
            </w:r>
            <w:r>
              <w:rPr>
                <w:noProof/>
                <w:webHidden/>
              </w:rPr>
              <w:instrText xml:space="preserve"> PAGEREF _auto_toc_119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20" w:history="1">
            <w:r>
              <w:rPr>
                <w:rStyle w:val="TOCOrdinalChar2"/>
                <w:noProof/>
                <w:iCs/>
              </w:rPr>
              <w:t>
            10.11
          </w:t>
            </w:r>
            <w:r>
              <w:rPr>
                <w:noProof/>
                <w:webHidden/>
              </w:rPr>
              <w:tab/>
            </w:r>
            <w:r>
              <w:rPr>
                <w:rStyle w:val="TOCTitleChar2"/>
                <w:noProof/>
                <w:iCs/>
              </w:rPr>
              <w:t>
            Notes following Walker
          </w:t>
            </w:r>
            <w:r>
              <w:rPr>
                <w:noProof/>
                <w:webHidden/>
              </w:rPr>
              <w:tab/>
            </w:r>
            <w:r>
              <w:rPr>
                <w:noProof/>
                <w:webHidden/>
              </w:rPr>
              <w:fldChar w:fldCharType="begin"/>
            </w:r>
            <w:r>
              <w:rPr>
                <w:noProof/>
                <w:webHidden/>
              </w:rPr>
              <w:instrText xml:space="preserve"> PAGEREF _auto_toc_120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21" w:history="1">
            <w:r>
              <w:rPr>
                <w:rStyle w:val="TOCOrdinalChar2"/>
                <w:noProof/>
                <w:iCs/>
              </w:rPr>
              <w:t>
            10.12
          </w:t>
            </w:r>
            <w:r>
              <w:rPr>
                <w:noProof/>
                <w:webHidden/>
              </w:rPr>
              <w:tab/>
            </w:r>
            <w:r>
              <w:rPr>
                <w:rStyle w:val="TOCTitleChar2"/>
                <w:noProof/>
                <w:iCs/>
              </w:rPr>
              <w:t>
            Stewart Organization, Inc. v. Ricoh Corp.
          </w:t>
            </w:r>
            <w:r>
              <w:rPr>
                <w:noProof/>
                <w:webHidden/>
              </w:rPr>
              <w:tab/>
            </w:r>
            <w:r>
              <w:rPr>
                <w:noProof/>
                <w:webHidden/>
              </w:rPr>
              <w:fldChar w:fldCharType="begin"/>
            </w:r>
            <w:r>
              <w:rPr>
                <w:noProof/>
                <w:webHidden/>
              </w:rPr>
              <w:instrText xml:space="preserve"> PAGEREF _auto_toc_121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22" w:history="1">
            <w:r>
              <w:rPr>
                <w:rStyle w:val="TOCOrdinalChar2"/>
                <w:noProof/>
                <w:iCs/>
              </w:rPr>
              <w:t>
            10.13
          </w:t>
            </w:r>
            <w:r>
              <w:rPr>
                <w:noProof/>
                <w:webHidden/>
              </w:rPr>
              <w:tab/>
            </w:r>
            <w:r>
              <w:rPr>
                <w:rStyle w:val="TOCTitleChar2"/>
                <w:noProof/>
                <w:iCs/>
              </w:rPr>
              <w:t>
            Notes following Stewart
          </w:t>
            </w:r>
            <w:r>
              <w:rPr>
                <w:noProof/>
                <w:webHidden/>
              </w:rPr>
              <w:tab/>
            </w:r>
            <w:r>
              <w:rPr>
                <w:noProof/>
                <w:webHidden/>
              </w:rPr>
              <w:fldChar w:fldCharType="begin"/>
            </w:r>
            <w:r>
              <w:rPr>
                <w:noProof/>
                <w:webHidden/>
              </w:rPr>
              <w:instrText xml:space="preserve"> PAGEREF _auto_toc_122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23" w:history="1">
            <w:r>
              <w:rPr>
                <w:rStyle w:val="TOCOrdinalChar2"/>
                <w:noProof/>
                <w:iCs/>
              </w:rPr>
              <w:t>
            10.14
          </w:t>
            </w:r>
            <w:r>
              <w:rPr>
                <w:noProof/>
                <w:webHidden/>
              </w:rPr>
              <w:tab/>
            </w:r>
            <w:r>
              <w:rPr>
                <w:rStyle w:val="TOCTitleChar2"/>
                <w:noProof/>
                <w:iCs/>
              </w:rPr>
              <w:t>
            Not a Study Guide Handouts
          </w:t>
            </w:r>
            <w:r>
              <w:rPr>
                <w:noProof/>
                <w:webHidden/>
              </w:rPr>
              <w:tab/>
            </w:r>
            <w:r>
              <w:rPr>
                <w:noProof/>
                <w:webHidden/>
              </w:rPr>
              <w:fldChar w:fldCharType="begin"/>
            </w:r>
            <w:r>
              <w:rPr>
                <w:noProof/>
                <w:webHidden/>
              </w:rPr>
              <w:instrText xml:space="preserve"> PAGEREF _auto_toc_123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24" w:history="1">
            <w:r>
              <w:rPr>
                <w:rStyle w:val="TOCOrdinalChar2"/>
                <w:noProof/>
                <w:iCs/>
              </w:rPr>
              <w:t>
            10.15
          </w:t>
            </w:r>
            <w:r>
              <w:rPr>
                <w:noProof/>
                <w:webHidden/>
              </w:rPr>
              <w:tab/>
            </w:r>
            <w:r>
              <w:rPr>
                <w:rStyle w:val="TOCTitleChar2"/>
                <w:noProof/>
                <w:iCs/>
              </w:rPr>
              <w:t>
            Class 12 Oral Argument Video (8 min)
          </w:t>
            </w:r>
            <w:r>
              <w:rPr>
                <w:noProof/>
                <w:webHidden/>
              </w:rPr>
              <w:tab/>
            </w:r>
            <w:r>
              <w:rPr>
                <w:noProof/>
                <w:webHidden/>
              </w:rPr>
              <w:fldChar w:fldCharType="begin"/>
            </w:r>
            <w:r>
              <w:rPr>
                <w:noProof/>
                <w:webHidden/>
              </w:rPr>
              <w:instrText xml:space="preserve"> PAGEREF _auto_toc_124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125" w:history="1">
            <w:r>
              <w:rPr>
                <w:rStyle w:val="TOCOrdinalChar1"/>
                <w:noProof/>
                <w:iCs/>
              </w:rPr>
              <w:t>
            11
          </w:t>
            </w:r>
            <w:r>
              <w:rPr>
                <w:noProof/>
                <w:webHidden/>
              </w:rPr>
              <w:tab/>
            </w:r>
            <w:r>
              <w:rPr>
                <w:rStyle w:val="TOCTitleChar1"/>
                <w:noProof/>
                <w:iCs/>
              </w:rPr>
              <w:t>
            Day 11
          </w:t>
            </w:r>
            <w:r>
              <w:rPr>
                <w:noProof/>
                <w:webHidden/>
              </w:rPr>
              <w:tab/>
            </w:r>
            <w:r>
              <w:rPr>
                <w:noProof/>
                <w:webHidden/>
              </w:rPr>
              <w:fldChar w:fldCharType="begin"/>
            </w:r>
            <w:r>
              <w:rPr>
                <w:noProof/>
                <w:webHidden/>
              </w:rPr>
              <w:instrText xml:space="preserve"> PAGEREF _auto_toc_125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26" w:history="1">
            <w:r>
              <w:rPr>
                <w:rStyle w:val="TOCOrdinalChar2"/>
                <w:noProof/>
                <w:iCs/>
              </w:rPr>
              <w:t>
            11.1
          </w:t>
            </w:r>
            <w:r>
              <w:rPr>
                <w:noProof/>
                <w:webHidden/>
              </w:rPr>
              <w:tab/>
            </w:r>
            <w:r>
              <w:rPr>
                <w:rStyle w:val="TOCTitleChar2"/>
                <w:noProof/>
                <w:iCs/>
              </w:rPr>
              <w:t>
            Rules
          </w:t>
            </w:r>
            <w:r>
              <w:rPr>
                <w:noProof/>
                <w:webHidden/>
              </w:rPr>
              <w:tab/>
            </w:r>
            <w:r>
              <w:rPr>
                <w:noProof/>
                <w:webHidden/>
              </w:rPr>
              <w:fldChar w:fldCharType="begin"/>
            </w:r>
            <w:r>
              <w:rPr>
                <w:noProof/>
                <w:webHidden/>
              </w:rPr>
              <w:instrText xml:space="preserve"> PAGEREF _auto_toc_126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27" w:history="1">
            <w:r>
              <w:rPr>
                <w:rStyle w:val="TOCOrdinalChar2"/>
                <w:noProof/>
                <w:iCs/>
              </w:rPr>
              <w:t>
            11.2
          </w:t>
            </w:r>
            <w:r>
              <w:rPr>
                <w:noProof/>
                <w:webHidden/>
              </w:rPr>
              <w:tab/>
            </w:r>
            <w:r>
              <w:rPr>
                <w:rStyle w:val="TOCTitleChar2"/>
                <w:noProof/>
                <w:iCs/>
              </w:rPr>
              <w:t>
            Abrogated Forms
          </w:t>
            </w:r>
            <w:r>
              <w:rPr>
                <w:noProof/>
                <w:webHidden/>
              </w:rPr>
              <w:tab/>
            </w:r>
            <w:r>
              <w:rPr>
                <w:noProof/>
                <w:webHidden/>
              </w:rPr>
              <w:fldChar w:fldCharType="begin"/>
            </w:r>
            <w:r>
              <w:rPr>
                <w:noProof/>
                <w:webHidden/>
              </w:rPr>
              <w:instrText xml:space="preserve"> PAGEREF _auto_toc_127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28" w:history="1">
            <w:r>
              <w:rPr>
                <w:rStyle w:val="TOCOrdinalChar2"/>
                <w:noProof/>
                <w:iCs/>
              </w:rPr>
              <w:t>
            11.3
          </w:t>
            </w:r>
            <w:r>
              <w:rPr>
                <w:noProof/>
                <w:webHidden/>
              </w:rPr>
              <w:tab/>
            </w:r>
            <w:r>
              <w:rPr>
                <w:rStyle w:val="TOCTitleChar2"/>
                <w:noProof/>
                <w:iCs/>
              </w:rPr>
              <w:t>
            Code Pleading
          </w:t>
            </w:r>
            <w:r>
              <w:rPr>
                <w:noProof/>
                <w:webHidden/>
              </w:rPr>
              <w:tab/>
            </w:r>
            <w:r>
              <w:rPr>
                <w:noProof/>
                <w:webHidden/>
              </w:rPr>
              <w:fldChar w:fldCharType="begin"/>
            </w:r>
            <w:r>
              <w:rPr>
                <w:noProof/>
                <w:webHidden/>
              </w:rPr>
              <w:instrText xml:space="preserve"> PAGEREF _auto_toc_128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29" w:history="1">
            <w:r>
              <w:rPr>
                <w:rStyle w:val="TOCOrdinalChar2"/>
                <w:noProof/>
                <w:iCs/>
              </w:rPr>
              <w:t>
            11.4
          </w:t>
            </w:r>
            <w:r>
              <w:rPr>
                <w:noProof/>
                <w:webHidden/>
              </w:rPr>
              <w:tab/>
            </w:r>
            <w:r>
              <w:rPr>
                <w:rStyle w:val="TOCTitleChar2"/>
                <w:noProof/>
                <w:iCs/>
              </w:rPr>
              <w:t>
            Gillispie v. Goodyear Service Stores
          </w:t>
            </w:r>
            <w:r>
              <w:rPr>
                <w:noProof/>
                <w:webHidden/>
              </w:rPr>
              <w:tab/>
            </w:r>
            <w:r>
              <w:rPr>
                <w:noProof/>
                <w:webHidden/>
              </w:rPr>
              <w:fldChar w:fldCharType="begin"/>
            </w:r>
            <w:r>
              <w:rPr>
                <w:noProof/>
                <w:webHidden/>
              </w:rPr>
              <w:instrText xml:space="preserve"> PAGEREF _auto_toc_129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30" w:history="1">
            <w:r>
              <w:rPr>
                <w:rStyle w:val="TOCOrdinalChar2"/>
                <w:noProof/>
                <w:iCs/>
              </w:rPr>
              <w:t>
            11.5
          </w:t>
            </w:r>
            <w:r>
              <w:rPr>
                <w:noProof/>
                <w:webHidden/>
              </w:rPr>
              <w:tab/>
            </w:r>
            <w:r>
              <w:rPr>
                <w:rStyle w:val="TOCTitleChar2"/>
                <w:noProof/>
                <w:iCs/>
              </w:rPr>
              <w:t>
            Notes following Gillispie
          </w:t>
            </w:r>
            <w:r>
              <w:rPr>
                <w:noProof/>
                <w:webHidden/>
              </w:rPr>
              <w:tab/>
            </w:r>
            <w:r>
              <w:rPr>
                <w:noProof/>
                <w:webHidden/>
              </w:rPr>
              <w:fldChar w:fldCharType="begin"/>
            </w:r>
            <w:r>
              <w:rPr>
                <w:noProof/>
                <w:webHidden/>
              </w:rPr>
              <w:instrText xml:space="preserve"> PAGEREF _auto_toc_130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31" w:history="1">
            <w:r>
              <w:rPr>
                <w:rStyle w:val="TOCOrdinalChar2"/>
                <w:noProof/>
                <w:iCs/>
              </w:rPr>
              <w:t>
            11.6
          </w:t>
            </w:r>
            <w:r>
              <w:rPr>
                <w:noProof/>
                <w:webHidden/>
              </w:rPr>
              <w:tab/>
            </w:r>
            <w:r>
              <w:rPr>
                <w:rStyle w:val="TOCTitleChar2"/>
                <w:noProof/>
                <w:iCs/>
              </w:rPr>
              <w:t>
            Dioguardi v. Durning
          </w:t>
            </w:r>
            <w:r>
              <w:rPr>
                <w:noProof/>
                <w:webHidden/>
              </w:rPr>
              <w:tab/>
            </w:r>
            <w:r>
              <w:rPr>
                <w:noProof/>
                <w:webHidden/>
              </w:rPr>
              <w:fldChar w:fldCharType="begin"/>
            </w:r>
            <w:r>
              <w:rPr>
                <w:noProof/>
                <w:webHidden/>
              </w:rPr>
              <w:instrText xml:space="preserve"> PAGEREF _auto_toc_131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32" w:history="1">
            <w:r>
              <w:rPr>
                <w:rStyle w:val="TOCOrdinalChar2"/>
                <w:noProof/>
                <w:iCs/>
              </w:rPr>
              <w:t>
            11.7
          </w:t>
            </w:r>
            <w:r>
              <w:rPr>
                <w:noProof/>
                <w:webHidden/>
              </w:rPr>
              <w:tab/>
            </w:r>
            <w:r>
              <w:rPr>
                <w:rStyle w:val="TOCTitleChar2"/>
                <w:noProof/>
                <w:iCs/>
              </w:rPr>
              <w:t>
            Notes following Dioguardi
          </w:t>
            </w:r>
            <w:r>
              <w:rPr>
                <w:noProof/>
                <w:webHidden/>
              </w:rPr>
              <w:tab/>
            </w:r>
            <w:r>
              <w:rPr>
                <w:noProof/>
                <w:webHidden/>
              </w:rPr>
              <w:fldChar w:fldCharType="begin"/>
            </w:r>
            <w:r>
              <w:rPr>
                <w:noProof/>
                <w:webHidden/>
              </w:rPr>
              <w:instrText xml:space="preserve"> PAGEREF _auto_toc_132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33" w:history="1">
            <w:r>
              <w:rPr>
                <w:rStyle w:val="TOCOrdinalChar2"/>
                <w:noProof/>
                <w:iCs/>
              </w:rPr>
              <w:t>
            11.8
          </w:t>
            </w:r>
            <w:r>
              <w:rPr>
                <w:noProof/>
                <w:webHidden/>
              </w:rPr>
              <w:tab/>
            </w:r>
            <w:r>
              <w:rPr>
                <w:rStyle w:val="TOCTitleChar2"/>
                <w:noProof/>
                <w:iCs/>
              </w:rPr>
              <w:t>
            Utterly Oversimplified Summary of Three Causes of Action
          </w:t>
            </w:r>
            <w:r>
              <w:rPr>
                <w:noProof/>
                <w:webHidden/>
              </w:rPr>
              <w:tab/>
            </w:r>
            <w:r>
              <w:rPr>
                <w:noProof/>
                <w:webHidden/>
              </w:rPr>
              <w:fldChar w:fldCharType="begin"/>
            </w:r>
            <w:r>
              <w:rPr>
                <w:noProof/>
                <w:webHidden/>
              </w:rPr>
              <w:instrText xml:space="preserve"> PAGEREF _auto_toc_133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34" w:history="1">
            <w:r>
              <w:rPr>
                <w:rStyle w:val="TOCOrdinalChar2"/>
                <w:noProof/>
                <w:iCs/>
              </w:rPr>
              <w:t>
            11.9
          </w:t>
            </w:r>
            <w:r>
              <w:rPr>
                <w:noProof/>
                <w:webHidden/>
              </w:rPr>
              <w:tab/>
            </w:r>
            <w:r>
              <w:rPr>
                <w:rStyle w:val="TOCTitleChar2"/>
                <w:noProof/>
                <w:iCs/>
              </w:rPr>
              <w:t>
            Complaint from Twombly v. Bell Atlantic
          </w:t>
            </w:r>
            <w:r>
              <w:rPr>
                <w:noProof/>
                <w:webHidden/>
              </w:rPr>
              <w:tab/>
            </w:r>
            <w:r>
              <w:rPr>
                <w:noProof/>
                <w:webHidden/>
              </w:rPr>
              <w:fldChar w:fldCharType="begin"/>
            </w:r>
            <w:r>
              <w:rPr>
                <w:noProof/>
                <w:webHidden/>
              </w:rPr>
              <w:instrText xml:space="preserve"> PAGEREF _auto_toc_134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35" w:history="1">
            <w:r>
              <w:rPr>
                <w:rStyle w:val="TOCOrdinalChar2"/>
                <w:noProof/>
                <w:iCs/>
              </w:rPr>
              <w:t>
            11.10
          </w:t>
            </w:r>
            <w:r>
              <w:rPr>
                <w:noProof/>
                <w:webHidden/>
              </w:rPr>
              <w:tab/>
            </w:r>
            <w:r>
              <w:rPr>
                <w:rStyle w:val="TOCTitleChar2"/>
                <w:noProof/>
                <w:iCs/>
              </w:rPr>
              <w:t>
            Bell Atlantic Corp. v. Twombly
          </w:t>
            </w:r>
            <w:r>
              <w:rPr>
                <w:noProof/>
                <w:webHidden/>
              </w:rPr>
              <w:tab/>
            </w:r>
            <w:r>
              <w:rPr>
                <w:noProof/>
                <w:webHidden/>
              </w:rPr>
              <w:fldChar w:fldCharType="begin"/>
            </w:r>
            <w:r>
              <w:rPr>
                <w:noProof/>
                <w:webHidden/>
              </w:rPr>
              <w:instrText xml:space="preserve"> PAGEREF _auto_toc_135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36" w:history="1">
            <w:r>
              <w:rPr>
                <w:rStyle w:val="TOCOrdinalChar2"/>
                <w:noProof/>
                <w:iCs/>
              </w:rPr>
              <w:t>
            11.11
          </w:t>
            </w:r>
            <w:r>
              <w:rPr>
                <w:noProof/>
                <w:webHidden/>
              </w:rPr>
              <w:tab/>
            </w:r>
            <w:r>
              <w:rPr>
                <w:rStyle w:val="TOCTitleChar2"/>
                <w:noProof/>
                <w:iCs/>
              </w:rPr>
              <w:t>
            Notes following Twombly
          </w:t>
            </w:r>
            <w:r>
              <w:rPr>
                <w:noProof/>
                <w:webHidden/>
              </w:rPr>
              <w:tab/>
            </w:r>
            <w:r>
              <w:rPr>
                <w:noProof/>
                <w:webHidden/>
              </w:rPr>
              <w:fldChar w:fldCharType="begin"/>
            </w:r>
            <w:r>
              <w:rPr>
                <w:noProof/>
                <w:webHidden/>
              </w:rPr>
              <w:instrText xml:space="preserve"> PAGEREF _auto_toc_136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37" w:history="1">
            <w:r>
              <w:rPr>
                <w:rStyle w:val="TOCOrdinalChar2"/>
                <w:noProof/>
                <w:iCs/>
              </w:rPr>
              <w:t>
            11.12
          </w:t>
            </w:r>
            <w:r>
              <w:rPr>
                <w:noProof/>
                <w:webHidden/>
              </w:rPr>
              <w:tab/>
            </w:r>
            <w:r>
              <w:rPr>
                <w:rStyle w:val="TOCTitleChar2"/>
                <w:noProof/>
                <w:iCs/>
              </w:rPr>
              <w:t>
            Ashcroft v. Iqbal
          </w:t>
            </w:r>
            <w:r>
              <w:rPr>
                <w:noProof/>
                <w:webHidden/>
              </w:rPr>
              <w:tab/>
            </w:r>
            <w:r>
              <w:rPr>
                <w:noProof/>
                <w:webHidden/>
              </w:rPr>
              <w:fldChar w:fldCharType="begin"/>
            </w:r>
            <w:r>
              <w:rPr>
                <w:noProof/>
                <w:webHidden/>
              </w:rPr>
              <w:instrText xml:space="preserve"> PAGEREF _auto_toc_137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38" w:history="1">
            <w:r>
              <w:rPr>
                <w:rStyle w:val="TOCOrdinalChar2"/>
                <w:noProof/>
                <w:iCs/>
              </w:rPr>
              <w:t>
            11.13
          </w:t>
            </w:r>
            <w:r>
              <w:rPr>
                <w:noProof/>
                <w:webHidden/>
              </w:rPr>
              <w:tab/>
            </w:r>
            <w:r>
              <w:rPr>
                <w:rStyle w:val="TOCTitleChar2"/>
                <w:noProof/>
                <w:iCs/>
              </w:rPr>
              <w:t>
            Notes following Iqbal
          </w:t>
            </w:r>
            <w:r>
              <w:rPr>
                <w:noProof/>
                <w:webHidden/>
              </w:rPr>
              <w:tab/>
            </w:r>
            <w:r>
              <w:rPr>
                <w:noProof/>
                <w:webHidden/>
              </w:rPr>
              <w:fldChar w:fldCharType="begin"/>
            </w:r>
            <w:r>
              <w:rPr>
                <w:noProof/>
                <w:webHidden/>
              </w:rPr>
              <w:instrText xml:space="preserve"> PAGEREF _auto_toc_138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39" w:history="1">
            <w:r>
              <w:rPr>
                <w:rStyle w:val="TOCOrdinalChar2"/>
                <w:noProof/>
                <w:iCs/>
              </w:rPr>
              <w:t>
            11.14
          </w:t>
            </w:r>
            <w:r>
              <w:rPr>
                <w:noProof/>
                <w:webHidden/>
              </w:rPr>
              <w:tab/>
            </w:r>
            <w:r>
              <w:rPr>
                <w:rStyle w:val="TOCTitleChar2"/>
                <w:noProof/>
                <w:iCs/>
              </w:rPr>
              <w:t>
            Complaint Practice Exercise
          </w:t>
            </w:r>
            <w:r>
              <w:rPr>
                <w:noProof/>
                <w:webHidden/>
              </w:rPr>
              <w:tab/>
            </w:r>
            <w:r>
              <w:rPr>
                <w:noProof/>
                <w:webHidden/>
              </w:rPr>
              <w:fldChar w:fldCharType="begin"/>
            </w:r>
            <w:r>
              <w:rPr>
                <w:noProof/>
                <w:webHidden/>
              </w:rPr>
              <w:instrText xml:space="preserve"> PAGEREF _auto_toc_139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40" w:history="1">
            <w:r>
              <w:rPr>
                <w:rStyle w:val="TOCOrdinalChar2"/>
                <w:noProof/>
                <w:iCs/>
              </w:rPr>
              <w:t>
            11.15
          </w:t>
            </w:r>
            <w:r>
              <w:rPr>
                <w:noProof/>
                <w:webHidden/>
              </w:rPr>
              <w:tab/>
            </w:r>
            <w:r>
              <w:rPr>
                <w:rStyle w:val="TOCTitleChar2"/>
                <w:noProof/>
                <w:iCs/>
              </w:rPr>
              <w:t>
            Dismissal Order in Branham v. Dolgencourt and Denial of Injunction in Donald J. Trump for President, Inc. v. Secretary
          </w:t>
            </w:r>
            <w:r>
              <w:rPr>
                <w:noProof/>
                <w:webHidden/>
              </w:rPr>
              <w:tab/>
            </w:r>
            <w:r>
              <w:rPr>
                <w:noProof/>
                <w:webHidden/>
              </w:rPr>
              <w:fldChar w:fldCharType="begin"/>
            </w:r>
            <w:r>
              <w:rPr>
                <w:noProof/>
                <w:webHidden/>
              </w:rPr>
              <w:instrText xml:space="preserve"> PAGEREF _auto_toc_140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41" w:history="1">
            <w:r>
              <w:rPr>
                <w:rStyle w:val="TOCOrdinalChar2"/>
                <w:noProof/>
                <w:iCs/>
              </w:rPr>
              <w:t>
            11.16
          </w:t>
            </w:r>
            <w:r>
              <w:rPr>
                <w:noProof/>
                <w:webHidden/>
              </w:rPr>
              <w:tab/>
            </w:r>
            <w:r>
              <w:rPr>
                <w:rStyle w:val="TOCTitleChar2"/>
                <w:noProof/>
                <w:iCs/>
              </w:rPr>
              <w:t>
            The Lost Story of Iqbal
          </w:t>
            </w:r>
            <w:r>
              <w:rPr>
                <w:noProof/>
                <w:webHidden/>
              </w:rPr>
              <w:tab/>
            </w:r>
            <w:r>
              <w:rPr>
                <w:noProof/>
                <w:webHidden/>
              </w:rPr>
              <w:fldChar w:fldCharType="begin"/>
            </w:r>
            <w:r>
              <w:rPr>
                <w:noProof/>
                <w:webHidden/>
              </w:rPr>
              <w:instrText xml:space="preserve"> PAGEREF _auto_toc_141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142" w:history="1">
            <w:r>
              <w:rPr>
                <w:rStyle w:val="TOCOrdinalChar1"/>
                <w:noProof/>
                <w:iCs/>
              </w:rPr>
              <w:t>
            12
          </w:t>
            </w:r>
            <w:r>
              <w:rPr>
                <w:noProof/>
                <w:webHidden/>
              </w:rPr>
              <w:tab/>
            </w:r>
            <w:r>
              <w:rPr>
                <w:rStyle w:val="TOCTitleChar1"/>
                <w:noProof/>
                <w:iCs/>
              </w:rPr>
              <w:t>
            Day 12
          </w:t>
            </w:r>
            <w:r>
              <w:rPr>
                <w:noProof/>
                <w:webHidden/>
              </w:rPr>
              <w:tab/>
            </w:r>
            <w:r>
              <w:rPr>
                <w:noProof/>
                <w:webHidden/>
              </w:rPr>
              <w:fldChar w:fldCharType="begin"/>
            </w:r>
            <w:r>
              <w:rPr>
                <w:noProof/>
                <w:webHidden/>
              </w:rPr>
              <w:instrText xml:space="preserve"> PAGEREF _auto_toc_142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43" w:history="1">
            <w:r>
              <w:rPr>
                <w:rStyle w:val="TOCOrdinalChar2"/>
                <w:noProof/>
                <w:iCs/>
              </w:rPr>
              <w:t>
            12.1
          </w:t>
            </w:r>
            <w:r>
              <w:rPr>
                <w:noProof/>
                <w:webHidden/>
              </w:rPr>
              <w:tab/>
            </w:r>
            <w:r>
              <w:rPr>
                <w:rStyle w:val="TOCTitleChar2"/>
                <w:noProof/>
                <w:iCs/>
              </w:rPr>
              <w:t>
            Rules
          </w:t>
            </w:r>
            <w:r>
              <w:rPr>
                <w:noProof/>
                <w:webHidden/>
              </w:rPr>
              <w:tab/>
            </w:r>
            <w:r>
              <w:rPr>
                <w:noProof/>
                <w:webHidden/>
              </w:rPr>
              <w:fldChar w:fldCharType="begin"/>
            </w:r>
            <w:r>
              <w:rPr>
                <w:noProof/>
                <w:webHidden/>
              </w:rPr>
              <w:instrText xml:space="preserve"> PAGEREF _auto_toc_143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44" w:history="1">
            <w:r>
              <w:rPr>
                <w:rStyle w:val="TOCOrdinalChar2"/>
                <w:noProof/>
                <w:iCs/>
              </w:rPr>
              <w:t>
            12.2
          </w:t>
            </w:r>
            <w:r>
              <w:rPr>
                <w:noProof/>
                <w:webHidden/>
              </w:rPr>
              <w:tab/>
            </w:r>
            <w:r>
              <w:rPr>
                <w:rStyle w:val="TOCTitleChar2"/>
                <w:noProof/>
                <w:iCs/>
              </w:rPr>
              <w:t>
            Hunter Readings
          </w:t>
            </w:r>
            <w:r>
              <w:rPr>
                <w:noProof/>
                <w:webHidden/>
              </w:rPr>
              <w:tab/>
            </w:r>
            <w:r>
              <w:rPr>
                <w:noProof/>
                <w:webHidden/>
              </w:rPr>
              <w:fldChar w:fldCharType="begin"/>
            </w:r>
            <w:r>
              <w:rPr>
                <w:noProof/>
                <w:webHidden/>
              </w:rPr>
              <w:instrText xml:space="preserve"> PAGEREF _auto_toc_144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45" w:history="1">
            <w:r>
              <w:rPr>
                <w:rStyle w:val="TOCOrdinalChar2"/>
                <w:noProof/>
                <w:iCs/>
              </w:rPr>
              <w:t>
            12.3
          </w:t>
            </w:r>
            <w:r>
              <w:rPr>
                <w:noProof/>
                <w:webHidden/>
              </w:rPr>
              <w:tab/>
            </w:r>
            <w:r>
              <w:rPr>
                <w:rStyle w:val="TOCTitleChar2"/>
                <w:noProof/>
                <w:iCs/>
              </w:rPr>
              <w:t>
            Plaintiff's Opening Brief in Thane-Coat
          </w:t>
            </w:r>
            <w:r>
              <w:rPr>
                <w:noProof/>
                <w:webHidden/>
              </w:rPr>
              <w:tab/>
            </w:r>
            <w:r>
              <w:rPr>
                <w:noProof/>
                <w:webHidden/>
              </w:rPr>
              <w:fldChar w:fldCharType="begin"/>
            </w:r>
            <w:r>
              <w:rPr>
                <w:noProof/>
                <w:webHidden/>
              </w:rPr>
              <w:instrText xml:space="preserve"> PAGEREF _auto_toc_145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46" w:history="1">
            <w:r>
              <w:rPr>
                <w:rStyle w:val="TOCOrdinalChar2"/>
                <w:noProof/>
                <w:iCs/>
              </w:rPr>
              <w:t>
            12.4
          </w:t>
            </w:r>
            <w:r>
              <w:rPr>
                <w:noProof/>
                <w:webHidden/>
              </w:rPr>
              <w:tab/>
            </w:r>
            <w:r>
              <w:rPr>
                <w:rStyle w:val="TOCTitleChar2"/>
                <w:noProof/>
                <w:iCs/>
              </w:rPr>
              <w:t>
            Defendants' Brief in Thane-Coat
          </w:t>
            </w:r>
            <w:r>
              <w:rPr>
                <w:noProof/>
                <w:webHidden/>
              </w:rPr>
              <w:tab/>
            </w:r>
            <w:r>
              <w:rPr>
                <w:noProof/>
                <w:webHidden/>
              </w:rPr>
              <w:fldChar w:fldCharType="begin"/>
            </w:r>
            <w:r>
              <w:rPr>
                <w:noProof/>
                <w:webHidden/>
              </w:rPr>
              <w:instrText xml:space="preserve"> PAGEREF _auto_toc_146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47" w:history="1">
            <w:r>
              <w:rPr>
                <w:rStyle w:val="TOCOrdinalChar2"/>
                <w:noProof/>
                <w:iCs/>
              </w:rPr>
              <w:t>
            12.5
          </w:t>
            </w:r>
            <w:r>
              <w:rPr>
                <w:noProof/>
                <w:webHidden/>
              </w:rPr>
              <w:tab/>
            </w:r>
            <w:r>
              <w:rPr>
                <w:rStyle w:val="TOCTitleChar2"/>
                <w:noProof/>
                <w:iCs/>
              </w:rPr>
              <w:t>
            A. L. K. Corp. v. Columbia Pictures Industries, Inc.
          </w:t>
            </w:r>
            <w:r>
              <w:rPr>
                <w:noProof/>
                <w:webHidden/>
              </w:rPr>
              <w:tab/>
            </w:r>
            <w:r>
              <w:rPr>
                <w:noProof/>
                <w:webHidden/>
              </w:rPr>
              <w:fldChar w:fldCharType="begin"/>
            </w:r>
            <w:r>
              <w:rPr>
                <w:noProof/>
                <w:webHidden/>
              </w:rPr>
              <w:instrText xml:space="preserve"> PAGEREF _auto_toc_147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48" w:history="1">
            <w:r>
              <w:rPr>
                <w:rStyle w:val="TOCOrdinalChar2"/>
                <w:noProof/>
                <w:iCs/>
              </w:rPr>
              <w:t>
            12.6
          </w:t>
            </w:r>
            <w:r>
              <w:rPr>
                <w:noProof/>
                <w:webHidden/>
              </w:rPr>
              <w:tab/>
            </w:r>
            <w:r>
              <w:rPr>
                <w:rStyle w:val="TOCTitleChar2"/>
                <w:noProof/>
                <w:iCs/>
              </w:rPr>
              <w:t>
            Abney v. Amgen, Inc.
          </w:t>
            </w:r>
            <w:r>
              <w:rPr>
                <w:noProof/>
                <w:webHidden/>
              </w:rPr>
              <w:tab/>
            </w:r>
            <w:r>
              <w:rPr>
                <w:noProof/>
                <w:webHidden/>
              </w:rPr>
              <w:fldChar w:fldCharType="begin"/>
            </w:r>
            <w:r>
              <w:rPr>
                <w:noProof/>
                <w:webHidden/>
              </w:rPr>
              <w:instrText xml:space="preserve"> PAGEREF _auto_toc_148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49" w:history="1">
            <w:r>
              <w:rPr>
                <w:rStyle w:val="TOCOrdinalChar2"/>
                <w:noProof/>
                <w:iCs/>
              </w:rPr>
              <w:t>
            12.7
          </w:t>
            </w:r>
            <w:r>
              <w:rPr>
                <w:noProof/>
                <w:webHidden/>
              </w:rPr>
              <w:tab/>
            </w:r>
            <w:r>
              <w:rPr>
                <w:rStyle w:val="TOCTitleChar2"/>
                <w:noProof/>
                <w:iCs/>
              </w:rPr>
              <w:t>
            Excerpt from District Court's opinion in the case below Abney v. Amgen
          </w:t>
            </w:r>
            <w:r>
              <w:rPr>
                <w:noProof/>
                <w:webHidden/>
              </w:rPr>
              <w:tab/>
            </w:r>
            <w:r>
              <w:rPr>
                <w:noProof/>
                <w:webHidden/>
              </w:rPr>
              <w:fldChar w:fldCharType="begin"/>
            </w:r>
            <w:r>
              <w:rPr>
                <w:noProof/>
                <w:webHidden/>
              </w:rPr>
              <w:instrText xml:space="preserve"> PAGEREF _auto_toc_149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150" w:history="1">
            <w:r>
              <w:rPr>
                <w:rStyle w:val="TOCOrdinalChar1"/>
                <w:noProof/>
                <w:iCs/>
              </w:rPr>
              <w:t>
            13
          </w:t>
            </w:r>
            <w:r>
              <w:rPr>
                <w:noProof/>
                <w:webHidden/>
              </w:rPr>
              <w:tab/>
            </w:r>
            <w:r>
              <w:rPr>
                <w:rStyle w:val="TOCTitleChar1"/>
                <w:noProof/>
                <w:iCs/>
              </w:rPr>
              <w:t>
            Day 13
          </w:t>
            </w:r>
            <w:r>
              <w:rPr>
                <w:noProof/>
                <w:webHidden/>
              </w:rPr>
              <w:tab/>
            </w:r>
            <w:r>
              <w:rPr>
                <w:noProof/>
                <w:webHidden/>
              </w:rPr>
              <w:fldChar w:fldCharType="begin"/>
            </w:r>
            <w:r>
              <w:rPr>
                <w:noProof/>
                <w:webHidden/>
              </w:rPr>
              <w:instrText xml:space="preserve"> PAGEREF _auto_toc_150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51" w:history="1">
            <w:r>
              <w:rPr>
                <w:rStyle w:val="TOCOrdinalChar2"/>
                <w:noProof/>
                <w:iCs/>
              </w:rPr>
              <w:t>
            13.1
          </w:t>
            </w:r>
            <w:r>
              <w:rPr>
                <w:noProof/>
                <w:webHidden/>
              </w:rPr>
              <w:tab/>
            </w:r>
            <w:r>
              <w:rPr>
                <w:rStyle w:val="TOCTitleChar2"/>
                <w:noProof/>
                <w:iCs/>
              </w:rPr>
              <w:t>
            Rules
          </w:t>
            </w:r>
            <w:r>
              <w:rPr>
                <w:noProof/>
                <w:webHidden/>
              </w:rPr>
              <w:tab/>
            </w:r>
            <w:r>
              <w:rPr>
                <w:noProof/>
                <w:webHidden/>
              </w:rPr>
              <w:fldChar w:fldCharType="begin"/>
            </w:r>
            <w:r>
              <w:rPr>
                <w:noProof/>
                <w:webHidden/>
              </w:rPr>
              <w:instrText xml:space="preserve"> PAGEREF _auto_toc_151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52" w:history="1">
            <w:r>
              <w:rPr>
                <w:rStyle w:val="TOCOrdinalChar2"/>
                <w:noProof/>
                <w:iCs/>
              </w:rPr>
              <w:t>
            13.2
          </w:t>
            </w:r>
            <w:r>
              <w:rPr>
                <w:noProof/>
                <w:webHidden/>
              </w:rPr>
              <w:tab/>
            </w:r>
            <w:r>
              <w:rPr>
                <w:rStyle w:val="TOCTitleChar2"/>
                <w:noProof/>
                <w:iCs/>
              </w:rPr>
              <w:t>
            Notice and Service of Process (again)
          </w:t>
            </w:r>
            <w:r>
              <w:rPr>
                <w:noProof/>
                <w:webHidden/>
              </w:rPr>
              <w:tab/>
            </w:r>
            <w:r>
              <w:rPr>
                <w:noProof/>
                <w:webHidden/>
              </w:rPr>
              <w:fldChar w:fldCharType="begin"/>
            </w:r>
            <w:r>
              <w:rPr>
                <w:noProof/>
                <w:webHidden/>
              </w:rPr>
              <w:instrText xml:space="preserve"> PAGEREF _auto_toc_152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53" w:history="1">
            <w:r>
              <w:rPr>
                <w:rStyle w:val="TOCOrdinalChar2"/>
                <w:noProof/>
                <w:iCs/>
              </w:rPr>
              <w:t>
            13.3
          </w:t>
            </w:r>
            <w:r>
              <w:rPr>
                <w:noProof/>
                <w:webHidden/>
              </w:rPr>
              <w:tab/>
            </w:r>
            <w:r>
              <w:rPr>
                <w:rStyle w:val="TOCTitleChar2"/>
                <w:noProof/>
                <w:iCs/>
              </w:rPr>
              <w:t>
            Mullane v. Central Hanover Bank &amp; Trust Co.
          </w:t>
            </w:r>
            <w:r>
              <w:rPr>
                <w:noProof/>
                <w:webHidden/>
              </w:rPr>
              <w:tab/>
            </w:r>
            <w:r>
              <w:rPr>
                <w:noProof/>
                <w:webHidden/>
              </w:rPr>
              <w:fldChar w:fldCharType="begin"/>
            </w:r>
            <w:r>
              <w:rPr>
                <w:noProof/>
                <w:webHidden/>
              </w:rPr>
              <w:instrText xml:space="preserve"> PAGEREF _auto_toc_153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54" w:history="1">
            <w:r>
              <w:rPr>
                <w:rStyle w:val="TOCOrdinalChar2"/>
                <w:noProof/>
                <w:iCs/>
              </w:rPr>
              <w:t>
            13.4
          </w:t>
            </w:r>
            <w:r>
              <w:rPr>
                <w:noProof/>
                <w:webHidden/>
              </w:rPr>
              <w:tab/>
            </w:r>
            <w:r>
              <w:rPr>
                <w:rStyle w:val="TOCTitleChar2"/>
                <w:noProof/>
                <w:iCs/>
              </w:rPr>
              <w:t>
            Notes following Mullane
          </w:t>
            </w:r>
            <w:r>
              <w:rPr>
                <w:noProof/>
                <w:webHidden/>
              </w:rPr>
              <w:tab/>
            </w:r>
            <w:r>
              <w:rPr>
                <w:noProof/>
                <w:webHidden/>
              </w:rPr>
              <w:fldChar w:fldCharType="begin"/>
            </w:r>
            <w:r>
              <w:rPr>
                <w:noProof/>
                <w:webHidden/>
              </w:rPr>
              <w:instrText xml:space="preserve"> PAGEREF _auto_toc_154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55" w:history="1">
            <w:r>
              <w:rPr>
                <w:rStyle w:val="TOCOrdinalChar2"/>
                <w:noProof/>
                <w:iCs/>
              </w:rPr>
              <w:t>
            13.5
          </w:t>
            </w:r>
            <w:r>
              <w:rPr>
                <w:noProof/>
                <w:webHidden/>
              </w:rPr>
              <w:tab/>
            </w:r>
            <w:r>
              <w:rPr>
                <w:rStyle w:val="TOCTitleChar2"/>
                <w:noProof/>
                <w:iCs/>
              </w:rPr>
              <w:t>
            Mathews v. Eldridge
          </w:t>
            </w:r>
            <w:r>
              <w:rPr>
                <w:noProof/>
                <w:webHidden/>
              </w:rPr>
              <w:tab/>
            </w:r>
            <w:r>
              <w:rPr>
                <w:noProof/>
                <w:webHidden/>
              </w:rPr>
              <w:fldChar w:fldCharType="begin"/>
            </w:r>
            <w:r>
              <w:rPr>
                <w:noProof/>
                <w:webHidden/>
              </w:rPr>
              <w:instrText xml:space="preserve"> PAGEREF _auto_toc_155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56" w:history="1">
            <w:r>
              <w:rPr>
                <w:rStyle w:val="TOCOrdinalChar2"/>
                <w:noProof/>
                <w:iCs/>
              </w:rPr>
              <w:t>
            13.6
          </w:t>
            </w:r>
            <w:r>
              <w:rPr>
                <w:noProof/>
                <w:webHidden/>
              </w:rPr>
              <w:tab/>
            </w:r>
            <w:r>
              <w:rPr>
                <w:rStyle w:val="TOCTitleChar2"/>
                <w:noProof/>
                <w:iCs/>
              </w:rPr>
              <w:t>
            Notes following Mathews v. Eldridge
          </w:t>
            </w:r>
            <w:r>
              <w:rPr>
                <w:noProof/>
                <w:webHidden/>
              </w:rPr>
              <w:tab/>
            </w:r>
            <w:r>
              <w:rPr>
                <w:noProof/>
                <w:webHidden/>
              </w:rPr>
              <w:fldChar w:fldCharType="begin"/>
            </w:r>
            <w:r>
              <w:rPr>
                <w:noProof/>
                <w:webHidden/>
              </w:rPr>
              <w:instrText xml:space="preserve"> PAGEREF _auto_toc_156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57" w:history="1">
            <w:r>
              <w:rPr>
                <w:rStyle w:val="TOCOrdinalChar2"/>
                <w:noProof/>
                <w:iCs/>
              </w:rPr>
              <w:t>
            13.7
          </w:t>
            </w:r>
            <w:r>
              <w:rPr>
                <w:noProof/>
                <w:webHidden/>
              </w:rPr>
              <w:tab/>
            </w:r>
            <w:r>
              <w:rPr>
                <w:rStyle w:val="TOCTitleChar2"/>
                <w:noProof/>
                <w:iCs/>
              </w:rPr>
              <w:t>
            Opportunity to be Heard: Background &amp; Cases
          </w:t>
            </w:r>
            <w:r>
              <w:rPr>
                <w:noProof/>
                <w:webHidden/>
              </w:rPr>
              <w:tab/>
            </w:r>
            <w:r>
              <w:rPr>
                <w:noProof/>
                <w:webHidden/>
              </w:rPr>
              <w:fldChar w:fldCharType="begin"/>
            </w:r>
            <w:r>
              <w:rPr>
                <w:noProof/>
                <w:webHidden/>
              </w:rPr>
              <w:instrText xml:space="preserve"> PAGEREF _auto_toc_157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58" w:history="1">
            <w:r>
              <w:rPr>
                <w:rStyle w:val="TOCOrdinalChar2"/>
                <w:noProof/>
                <w:iCs/>
              </w:rPr>
              <w:t>
            13.8
          </w:t>
            </w:r>
            <w:r>
              <w:rPr>
                <w:noProof/>
                <w:webHidden/>
              </w:rPr>
              <w:tab/>
            </w:r>
            <w:r>
              <w:rPr>
                <w:rStyle w:val="TOCTitleChar2"/>
                <w:noProof/>
                <w:iCs/>
              </w:rPr>
              <w:t>
            Connecticut v. Doehr
          </w:t>
            </w:r>
            <w:r>
              <w:rPr>
                <w:noProof/>
                <w:webHidden/>
              </w:rPr>
              <w:tab/>
            </w:r>
            <w:r>
              <w:rPr>
                <w:noProof/>
                <w:webHidden/>
              </w:rPr>
              <w:fldChar w:fldCharType="begin"/>
            </w:r>
            <w:r>
              <w:rPr>
                <w:noProof/>
                <w:webHidden/>
              </w:rPr>
              <w:instrText xml:space="preserve"> PAGEREF _auto_toc_158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59" w:history="1">
            <w:r>
              <w:rPr>
                <w:rStyle w:val="TOCOrdinalChar2"/>
                <w:noProof/>
                <w:iCs/>
              </w:rPr>
              <w:t>
            13.9
          </w:t>
            </w:r>
            <w:r>
              <w:rPr>
                <w:noProof/>
                <w:webHidden/>
              </w:rPr>
              <w:tab/>
            </w:r>
            <w:r>
              <w:rPr>
                <w:rStyle w:val="TOCTitleChar2"/>
                <w:noProof/>
                <w:iCs/>
              </w:rPr>
              <w:t>
            ThomasNeilsonVideos - Google Drive
          </w:t>
            </w:r>
            <w:r>
              <w:rPr>
                <w:noProof/>
                <w:webHidden/>
              </w:rPr>
              <w:tab/>
            </w:r>
            <w:r>
              <w:rPr>
                <w:noProof/>
                <w:webHidden/>
              </w:rPr>
              <w:fldChar w:fldCharType="begin"/>
            </w:r>
            <w:r>
              <w:rPr>
                <w:noProof/>
                <w:webHidden/>
              </w:rPr>
              <w:instrText xml:space="preserve"> PAGEREF _auto_toc_159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160" w:history="1">
            <w:r>
              <w:rPr>
                <w:rStyle w:val="TOCOrdinalChar1"/>
                <w:noProof/>
                <w:iCs/>
              </w:rPr>
              <w:t>
            14
          </w:t>
            </w:r>
            <w:r>
              <w:rPr>
                <w:noProof/>
                <w:webHidden/>
              </w:rPr>
              <w:tab/>
            </w:r>
            <w:r>
              <w:rPr>
                <w:rStyle w:val="TOCTitleChar1"/>
                <w:noProof/>
                <w:iCs/>
              </w:rPr>
              <w:t>
            Day 14
          </w:t>
            </w:r>
            <w:r>
              <w:rPr>
                <w:noProof/>
                <w:webHidden/>
              </w:rPr>
              <w:tab/>
            </w:r>
            <w:r>
              <w:rPr>
                <w:noProof/>
                <w:webHidden/>
              </w:rPr>
              <w:fldChar w:fldCharType="begin"/>
            </w:r>
            <w:r>
              <w:rPr>
                <w:noProof/>
                <w:webHidden/>
              </w:rPr>
              <w:instrText xml:space="preserve"> PAGEREF _auto_toc_160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61" w:history="1">
            <w:r>
              <w:rPr>
                <w:rStyle w:val="TOCOrdinalChar2"/>
                <w:noProof/>
                <w:iCs/>
              </w:rPr>
              <w:t>
            14.1
          </w:t>
            </w:r>
            <w:r>
              <w:rPr>
                <w:noProof/>
                <w:webHidden/>
              </w:rPr>
              <w:tab/>
            </w:r>
            <w:r>
              <w:rPr>
                <w:rStyle w:val="TOCTitleChar2"/>
                <w:noProof/>
                <w:iCs/>
              </w:rPr>
              <w:t>
            Lassiter v. Department of Social Services
          </w:t>
            </w:r>
            <w:r>
              <w:rPr>
                <w:noProof/>
                <w:webHidden/>
              </w:rPr>
              <w:tab/>
            </w:r>
            <w:r>
              <w:rPr>
                <w:noProof/>
                <w:webHidden/>
              </w:rPr>
              <w:fldChar w:fldCharType="begin"/>
            </w:r>
            <w:r>
              <w:rPr>
                <w:noProof/>
                <w:webHidden/>
              </w:rPr>
              <w:instrText xml:space="preserve"> PAGEREF _auto_toc_161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62" w:history="1">
            <w:r>
              <w:rPr>
                <w:rStyle w:val="TOCOrdinalChar2"/>
                <w:noProof/>
                <w:iCs/>
              </w:rPr>
              <w:t>
            14.2
          </w:t>
            </w:r>
            <w:r>
              <w:rPr>
                <w:noProof/>
                <w:webHidden/>
              </w:rPr>
              <w:tab/>
            </w:r>
            <w:r>
              <w:rPr>
                <w:rStyle w:val="TOCTitleChar2"/>
                <w:noProof/>
                <w:iCs/>
              </w:rPr>
              <w:t>
            Notes following Lassiter
          </w:t>
            </w:r>
            <w:r>
              <w:rPr>
                <w:noProof/>
                <w:webHidden/>
              </w:rPr>
              <w:tab/>
            </w:r>
            <w:r>
              <w:rPr>
                <w:noProof/>
                <w:webHidden/>
              </w:rPr>
              <w:fldChar w:fldCharType="begin"/>
            </w:r>
            <w:r>
              <w:rPr>
                <w:noProof/>
                <w:webHidden/>
              </w:rPr>
              <w:instrText xml:space="preserve"> PAGEREF _auto_toc_162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63" w:history="1">
            <w:r>
              <w:rPr>
                <w:rStyle w:val="TOCOrdinalChar2"/>
                <w:noProof/>
                <w:iCs/>
              </w:rPr>
              <w:t>
            14.3
          </w:t>
            </w:r>
            <w:r>
              <w:rPr>
                <w:noProof/>
                <w:webHidden/>
              </w:rPr>
              <w:tab/>
            </w:r>
            <w:r>
              <w:rPr>
                <w:rStyle w:val="TOCTitleChar2"/>
                <w:noProof/>
                <w:iCs/>
              </w:rPr>
              <w:t>
            Vitek v. Jones
          </w:t>
            </w:r>
            <w:r>
              <w:rPr>
                <w:noProof/>
                <w:webHidden/>
              </w:rPr>
              <w:tab/>
            </w:r>
            <w:r>
              <w:rPr>
                <w:noProof/>
                <w:webHidden/>
              </w:rPr>
              <w:fldChar w:fldCharType="begin"/>
            </w:r>
            <w:r>
              <w:rPr>
                <w:noProof/>
                <w:webHidden/>
              </w:rPr>
              <w:instrText xml:space="preserve"> PAGEREF _auto_toc_163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64" w:history="1">
            <w:r>
              <w:rPr>
                <w:rStyle w:val="TOCOrdinalChar2"/>
                <w:noProof/>
                <w:iCs/>
              </w:rPr>
              <w:t>
            14.4
          </w:t>
            </w:r>
            <w:r>
              <w:rPr>
                <w:noProof/>
                <w:webHidden/>
              </w:rPr>
              <w:tab/>
            </w:r>
            <w:r>
              <w:rPr>
                <w:rStyle w:val="TOCTitleChar2"/>
                <w:noProof/>
                <w:iCs/>
              </w:rPr>
              <w:t>
            Notes following Vitek
          </w:t>
            </w:r>
            <w:r>
              <w:rPr>
                <w:noProof/>
                <w:webHidden/>
              </w:rPr>
              <w:tab/>
            </w:r>
            <w:r>
              <w:rPr>
                <w:noProof/>
                <w:webHidden/>
              </w:rPr>
              <w:fldChar w:fldCharType="begin"/>
            </w:r>
            <w:r>
              <w:rPr>
                <w:noProof/>
                <w:webHidden/>
              </w:rPr>
              <w:instrText xml:space="preserve"> PAGEREF _auto_toc_164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65" w:history="1">
            <w:r>
              <w:rPr>
                <w:rStyle w:val="TOCOrdinalChar2"/>
                <w:noProof/>
                <w:iCs/>
              </w:rPr>
              <w:t>
            14.5
          </w:t>
            </w:r>
            <w:r>
              <w:rPr>
                <w:noProof/>
                <w:webHidden/>
              </w:rPr>
              <w:tab/>
            </w:r>
            <w:r>
              <w:rPr>
                <w:rStyle w:val="TOCTitleChar2"/>
                <w:noProof/>
                <w:iCs/>
              </w:rPr>
              <w:t>
            Videos on Matthews, Vitek, Bonds, and Counterbonds
          </w:t>
            </w:r>
            <w:r>
              <w:rPr>
                <w:noProof/>
                <w:webHidden/>
              </w:rPr>
              <w:tab/>
            </w:r>
            <w:r>
              <w:rPr>
                <w:noProof/>
                <w:webHidden/>
              </w:rPr>
              <w:fldChar w:fldCharType="begin"/>
            </w:r>
            <w:r>
              <w:rPr>
                <w:noProof/>
                <w:webHidden/>
              </w:rPr>
              <w:instrText xml:space="preserve"> PAGEREF _auto_toc_165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66" w:history="1">
            <w:r>
              <w:rPr>
                <w:rStyle w:val="TOCOrdinalChar2"/>
                <w:noProof/>
                <w:iCs/>
              </w:rPr>
              <w:t>
            14.6
          </w:t>
            </w:r>
            <w:r>
              <w:rPr>
                <w:noProof/>
                <w:webHidden/>
              </w:rPr>
              <w:tab/>
            </w:r>
            <w:r>
              <w:rPr>
                <w:rStyle w:val="TOCTitleChar2"/>
                <w:noProof/>
                <w:iCs/>
              </w:rPr>
              <w:t>
            Rules
          </w:t>
            </w:r>
            <w:r>
              <w:rPr>
                <w:noProof/>
                <w:webHidden/>
              </w:rPr>
              <w:tab/>
            </w:r>
            <w:r>
              <w:rPr>
                <w:noProof/>
                <w:webHidden/>
              </w:rPr>
              <w:fldChar w:fldCharType="begin"/>
            </w:r>
            <w:r>
              <w:rPr>
                <w:noProof/>
                <w:webHidden/>
              </w:rPr>
              <w:instrText xml:space="preserve"> PAGEREF _auto_toc_166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67" w:history="1">
            <w:r>
              <w:rPr>
                <w:rStyle w:val="TOCOrdinalChar2"/>
                <w:noProof/>
                <w:iCs/>
              </w:rPr>
              <w:t>
            14.7
          </w:t>
            </w:r>
            <w:r>
              <w:rPr>
                <w:noProof/>
                <w:webHidden/>
              </w:rPr>
              <w:tab/>
            </w:r>
            <w:r>
              <w:rPr>
                <w:rStyle w:val="TOCTitleChar2"/>
                <w:noProof/>
                <w:iCs/>
              </w:rPr>
              <w:t>
            Pretrial Devices for Obtaining Information
          </w:t>
            </w:r>
            <w:r>
              <w:rPr>
                <w:noProof/>
                <w:webHidden/>
              </w:rPr>
              <w:tab/>
            </w:r>
            <w:r>
              <w:rPr>
                <w:noProof/>
                <w:webHidden/>
              </w:rPr>
              <w:fldChar w:fldCharType="begin"/>
            </w:r>
            <w:r>
              <w:rPr>
                <w:noProof/>
                <w:webHidden/>
              </w:rPr>
              <w:instrText xml:space="preserve"> PAGEREF _auto_toc_167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68" w:history="1">
            <w:r>
              <w:rPr>
                <w:rStyle w:val="TOCOrdinalChar2"/>
                <w:noProof/>
                <w:iCs/>
              </w:rPr>
              <w:t>
            14.8
          </w:t>
            </w:r>
            <w:r>
              <w:rPr>
                <w:noProof/>
                <w:webHidden/>
              </w:rPr>
              <w:tab/>
            </w:r>
            <w:r>
              <w:rPr>
                <w:rStyle w:val="TOCTitleChar2"/>
                <w:noProof/>
                <w:iCs/>
              </w:rPr>
              <w:t>
            PAYNE V. S. S. NABOB  United States Court of Appeals, Third Circuit, 1962. 302 F.2d 803.
          </w:t>
            </w:r>
            <w:r>
              <w:rPr>
                <w:noProof/>
                <w:webHidden/>
              </w:rPr>
              <w:tab/>
            </w:r>
            <w:r>
              <w:rPr>
                <w:noProof/>
                <w:webHidden/>
              </w:rPr>
              <w:fldChar w:fldCharType="begin"/>
            </w:r>
            <w:r>
              <w:rPr>
                <w:noProof/>
                <w:webHidden/>
              </w:rPr>
              <w:instrText xml:space="preserve"> PAGEREF _auto_toc_168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69" w:history="1">
            <w:r>
              <w:rPr>
                <w:rStyle w:val="TOCOrdinalChar2"/>
                <w:noProof/>
                <w:iCs/>
              </w:rPr>
              <w:t>
            14.9
          </w:t>
            </w:r>
            <w:r>
              <w:rPr>
                <w:noProof/>
                <w:webHidden/>
              </w:rPr>
              <w:tab/>
            </w:r>
            <w:r>
              <w:rPr>
                <w:rStyle w:val="TOCTitleChar2"/>
                <w:noProof/>
                <w:iCs/>
              </w:rPr>
              <w:t>
            Note following Payne
          </w:t>
            </w:r>
            <w:r>
              <w:rPr>
                <w:noProof/>
                <w:webHidden/>
              </w:rPr>
              <w:tab/>
            </w:r>
            <w:r>
              <w:rPr>
                <w:noProof/>
                <w:webHidden/>
              </w:rPr>
              <w:fldChar w:fldCharType="begin"/>
            </w:r>
            <w:r>
              <w:rPr>
                <w:noProof/>
                <w:webHidden/>
              </w:rPr>
              <w:instrText xml:space="preserve"> PAGEREF _auto_toc_169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170" w:history="1">
            <w:r>
              <w:rPr>
                <w:rStyle w:val="TOCOrdinalChar1"/>
                <w:noProof/>
                <w:iCs/>
              </w:rPr>
              <w:t>
            15
          </w:t>
            </w:r>
            <w:r>
              <w:rPr>
                <w:noProof/>
                <w:webHidden/>
              </w:rPr>
              <w:tab/>
            </w:r>
            <w:r>
              <w:rPr>
                <w:rStyle w:val="TOCTitleChar1"/>
                <w:noProof/>
                <w:iCs/>
              </w:rPr>
              <w:t>
            Day 15
          </w:t>
            </w:r>
            <w:r>
              <w:rPr>
                <w:noProof/>
                <w:webHidden/>
              </w:rPr>
              <w:tab/>
            </w:r>
            <w:r>
              <w:rPr>
                <w:noProof/>
                <w:webHidden/>
              </w:rPr>
              <w:fldChar w:fldCharType="begin"/>
            </w:r>
            <w:r>
              <w:rPr>
                <w:noProof/>
                <w:webHidden/>
              </w:rPr>
              <w:instrText xml:space="preserve"> PAGEREF _auto_toc_170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71" w:history="1">
            <w:r>
              <w:rPr>
                <w:rStyle w:val="TOCOrdinalChar2"/>
                <w:noProof/>
                <w:iCs/>
              </w:rPr>
              <w:t>
            15.1
          </w:t>
            </w:r>
            <w:r>
              <w:rPr>
                <w:noProof/>
                <w:webHidden/>
              </w:rPr>
              <w:tab/>
            </w:r>
            <w:r>
              <w:rPr>
                <w:rStyle w:val="TOCTitleChar2"/>
                <w:noProof/>
                <w:iCs/>
              </w:rPr>
              <w:t>
            Hunter Readings
          </w:t>
            </w:r>
            <w:r>
              <w:rPr>
                <w:noProof/>
                <w:webHidden/>
              </w:rPr>
              <w:tab/>
            </w:r>
            <w:r>
              <w:rPr>
                <w:noProof/>
                <w:webHidden/>
              </w:rPr>
              <w:fldChar w:fldCharType="begin"/>
            </w:r>
            <w:r>
              <w:rPr>
                <w:noProof/>
                <w:webHidden/>
              </w:rPr>
              <w:instrText xml:space="preserve"> PAGEREF _auto_toc_171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72" w:history="1">
            <w:r>
              <w:rPr>
                <w:rStyle w:val="TOCOrdinalChar2"/>
                <w:noProof/>
                <w:iCs/>
              </w:rPr>
              <w:t>
            15.2
          </w:t>
            </w:r>
            <w:r>
              <w:rPr>
                <w:noProof/>
                <w:webHidden/>
              </w:rPr>
              <w:tab/>
            </w:r>
            <w:r>
              <w:rPr>
                <w:rStyle w:val="TOCTitleChar2"/>
                <w:noProof/>
                <w:iCs/>
              </w:rPr>
              <w:t>
            Rules
          </w:t>
            </w:r>
            <w:r>
              <w:rPr>
                <w:noProof/>
                <w:webHidden/>
              </w:rPr>
              <w:tab/>
            </w:r>
            <w:r>
              <w:rPr>
                <w:noProof/>
                <w:webHidden/>
              </w:rPr>
              <w:fldChar w:fldCharType="begin"/>
            </w:r>
            <w:r>
              <w:rPr>
                <w:noProof/>
                <w:webHidden/>
              </w:rPr>
              <w:instrText xml:space="preserve"> PAGEREF _auto_toc_172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73" w:history="1">
            <w:r>
              <w:rPr>
                <w:rStyle w:val="TOCOrdinalChar2"/>
                <w:noProof/>
                <w:iCs/>
              </w:rPr>
              <w:t>
            15.3
          </w:t>
            </w:r>
            <w:r>
              <w:rPr>
                <w:noProof/>
                <w:webHidden/>
              </w:rPr>
              <w:tab/>
            </w:r>
            <w:r>
              <w:rPr>
                <w:rStyle w:val="TOCTitleChar2"/>
                <w:noProof/>
                <w:iCs/>
              </w:rPr>
              <w:t>
            Background on Rule 56, Summary Judgment, and Burdens
          </w:t>
            </w:r>
            <w:r>
              <w:rPr>
                <w:noProof/>
                <w:webHidden/>
              </w:rPr>
              <w:tab/>
            </w:r>
            <w:r>
              <w:rPr>
                <w:noProof/>
                <w:webHidden/>
              </w:rPr>
              <w:fldChar w:fldCharType="begin"/>
            </w:r>
            <w:r>
              <w:rPr>
                <w:noProof/>
                <w:webHidden/>
              </w:rPr>
              <w:instrText xml:space="preserve"> PAGEREF _auto_toc_173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74" w:history="1">
            <w:r>
              <w:rPr>
                <w:rStyle w:val="TOCOrdinalChar2"/>
                <w:noProof/>
                <w:iCs/>
              </w:rPr>
              <w:t>
            15.4
          </w:t>
            </w:r>
            <w:r>
              <w:rPr>
                <w:noProof/>
                <w:webHidden/>
              </w:rPr>
              <w:tab/>
            </w:r>
            <w:r>
              <w:rPr>
                <w:rStyle w:val="TOCTitleChar2"/>
                <w:noProof/>
                <w:iCs/>
              </w:rPr>
              <w:t>
            Celotex Corp. v. Catrett
          </w:t>
            </w:r>
            <w:r>
              <w:rPr>
                <w:noProof/>
                <w:webHidden/>
              </w:rPr>
              <w:tab/>
            </w:r>
            <w:r>
              <w:rPr>
                <w:noProof/>
                <w:webHidden/>
              </w:rPr>
              <w:fldChar w:fldCharType="begin"/>
            </w:r>
            <w:r>
              <w:rPr>
                <w:noProof/>
                <w:webHidden/>
              </w:rPr>
              <w:instrText xml:space="preserve"> PAGEREF _auto_toc_174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75" w:history="1">
            <w:r>
              <w:rPr>
                <w:rStyle w:val="TOCOrdinalChar2"/>
                <w:noProof/>
                <w:iCs/>
              </w:rPr>
              <w:t>
            15.5
          </w:t>
            </w:r>
            <w:r>
              <w:rPr>
                <w:noProof/>
                <w:webHidden/>
              </w:rPr>
              <w:tab/>
            </w:r>
            <w:r>
              <w:rPr>
                <w:rStyle w:val="TOCTitleChar2"/>
                <w:noProof/>
                <w:iCs/>
              </w:rPr>
              <w:t>
            Catrett v. Johns-Manville Sales Corp.
          </w:t>
            </w:r>
            <w:r>
              <w:rPr>
                <w:noProof/>
                <w:webHidden/>
              </w:rPr>
              <w:tab/>
            </w:r>
            <w:r>
              <w:rPr>
                <w:noProof/>
                <w:webHidden/>
              </w:rPr>
              <w:fldChar w:fldCharType="begin"/>
            </w:r>
            <w:r>
              <w:rPr>
                <w:noProof/>
                <w:webHidden/>
              </w:rPr>
              <w:instrText xml:space="preserve"> PAGEREF _auto_toc_175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76" w:history="1">
            <w:r>
              <w:rPr>
                <w:rStyle w:val="TOCOrdinalChar2"/>
                <w:noProof/>
                <w:iCs/>
              </w:rPr>
              <w:t>
            15.6
          </w:t>
            </w:r>
            <w:r>
              <w:rPr>
                <w:noProof/>
                <w:webHidden/>
              </w:rPr>
              <w:tab/>
            </w:r>
            <w:r>
              <w:rPr>
                <w:rStyle w:val="TOCTitleChar2"/>
                <w:noProof/>
                <w:iCs/>
              </w:rPr>
              <w:t>
            Handout on Summary Judgment
          </w:t>
            </w:r>
            <w:r>
              <w:rPr>
                <w:noProof/>
                <w:webHidden/>
              </w:rPr>
              <w:tab/>
            </w:r>
            <w:r>
              <w:rPr>
                <w:noProof/>
                <w:webHidden/>
              </w:rPr>
              <w:fldChar w:fldCharType="begin"/>
            </w:r>
            <w:r>
              <w:rPr>
                <w:noProof/>
                <w:webHidden/>
              </w:rPr>
              <w:instrText xml:space="preserve"> PAGEREF _auto_toc_176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77" w:history="1">
            <w:r>
              <w:rPr>
                <w:rStyle w:val="TOCOrdinalChar2"/>
                <w:noProof/>
                <w:iCs/>
              </w:rPr>
              <w:t>
            15.7
          </w:t>
            </w:r>
            <w:r>
              <w:rPr>
                <w:noProof/>
                <w:webHidden/>
              </w:rPr>
              <w:tab/>
            </w:r>
            <w:r>
              <w:rPr>
                <w:rStyle w:val="TOCTitleChar2"/>
                <w:noProof/>
                <w:iCs/>
              </w:rPr>
              <w:t>
            Scott v. Harris
          </w:t>
            </w:r>
            <w:r>
              <w:rPr>
                <w:noProof/>
                <w:webHidden/>
              </w:rPr>
              <w:tab/>
            </w:r>
            <w:r>
              <w:rPr>
                <w:noProof/>
                <w:webHidden/>
              </w:rPr>
              <w:fldChar w:fldCharType="begin"/>
            </w:r>
            <w:r>
              <w:rPr>
                <w:noProof/>
                <w:webHidden/>
              </w:rPr>
              <w:instrText xml:space="preserve"> PAGEREF _auto_toc_177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78" w:history="1">
            <w:r>
              <w:rPr>
                <w:rStyle w:val="TOCOrdinalChar2"/>
                <w:noProof/>
                <w:iCs/>
              </w:rPr>
              <w:t>
            15.8
          </w:t>
            </w:r>
            <w:r>
              <w:rPr>
                <w:noProof/>
                <w:webHidden/>
              </w:rPr>
              <w:tab/>
            </w:r>
            <w:r>
              <w:rPr>
                <w:rStyle w:val="TOCTitleChar2"/>
                <w:noProof/>
                <w:iCs/>
              </w:rPr>
              <w:t>
            Notes following Scott
          </w:t>
            </w:r>
            <w:r>
              <w:rPr>
                <w:noProof/>
                <w:webHidden/>
              </w:rPr>
              <w:tab/>
            </w:r>
            <w:r>
              <w:rPr>
                <w:noProof/>
                <w:webHidden/>
              </w:rPr>
              <w:fldChar w:fldCharType="begin"/>
            </w:r>
            <w:r>
              <w:rPr>
                <w:noProof/>
                <w:webHidden/>
              </w:rPr>
              <w:instrText xml:space="preserve"> PAGEREF _auto_toc_178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79" w:history="1">
            <w:r>
              <w:rPr>
                <w:rStyle w:val="TOCOrdinalChar2"/>
                <w:noProof/>
                <w:iCs/>
              </w:rPr>
              <w:t>
            15.9
          </w:t>
            </w:r>
            <w:r>
              <w:rPr>
                <w:noProof/>
                <w:webHidden/>
              </w:rPr>
              <w:tab/>
            </w:r>
            <w:r>
              <w:rPr>
                <w:rStyle w:val="TOCTitleChar2"/>
                <w:noProof/>
                <w:iCs/>
              </w:rPr>
              <w:t>
            Excerpts from the Deposition of Paula Jones
          </w:t>
            </w:r>
            <w:r>
              <w:rPr>
                <w:noProof/>
                <w:webHidden/>
              </w:rPr>
              <w:tab/>
            </w:r>
            <w:r>
              <w:rPr>
                <w:noProof/>
                <w:webHidden/>
              </w:rPr>
              <w:fldChar w:fldCharType="begin"/>
            </w:r>
            <w:r>
              <w:rPr>
                <w:noProof/>
                <w:webHidden/>
              </w:rPr>
              <w:instrText xml:space="preserve"> PAGEREF _auto_toc_179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80" w:history="1">
            <w:r>
              <w:rPr>
                <w:rStyle w:val="TOCOrdinalChar2"/>
                <w:noProof/>
                <w:iCs/>
              </w:rPr>
              <w:t>
            15.10
          </w:t>
            </w:r>
            <w:r>
              <w:rPr>
                <w:noProof/>
                <w:webHidden/>
              </w:rPr>
              <w:tab/>
            </w:r>
            <w:r>
              <w:rPr>
                <w:rStyle w:val="TOCTitleChar2"/>
                <w:noProof/>
                <w:iCs/>
              </w:rPr>
              <w:t>
            Hunter Readings (part 2)
          </w:t>
            </w:r>
            <w:r>
              <w:rPr>
                <w:noProof/>
                <w:webHidden/>
              </w:rPr>
              <w:tab/>
            </w:r>
            <w:r>
              <w:rPr>
                <w:noProof/>
                <w:webHidden/>
              </w:rPr>
              <w:fldChar w:fldCharType="begin"/>
            </w:r>
            <w:r>
              <w:rPr>
                <w:noProof/>
                <w:webHidden/>
              </w:rPr>
              <w:instrText xml:space="preserve"> PAGEREF _auto_toc_180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181" w:history="1">
            <w:r>
              <w:rPr>
                <w:rStyle w:val="TOCOrdinalChar1"/>
                <w:noProof/>
                <w:iCs/>
              </w:rPr>
              <w:t>
            16
          </w:t>
            </w:r>
            <w:r>
              <w:rPr>
                <w:noProof/>
                <w:webHidden/>
              </w:rPr>
              <w:tab/>
            </w:r>
            <w:r>
              <w:rPr>
                <w:rStyle w:val="TOCTitleChar1"/>
                <w:noProof/>
                <w:iCs/>
              </w:rPr>
              <w:t>
            Day 16
          </w:t>
            </w:r>
            <w:r>
              <w:rPr>
                <w:noProof/>
                <w:webHidden/>
              </w:rPr>
              <w:tab/>
            </w:r>
            <w:r>
              <w:rPr>
                <w:noProof/>
                <w:webHidden/>
              </w:rPr>
              <w:fldChar w:fldCharType="begin"/>
            </w:r>
            <w:r>
              <w:rPr>
                <w:noProof/>
                <w:webHidden/>
              </w:rPr>
              <w:instrText xml:space="preserve"> PAGEREF _auto_toc_181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82" w:history="1">
            <w:r>
              <w:rPr>
                <w:rStyle w:val="TOCOrdinalChar2"/>
                <w:noProof/>
                <w:iCs/>
              </w:rPr>
              <w:t>
            16.1
          </w:t>
            </w:r>
            <w:r>
              <w:rPr>
                <w:noProof/>
                <w:webHidden/>
              </w:rPr>
              <w:tab/>
            </w:r>
            <w:r>
              <w:rPr>
                <w:rStyle w:val="TOCTitleChar2"/>
                <w:noProof/>
                <w:iCs/>
              </w:rPr>
              <w:t>
            Rules and Constitutional Provisions
          </w:t>
            </w:r>
            <w:r>
              <w:rPr>
                <w:noProof/>
                <w:webHidden/>
              </w:rPr>
              <w:tab/>
            </w:r>
            <w:r>
              <w:rPr>
                <w:noProof/>
                <w:webHidden/>
              </w:rPr>
              <w:fldChar w:fldCharType="begin"/>
            </w:r>
            <w:r>
              <w:rPr>
                <w:noProof/>
                <w:webHidden/>
              </w:rPr>
              <w:instrText xml:space="preserve"> PAGEREF _auto_toc_182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83" w:history="1">
            <w:r>
              <w:rPr>
                <w:rStyle w:val="TOCOrdinalChar2"/>
                <w:noProof/>
                <w:iCs/>
              </w:rPr>
              <w:t>
            16.2
          </w:t>
            </w:r>
            <w:r>
              <w:rPr>
                <w:noProof/>
                <w:webHidden/>
              </w:rPr>
              <w:tab/>
            </w:r>
            <w:r>
              <w:rPr>
                <w:rStyle w:val="TOCTitleChar2"/>
                <w:noProof/>
                <w:iCs/>
              </w:rPr>
              <w:t>
            The Right to a Jury Trial
          </w:t>
            </w:r>
            <w:r>
              <w:rPr>
                <w:noProof/>
                <w:webHidden/>
              </w:rPr>
              <w:tab/>
            </w:r>
            <w:r>
              <w:rPr>
                <w:noProof/>
                <w:webHidden/>
              </w:rPr>
              <w:fldChar w:fldCharType="begin"/>
            </w:r>
            <w:r>
              <w:rPr>
                <w:noProof/>
                <w:webHidden/>
              </w:rPr>
              <w:instrText xml:space="preserve"> PAGEREF _auto_toc_183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84" w:history="1">
            <w:r>
              <w:rPr>
                <w:rStyle w:val="TOCOrdinalChar2"/>
                <w:noProof/>
                <w:iCs/>
              </w:rPr>
              <w:t>
            16.3
          </w:t>
            </w:r>
            <w:r>
              <w:rPr>
                <w:noProof/>
                <w:webHidden/>
              </w:rPr>
              <w:tab/>
            </w:r>
            <w:r>
              <w:rPr>
                <w:rStyle w:val="TOCTitleChar2"/>
                <w:noProof/>
                <w:iCs/>
              </w:rPr>
              <w:t>
            The Rise of Chancery
          </w:t>
            </w:r>
            <w:r>
              <w:rPr>
                <w:noProof/>
                <w:webHidden/>
              </w:rPr>
              <w:tab/>
            </w:r>
            <w:r>
              <w:rPr>
                <w:noProof/>
                <w:webHidden/>
              </w:rPr>
              <w:fldChar w:fldCharType="begin"/>
            </w:r>
            <w:r>
              <w:rPr>
                <w:noProof/>
                <w:webHidden/>
              </w:rPr>
              <w:instrText xml:space="preserve"> PAGEREF _auto_toc_184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85" w:history="1">
            <w:r>
              <w:rPr>
                <w:rStyle w:val="TOCOrdinalChar2"/>
                <w:noProof/>
                <w:iCs/>
              </w:rPr>
              <w:t>
            16.4
          </w:t>
            </w:r>
            <w:r>
              <w:rPr>
                <w:noProof/>
                <w:webHidden/>
              </w:rPr>
              <w:tab/>
            </w:r>
            <w:r>
              <w:rPr>
                <w:rStyle w:val="TOCTitleChar2"/>
                <w:noProof/>
                <w:iCs/>
              </w:rPr>
              <w:t>
            The Chancellor Fought the Law and the Chancellor Won
          </w:t>
            </w:r>
            <w:r>
              <w:rPr>
                <w:noProof/>
                <w:webHidden/>
              </w:rPr>
              <w:tab/>
            </w:r>
            <w:r>
              <w:rPr>
                <w:noProof/>
                <w:webHidden/>
              </w:rPr>
              <w:fldChar w:fldCharType="begin"/>
            </w:r>
            <w:r>
              <w:rPr>
                <w:noProof/>
                <w:webHidden/>
              </w:rPr>
              <w:instrText xml:space="preserve"> PAGEREF _auto_toc_185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86" w:history="1">
            <w:r>
              <w:rPr>
                <w:rStyle w:val="TOCOrdinalChar2"/>
                <w:noProof/>
                <w:iCs/>
              </w:rPr>
              <w:t>
            16.5
          </w:t>
            </w:r>
            <w:r>
              <w:rPr>
                <w:noProof/>
                <w:webHidden/>
              </w:rPr>
              <w:tab/>
            </w:r>
            <w:r>
              <w:rPr>
                <w:rStyle w:val="TOCTitleChar2"/>
                <w:noProof/>
                <w:iCs/>
              </w:rPr>
              <w:t>
            Equitable Relief: An Overview
          </w:t>
            </w:r>
            <w:r>
              <w:rPr>
                <w:noProof/>
                <w:webHidden/>
              </w:rPr>
              <w:tab/>
            </w:r>
            <w:r>
              <w:rPr>
                <w:noProof/>
                <w:webHidden/>
              </w:rPr>
              <w:fldChar w:fldCharType="begin"/>
            </w:r>
            <w:r>
              <w:rPr>
                <w:noProof/>
                <w:webHidden/>
              </w:rPr>
              <w:instrText xml:space="preserve"> PAGEREF _auto_toc_186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87" w:history="1">
            <w:r>
              <w:rPr>
                <w:rStyle w:val="TOCOrdinalChar2"/>
                <w:noProof/>
                <w:iCs/>
              </w:rPr>
              <w:t>
            16.6
          </w:t>
            </w:r>
            <w:r>
              <w:rPr>
                <w:noProof/>
                <w:webHidden/>
              </w:rPr>
              <w:tab/>
            </w:r>
            <w:r>
              <w:rPr>
                <w:rStyle w:val="TOCTitleChar2"/>
                <w:noProof/>
                <w:iCs/>
              </w:rPr>
              <w:t>
            Chauffeurs, Teamsters &amp; Helpers Local No. 391 v. Terry
          </w:t>
            </w:r>
            <w:r>
              <w:rPr>
                <w:noProof/>
                <w:webHidden/>
              </w:rPr>
              <w:tab/>
            </w:r>
            <w:r>
              <w:rPr>
                <w:noProof/>
                <w:webHidden/>
              </w:rPr>
              <w:fldChar w:fldCharType="begin"/>
            </w:r>
            <w:r>
              <w:rPr>
                <w:noProof/>
                <w:webHidden/>
              </w:rPr>
              <w:instrText xml:space="preserve"> PAGEREF _auto_toc_187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88" w:history="1">
            <w:r>
              <w:rPr>
                <w:rStyle w:val="TOCOrdinalChar2"/>
                <w:noProof/>
                <w:iCs/>
              </w:rPr>
              <w:t>
            16.7
          </w:t>
            </w:r>
            <w:r>
              <w:rPr>
                <w:noProof/>
                <w:webHidden/>
              </w:rPr>
              <w:tab/>
            </w:r>
            <w:r>
              <w:rPr>
                <w:rStyle w:val="TOCTitleChar2"/>
                <w:noProof/>
                <w:iCs/>
              </w:rPr>
              <w:t>
            Notes following Terry
          </w:t>
            </w:r>
            <w:r>
              <w:rPr>
                <w:noProof/>
                <w:webHidden/>
              </w:rPr>
              <w:tab/>
            </w:r>
            <w:r>
              <w:rPr>
                <w:noProof/>
                <w:webHidden/>
              </w:rPr>
              <w:fldChar w:fldCharType="begin"/>
            </w:r>
            <w:r>
              <w:rPr>
                <w:noProof/>
                <w:webHidden/>
              </w:rPr>
              <w:instrText xml:space="preserve"> PAGEREF _auto_toc_188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89" w:history="1">
            <w:r>
              <w:rPr>
                <w:rStyle w:val="TOCOrdinalChar2"/>
                <w:noProof/>
                <w:iCs/>
              </w:rPr>
              <w:t>
            16.8
          </w:t>
            </w:r>
            <w:r>
              <w:rPr>
                <w:noProof/>
                <w:webHidden/>
              </w:rPr>
              <w:tab/>
            </w:r>
            <w:r>
              <w:rPr>
                <w:rStyle w:val="TOCTitleChar2"/>
                <w:noProof/>
                <w:iCs/>
              </w:rPr>
              <w:t>
            Atlas Roofing Co. v. Safety &amp; Health Review Commission
          </w:t>
            </w:r>
            <w:r>
              <w:rPr>
                <w:noProof/>
                <w:webHidden/>
              </w:rPr>
              <w:tab/>
            </w:r>
            <w:r>
              <w:rPr>
                <w:noProof/>
                <w:webHidden/>
              </w:rPr>
              <w:fldChar w:fldCharType="begin"/>
            </w:r>
            <w:r>
              <w:rPr>
                <w:noProof/>
                <w:webHidden/>
              </w:rPr>
              <w:instrText xml:space="preserve"> PAGEREF _auto_toc_189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90" w:history="1">
            <w:r>
              <w:rPr>
                <w:rStyle w:val="TOCOrdinalChar2"/>
                <w:noProof/>
                <w:iCs/>
              </w:rPr>
              <w:t>
            16.9
          </w:t>
            </w:r>
            <w:r>
              <w:rPr>
                <w:noProof/>
                <w:webHidden/>
              </w:rPr>
              <w:tab/>
            </w:r>
            <w:r>
              <w:rPr>
                <w:rStyle w:val="TOCTitleChar2"/>
                <w:noProof/>
                <w:iCs/>
              </w:rPr>
              <w:t>
            Tactical Considerations in Deciding Between Trial By Judge or Jury
          </w:t>
            </w:r>
            <w:r>
              <w:rPr>
                <w:noProof/>
                <w:webHidden/>
              </w:rPr>
              <w:tab/>
            </w:r>
            <w:r>
              <w:rPr>
                <w:noProof/>
                <w:webHidden/>
              </w:rPr>
              <w:fldChar w:fldCharType="begin"/>
            </w:r>
            <w:r>
              <w:rPr>
                <w:noProof/>
                <w:webHidden/>
              </w:rPr>
              <w:instrText xml:space="preserve"> PAGEREF _auto_toc_190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91" w:history="1">
            <w:r>
              <w:rPr>
                <w:rStyle w:val="TOCOrdinalChar2"/>
                <w:noProof/>
                <w:iCs/>
              </w:rPr>
              <w:t>
            16.10
          </w:t>
            </w:r>
            <w:r>
              <w:rPr>
                <w:noProof/>
                <w:webHidden/>
              </w:rPr>
              <w:tab/>
            </w:r>
            <w:r>
              <w:rPr>
                <w:rStyle w:val="TOCTitleChar2"/>
                <w:noProof/>
                <w:iCs/>
              </w:rPr>
              <w:t>
            The Province of Judge and Jury
          </w:t>
            </w:r>
            <w:r>
              <w:rPr>
                <w:noProof/>
                <w:webHidden/>
              </w:rPr>
              <w:tab/>
            </w:r>
            <w:r>
              <w:rPr>
                <w:noProof/>
                <w:webHidden/>
              </w:rPr>
              <w:fldChar w:fldCharType="begin"/>
            </w:r>
            <w:r>
              <w:rPr>
                <w:noProof/>
                <w:webHidden/>
              </w:rPr>
              <w:instrText xml:space="preserve"> PAGEREF _auto_toc_191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92" w:history="1">
            <w:r>
              <w:rPr>
                <w:rStyle w:val="TOCOrdinalChar2"/>
                <w:noProof/>
                <w:iCs/>
              </w:rPr>
              <w:t>
            16.11
          </w:t>
            </w:r>
            <w:r>
              <w:rPr>
                <w:noProof/>
                <w:webHidden/>
              </w:rPr>
              <w:tab/>
            </w:r>
            <w:r>
              <w:rPr>
                <w:rStyle w:val="TOCTitleChar2"/>
                <w:noProof/>
                <w:iCs/>
              </w:rPr>
              <w:t>
            Markman v. Westview Instruments, Inc.
          </w:t>
            </w:r>
            <w:r>
              <w:rPr>
                <w:noProof/>
                <w:webHidden/>
              </w:rPr>
              <w:tab/>
            </w:r>
            <w:r>
              <w:rPr>
                <w:noProof/>
                <w:webHidden/>
              </w:rPr>
              <w:fldChar w:fldCharType="begin"/>
            </w:r>
            <w:r>
              <w:rPr>
                <w:noProof/>
                <w:webHidden/>
              </w:rPr>
              <w:instrText xml:space="preserve"> PAGEREF _auto_toc_192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93" w:history="1">
            <w:r>
              <w:rPr>
                <w:rStyle w:val="TOCOrdinalChar2"/>
                <w:noProof/>
                <w:iCs/>
              </w:rPr>
              <w:t>
            16.12
          </w:t>
            </w:r>
            <w:r>
              <w:rPr>
                <w:noProof/>
                <w:webHidden/>
              </w:rPr>
              <w:tab/>
            </w:r>
            <w:r>
              <w:rPr>
                <w:rStyle w:val="TOCTitleChar2"/>
                <w:noProof/>
                <w:iCs/>
              </w:rPr>
              <w:t>
            Notes following Markman
          </w:t>
            </w:r>
            <w:r>
              <w:rPr>
                <w:noProof/>
                <w:webHidden/>
              </w:rPr>
              <w:tab/>
            </w:r>
            <w:r>
              <w:rPr>
                <w:noProof/>
                <w:webHidden/>
              </w:rPr>
              <w:fldChar w:fldCharType="begin"/>
            </w:r>
            <w:r>
              <w:rPr>
                <w:noProof/>
                <w:webHidden/>
              </w:rPr>
              <w:instrText xml:space="preserve"> PAGEREF _auto_toc_193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94" w:history="1">
            <w:r>
              <w:rPr>
                <w:rStyle w:val="TOCOrdinalChar2"/>
                <w:noProof/>
                <w:iCs/>
              </w:rPr>
              <w:t>
            16.13
          </w:t>
            </w:r>
            <w:r>
              <w:rPr>
                <w:noProof/>
                <w:webHidden/>
              </w:rPr>
              <w:tab/>
            </w:r>
            <w:r>
              <w:rPr>
                <w:rStyle w:val="TOCTitleChar2"/>
                <w:noProof/>
                <w:iCs/>
              </w:rPr>
              <w:t>
            Demand and Waiver of Trial By Jury
          </w:t>
            </w:r>
            <w:r>
              <w:rPr>
                <w:noProof/>
                <w:webHidden/>
              </w:rPr>
              <w:tab/>
            </w:r>
            <w:r>
              <w:rPr>
                <w:noProof/>
                <w:webHidden/>
              </w:rPr>
              <w:fldChar w:fldCharType="begin"/>
            </w:r>
            <w:r>
              <w:rPr>
                <w:noProof/>
                <w:webHidden/>
              </w:rPr>
              <w:instrText xml:space="preserve"> PAGEREF _auto_toc_194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195" w:history="1">
            <w:r>
              <w:rPr>
                <w:rStyle w:val="TOCOrdinalChar1"/>
                <w:noProof/>
                <w:iCs/>
              </w:rPr>
              <w:t>
            17
          </w:t>
            </w:r>
            <w:r>
              <w:rPr>
                <w:noProof/>
                <w:webHidden/>
              </w:rPr>
              <w:tab/>
            </w:r>
            <w:r>
              <w:rPr>
                <w:rStyle w:val="TOCTitleChar1"/>
                <w:noProof/>
                <w:iCs/>
              </w:rPr>
              <w:t>
            Day 17
          </w:t>
            </w:r>
            <w:r>
              <w:rPr>
                <w:noProof/>
                <w:webHidden/>
              </w:rPr>
              <w:tab/>
            </w:r>
            <w:r>
              <w:rPr>
                <w:noProof/>
                <w:webHidden/>
              </w:rPr>
              <w:fldChar w:fldCharType="begin"/>
            </w:r>
            <w:r>
              <w:rPr>
                <w:noProof/>
                <w:webHidden/>
              </w:rPr>
              <w:instrText xml:space="preserve"> PAGEREF _auto_toc_195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96" w:history="1">
            <w:r>
              <w:rPr>
                <w:rStyle w:val="TOCOrdinalChar2"/>
                <w:noProof/>
                <w:iCs/>
              </w:rPr>
              <w:t>
            17.1
          </w:t>
            </w:r>
            <w:r>
              <w:rPr>
                <w:noProof/>
                <w:webHidden/>
              </w:rPr>
              <w:tab/>
            </w:r>
            <w:r>
              <w:rPr>
                <w:rStyle w:val="TOCTitleChar2"/>
                <w:noProof/>
                <w:iCs/>
              </w:rPr>
              <w:t>
            Rules
          </w:t>
            </w:r>
            <w:r>
              <w:rPr>
                <w:noProof/>
                <w:webHidden/>
              </w:rPr>
              <w:tab/>
            </w:r>
            <w:r>
              <w:rPr>
                <w:noProof/>
                <w:webHidden/>
              </w:rPr>
              <w:fldChar w:fldCharType="begin"/>
            </w:r>
            <w:r>
              <w:rPr>
                <w:noProof/>
                <w:webHidden/>
              </w:rPr>
              <w:instrText xml:space="preserve"> PAGEREF _auto_toc_196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97" w:history="1">
            <w:r>
              <w:rPr>
                <w:rStyle w:val="TOCOrdinalChar2"/>
                <w:noProof/>
                <w:iCs/>
              </w:rPr>
              <w:t>
            17.2
          </w:t>
            </w:r>
            <w:r>
              <w:rPr>
                <w:noProof/>
                <w:webHidden/>
              </w:rPr>
              <w:tab/>
            </w:r>
            <w:r>
              <w:rPr>
                <w:rStyle w:val="TOCTitleChar2"/>
                <w:noProof/>
                <w:iCs/>
              </w:rPr>
              <w:t>
            Standards of review
          </w:t>
            </w:r>
            <w:r>
              <w:rPr>
                <w:noProof/>
                <w:webHidden/>
              </w:rPr>
              <w:tab/>
            </w:r>
            <w:r>
              <w:rPr>
                <w:noProof/>
                <w:webHidden/>
              </w:rPr>
              <w:fldChar w:fldCharType="begin"/>
            </w:r>
            <w:r>
              <w:rPr>
                <w:noProof/>
                <w:webHidden/>
              </w:rPr>
              <w:instrText xml:space="preserve"> PAGEREF _auto_toc_197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98" w:history="1">
            <w:r>
              <w:rPr>
                <w:rStyle w:val="TOCOrdinalChar2"/>
                <w:noProof/>
                <w:iCs/>
              </w:rPr>
              <w:t>
            17.3
          </w:t>
            </w:r>
            <w:r>
              <w:rPr>
                <w:noProof/>
                <w:webHidden/>
              </w:rPr>
              <w:tab/>
            </w:r>
            <w:r>
              <w:rPr>
                <w:rStyle w:val="TOCTitleChar2"/>
                <w:noProof/>
                <w:iCs/>
              </w:rPr>
              <w:t>
            Kennedy v. Southern California Edison Co.
          </w:t>
            </w:r>
            <w:r>
              <w:rPr>
                <w:noProof/>
                <w:webHidden/>
              </w:rPr>
              <w:tab/>
            </w:r>
            <w:r>
              <w:rPr>
                <w:noProof/>
                <w:webHidden/>
              </w:rPr>
              <w:fldChar w:fldCharType="begin"/>
            </w:r>
            <w:r>
              <w:rPr>
                <w:noProof/>
                <w:webHidden/>
              </w:rPr>
              <w:instrText xml:space="preserve"> PAGEREF _auto_toc_198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199" w:history="1">
            <w:r>
              <w:rPr>
                <w:rStyle w:val="TOCOrdinalChar2"/>
                <w:noProof/>
                <w:iCs/>
              </w:rPr>
              <w:t>
            17.4
          </w:t>
            </w:r>
            <w:r>
              <w:rPr>
                <w:noProof/>
                <w:webHidden/>
              </w:rPr>
              <w:tab/>
            </w:r>
            <w:r>
              <w:rPr>
                <w:rStyle w:val="TOCTitleChar2"/>
                <w:noProof/>
                <w:iCs/>
              </w:rPr>
              <w:t>
            Note following Kennedy
          </w:t>
            </w:r>
            <w:r>
              <w:rPr>
                <w:noProof/>
                <w:webHidden/>
              </w:rPr>
              <w:tab/>
            </w:r>
            <w:r>
              <w:rPr>
                <w:noProof/>
                <w:webHidden/>
              </w:rPr>
              <w:fldChar w:fldCharType="begin"/>
            </w:r>
            <w:r>
              <w:rPr>
                <w:noProof/>
                <w:webHidden/>
              </w:rPr>
              <w:instrText xml:space="preserve"> PAGEREF _auto_toc_199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00" w:history="1">
            <w:r>
              <w:rPr>
                <w:rStyle w:val="TOCOrdinalChar2"/>
                <w:noProof/>
                <w:iCs/>
              </w:rPr>
              <w:t>
            17.5
          </w:t>
            </w:r>
            <w:r>
              <w:rPr>
                <w:noProof/>
                <w:webHidden/>
              </w:rPr>
              <w:tab/>
            </w:r>
            <w:r>
              <w:rPr>
                <w:rStyle w:val="TOCTitleChar2"/>
                <w:noProof/>
                <w:iCs/>
              </w:rPr>
              <w:t>
            Lansford-Coaldale Joint Water Authority v. Tonolli Corp.
          </w:t>
            </w:r>
            <w:r>
              <w:rPr>
                <w:noProof/>
                <w:webHidden/>
              </w:rPr>
              <w:tab/>
            </w:r>
            <w:r>
              <w:rPr>
                <w:noProof/>
                <w:webHidden/>
              </w:rPr>
              <w:fldChar w:fldCharType="begin"/>
            </w:r>
            <w:r>
              <w:rPr>
                <w:noProof/>
                <w:webHidden/>
              </w:rPr>
              <w:instrText xml:space="preserve"> PAGEREF _auto_toc_200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01" w:history="1">
            <w:r>
              <w:rPr>
                <w:rStyle w:val="TOCOrdinalChar2"/>
                <w:noProof/>
                <w:iCs/>
              </w:rPr>
              <w:t>
            17.6
          </w:t>
            </w:r>
            <w:r>
              <w:rPr>
                <w:noProof/>
                <w:webHidden/>
              </w:rPr>
              <w:tab/>
            </w:r>
            <w:r>
              <w:rPr>
                <w:rStyle w:val="TOCTitleChar2"/>
                <w:noProof/>
                <w:iCs/>
              </w:rPr>
              <w:t>
            Ætna Casualty &amp; Surety Co. v. Yeatts
          </w:t>
            </w:r>
            <w:r>
              <w:rPr>
                <w:noProof/>
                <w:webHidden/>
              </w:rPr>
              <w:tab/>
            </w:r>
            <w:r>
              <w:rPr>
                <w:noProof/>
                <w:webHidden/>
              </w:rPr>
              <w:fldChar w:fldCharType="begin"/>
            </w:r>
            <w:r>
              <w:rPr>
                <w:noProof/>
                <w:webHidden/>
              </w:rPr>
              <w:instrText xml:space="preserve"> PAGEREF _auto_toc_201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02" w:history="1">
            <w:r>
              <w:rPr>
                <w:rStyle w:val="TOCOrdinalChar2"/>
                <w:noProof/>
                <w:iCs/>
              </w:rPr>
              <w:t>
            17.7
          </w:t>
            </w:r>
            <w:r>
              <w:rPr>
                <w:noProof/>
                <w:webHidden/>
              </w:rPr>
              <w:tab/>
            </w:r>
            <w:r>
              <w:rPr>
                <w:rStyle w:val="TOCTitleChar2"/>
                <w:noProof/>
                <w:iCs/>
              </w:rPr>
              <w:t>
            Note following Yeatts
          </w:t>
            </w:r>
            <w:r>
              <w:rPr>
                <w:noProof/>
                <w:webHidden/>
              </w:rPr>
              <w:tab/>
            </w:r>
            <w:r>
              <w:rPr>
                <w:noProof/>
                <w:webHidden/>
              </w:rPr>
              <w:fldChar w:fldCharType="begin"/>
            </w:r>
            <w:r>
              <w:rPr>
                <w:noProof/>
                <w:webHidden/>
              </w:rPr>
              <w:instrText xml:space="preserve"> PAGEREF _auto_toc_202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03" w:history="1">
            <w:r>
              <w:rPr>
                <w:rStyle w:val="TOCOrdinalChar2"/>
                <w:noProof/>
                <w:iCs/>
              </w:rPr>
              <w:t>
            17.8
          </w:t>
            </w:r>
            <w:r>
              <w:rPr>
                <w:noProof/>
                <w:webHidden/>
              </w:rPr>
              <w:tab/>
            </w:r>
            <w:r>
              <w:rPr>
                <w:rStyle w:val="TOCTitleChar2"/>
                <w:noProof/>
                <w:iCs/>
              </w:rPr>
              <w:t>
            Fisch v. Manger
          </w:t>
            </w:r>
            <w:r>
              <w:rPr>
                <w:noProof/>
                <w:webHidden/>
              </w:rPr>
              <w:tab/>
            </w:r>
            <w:r>
              <w:rPr>
                <w:noProof/>
                <w:webHidden/>
              </w:rPr>
              <w:fldChar w:fldCharType="begin"/>
            </w:r>
            <w:r>
              <w:rPr>
                <w:noProof/>
                <w:webHidden/>
              </w:rPr>
              <w:instrText xml:space="preserve"> PAGEREF _auto_toc_203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04" w:history="1">
            <w:r>
              <w:rPr>
                <w:rStyle w:val="TOCOrdinalChar2"/>
                <w:noProof/>
                <w:iCs/>
              </w:rPr>
              <w:t>
            17.9
          </w:t>
            </w:r>
            <w:r>
              <w:rPr>
                <w:noProof/>
                <w:webHidden/>
              </w:rPr>
              <w:tab/>
            </w:r>
            <w:r>
              <w:rPr>
                <w:rStyle w:val="TOCTitleChar2"/>
                <w:noProof/>
                <w:iCs/>
              </w:rPr>
              <w:t>
            Unitherm Food Systems, Inc. v. Swift-Eckrich, Inc.
          </w:t>
            </w:r>
            <w:r>
              <w:rPr>
                <w:noProof/>
                <w:webHidden/>
              </w:rPr>
              <w:tab/>
            </w:r>
            <w:r>
              <w:rPr>
                <w:noProof/>
                <w:webHidden/>
              </w:rPr>
              <w:fldChar w:fldCharType="begin"/>
            </w:r>
            <w:r>
              <w:rPr>
                <w:noProof/>
                <w:webHidden/>
              </w:rPr>
              <w:instrText xml:space="preserve"> PAGEREF _auto_toc_204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05" w:history="1">
            <w:r>
              <w:rPr>
                <w:rStyle w:val="TOCOrdinalChar2"/>
                <w:noProof/>
                <w:iCs/>
              </w:rPr>
              <w:t>
            17.10
          </w:t>
            </w:r>
            <w:r>
              <w:rPr>
                <w:noProof/>
                <w:webHidden/>
              </w:rPr>
              <w:tab/>
            </w:r>
            <w:r>
              <w:rPr>
                <w:rStyle w:val="TOCTitleChar2"/>
                <w:noProof/>
                <w:iCs/>
              </w:rPr>
              <w:t>
            Time Limits on Renewed Motion Requirements
          </w:t>
            </w:r>
            <w:r>
              <w:rPr>
                <w:noProof/>
                <w:webHidden/>
              </w:rPr>
              <w:tab/>
            </w:r>
            <w:r>
              <w:rPr>
                <w:noProof/>
                <w:webHidden/>
              </w:rPr>
              <w:fldChar w:fldCharType="begin"/>
            </w:r>
            <w:r>
              <w:rPr>
                <w:noProof/>
                <w:webHidden/>
              </w:rPr>
              <w:instrText xml:space="preserve"> PAGEREF _auto_toc_205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06" w:history="1">
            <w:r>
              <w:rPr>
                <w:rStyle w:val="TOCOrdinalChar2"/>
                <w:noProof/>
                <w:iCs/>
              </w:rPr>
              <w:t>
            17.11
          </w:t>
            </w:r>
            <w:r>
              <w:rPr>
                <w:noProof/>
                <w:webHidden/>
              </w:rPr>
              <w:tab/>
            </w:r>
            <w:r>
              <w:rPr>
                <w:rStyle w:val="TOCTitleChar2"/>
                <w:noProof/>
                <w:iCs/>
              </w:rPr>
              <w:t>
            The Power to Set Aside a Judgment
          </w:t>
            </w:r>
            <w:r>
              <w:rPr>
                <w:noProof/>
                <w:webHidden/>
              </w:rPr>
              <w:tab/>
            </w:r>
            <w:r>
              <w:rPr>
                <w:noProof/>
                <w:webHidden/>
              </w:rPr>
              <w:fldChar w:fldCharType="begin"/>
            </w:r>
            <w:r>
              <w:rPr>
                <w:noProof/>
                <w:webHidden/>
              </w:rPr>
              <w:instrText xml:space="preserve"> PAGEREF _auto_toc_206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207" w:history="1">
            <w:r>
              <w:rPr>
                <w:rStyle w:val="TOCOrdinalChar1"/>
                <w:noProof/>
                <w:iCs/>
              </w:rPr>
              <w:t>
            18
          </w:t>
            </w:r>
            <w:r>
              <w:rPr>
                <w:noProof/>
                <w:webHidden/>
              </w:rPr>
              <w:tab/>
            </w:r>
            <w:r>
              <w:rPr>
                <w:rStyle w:val="TOCTitleChar1"/>
                <w:noProof/>
                <w:iCs/>
              </w:rPr>
              <w:t>
            Day 18
          </w:t>
            </w:r>
            <w:r>
              <w:rPr>
                <w:noProof/>
                <w:webHidden/>
              </w:rPr>
              <w:tab/>
            </w:r>
            <w:r>
              <w:rPr>
                <w:noProof/>
                <w:webHidden/>
              </w:rPr>
              <w:fldChar w:fldCharType="begin"/>
            </w:r>
            <w:r>
              <w:rPr>
                <w:noProof/>
                <w:webHidden/>
              </w:rPr>
              <w:instrText xml:space="preserve"> PAGEREF _auto_toc_207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08" w:history="1">
            <w:r>
              <w:rPr>
                <w:rStyle w:val="TOCOrdinalChar2"/>
                <w:noProof/>
                <w:iCs/>
              </w:rPr>
              <w:t>
            18.1
          </w:t>
            </w:r>
            <w:r>
              <w:rPr>
                <w:noProof/>
                <w:webHidden/>
              </w:rPr>
              <w:tab/>
            </w:r>
            <w:r>
              <w:rPr>
                <w:rStyle w:val="TOCTitleChar2"/>
                <w:noProof/>
                <w:iCs/>
              </w:rPr>
              <w:t>
            Rules and Statutes
          </w:t>
            </w:r>
            <w:r>
              <w:rPr>
                <w:noProof/>
                <w:webHidden/>
              </w:rPr>
              <w:tab/>
            </w:r>
            <w:r>
              <w:rPr>
                <w:noProof/>
                <w:webHidden/>
              </w:rPr>
              <w:fldChar w:fldCharType="begin"/>
            </w:r>
            <w:r>
              <w:rPr>
                <w:noProof/>
                <w:webHidden/>
              </w:rPr>
              <w:instrText xml:space="preserve"> PAGEREF _auto_toc_208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09" w:history="1">
            <w:r>
              <w:rPr>
                <w:rStyle w:val="TOCOrdinalChar2"/>
                <w:noProof/>
                <w:iCs/>
              </w:rPr>
              <w:t>
            18.2
          </w:t>
            </w:r>
            <w:r>
              <w:rPr>
                <w:noProof/>
                <w:webHidden/>
              </w:rPr>
              <w:tab/>
            </w:r>
            <w:r>
              <w:rPr>
                <w:rStyle w:val="TOCTitleChar2"/>
                <w:noProof/>
                <w:iCs/>
              </w:rPr>
              <w:t>
            The Final Order Rule
          </w:t>
            </w:r>
            <w:r>
              <w:rPr>
                <w:noProof/>
                <w:webHidden/>
              </w:rPr>
              <w:tab/>
            </w:r>
            <w:r>
              <w:rPr>
                <w:noProof/>
                <w:webHidden/>
              </w:rPr>
              <w:fldChar w:fldCharType="begin"/>
            </w:r>
            <w:r>
              <w:rPr>
                <w:noProof/>
                <w:webHidden/>
              </w:rPr>
              <w:instrText xml:space="preserve"> PAGEREF _auto_toc_209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10" w:history="1">
            <w:r>
              <w:rPr>
                <w:rStyle w:val="TOCOrdinalChar2"/>
                <w:noProof/>
                <w:iCs/>
              </w:rPr>
              <w:t>
            18.3
          </w:t>
            </w:r>
            <w:r>
              <w:rPr>
                <w:noProof/>
                <w:webHidden/>
              </w:rPr>
              <w:tab/>
            </w:r>
            <w:r>
              <w:rPr>
                <w:rStyle w:val="TOCTitleChar2"/>
                <w:noProof/>
                <w:iCs/>
              </w:rPr>
              <w:t>
            Liberty Mutual Insurance v. Wetzel
          </w:t>
            </w:r>
            <w:r>
              <w:rPr>
                <w:noProof/>
                <w:webHidden/>
              </w:rPr>
              <w:tab/>
            </w:r>
            <w:r>
              <w:rPr>
                <w:noProof/>
                <w:webHidden/>
              </w:rPr>
              <w:fldChar w:fldCharType="begin"/>
            </w:r>
            <w:r>
              <w:rPr>
                <w:noProof/>
                <w:webHidden/>
              </w:rPr>
              <w:instrText xml:space="preserve"> PAGEREF _auto_toc_210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11" w:history="1">
            <w:r>
              <w:rPr>
                <w:rStyle w:val="TOCOrdinalChar2"/>
                <w:noProof/>
                <w:iCs/>
              </w:rPr>
              <w:t>
            18.4
          </w:t>
            </w:r>
            <w:r>
              <w:rPr>
                <w:noProof/>
                <w:webHidden/>
              </w:rPr>
              <w:tab/>
            </w:r>
            <w:r>
              <w:rPr>
                <w:rStyle w:val="TOCTitleChar2"/>
                <w:noProof/>
                <w:iCs/>
              </w:rPr>
              <w:t>
            Notes following Liberty Mutual
          </w:t>
            </w:r>
            <w:r>
              <w:rPr>
                <w:noProof/>
                <w:webHidden/>
              </w:rPr>
              <w:tab/>
            </w:r>
            <w:r>
              <w:rPr>
                <w:noProof/>
                <w:webHidden/>
              </w:rPr>
              <w:fldChar w:fldCharType="begin"/>
            </w:r>
            <w:r>
              <w:rPr>
                <w:noProof/>
                <w:webHidden/>
              </w:rPr>
              <w:instrText xml:space="preserve"> PAGEREF _auto_toc_211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12" w:history="1">
            <w:r>
              <w:rPr>
                <w:rStyle w:val="TOCOrdinalChar2"/>
                <w:noProof/>
                <w:iCs/>
              </w:rPr>
              <w:t>
            18.5
          </w:t>
            </w:r>
            <w:r>
              <w:rPr>
                <w:noProof/>
                <w:webHidden/>
              </w:rPr>
              <w:tab/>
            </w:r>
            <w:r>
              <w:rPr>
                <w:rStyle w:val="TOCTitleChar2"/>
                <w:noProof/>
                <w:iCs/>
              </w:rPr>
              <w:t>
            Sears, Roebuck &amp; Co. v. Mackey
          </w:t>
            </w:r>
            <w:r>
              <w:rPr>
                <w:noProof/>
                <w:webHidden/>
              </w:rPr>
              <w:tab/>
            </w:r>
            <w:r>
              <w:rPr>
                <w:noProof/>
                <w:webHidden/>
              </w:rPr>
              <w:fldChar w:fldCharType="begin"/>
            </w:r>
            <w:r>
              <w:rPr>
                <w:noProof/>
                <w:webHidden/>
              </w:rPr>
              <w:instrText xml:space="preserve"> PAGEREF _auto_toc_212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13" w:history="1">
            <w:r>
              <w:rPr>
                <w:rStyle w:val="TOCOrdinalChar2"/>
                <w:noProof/>
                <w:iCs/>
              </w:rPr>
              <w:t>
            18.6
          </w:t>
            </w:r>
            <w:r>
              <w:rPr>
                <w:noProof/>
                <w:webHidden/>
              </w:rPr>
              <w:tab/>
            </w:r>
            <w:r>
              <w:rPr>
                <w:rStyle w:val="TOCTitleChar2"/>
                <w:noProof/>
                <w:iCs/>
              </w:rPr>
              <w:t>
            Note following Sears
          </w:t>
            </w:r>
            <w:r>
              <w:rPr>
                <w:noProof/>
                <w:webHidden/>
              </w:rPr>
              <w:tab/>
            </w:r>
            <w:r>
              <w:rPr>
                <w:noProof/>
                <w:webHidden/>
              </w:rPr>
              <w:fldChar w:fldCharType="begin"/>
            </w:r>
            <w:r>
              <w:rPr>
                <w:noProof/>
                <w:webHidden/>
              </w:rPr>
              <w:instrText xml:space="preserve"> PAGEREF _auto_toc_213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14" w:history="1">
            <w:r>
              <w:rPr>
                <w:rStyle w:val="TOCOrdinalChar2"/>
                <w:noProof/>
                <w:iCs/>
              </w:rPr>
              <w:t>
            18.7
          </w:t>
            </w:r>
            <w:r>
              <w:rPr>
                <w:noProof/>
                <w:webHidden/>
              </w:rPr>
              <w:tab/>
            </w:r>
            <w:r>
              <w:rPr>
                <w:rStyle w:val="TOCTitleChar2"/>
                <w:noProof/>
                <w:iCs/>
              </w:rPr>
              <w:t>
            Cohen v. Beneficial Industrial Loan Corp.
          </w:t>
            </w:r>
            <w:r>
              <w:rPr>
                <w:noProof/>
                <w:webHidden/>
              </w:rPr>
              <w:tab/>
            </w:r>
            <w:r>
              <w:rPr>
                <w:noProof/>
                <w:webHidden/>
              </w:rPr>
              <w:fldChar w:fldCharType="begin"/>
            </w:r>
            <w:r>
              <w:rPr>
                <w:noProof/>
                <w:webHidden/>
              </w:rPr>
              <w:instrText xml:space="preserve"> PAGEREF _auto_toc_214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15" w:history="1">
            <w:r>
              <w:rPr>
                <w:rStyle w:val="TOCOrdinalChar2"/>
                <w:noProof/>
                <w:iCs/>
              </w:rPr>
              <w:t>
            18.8
          </w:t>
            </w:r>
            <w:r>
              <w:rPr>
                <w:noProof/>
                <w:webHidden/>
              </w:rPr>
              <w:tab/>
            </w:r>
            <w:r>
              <w:rPr>
                <w:rStyle w:val="TOCTitleChar2"/>
                <w:noProof/>
                <w:iCs/>
              </w:rPr>
              <w:t>
            Notes on the Collateral Order Doctrine
          </w:t>
            </w:r>
            <w:r>
              <w:rPr>
                <w:noProof/>
                <w:webHidden/>
              </w:rPr>
              <w:tab/>
            </w:r>
            <w:r>
              <w:rPr>
                <w:noProof/>
                <w:webHidden/>
              </w:rPr>
              <w:fldChar w:fldCharType="begin"/>
            </w:r>
            <w:r>
              <w:rPr>
                <w:noProof/>
                <w:webHidden/>
              </w:rPr>
              <w:instrText xml:space="preserve"> PAGEREF _auto_toc_215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16" w:history="1">
            <w:r>
              <w:rPr>
                <w:rStyle w:val="TOCOrdinalChar2"/>
                <w:noProof/>
                <w:iCs/>
              </w:rPr>
              <w:t>
            18.9
          </w:t>
            </w:r>
            <w:r>
              <w:rPr>
                <w:noProof/>
                <w:webHidden/>
              </w:rPr>
              <w:tab/>
            </w:r>
            <w:r>
              <w:rPr>
                <w:rStyle w:val="TOCTitleChar2"/>
                <w:noProof/>
                <w:iCs/>
              </w:rPr>
              <w:t>
            Video (10 min)
          </w:t>
            </w:r>
            <w:r>
              <w:rPr>
                <w:noProof/>
                <w:webHidden/>
              </w:rPr>
              <w:tab/>
            </w:r>
            <w:r>
              <w:rPr>
                <w:noProof/>
                <w:webHidden/>
              </w:rPr>
              <w:fldChar w:fldCharType="begin"/>
            </w:r>
            <w:r>
              <w:rPr>
                <w:noProof/>
                <w:webHidden/>
              </w:rPr>
              <w:instrText xml:space="preserve"> PAGEREF _auto_toc_216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17" w:history="1">
            <w:r>
              <w:rPr>
                <w:rStyle w:val="TOCOrdinalChar2"/>
                <w:noProof/>
                <w:iCs/>
              </w:rPr>
              <w:t>
            18.10
          </w:t>
            </w:r>
            <w:r>
              <w:rPr>
                <w:noProof/>
                <w:webHidden/>
              </w:rPr>
              <w:tab/>
            </w:r>
            <w:r>
              <w:rPr>
                <w:rStyle w:val="TOCTitleChar2"/>
                <w:noProof/>
                <w:iCs/>
              </w:rPr>
              <w:t>
            Atlantic City Electric Co. v. General Electric Co.
          </w:t>
            </w:r>
            <w:r>
              <w:rPr>
                <w:noProof/>
                <w:webHidden/>
              </w:rPr>
              <w:tab/>
            </w:r>
            <w:r>
              <w:rPr>
                <w:noProof/>
                <w:webHidden/>
              </w:rPr>
              <w:fldChar w:fldCharType="begin"/>
            </w:r>
            <w:r>
              <w:rPr>
                <w:noProof/>
                <w:webHidden/>
              </w:rPr>
              <w:instrText xml:space="preserve"> PAGEREF _auto_toc_217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18" w:history="1">
            <w:r>
              <w:rPr>
                <w:rStyle w:val="TOCOrdinalChar2"/>
                <w:noProof/>
                <w:iCs/>
              </w:rPr>
              <w:t>
            18.11
          </w:t>
            </w:r>
            <w:r>
              <w:rPr>
                <w:noProof/>
                <w:webHidden/>
              </w:rPr>
              <w:tab/>
            </w:r>
            <w:r>
              <w:rPr>
                <w:rStyle w:val="TOCTitleChar2"/>
                <w:noProof/>
                <w:iCs/>
              </w:rPr>
              <w:t>
            La Buy v. Howes Leather Co.
          </w:t>
            </w:r>
            <w:r>
              <w:rPr>
                <w:noProof/>
                <w:webHidden/>
              </w:rPr>
              <w:tab/>
            </w:r>
            <w:r>
              <w:rPr>
                <w:noProof/>
                <w:webHidden/>
              </w:rPr>
              <w:fldChar w:fldCharType="begin"/>
            </w:r>
            <w:r>
              <w:rPr>
                <w:noProof/>
                <w:webHidden/>
              </w:rPr>
              <w:instrText xml:space="preserve"> PAGEREF _auto_toc_218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19" w:history="1">
            <w:r>
              <w:rPr>
                <w:rStyle w:val="TOCOrdinalChar2"/>
                <w:noProof/>
                <w:iCs/>
              </w:rPr>
              <w:t>
            18.12
          </w:t>
            </w:r>
            <w:r>
              <w:rPr>
                <w:noProof/>
                <w:webHidden/>
              </w:rPr>
              <w:tab/>
            </w:r>
            <w:r>
              <w:rPr>
                <w:rStyle w:val="TOCTitleChar2"/>
                <w:noProof/>
                <w:iCs/>
              </w:rPr>
              <w:t>
            Note following La Buy
          </w:t>
            </w:r>
            <w:r>
              <w:rPr>
                <w:noProof/>
                <w:webHidden/>
              </w:rPr>
              <w:tab/>
            </w:r>
            <w:r>
              <w:rPr>
                <w:noProof/>
                <w:webHidden/>
              </w:rPr>
              <w:fldChar w:fldCharType="begin"/>
            </w:r>
            <w:r>
              <w:rPr>
                <w:noProof/>
                <w:webHidden/>
              </w:rPr>
              <w:instrText xml:space="preserve"> PAGEREF _auto_toc_219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220" w:history="1">
            <w:r>
              <w:rPr>
                <w:rStyle w:val="TOCOrdinalChar1"/>
                <w:noProof/>
                <w:iCs/>
              </w:rPr>
              <w:t>
            19
          </w:t>
            </w:r>
            <w:r>
              <w:rPr>
                <w:noProof/>
                <w:webHidden/>
              </w:rPr>
              <w:tab/>
            </w:r>
            <w:r>
              <w:rPr>
                <w:rStyle w:val="TOCTitleChar1"/>
                <w:noProof/>
                <w:iCs/>
              </w:rPr>
              <w:t>
            Day 19
          </w:t>
            </w:r>
            <w:r>
              <w:rPr>
                <w:noProof/>
                <w:webHidden/>
              </w:rPr>
              <w:tab/>
            </w:r>
            <w:r>
              <w:rPr>
                <w:noProof/>
                <w:webHidden/>
              </w:rPr>
              <w:fldChar w:fldCharType="begin"/>
            </w:r>
            <w:r>
              <w:rPr>
                <w:noProof/>
                <w:webHidden/>
              </w:rPr>
              <w:instrText xml:space="preserve"> PAGEREF _auto_toc_220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21" w:history="1">
            <w:r>
              <w:rPr>
                <w:rStyle w:val="TOCOrdinalChar2"/>
                <w:noProof/>
                <w:iCs/>
              </w:rPr>
              <w:t>
            19.1
          </w:t>
            </w:r>
            <w:r>
              <w:rPr>
                <w:noProof/>
                <w:webHidden/>
              </w:rPr>
              <w:tab/>
            </w:r>
            <w:r>
              <w:rPr>
                <w:rStyle w:val="TOCTitleChar2"/>
                <w:noProof/>
                <w:iCs/>
              </w:rPr>
              <w:t>
            Rules
          </w:t>
            </w:r>
            <w:r>
              <w:rPr>
                <w:noProof/>
                <w:webHidden/>
              </w:rPr>
              <w:tab/>
            </w:r>
            <w:r>
              <w:rPr>
                <w:noProof/>
                <w:webHidden/>
              </w:rPr>
              <w:fldChar w:fldCharType="begin"/>
            </w:r>
            <w:r>
              <w:rPr>
                <w:noProof/>
                <w:webHidden/>
              </w:rPr>
              <w:instrText xml:space="preserve"> PAGEREF _auto_toc_221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22" w:history="1">
            <w:r>
              <w:rPr>
                <w:rStyle w:val="TOCOrdinalChar2"/>
                <w:noProof/>
                <w:iCs/>
              </w:rPr>
              <w:t>
            19.2
          </w:t>
            </w:r>
            <w:r>
              <w:rPr>
                <w:noProof/>
                <w:webHidden/>
              </w:rPr>
              <w:tab/>
            </w:r>
            <w:r>
              <w:rPr>
                <w:rStyle w:val="TOCTitleChar2"/>
                <w:noProof/>
                <w:iCs/>
              </w:rPr>
              <w:t>
            Slides on Complex Litigation
          </w:t>
            </w:r>
            <w:r>
              <w:rPr>
                <w:noProof/>
                <w:webHidden/>
              </w:rPr>
              <w:tab/>
            </w:r>
            <w:r>
              <w:rPr>
                <w:noProof/>
                <w:webHidden/>
              </w:rPr>
              <w:fldChar w:fldCharType="begin"/>
            </w:r>
            <w:r>
              <w:rPr>
                <w:noProof/>
                <w:webHidden/>
              </w:rPr>
              <w:instrText xml:space="preserve"> PAGEREF _auto_toc_222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23" w:history="1">
            <w:r>
              <w:rPr>
                <w:rStyle w:val="TOCOrdinalChar2"/>
                <w:noProof/>
                <w:iCs/>
              </w:rPr>
              <w:t>
            19.3
          </w:t>
            </w:r>
            <w:r>
              <w:rPr>
                <w:noProof/>
                <w:webHidden/>
              </w:rPr>
              <w:tab/>
            </w:r>
            <w:r>
              <w:rPr>
                <w:rStyle w:val="TOCTitleChar2"/>
                <w:noProof/>
                <w:iCs/>
              </w:rPr>
              <w:t>
            United States ex rel. D’Agostino Excavators, Inc. v. Heyward-Robinson Co.
          </w:t>
            </w:r>
            <w:r>
              <w:rPr>
                <w:noProof/>
                <w:webHidden/>
              </w:rPr>
              <w:tab/>
            </w:r>
            <w:r>
              <w:rPr>
                <w:noProof/>
                <w:webHidden/>
              </w:rPr>
              <w:fldChar w:fldCharType="begin"/>
            </w:r>
            <w:r>
              <w:rPr>
                <w:noProof/>
                <w:webHidden/>
              </w:rPr>
              <w:instrText xml:space="preserve"> PAGEREF _auto_toc_223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24" w:history="1">
            <w:r>
              <w:rPr>
                <w:rStyle w:val="TOCOrdinalChar2"/>
                <w:noProof/>
                <w:iCs/>
              </w:rPr>
              <w:t>
            19.4
          </w:t>
            </w:r>
            <w:r>
              <w:rPr>
                <w:noProof/>
                <w:webHidden/>
              </w:rPr>
              <w:tab/>
            </w:r>
            <w:r>
              <w:rPr>
                <w:rStyle w:val="TOCTitleChar2"/>
                <w:noProof/>
                <w:iCs/>
              </w:rPr>
              <w:t>
            Notes following Heyward-Robinson
          </w:t>
            </w:r>
            <w:r>
              <w:rPr>
                <w:noProof/>
                <w:webHidden/>
              </w:rPr>
              <w:tab/>
            </w:r>
            <w:r>
              <w:rPr>
                <w:noProof/>
                <w:webHidden/>
              </w:rPr>
              <w:fldChar w:fldCharType="begin"/>
            </w:r>
            <w:r>
              <w:rPr>
                <w:noProof/>
                <w:webHidden/>
              </w:rPr>
              <w:instrText xml:space="preserve"> PAGEREF _auto_toc_224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25" w:history="1">
            <w:r>
              <w:rPr>
                <w:rStyle w:val="TOCOrdinalChar2"/>
                <w:noProof/>
                <w:iCs/>
              </w:rPr>
              <w:t>
            19.5
          </w:t>
            </w:r>
            <w:r>
              <w:rPr>
                <w:noProof/>
                <w:webHidden/>
              </w:rPr>
              <w:tab/>
            </w:r>
            <w:r>
              <w:rPr>
                <w:rStyle w:val="TOCTitleChar2"/>
                <w:noProof/>
                <w:iCs/>
              </w:rPr>
              <w:t>
            Note on Consequences of Failure to Assert a Counterclaim
          </w:t>
            </w:r>
            <w:r>
              <w:rPr>
                <w:noProof/>
                <w:webHidden/>
              </w:rPr>
              <w:tab/>
            </w:r>
            <w:r>
              <w:rPr>
                <w:noProof/>
                <w:webHidden/>
              </w:rPr>
              <w:fldChar w:fldCharType="begin"/>
            </w:r>
            <w:r>
              <w:rPr>
                <w:noProof/>
                <w:webHidden/>
              </w:rPr>
              <w:instrText xml:space="preserve"> PAGEREF _auto_toc_225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26" w:history="1">
            <w:r>
              <w:rPr>
                <w:rStyle w:val="TOCOrdinalChar2"/>
                <w:noProof/>
                <w:iCs/>
              </w:rPr>
              <w:t>
            19.6
          </w:t>
            </w:r>
            <w:r>
              <w:rPr>
                <w:noProof/>
                <w:webHidden/>
              </w:rPr>
              <w:tab/>
            </w:r>
            <w:r>
              <w:rPr>
                <w:rStyle w:val="TOCTitleChar2"/>
                <w:noProof/>
                <w:iCs/>
              </w:rPr>
              <w:t>
            Smuck v. Hobson
          </w:t>
            </w:r>
            <w:r>
              <w:rPr>
                <w:noProof/>
                <w:webHidden/>
              </w:rPr>
              <w:tab/>
            </w:r>
            <w:r>
              <w:rPr>
                <w:noProof/>
                <w:webHidden/>
              </w:rPr>
              <w:fldChar w:fldCharType="begin"/>
            </w:r>
            <w:r>
              <w:rPr>
                <w:noProof/>
                <w:webHidden/>
              </w:rPr>
              <w:instrText xml:space="preserve"> PAGEREF _auto_toc_226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27" w:history="1">
            <w:r>
              <w:rPr>
                <w:rStyle w:val="TOCOrdinalChar2"/>
                <w:noProof/>
                <w:iCs/>
              </w:rPr>
              <w:t>
            19.7
          </w:t>
            </w:r>
            <w:r>
              <w:rPr>
                <w:noProof/>
                <w:webHidden/>
              </w:rPr>
              <w:tab/>
            </w:r>
            <w:r>
              <w:rPr>
                <w:rStyle w:val="TOCTitleChar2"/>
                <w:noProof/>
                <w:iCs/>
              </w:rPr>
              <w:t>
            Excerpts from Subrin et al. on Finality and Preclusion
          </w:t>
            </w:r>
            <w:r>
              <w:rPr>
                <w:noProof/>
                <w:webHidden/>
              </w:rPr>
              <w:tab/>
            </w:r>
            <w:r>
              <w:rPr>
                <w:noProof/>
                <w:webHidden/>
              </w:rPr>
              <w:fldChar w:fldCharType="begin"/>
            </w:r>
            <w:r>
              <w:rPr>
                <w:noProof/>
                <w:webHidden/>
              </w:rPr>
              <w:instrText xml:space="preserve"> PAGEREF _auto_toc_227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228" w:history="1">
            <w:r>
              <w:rPr>
                <w:rStyle w:val="TOCOrdinalChar1"/>
                <w:noProof/>
                <w:iCs/>
              </w:rPr>
              <w:t>
            20
          </w:t>
            </w:r>
            <w:r>
              <w:rPr>
                <w:noProof/>
                <w:webHidden/>
              </w:rPr>
              <w:tab/>
            </w:r>
            <w:r>
              <w:rPr>
                <w:rStyle w:val="TOCTitleChar1"/>
                <w:noProof/>
                <w:iCs/>
              </w:rPr>
              <w:t>
            Day 20
          </w:t>
            </w:r>
            <w:r>
              <w:rPr>
                <w:noProof/>
                <w:webHidden/>
              </w:rPr>
              <w:tab/>
            </w:r>
            <w:r>
              <w:rPr>
                <w:noProof/>
                <w:webHidden/>
              </w:rPr>
              <w:fldChar w:fldCharType="begin"/>
            </w:r>
            <w:r>
              <w:rPr>
                <w:noProof/>
                <w:webHidden/>
              </w:rPr>
              <w:instrText xml:space="preserve"> PAGEREF _auto_toc_228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29" w:history="1">
            <w:r>
              <w:rPr>
                <w:rStyle w:val="TOCOrdinalChar2"/>
                <w:noProof/>
                <w:iCs/>
              </w:rPr>
              <w:t>
            20.1
          </w:t>
            </w:r>
            <w:r>
              <w:rPr>
                <w:noProof/>
                <w:webHidden/>
              </w:rPr>
              <w:tab/>
            </w:r>
            <w:r>
              <w:rPr>
                <w:rStyle w:val="TOCTitleChar2"/>
                <w:noProof/>
                <w:iCs/>
              </w:rPr>
              <w:t>
            Jones v. Morris Plan Bank
          </w:t>
            </w:r>
            <w:r>
              <w:rPr>
                <w:noProof/>
                <w:webHidden/>
              </w:rPr>
              <w:tab/>
            </w:r>
            <w:r>
              <w:rPr>
                <w:noProof/>
                <w:webHidden/>
              </w:rPr>
              <w:fldChar w:fldCharType="begin"/>
            </w:r>
            <w:r>
              <w:rPr>
                <w:noProof/>
                <w:webHidden/>
              </w:rPr>
              <w:instrText xml:space="preserve"> PAGEREF _auto_toc_229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30" w:history="1">
            <w:r>
              <w:rPr>
                <w:rStyle w:val="TOCOrdinalChar2"/>
                <w:noProof/>
                <w:iCs/>
              </w:rPr>
              <w:t>
            20.2
          </w:t>
            </w:r>
            <w:r>
              <w:rPr>
                <w:noProof/>
                <w:webHidden/>
              </w:rPr>
              <w:tab/>
            </w:r>
            <w:r>
              <w:rPr>
                <w:rStyle w:val="TOCTitleChar2"/>
                <w:noProof/>
                <w:iCs/>
              </w:rPr>
              <w:t>
            Notes following Jones
          </w:t>
            </w:r>
            <w:r>
              <w:rPr>
                <w:noProof/>
                <w:webHidden/>
              </w:rPr>
              <w:tab/>
            </w:r>
            <w:r>
              <w:rPr>
                <w:noProof/>
                <w:webHidden/>
              </w:rPr>
              <w:fldChar w:fldCharType="begin"/>
            </w:r>
            <w:r>
              <w:rPr>
                <w:noProof/>
                <w:webHidden/>
              </w:rPr>
              <w:instrText xml:space="preserve"> PAGEREF _auto_toc_230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31" w:history="1">
            <w:r>
              <w:rPr>
                <w:rStyle w:val="TOCOrdinalChar2"/>
                <w:noProof/>
                <w:iCs/>
              </w:rPr>
              <w:t>
            20.3
          </w:t>
            </w:r>
            <w:r>
              <w:rPr>
                <w:noProof/>
                <w:webHidden/>
              </w:rPr>
              <w:tab/>
            </w:r>
            <w:r>
              <w:rPr>
                <w:rStyle w:val="TOCTitleChar2"/>
                <w:noProof/>
                <w:iCs/>
              </w:rPr>
              <w:t>
            Introduction to Issue Preclusion
          </w:t>
            </w:r>
            <w:r>
              <w:rPr>
                <w:noProof/>
                <w:webHidden/>
              </w:rPr>
              <w:tab/>
            </w:r>
            <w:r>
              <w:rPr>
                <w:noProof/>
                <w:webHidden/>
              </w:rPr>
              <w:fldChar w:fldCharType="begin"/>
            </w:r>
            <w:r>
              <w:rPr>
                <w:noProof/>
                <w:webHidden/>
              </w:rPr>
              <w:instrText xml:space="preserve"> PAGEREF _auto_toc_231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32" w:history="1">
            <w:r>
              <w:rPr>
                <w:rStyle w:val="TOCOrdinalChar2"/>
                <w:noProof/>
                <w:iCs/>
              </w:rPr>
              <w:t>
            20.4
          </w:t>
            </w:r>
            <w:r>
              <w:rPr>
                <w:noProof/>
                <w:webHidden/>
              </w:rPr>
              <w:tab/>
            </w:r>
            <w:r>
              <w:rPr>
                <w:rStyle w:val="TOCTitleChar2"/>
                <w:noProof/>
                <w:iCs/>
              </w:rPr>
              <w:t>
            Cromwell v. County of Sac
          </w:t>
            </w:r>
            <w:r>
              <w:rPr>
                <w:noProof/>
                <w:webHidden/>
              </w:rPr>
              <w:tab/>
            </w:r>
            <w:r>
              <w:rPr>
                <w:noProof/>
                <w:webHidden/>
              </w:rPr>
              <w:fldChar w:fldCharType="begin"/>
            </w:r>
            <w:r>
              <w:rPr>
                <w:noProof/>
                <w:webHidden/>
              </w:rPr>
              <w:instrText xml:space="preserve"> PAGEREF _auto_toc_232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33" w:history="1">
            <w:r>
              <w:rPr>
                <w:rStyle w:val="TOCOrdinalChar2"/>
                <w:noProof/>
                <w:iCs/>
              </w:rPr>
              <w:t>
            20.5
          </w:t>
            </w:r>
            <w:r>
              <w:rPr>
                <w:noProof/>
                <w:webHidden/>
              </w:rPr>
              <w:tab/>
            </w:r>
            <w:r>
              <w:rPr>
                <w:rStyle w:val="TOCTitleChar2"/>
                <w:noProof/>
                <w:iCs/>
              </w:rPr>
              <w:t>
            Notes following Cromwell
          </w:t>
            </w:r>
            <w:r>
              <w:rPr>
                <w:noProof/>
                <w:webHidden/>
              </w:rPr>
              <w:tab/>
            </w:r>
            <w:r>
              <w:rPr>
                <w:noProof/>
                <w:webHidden/>
              </w:rPr>
              <w:fldChar w:fldCharType="begin"/>
            </w:r>
            <w:r>
              <w:rPr>
                <w:noProof/>
                <w:webHidden/>
              </w:rPr>
              <w:instrText xml:space="preserve"> PAGEREF _auto_toc_233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34" w:history="1">
            <w:r>
              <w:rPr>
                <w:rStyle w:val="TOCOrdinalChar2"/>
                <w:noProof/>
                <w:iCs/>
              </w:rPr>
              <w:t>
            20.6
          </w:t>
            </w:r>
            <w:r>
              <w:rPr>
                <w:noProof/>
                <w:webHidden/>
              </w:rPr>
              <w:tab/>
            </w:r>
            <w:r>
              <w:rPr>
                <w:rStyle w:val="TOCTitleChar2"/>
                <w:noProof/>
                <w:iCs/>
              </w:rPr>
              <w:t>
            Russell v. Place
          </w:t>
            </w:r>
            <w:r>
              <w:rPr>
                <w:noProof/>
                <w:webHidden/>
              </w:rPr>
              <w:tab/>
            </w:r>
            <w:r>
              <w:rPr>
                <w:noProof/>
                <w:webHidden/>
              </w:rPr>
              <w:fldChar w:fldCharType="begin"/>
            </w:r>
            <w:r>
              <w:rPr>
                <w:noProof/>
                <w:webHidden/>
              </w:rPr>
              <w:instrText xml:space="preserve"> PAGEREF _auto_toc_234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35" w:history="1">
            <w:r>
              <w:rPr>
                <w:rStyle w:val="TOCOrdinalChar2"/>
                <w:noProof/>
                <w:iCs/>
              </w:rPr>
              <w:t>
            20.7
          </w:t>
            </w:r>
            <w:r>
              <w:rPr>
                <w:noProof/>
                <w:webHidden/>
              </w:rPr>
              <w:tab/>
            </w:r>
            <w:r>
              <w:rPr>
                <w:rStyle w:val="TOCTitleChar2"/>
                <w:noProof/>
                <w:iCs/>
              </w:rPr>
              <w:t>
            Notes following Russell
          </w:t>
            </w:r>
            <w:r>
              <w:rPr>
                <w:noProof/>
                <w:webHidden/>
              </w:rPr>
              <w:tab/>
            </w:r>
            <w:r>
              <w:rPr>
                <w:noProof/>
                <w:webHidden/>
              </w:rPr>
              <w:fldChar w:fldCharType="begin"/>
            </w:r>
            <w:r>
              <w:rPr>
                <w:noProof/>
                <w:webHidden/>
              </w:rPr>
              <w:instrText xml:space="preserve"> PAGEREF _auto_toc_235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36" w:history="1">
            <w:r>
              <w:rPr>
                <w:rStyle w:val="TOCOrdinalChar2"/>
                <w:noProof/>
                <w:iCs/>
              </w:rPr>
              <w:t>
            20.8
          </w:t>
            </w:r>
            <w:r>
              <w:rPr>
                <w:noProof/>
                <w:webHidden/>
              </w:rPr>
              <w:tab/>
            </w:r>
            <w:r>
              <w:rPr>
                <w:rStyle w:val="TOCTitleChar2"/>
                <w:noProof/>
                <w:iCs/>
              </w:rPr>
              <w:t>
            Rios v. Davis
          </w:t>
            </w:r>
            <w:r>
              <w:rPr>
                <w:noProof/>
                <w:webHidden/>
              </w:rPr>
              <w:tab/>
            </w:r>
            <w:r>
              <w:rPr>
                <w:noProof/>
                <w:webHidden/>
              </w:rPr>
              <w:fldChar w:fldCharType="begin"/>
            </w:r>
            <w:r>
              <w:rPr>
                <w:noProof/>
                <w:webHidden/>
              </w:rPr>
              <w:instrText xml:space="preserve"> PAGEREF _auto_toc_236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37" w:history="1">
            <w:r>
              <w:rPr>
                <w:rStyle w:val="TOCOrdinalChar2"/>
                <w:noProof/>
                <w:iCs/>
              </w:rPr>
              <w:t>
            20.9
          </w:t>
            </w:r>
            <w:r>
              <w:rPr>
                <w:noProof/>
                <w:webHidden/>
              </w:rPr>
              <w:tab/>
            </w:r>
            <w:r>
              <w:rPr>
                <w:rStyle w:val="TOCTitleChar2"/>
                <w:noProof/>
                <w:iCs/>
              </w:rPr>
              <w:t>
            Notes following Rios
          </w:t>
            </w:r>
            <w:r>
              <w:rPr>
                <w:noProof/>
                <w:webHidden/>
              </w:rPr>
              <w:tab/>
            </w:r>
            <w:r>
              <w:rPr>
                <w:noProof/>
                <w:webHidden/>
              </w:rPr>
              <w:fldChar w:fldCharType="begin"/>
            </w:r>
            <w:r>
              <w:rPr>
                <w:noProof/>
                <w:webHidden/>
              </w:rPr>
              <w:instrText xml:space="preserve"> PAGEREF _auto_toc_237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38" w:history="1">
            <w:r>
              <w:rPr>
                <w:rStyle w:val="TOCOrdinalChar2"/>
                <w:noProof/>
                <w:iCs/>
              </w:rPr>
              <w:t>
            20.10
          </w:t>
            </w:r>
            <w:r>
              <w:rPr>
                <w:noProof/>
                <w:webHidden/>
              </w:rPr>
              <w:tab/>
            </w:r>
            <w:r>
              <w:rPr>
                <w:rStyle w:val="TOCTitleChar2"/>
                <w:noProof/>
                <w:iCs/>
              </w:rPr>
              <w:t>
            Blonder-Tongue Laboratories, Inc. v. University of Illinois Foundation
          </w:t>
            </w:r>
            <w:r>
              <w:rPr>
                <w:noProof/>
                <w:webHidden/>
              </w:rPr>
              <w:tab/>
            </w:r>
            <w:r>
              <w:rPr>
                <w:noProof/>
                <w:webHidden/>
              </w:rPr>
              <w:fldChar w:fldCharType="begin"/>
            </w:r>
            <w:r>
              <w:rPr>
                <w:noProof/>
                <w:webHidden/>
              </w:rPr>
              <w:instrText xml:space="preserve"> PAGEREF _auto_toc_238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39" w:history="1">
            <w:r>
              <w:rPr>
                <w:rStyle w:val="TOCOrdinalChar2"/>
                <w:noProof/>
                <w:iCs/>
              </w:rPr>
              <w:t>
            20.11
          </w:t>
            </w:r>
            <w:r>
              <w:rPr>
                <w:noProof/>
                <w:webHidden/>
              </w:rPr>
              <w:tab/>
            </w:r>
            <w:r>
              <w:rPr>
                <w:rStyle w:val="TOCTitleChar2"/>
                <w:noProof/>
                <w:iCs/>
              </w:rPr>
              <w:t>
            Parklane Hosiery Co. v. Shore
          </w:t>
            </w:r>
            <w:r>
              <w:rPr>
                <w:noProof/>
                <w:webHidden/>
              </w:rPr>
              <w:tab/>
            </w:r>
            <w:r>
              <w:rPr>
                <w:noProof/>
                <w:webHidden/>
              </w:rPr>
              <w:fldChar w:fldCharType="begin"/>
            </w:r>
            <w:r>
              <w:rPr>
                <w:noProof/>
                <w:webHidden/>
              </w:rPr>
              <w:instrText xml:space="preserve"> PAGEREF _auto_toc_239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40" w:history="1">
            <w:r>
              <w:rPr>
                <w:rStyle w:val="TOCOrdinalChar2"/>
                <w:noProof/>
                <w:iCs/>
              </w:rPr>
              <w:t>
            20.12
          </w:t>
            </w:r>
            <w:r>
              <w:rPr>
                <w:noProof/>
                <w:webHidden/>
              </w:rPr>
              <w:tab/>
            </w:r>
            <w:r>
              <w:rPr>
                <w:rStyle w:val="TOCTitleChar2"/>
                <w:noProof/>
                <w:iCs/>
              </w:rPr>
              <w:t>
            Notes following Parklane Hosiery
          </w:t>
            </w:r>
            <w:r>
              <w:rPr>
                <w:noProof/>
                <w:webHidden/>
              </w:rPr>
              <w:tab/>
            </w:r>
            <w:r>
              <w:rPr>
                <w:noProof/>
                <w:webHidden/>
              </w:rPr>
              <w:fldChar w:fldCharType="begin"/>
            </w:r>
            <w:r>
              <w:rPr>
                <w:noProof/>
                <w:webHidden/>
              </w:rPr>
              <w:instrText xml:space="preserve"> PAGEREF _auto_toc_240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241" w:history="1">
            <w:r>
              <w:rPr>
                <w:rStyle w:val="TOCOrdinalChar1"/>
                <w:noProof/>
                <w:iCs/>
              </w:rPr>
              <w:t>
            21
          </w:t>
            </w:r>
            <w:r>
              <w:rPr>
                <w:noProof/>
                <w:webHidden/>
              </w:rPr>
              <w:tab/>
            </w:r>
            <w:r>
              <w:rPr>
                <w:rStyle w:val="TOCTitleChar1"/>
                <w:noProof/>
                <w:iCs/>
              </w:rPr>
              <w:t>
            Day 21
          </w:t>
            </w:r>
            <w:r>
              <w:rPr>
                <w:noProof/>
                <w:webHidden/>
              </w:rPr>
              <w:tab/>
            </w:r>
            <w:r>
              <w:rPr>
                <w:noProof/>
                <w:webHidden/>
              </w:rPr>
              <w:fldChar w:fldCharType="begin"/>
            </w:r>
            <w:r>
              <w:rPr>
                <w:noProof/>
                <w:webHidden/>
              </w:rPr>
              <w:instrText xml:space="preserve"> PAGEREF _auto_toc_241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42" w:history="1">
            <w:r>
              <w:rPr>
                <w:rStyle w:val="TOCOrdinalChar2"/>
                <w:noProof/>
                <w:iCs/>
              </w:rPr>
              <w:t>
            21.1
          </w:t>
            </w:r>
            <w:r>
              <w:rPr>
                <w:noProof/>
                <w:webHidden/>
              </w:rPr>
              <w:tab/>
            </w:r>
            <w:r>
              <w:rPr>
                <w:rStyle w:val="TOCTitleChar2"/>
                <w:noProof/>
                <w:iCs/>
              </w:rPr>
              <w:t>
            Statutes and Constitutional Provisions
          </w:t>
            </w:r>
            <w:r>
              <w:rPr>
                <w:noProof/>
                <w:webHidden/>
              </w:rPr>
              <w:tab/>
            </w:r>
            <w:r>
              <w:rPr>
                <w:noProof/>
                <w:webHidden/>
              </w:rPr>
              <w:fldChar w:fldCharType="begin"/>
            </w:r>
            <w:r>
              <w:rPr>
                <w:noProof/>
                <w:webHidden/>
              </w:rPr>
              <w:instrText xml:space="preserve"> PAGEREF _auto_toc_242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43" w:history="1">
            <w:r>
              <w:rPr>
                <w:rStyle w:val="TOCOrdinalChar2"/>
                <w:noProof/>
                <w:iCs/>
              </w:rPr>
              <w:t>
            21.2
          </w:t>
            </w:r>
            <w:r>
              <w:rPr>
                <w:noProof/>
                <w:webHidden/>
              </w:rPr>
              <w:tab/>
            </w:r>
            <w:r>
              <w:rPr>
                <w:rStyle w:val="TOCTitleChar2"/>
                <w:noProof/>
                <w:iCs/>
              </w:rPr>
              <w:t>
            Marrese v. Orthopedic Surgeons
          </w:t>
            </w:r>
            <w:r>
              <w:rPr>
                <w:noProof/>
                <w:webHidden/>
              </w:rPr>
              <w:tab/>
            </w:r>
            <w:r>
              <w:rPr>
                <w:noProof/>
                <w:webHidden/>
              </w:rPr>
              <w:fldChar w:fldCharType="begin"/>
            </w:r>
            <w:r>
              <w:rPr>
                <w:noProof/>
                <w:webHidden/>
              </w:rPr>
              <w:instrText xml:space="preserve"> PAGEREF _auto_toc_243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44" w:history="1">
            <w:r>
              <w:rPr>
                <w:rStyle w:val="TOCOrdinalChar2"/>
                <w:noProof/>
                <w:iCs/>
              </w:rPr>
              <w:t>
            21.3
          </w:t>
            </w:r>
            <w:r>
              <w:rPr>
                <w:noProof/>
                <w:webHidden/>
              </w:rPr>
              <w:tab/>
            </w:r>
            <w:r>
              <w:rPr>
                <w:rStyle w:val="TOCTitleChar2"/>
                <w:noProof/>
                <w:iCs/>
              </w:rPr>
              <w:t>
            Migra v. Warren City School District Board of Education
          </w:t>
            </w:r>
            <w:r>
              <w:rPr>
                <w:noProof/>
                <w:webHidden/>
              </w:rPr>
              <w:tab/>
            </w:r>
            <w:r>
              <w:rPr>
                <w:noProof/>
                <w:webHidden/>
              </w:rPr>
              <w:fldChar w:fldCharType="begin"/>
            </w:r>
            <w:r>
              <w:rPr>
                <w:noProof/>
                <w:webHidden/>
              </w:rPr>
              <w:instrText xml:space="preserve"> PAGEREF _auto_toc_244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45" w:history="1">
            <w:r>
              <w:rPr>
                <w:rStyle w:val="TOCOrdinalChar2"/>
                <w:noProof/>
                <w:iCs/>
              </w:rPr>
              <w:t>
            21.4
          </w:t>
            </w:r>
            <w:r>
              <w:rPr>
                <w:noProof/>
                <w:webHidden/>
              </w:rPr>
              <w:tab/>
            </w:r>
            <w:r>
              <w:rPr>
                <w:rStyle w:val="TOCTitleChar2"/>
                <w:noProof/>
                <w:iCs/>
              </w:rPr>
              <w:t>
            Notes following Migra
          </w:t>
            </w:r>
            <w:r>
              <w:rPr>
                <w:noProof/>
                <w:webHidden/>
              </w:rPr>
              <w:tab/>
            </w:r>
            <w:r>
              <w:rPr>
                <w:noProof/>
                <w:webHidden/>
              </w:rPr>
              <w:fldChar w:fldCharType="begin"/>
            </w:r>
            <w:r>
              <w:rPr>
                <w:noProof/>
                <w:webHidden/>
              </w:rPr>
              <w:instrText xml:space="preserve"> PAGEREF _auto_toc_245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46" w:history="1">
            <w:r>
              <w:rPr>
                <w:rStyle w:val="TOCOrdinalChar2"/>
                <w:noProof/>
                <w:iCs/>
              </w:rPr>
              <w:t>
            21.5
          </w:t>
            </w:r>
            <w:r>
              <w:rPr>
                <w:noProof/>
                <w:webHidden/>
              </w:rPr>
              <w:tab/>
            </w:r>
            <w:r>
              <w:rPr>
                <w:rStyle w:val="TOCTitleChar2"/>
                <w:noProof/>
                <w:iCs/>
              </w:rPr>
              <w:t>
            Rules
          </w:t>
            </w:r>
            <w:r>
              <w:rPr>
                <w:noProof/>
                <w:webHidden/>
              </w:rPr>
              <w:tab/>
            </w:r>
            <w:r>
              <w:rPr>
                <w:noProof/>
                <w:webHidden/>
              </w:rPr>
              <w:fldChar w:fldCharType="begin"/>
            </w:r>
            <w:r>
              <w:rPr>
                <w:noProof/>
                <w:webHidden/>
              </w:rPr>
              <w:instrText xml:space="preserve"> PAGEREF _auto_toc_246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47" w:history="1">
            <w:r>
              <w:rPr>
                <w:rStyle w:val="TOCOrdinalChar2"/>
                <w:noProof/>
                <w:iCs/>
              </w:rPr>
              <w:t>
            21.6
          </w:t>
            </w:r>
            <w:r>
              <w:rPr>
                <w:noProof/>
                <w:webHidden/>
              </w:rPr>
              <w:tab/>
            </w:r>
            <w:r>
              <w:rPr>
                <w:rStyle w:val="TOCTitleChar2"/>
                <w:noProof/>
                <w:iCs/>
              </w:rPr>
              <w:t>
            Semtek International Inc. v. Lockheed Martin Corp.
          </w:t>
            </w:r>
            <w:r>
              <w:rPr>
                <w:noProof/>
                <w:webHidden/>
              </w:rPr>
              <w:tab/>
            </w:r>
            <w:r>
              <w:rPr>
                <w:noProof/>
                <w:webHidden/>
              </w:rPr>
              <w:fldChar w:fldCharType="begin"/>
            </w:r>
            <w:r>
              <w:rPr>
                <w:noProof/>
                <w:webHidden/>
              </w:rPr>
              <w:instrText xml:space="preserve"> PAGEREF _auto_toc_247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48" w:history="1">
            <w:r>
              <w:rPr>
                <w:rStyle w:val="TOCOrdinalChar2"/>
                <w:noProof/>
                <w:iCs/>
              </w:rPr>
              <w:t>
            21.7
          </w:t>
            </w:r>
            <w:r>
              <w:rPr>
                <w:noProof/>
                <w:webHidden/>
              </w:rPr>
              <w:tab/>
            </w:r>
            <w:r>
              <w:rPr>
                <w:rStyle w:val="TOCTitleChar2"/>
                <w:noProof/>
                <w:iCs/>
              </w:rPr>
              <w:t>
            Hart v. American Airlines, Inc.
          </w:t>
            </w:r>
            <w:r>
              <w:rPr>
                <w:noProof/>
                <w:webHidden/>
              </w:rPr>
              <w:tab/>
            </w:r>
            <w:r>
              <w:rPr>
                <w:noProof/>
                <w:webHidden/>
              </w:rPr>
              <w:fldChar w:fldCharType="begin"/>
            </w:r>
            <w:r>
              <w:rPr>
                <w:noProof/>
                <w:webHidden/>
              </w:rPr>
              <w:instrText xml:space="preserve"> PAGEREF _auto_toc_248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49" w:history="1">
            <w:r>
              <w:rPr>
                <w:rStyle w:val="TOCOrdinalChar2"/>
                <w:noProof/>
                <w:iCs/>
              </w:rPr>
              <w:t>
            21.8
          </w:t>
            </w:r>
            <w:r>
              <w:rPr>
                <w:noProof/>
                <w:webHidden/>
              </w:rPr>
              <w:tab/>
            </w:r>
            <w:r>
              <w:rPr>
                <w:rStyle w:val="TOCTitleChar2"/>
                <w:noProof/>
                <w:iCs/>
              </w:rPr>
              <w:t>
            Restatement (Second) of Conflicts, § 83(2)
          </w:t>
            </w:r>
            <w:r>
              <w:rPr>
                <w:noProof/>
                <w:webHidden/>
              </w:rPr>
              <w:tab/>
            </w:r>
            <w:r>
              <w:rPr>
                <w:noProof/>
                <w:webHidden/>
              </w:rPr>
              <w:fldChar w:fldCharType="begin"/>
            </w:r>
            <w:r>
              <w:rPr>
                <w:noProof/>
                <w:webHidden/>
              </w:rPr>
              <w:instrText xml:space="preserve"> PAGEREF _auto_toc_249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250" w:history="1">
            <w:r>
              <w:rPr>
                <w:rStyle w:val="TOCOrdinalChar1"/>
                <w:noProof/>
                <w:iCs/>
              </w:rPr>
              <w:t>
            22
          </w:t>
            </w:r>
            <w:r>
              <w:rPr>
                <w:noProof/>
                <w:webHidden/>
              </w:rPr>
              <w:tab/>
            </w:r>
            <w:r>
              <w:rPr>
                <w:rStyle w:val="TOCTitleChar1"/>
                <w:noProof/>
                <w:iCs/>
              </w:rPr>
              <w:t>
            Day 22
          </w:t>
            </w:r>
            <w:r>
              <w:rPr>
                <w:noProof/>
                <w:webHidden/>
              </w:rPr>
              <w:tab/>
            </w:r>
            <w:r>
              <w:rPr>
                <w:noProof/>
                <w:webHidden/>
              </w:rPr>
              <w:fldChar w:fldCharType="begin"/>
            </w:r>
            <w:r>
              <w:rPr>
                <w:noProof/>
                <w:webHidden/>
              </w:rPr>
              <w:instrText xml:space="preserve"> PAGEREF _auto_toc_250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51" w:history="1">
            <w:r>
              <w:rPr>
                <w:rStyle w:val="TOCOrdinalChar2"/>
                <w:noProof/>
                <w:iCs/>
              </w:rPr>
              <w:t>
            22.1
          </w:t>
            </w:r>
            <w:r>
              <w:rPr>
                <w:noProof/>
                <w:webHidden/>
              </w:rPr>
              <w:tab/>
            </w:r>
            <w:r>
              <w:rPr>
                <w:rStyle w:val="TOCTitleChar2"/>
                <w:noProof/>
                <w:iCs/>
              </w:rPr>
              <w:t>
            Rules
          </w:t>
            </w:r>
            <w:r>
              <w:rPr>
                <w:noProof/>
                <w:webHidden/>
              </w:rPr>
              <w:tab/>
            </w:r>
            <w:r>
              <w:rPr>
                <w:noProof/>
                <w:webHidden/>
              </w:rPr>
              <w:fldChar w:fldCharType="begin"/>
            </w:r>
            <w:r>
              <w:rPr>
                <w:noProof/>
                <w:webHidden/>
              </w:rPr>
              <w:instrText xml:space="preserve"> PAGEREF _auto_toc_251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52" w:history="1">
            <w:r>
              <w:rPr>
                <w:rStyle w:val="TOCOrdinalChar2"/>
                <w:noProof/>
                <w:iCs/>
              </w:rPr>
              <w:t>
            22.2
          </w:t>
            </w:r>
            <w:r>
              <w:rPr>
                <w:noProof/>
                <w:webHidden/>
              </w:rPr>
              <w:tab/>
            </w:r>
            <w:r>
              <w:rPr>
                <w:rStyle w:val="TOCTitleChar2"/>
                <w:noProof/>
                <w:iCs/>
              </w:rPr>
              <w:t>
            Class Action Certification &amp; Types
          </w:t>
            </w:r>
            <w:r>
              <w:rPr>
                <w:noProof/>
                <w:webHidden/>
              </w:rPr>
              <w:tab/>
            </w:r>
            <w:r>
              <w:rPr>
                <w:noProof/>
                <w:webHidden/>
              </w:rPr>
              <w:fldChar w:fldCharType="begin"/>
            </w:r>
            <w:r>
              <w:rPr>
                <w:noProof/>
                <w:webHidden/>
              </w:rPr>
              <w:instrText xml:space="preserve"> PAGEREF _auto_toc_252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53" w:history="1">
            <w:r>
              <w:rPr>
                <w:rStyle w:val="TOCOrdinalChar2"/>
                <w:noProof/>
                <w:iCs/>
              </w:rPr>
              <w:t>
            22.3
          </w:t>
            </w:r>
            <w:r>
              <w:rPr>
                <w:noProof/>
                <w:webHidden/>
              </w:rPr>
              <w:tab/>
            </w:r>
            <w:r>
              <w:rPr>
                <w:rStyle w:val="TOCTitleChar2"/>
                <w:noProof/>
                <w:iCs/>
              </w:rPr>
              <w:t>
            Wal-Mart Stores, Inc. v. Dukes
          </w:t>
            </w:r>
            <w:r>
              <w:rPr>
                <w:noProof/>
                <w:webHidden/>
              </w:rPr>
              <w:tab/>
            </w:r>
            <w:r>
              <w:rPr>
                <w:noProof/>
                <w:webHidden/>
              </w:rPr>
              <w:fldChar w:fldCharType="begin"/>
            </w:r>
            <w:r>
              <w:rPr>
                <w:noProof/>
                <w:webHidden/>
              </w:rPr>
              <w:instrText xml:space="preserve"> PAGEREF _auto_toc_253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54" w:history="1">
            <w:r>
              <w:rPr>
                <w:rStyle w:val="TOCOrdinalChar2"/>
                <w:noProof/>
                <w:iCs/>
              </w:rPr>
              <w:t>
            22.4
          </w:t>
            </w:r>
            <w:r>
              <w:rPr>
                <w:noProof/>
                <w:webHidden/>
              </w:rPr>
              <w:tab/>
            </w:r>
            <w:r>
              <w:rPr>
                <w:rStyle w:val="TOCTitleChar2"/>
                <w:noProof/>
                <w:iCs/>
              </w:rPr>
              <w:t>
            Amchem Products, Inc. v. Windsor
          </w:t>
            </w:r>
            <w:r>
              <w:rPr>
                <w:noProof/>
                <w:webHidden/>
              </w:rPr>
              <w:tab/>
            </w:r>
            <w:r>
              <w:rPr>
                <w:noProof/>
                <w:webHidden/>
              </w:rPr>
              <w:fldChar w:fldCharType="begin"/>
            </w:r>
            <w:r>
              <w:rPr>
                <w:noProof/>
                <w:webHidden/>
              </w:rPr>
              <w:instrText xml:space="preserve"> PAGEREF _auto_toc_254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55" w:history="1">
            <w:r>
              <w:rPr>
                <w:rStyle w:val="TOCOrdinalChar2"/>
                <w:noProof/>
                <w:iCs/>
              </w:rPr>
              <w:t>
            22.5
          </w:t>
            </w:r>
            <w:r>
              <w:rPr>
                <w:noProof/>
                <w:webHidden/>
              </w:rPr>
              <w:tab/>
            </w:r>
            <w:r>
              <w:rPr>
                <w:rStyle w:val="TOCTitleChar2"/>
                <w:noProof/>
                <w:iCs/>
              </w:rPr>
              <w:t>
            Phillips Petroleum Co. v. Shutts
          </w:t>
            </w:r>
            <w:r>
              <w:rPr>
                <w:noProof/>
                <w:webHidden/>
              </w:rPr>
              <w:tab/>
            </w:r>
            <w:r>
              <w:rPr>
                <w:noProof/>
                <w:webHidden/>
              </w:rPr>
              <w:fldChar w:fldCharType="begin"/>
            </w:r>
            <w:r>
              <w:rPr>
                <w:noProof/>
                <w:webHidden/>
              </w:rPr>
              <w:instrText xml:space="preserve"> PAGEREF _auto_toc_255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56" w:history="1">
            <w:r>
              <w:rPr>
                <w:rStyle w:val="TOCOrdinalChar2"/>
                <w:noProof/>
                <w:iCs/>
              </w:rPr>
              <w:t>
            22.6
          </w:t>
            </w:r>
            <w:r>
              <w:rPr>
                <w:noProof/>
                <w:webHidden/>
              </w:rPr>
              <w:tab/>
            </w:r>
            <w:r>
              <w:rPr>
                <w:rStyle w:val="TOCTitleChar2"/>
                <w:noProof/>
                <w:iCs/>
              </w:rPr>
              <w:t>
            Note following Shutts
          </w:t>
            </w:r>
            <w:r>
              <w:rPr>
                <w:noProof/>
                <w:webHidden/>
              </w:rPr>
              <w:tab/>
            </w:r>
            <w:r>
              <w:rPr>
                <w:noProof/>
                <w:webHidden/>
              </w:rPr>
              <w:fldChar w:fldCharType="begin"/>
            </w:r>
            <w:r>
              <w:rPr>
                <w:noProof/>
                <w:webHidden/>
              </w:rPr>
              <w:instrText xml:space="preserve"> PAGEREF _auto_toc_256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57" w:history="1">
            <w:r>
              <w:rPr>
                <w:rStyle w:val="TOCOrdinalChar2"/>
                <w:noProof/>
                <w:iCs/>
              </w:rPr>
              <w:t>
            22.7
          </w:t>
            </w:r>
            <w:r>
              <w:rPr>
                <w:noProof/>
                <w:webHidden/>
              </w:rPr>
              <w:tab/>
            </w:r>
            <w:r>
              <w:rPr>
                <w:rStyle w:val="TOCTitleChar2"/>
                <w:noProof/>
                <w:iCs/>
              </w:rPr>
              <w:t>
            Bristol-Myers Squibb Co. v. Superior Court of Cal.
          </w:t>
            </w:r>
            <w:r>
              <w:rPr>
                <w:noProof/>
                <w:webHidden/>
              </w:rPr>
              <w:tab/>
            </w:r>
            <w:r>
              <w:rPr>
                <w:noProof/>
                <w:webHidden/>
              </w:rPr>
              <w:fldChar w:fldCharType="begin"/>
            </w:r>
            <w:r>
              <w:rPr>
                <w:noProof/>
                <w:webHidden/>
              </w:rPr>
              <w:instrText xml:space="preserve"> PAGEREF _auto_toc_257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58" w:history="1">
            <w:r>
              <w:rPr>
                <w:rStyle w:val="TOCOrdinalChar2"/>
                <w:noProof/>
                <w:iCs/>
              </w:rPr>
              <w:t>
            22.8
          </w:t>
            </w:r>
            <w:r>
              <w:rPr>
                <w:noProof/>
                <w:webHidden/>
              </w:rPr>
              <w:tab/>
            </w:r>
            <w:r>
              <w:rPr>
                <w:rStyle w:val="TOCTitleChar2"/>
                <w:noProof/>
                <w:iCs/>
              </w:rPr>
              <w:t>
            Supreme Tribe of Ben-Hur, Snyder, Clark, and Zahn
          </w:t>
            </w:r>
            <w:r>
              <w:rPr>
                <w:noProof/>
                <w:webHidden/>
              </w:rPr>
              <w:tab/>
            </w:r>
            <w:r>
              <w:rPr>
                <w:noProof/>
                <w:webHidden/>
              </w:rPr>
              <w:fldChar w:fldCharType="begin"/>
            </w:r>
            <w:r>
              <w:rPr>
                <w:noProof/>
                <w:webHidden/>
              </w:rPr>
              <w:instrText xml:space="preserve"> PAGEREF _auto_toc_258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59" w:history="1">
            <w:r>
              <w:rPr>
                <w:rStyle w:val="TOCOrdinalChar2"/>
                <w:noProof/>
                <w:iCs/>
              </w:rPr>
              <w:t>
            22.9
          </w:t>
            </w:r>
            <w:r>
              <w:rPr>
                <w:noProof/>
                <w:webHidden/>
              </w:rPr>
              <w:tab/>
            </w:r>
            <w:r>
              <w:rPr>
                <w:rStyle w:val="TOCTitleChar2"/>
                <w:noProof/>
                <w:iCs/>
              </w:rPr>
              <w:t>
            Exxon Mobil Corp. v. Allapattah Services, Inc.
          </w:t>
            </w:r>
            <w:r>
              <w:rPr>
                <w:noProof/>
                <w:webHidden/>
              </w:rPr>
              <w:tab/>
            </w:r>
            <w:r>
              <w:rPr>
                <w:noProof/>
                <w:webHidden/>
              </w:rPr>
              <w:fldChar w:fldCharType="begin"/>
            </w:r>
            <w:r>
              <w:rPr>
                <w:noProof/>
                <w:webHidden/>
              </w:rPr>
              <w:instrText xml:space="preserve"> PAGEREF _auto_toc_259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60" w:history="1">
            <w:r>
              <w:rPr>
                <w:rStyle w:val="TOCOrdinalChar2"/>
                <w:noProof/>
                <w:iCs/>
              </w:rPr>
              <w:t>
            22.10
          </w:t>
            </w:r>
            <w:r>
              <w:rPr>
                <w:noProof/>
                <w:webHidden/>
              </w:rPr>
              <w:tab/>
            </w:r>
            <w:r>
              <w:rPr>
                <w:rStyle w:val="TOCTitleChar2"/>
                <w:noProof/>
                <w:iCs/>
              </w:rPr>
              <w:t>
            Class Action Hypo
          </w:t>
            </w:r>
            <w:r>
              <w:rPr>
                <w:noProof/>
                <w:webHidden/>
              </w:rPr>
              <w:tab/>
            </w:r>
            <w:r>
              <w:rPr>
                <w:noProof/>
                <w:webHidden/>
              </w:rPr>
              <w:fldChar w:fldCharType="begin"/>
            </w:r>
            <w:r>
              <w:rPr>
                <w:noProof/>
                <w:webHidden/>
              </w:rPr>
              <w:instrText xml:space="preserve"> PAGEREF _auto_toc_260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61" w:history="1">
            <w:r>
              <w:rPr>
                <w:rStyle w:val="TOCOrdinalChar2"/>
                <w:noProof/>
                <w:iCs/>
              </w:rPr>
              <w:t>
            22.11
          </w:t>
            </w:r>
            <w:r>
              <w:rPr>
                <w:noProof/>
                <w:webHidden/>
              </w:rPr>
              <w:tab/>
            </w:r>
            <w:r>
              <w:rPr>
                <w:rStyle w:val="TOCTitleChar2"/>
                <w:noProof/>
                <w:iCs/>
              </w:rPr>
              <w:t>
            Class Action Notes
          </w:t>
            </w:r>
            <w:r>
              <w:rPr>
                <w:noProof/>
                <w:webHidden/>
              </w:rPr>
              <w:tab/>
            </w:r>
            <w:r>
              <w:rPr>
                <w:noProof/>
                <w:webHidden/>
              </w:rPr>
              <w:fldChar w:fldCharType="begin"/>
            </w:r>
            <w:r>
              <w:rPr>
                <w:noProof/>
                <w:webHidden/>
              </w:rPr>
              <w:instrText xml:space="preserve"> PAGEREF _auto_toc_261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262" w:history="1">
            <w:r>
              <w:rPr>
                <w:rStyle w:val="TOCOrdinalChar1"/>
                <w:noProof/>
                <w:iCs/>
              </w:rPr>
              <w:t>
            23
          </w:t>
            </w:r>
            <w:r>
              <w:rPr>
                <w:noProof/>
                <w:webHidden/>
              </w:rPr>
              <w:tab/>
            </w:r>
            <w:r>
              <w:rPr>
                <w:rStyle w:val="TOCTitleChar1"/>
                <w:noProof/>
                <w:iCs/>
              </w:rPr>
              <w:t>
            Day 23
          </w:t>
            </w:r>
            <w:r>
              <w:rPr>
                <w:noProof/>
                <w:webHidden/>
              </w:rPr>
              <w:tab/>
            </w:r>
            <w:r>
              <w:rPr>
                <w:noProof/>
                <w:webHidden/>
              </w:rPr>
              <w:fldChar w:fldCharType="begin"/>
            </w:r>
            <w:r>
              <w:rPr>
                <w:noProof/>
                <w:webHidden/>
              </w:rPr>
              <w:instrText xml:space="preserve"> PAGEREF _auto_toc_262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63" w:history="1">
            <w:r>
              <w:rPr>
                <w:rStyle w:val="TOCOrdinalChar2"/>
                <w:noProof/>
                <w:iCs/>
              </w:rPr>
              <w:t>
            23.1
          </w:t>
            </w:r>
            <w:r>
              <w:rPr>
                <w:noProof/>
                <w:webHidden/>
              </w:rPr>
              <w:tab/>
            </w:r>
            <w:r>
              <w:rPr>
                <w:rStyle w:val="TOCTitleChar2"/>
                <w:noProof/>
                <w:iCs/>
              </w:rPr>
              <w:t>
            Beacon Theatres, Inc. v. Westover
          </w:t>
            </w:r>
            <w:r>
              <w:rPr>
                <w:noProof/>
                <w:webHidden/>
              </w:rPr>
              <w:tab/>
            </w:r>
            <w:r>
              <w:rPr>
                <w:noProof/>
                <w:webHidden/>
              </w:rPr>
              <w:fldChar w:fldCharType="begin"/>
            </w:r>
            <w:r>
              <w:rPr>
                <w:noProof/>
                <w:webHidden/>
              </w:rPr>
              <w:instrText xml:space="preserve"> PAGEREF _auto_toc_263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64" w:history="1">
            <w:r>
              <w:rPr>
                <w:rStyle w:val="TOCOrdinalChar2"/>
                <w:noProof/>
                <w:iCs/>
              </w:rPr>
              <w:t>
            23.2
          </w:t>
            </w:r>
            <w:r>
              <w:rPr>
                <w:noProof/>
                <w:webHidden/>
              </w:rPr>
              <w:tab/>
            </w:r>
            <w:r>
              <w:rPr>
                <w:rStyle w:val="TOCTitleChar2"/>
                <w:noProof/>
                <w:iCs/>
              </w:rPr>
              <w:t>
            Notes on Beacon Theatres
          </w:t>
            </w:r>
            <w:r>
              <w:rPr>
                <w:noProof/>
                <w:webHidden/>
              </w:rPr>
              <w:tab/>
            </w:r>
            <w:r>
              <w:rPr>
                <w:noProof/>
                <w:webHidden/>
              </w:rPr>
              <w:fldChar w:fldCharType="begin"/>
            </w:r>
            <w:r>
              <w:rPr>
                <w:noProof/>
                <w:webHidden/>
              </w:rPr>
              <w:instrText xml:space="preserve"> PAGEREF _auto_toc_264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65" w:history="1">
            <w:r>
              <w:rPr>
                <w:rStyle w:val="TOCOrdinalChar2"/>
                <w:noProof/>
                <w:iCs/>
              </w:rPr>
              <w:t>
            23.3
          </w:t>
            </w:r>
            <w:r>
              <w:rPr>
                <w:noProof/>
                <w:webHidden/>
              </w:rPr>
              <w:tab/>
            </w:r>
            <w:r>
              <w:rPr>
                <w:rStyle w:val="TOCTitleChar2"/>
                <w:noProof/>
                <w:iCs/>
              </w:rPr>
              <w:t>
            Shady Grove Orthopedic Associates, P.A. v. Allstate Insurance Co.
          </w:t>
            </w:r>
            <w:r>
              <w:rPr>
                <w:noProof/>
                <w:webHidden/>
              </w:rPr>
              <w:tab/>
            </w:r>
            <w:r>
              <w:rPr>
                <w:noProof/>
                <w:webHidden/>
              </w:rPr>
              <w:fldChar w:fldCharType="begin"/>
            </w:r>
            <w:r>
              <w:rPr>
                <w:noProof/>
                <w:webHidden/>
              </w:rPr>
              <w:instrText xml:space="preserve"> PAGEREF _auto_toc_265 \h </w:instrText>
            </w:r>
            <w:r>
              <w:rPr>
                <w:noProof/>
                <w:webHidden/>
              </w:rPr>
            </w:r>
            <w:r>
              <w:rPr>
                <w:noProof/>
                <w:webHidden/>
              </w:rPr>
              <w:fldChar w:fldCharType="separate"/>
            </w:r>
            <w:r>
              <w:rPr>
                <w:noProof/>
                <w:webHidden/>
              </w:rPr>
              <w:t>[ ]</w:t>
            </w:r>
            <w:r>
              <w:rPr>
                <w:noProof/>
                <w:webHidden/>
              </w:rPr>
              <w:fldChar w:fldCharType="end"/>
            </w:r>
          </w:hyperlink>
        </w:p>
        <w:p>
          <w:pPr>
            <w:pStyle w:val="TOC1"/>
            <w:rPr>
              <w:noProof/>
            </w:rPr>
          </w:pPr>
          <w:hyperlink w:anchor="_auto_toc_266" w:history="1">
            <w:r>
              <w:rPr>
                <w:rStyle w:val="TOCOrdinalChar1"/>
                <w:noProof/>
                <w:iCs/>
              </w:rPr>
              <w:t>
            24
          </w:t>
            </w:r>
            <w:r>
              <w:rPr>
                <w:noProof/>
                <w:webHidden/>
              </w:rPr>
              <w:tab/>
            </w:r>
            <w:r>
              <w:rPr>
                <w:rStyle w:val="TOCTitleChar1"/>
                <w:noProof/>
                <w:iCs/>
              </w:rPr>
              <w:t>
            Day 24
          </w:t>
            </w:r>
            <w:r>
              <w:rPr>
                <w:noProof/>
                <w:webHidden/>
              </w:rPr>
              <w:tab/>
            </w:r>
            <w:r>
              <w:rPr>
                <w:noProof/>
                <w:webHidden/>
              </w:rPr>
              <w:fldChar w:fldCharType="begin"/>
            </w:r>
            <w:r>
              <w:rPr>
                <w:noProof/>
                <w:webHidden/>
              </w:rPr>
              <w:instrText xml:space="preserve"> PAGEREF _auto_toc_266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67" w:history="1">
            <w:r>
              <w:rPr>
                <w:rStyle w:val="TOCOrdinalChar2"/>
                <w:noProof/>
                <w:iCs/>
              </w:rPr>
              <w:t>
            24.1
          </w:t>
            </w:r>
            <w:r>
              <w:rPr>
                <w:noProof/>
                <w:webHidden/>
              </w:rPr>
              <w:tab/>
            </w:r>
            <w:r>
              <w:rPr>
                <w:rStyle w:val="TOCTitleChar2"/>
                <w:noProof/>
                <w:iCs/>
              </w:rPr>
              <w:t>
            Civil Procedure in Context
          </w:t>
            </w:r>
            <w:r>
              <w:rPr>
                <w:noProof/>
                <w:webHidden/>
              </w:rPr>
              <w:tab/>
            </w:r>
            <w:r>
              <w:rPr>
                <w:noProof/>
                <w:webHidden/>
              </w:rPr>
              <w:fldChar w:fldCharType="begin"/>
            </w:r>
            <w:r>
              <w:rPr>
                <w:noProof/>
                <w:webHidden/>
              </w:rPr>
              <w:instrText xml:space="preserve"> PAGEREF _auto_toc_267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68" w:history="1">
            <w:r>
              <w:rPr>
                <w:rStyle w:val="TOCOrdinalChar2"/>
                <w:noProof/>
                <w:iCs/>
              </w:rPr>
              <w:t>
            24.2
          </w:t>
            </w:r>
            <w:r>
              <w:rPr>
                <w:noProof/>
                <w:webHidden/>
              </w:rPr>
              <w:tab/>
            </w:r>
            <w:r>
              <w:rPr>
                <w:rStyle w:val="TOCTitleChar2"/>
                <w:noProof/>
                <w:iCs/>
              </w:rPr>
              <w:t>
            Gideon v. Wainwright
          </w:t>
            </w:r>
            <w:r>
              <w:rPr>
                <w:noProof/>
                <w:webHidden/>
              </w:rPr>
              <w:tab/>
            </w:r>
            <w:r>
              <w:rPr>
                <w:noProof/>
                <w:webHidden/>
              </w:rPr>
              <w:fldChar w:fldCharType="begin"/>
            </w:r>
            <w:r>
              <w:rPr>
                <w:noProof/>
                <w:webHidden/>
              </w:rPr>
              <w:instrText xml:space="preserve"> PAGEREF _auto_toc_268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69" w:history="1">
            <w:r>
              <w:rPr>
                <w:rStyle w:val="TOCOrdinalChar2"/>
                <w:noProof/>
                <w:iCs/>
              </w:rPr>
              <w:t>
            24.3
          </w:t>
            </w:r>
            <w:r>
              <w:rPr>
                <w:noProof/>
                <w:webHidden/>
              </w:rPr>
              <w:tab/>
            </w:r>
            <w:r>
              <w:rPr>
                <w:rStyle w:val="TOCTitleChar2"/>
                <w:noProof/>
                <w:iCs/>
              </w:rPr>
              <w:t>
            Turner v. Rogers
          </w:t>
            </w:r>
            <w:r>
              <w:rPr>
                <w:noProof/>
                <w:webHidden/>
              </w:rPr>
              <w:tab/>
            </w:r>
            <w:r>
              <w:rPr>
                <w:noProof/>
                <w:webHidden/>
              </w:rPr>
              <w:fldChar w:fldCharType="begin"/>
            </w:r>
            <w:r>
              <w:rPr>
                <w:noProof/>
                <w:webHidden/>
              </w:rPr>
              <w:instrText xml:space="preserve"> PAGEREF _auto_toc_269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70" w:history="1">
            <w:r>
              <w:rPr>
                <w:rStyle w:val="TOCOrdinalChar2"/>
                <w:noProof/>
                <w:iCs/>
              </w:rPr>
              <w:t>
            24.4
          </w:t>
            </w:r>
            <w:r>
              <w:rPr>
                <w:noProof/>
                <w:webHidden/>
              </w:rPr>
              <w:tab/>
            </w:r>
            <w:r>
              <w:rPr>
                <w:rStyle w:val="TOCTitleChar2"/>
                <w:noProof/>
                <w:iCs/>
              </w:rPr>
              <w:t>
            Triaging Appointed-Counsel Funding
          </w:t>
            </w:r>
            <w:r>
              <w:rPr>
                <w:noProof/>
                <w:webHidden/>
              </w:rPr>
              <w:tab/>
            </w:r>
            <w:r>
              <w:rPr>
                <w:noProof/>
                <w:webHidden/>
              </w:rPr>
              <w:fldChar w:fldCharType="begin"/>
            </w:r>
            <w:r>
              <w:rPr>
                <w:noProof/>
                <w:webHidden/>
              </w:rPr>
              <w:instrText xml:space="preserve"> PAGEREF _auto_toc_270 \h </w:instrText>
            </w:r>
            <w:r>
              <w:rPr>
                <w:noProof/>
                <w:webHidden/>
              </w:rPr>
            </w:r>
            <w:r>
              <w:rPr>
                <w:noProof/>
                <w:webHidden/>
              </w:rPr>
              <w:fldChar w:fldCharType="separate"/>
            </w:r>
            <w:r>
              <w:rPr>
                <w:noProof/>
                <w:webHidden/>
              </w:rPr>
              <w:t>[ ]</w:t>
            </w:r>
            <w:r>
              <w:rPr>
                <w:noProof/>
                <w:webHidden/>
              </w:rPr>
              <w:fldChar w:fldCharType="end"/>
            </w:r>
          </w:hyperlink>
        </w:p>
        <w:p>
          <w:pPr>
            <w:pStyle w:val="TOC2"/>
            <w:rPr>
              <w:noProof/>
            </w:rPr>
          </w:pPr>
          <w:hyperlink w:anchor="_auto_toc_271" w:history="1">
            <w:r>
              <w:rPr>
                <w:rStyle w:val="TOCOrdinalChar2"/>
                <w:noProof/>
                <w:iCs/>
              </w:rPr>
              <w:t>
            24.5
          </w:t>
            </w:r>
            <w:r>
              <w:rPr>
                <w:noProof/>
                <w:webHidden/>
              </w:rPr>
              <w:tab/>
            </w:r>
            <w:r>
              <w:rPr>
                <w:rStyle w:val="TOCTitleChar2"/>
                <w:noProof/>
                <w:iCs/>
              </w:rPr>
              <w:t>
            It's Not Triage if the Patient Bleeds Out
          </w:t>
            </w:r>
            <w:r>
              <w:rPr>
                <w:noProof/>
                <w:webHidden/>
              </w:rPr>
              <w:tab/>
            </w:r>
            <w:r>
              <w:rPr>
                <w:noProof/>
                <w:webHidden/>
              </w:rPr>
              <w:fldChar w:fldCharType="begin"/>
            </w:r>
            <w:r>
              <w:rPr>
                <w:noProof/>
                <w:webHidden/>
              </w:rPr>
              <w:instrText xml:space="preserve"> PAGEREF _auto_toc_271 \h </w:instrText>
            </w:r>
            <w:r>
              <w:rPr>
                <w:noProof/>
                <w:webHidden/>
              </w:rPr>
            </w:r>
            <w:r>
              <w:rPr>
                <w:noProof/>
                <w:webHidden/>
              </w:rPr>
              <w:fldChar w:fldCharType="separate"/>
            </w:r>
            <w:r>
              <w:rPr>
                <w:noProof/>
                <w:webHidden/>
              </w:rPr>
              <w:t>[ ]</w:t>
            </w:r>
            <w:r>
              <w:rPr>
                <w:noProof/>
                <w:webHidden/>
              </w:rPr>
              <w:fldChar w:fldCharType="end"/>
            </w:r>
          </w:hyperlink>
        </w:p>
        <w:p>
          <w:r>
            <w:fldChar w:fldCharType="end"/>
          </w:r>
        </w:p>
      </w:sdtContent>
    </w:sdt>
    <w:p>
      <w:pPr>
        <w:pStyle w:val="FrontMatterEnd"/>
        <w:sectPr>
          <w:footerReference w:type="even" r:id="rId14"/>
          <w:footerReference w:type="default" r:id="rId14"/>
          <w:headerReference w:type="even" r:id="rId9"/>
          <w:headerReference w:type="default" r:id="rId10"/>
          <w:footerReference w:type="first" r:id="rId15"/>
          <w:headerReference w:type="first" r:id="rId13"/>
          <w:type w:val="continuous"/>
          <w:pgSz w:h="15840" w:w="12240"/>
          <w:pgMar w:bottom="1440" w:gutter="720" w:header="1440" w:left="1440" w:right="1440" w:top="1800"/>
          <w:pgNumType w:pgNumType="decimal" w:fmt="lowerRoman" w:start="0"/>
          <w:titlePg/>
        </w:sectPr>
      </w:pPr>
      <w:r>
        <w:t xml:space="preserve"> </w:t>
      </w:r>
    </w:p>
    <w:p>
      <w:pPr>
        <w:pStyle w:val="NodeStart"/>
      </w:pPr>
      <w:r>
        <w:t xml:space="preserve"> </w:t>
      </w:r>
    </w:p>
    <w:p>
      <w:pPr>
        <w:pStyle w:val="HeadSeparator"/>
      </w:pPr>
      <w:r>
        <w:t xml:space="preserve"> </w:t>
      </w:r>
    </w:p>
    <w:p>
      <w:pPr>
        <w:pStyle w:val="ChapterSpacer"/>
      </w:pPr>
      <w:r>
        <w:t xml:space="preserve"> </w:t>
      </w:r>
    </w:p>
    <w:bookmarkStart w:id="1" w:name="_auto_toc_1"/>
    <w:bookmarkEnd w:id="1"/>
    <w:p>
      <w:pPr>
        <w:pStyle w:val="ChapterNumber"/>
      </w:pPr>
      <w:r>
        <w:t xml:space="preserve">1</w:t>
      </w:r>
    </w:p>
    <w:p>
      <w:pPr>
        <w:pStyle w:val="ChapterTitle"/>
      </w:pPr>
      <w:r>
        <w:t xml:space="preserve">Day 1</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start="1"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2" w:name="_auto_toc_2"/>
    <w:bookmarkEnd w:id="2"/>
    <w:p>
      <w:pPr>
        <w:pStyle w:val="SectionNumber"/>
      </w:pPr>
      <w:r>
        <w:t xml:space="preserve">1.1</w:t>
      </w:r>
    </w:p>
    <w:p>
      <w:pPr>
        <w:pStyle w:val="SectionTitle"/>
      </w:pPr>
      <w:r>
        <w:t xml:space="preserve">Before Day 1</w:t>
      </w:r>
    </w:p>
    <w:p>
      <w:pPr>
        <w:pStyle w:val="HeadFieldSeparator"/>
      </w:pPr>
      <w:r>
        <w:t xml:space="preserve"> </w:t>
      </w:r>
    </w:p>
    <w:p>
      <w:pPr>
        <w:pStyle w:val="SectionHeadnote"/>
      </w:pPr>
      <w:r>
        <w:t xml:space="preserve">In addition to the Day 1 readings, please also watch the following videos, which will take about 75 minutes.</w:t>
      </w:r>
    </w:p>
    <w:p>
      <w:pPr>
        <w:pStyle w:val="HeadEnd"/>
      </w:pPr>
      <w:r>
        <w:t xml:space="preserve"> </w:t>
      </w:r>
    </w:p>
    <w:p>
      <w:pPr>
        <w:pStyle w:val="NodeEnd"/>
      </w:pPr>
      <w:r>
        <w:t xml:space="preserve"> </w:t>
      </w:r>
    </w:p>
    <w:p>
      <w:pPr>
        <w:pStyle w:val="NodeStart"/>
      </w:pPr>
      <w:r>
        <w:t xml:space="preserve"> </w:t>
      </w:r>
    </w:p>
    <w:p>
      <w:pPr>
        <w:pStyle w:val="HeadSeparator"/>
      </w:pPr>
      <w:r>
        <w:t xml:space="preserve"> </w:t>
      </w:r>
    </w:p>
    <w:bookmarkStart w:id="3" w:name="_auto_toc_3"/>
    <w:bookmarkEnd w:id="3"/>
    <w:p>
      <w:pPr>
        <w:pStyle w:val="ResourceNumber"/>
      </w:pPr>
      <w:r>
        <w:t xml:space="preserve">1.1.1</w:t>
      </w:r>
    </w:p>
    <w:p>
      <w:pPr>
        <w:pStyle w:val="ResourceTitle"/>
      </w:pPr>
      <w:r>
        <w:t xml:space="preserve">Three Videos</w:t>
      </w:r>
    </w:p>
    <w:p>
      <w:pPr>
        <w:pStyle w:val="HeadFieldSeparator"/>
      </w:pPr>
      <w:r>
        <w:t xml:space="preserve"> </w:t>
      </w:r>
    </w:p>
    <w:p>
      <w:pPr>
        <w:pStyle w:val="ResourceHeadnote"/>
      </w:pPr>
      <w:r>
        <w:t xml:space="preserve">Watch the following (each bullet point is a link).</w:t>
      </w:r>
    </w:p>
    <w:p>
      <w:pPr>
        <w:pStyle w:val="HeadEnd"/>
      </w:pPr>
      <w:r>
        <w:t xml:space="preserve"> </w:t>
      </w:r>
    </w:p>
    <w:p>
      <w:pPr>
        <w:numPr>
          <w:ilvl w:val="0"/>
          <w:numId w:val="1001"/>
        </w:numPr>
      </w:pPr>
      <w:hyperlink r:id="rId21">
        <w:r>
          <w:rPr>
            <w:rStyle w:val="Hyperlink"/>
          </w:rPr>
          <w:t xml:space="preserve">The United States Court Systems: State versus Federal Courts</w:t>
        </w:r>
        <w:r>
          <w:rPr>
            <w:rStyle w:val="Hyperlink"/>
          </w:rPr>
          <w:t xml:space="preserve"> </w:t>
        </w:r>
      </w:hyperlink>
    </w:p>
    <w:p>
      <w:pPr>
        <w:numPr>
          <w:ilvl w:val="0"/>
          <w:numId w:val="1001"/>
        </w:numPr>
      </w:pPr>
      <w:hyperlink r:id="rId22">
        <w:r>
          <w:rPr>
            <w:rStyle w:val="Hyperlink"/>
          </w:rPr>
          <w:t xml:space="preserve">Explanation of Coursepack Documents 00 to 03</w:t>
        </w:r>
      </w:hyperlink>
    </w:p>
    <w:p>
      <w:pPr>
        <w:numPr>
          <w:ilvl w:val="0"/>
          <w:numId w:val="1001"/>
        </w:numPr>
      </w:pPr>
      <w:hyperlink r:id="rId23">
        <w:r>
          <w:rPr>
            <w:rStyle w:val="Hyperlink"/>
          </w:rPr>
          <w:t xml:space="preserve">Bullet-train Overview of Civil Procedure</w:t>
        </w:r>
      </w:hyperlink>
    </w:p>
    <w:p>
      <w:pPr>
        <w:pStyle w:val="NodeEnd"/>
      </w:pPr>
      <w:r>
        <w:t xml:space="preserve"> </w:t>
      </w:r>
    </w:p>
    <w:p>
      <w:pPr>
        <w:pStyle w:val="NodeStart"/>
      </w:pPr>
      <w:r>
        <w:t xml:space="preserve"> </w:t>
      </w:r>
    </w:p>
    <w:p>
      <w:pPr>
        <w:pStyle w:val="HeadSeparator"/>
      </w:pPr>
      <w:r>
        <w:t xml:space="preserve"> </w:t>
      </w:r>
    </w:p>
    <w:bookmarkStart w:id="4" w:name="_auto_toc_4"/>
    <w:bookmarkEnd w:id="4"/>
    <w:p>
      <w:pPr>
        <w:pStyle w:val="ResourceNumber"/>
      </w:pPr>
      <w:r>
        <w:t xml:space="preserve">1.1.2</w:t>
      </w:r>
    </w:p>
    <w:p>
      <w:pPr>
        <w:pStyle w:val="ResourceTitle"/>
      </w:pPr>
      <w:r>
        <w:t xml:space="preserve">Introductory Handouts</w:t>
      </w:r>
    </w:p>
    <w:p>
      <w:pPr>
        <w:pStyle w:val="HeadFieldSeparator"/>
      </w:pPr>
      <w:r>
        <w:t xml:space="preserve"> </w:t>
      </w:r>
    </w:p>
    <w:p>
      <w:pPr>
        <w:pStyle w:val="ResourceHeadnote"/>
      </w:pPr>
      <w:r>
        <w:t xml:space="preserve">Prior to the first day of class, please review the following handouts, linked below. You will need to be logged into your HarvardKey account.</w:t>
      </w:r>
    </w:p>
    <w:p>
      <w:pPr>
        <w:pStyle w:val="HeadEnd"/>
      </w:pPr>
      <w:r>
        <w:t xml:space="preserve"> </w:t>
      </w:r>
    </w:p>
    <w:p>
      <w:pPr>
        <w:pStyle w:val="BodyText"/>
      </w:pPr>
      <w:hyperlink r:id="rId24">
        <w:r>
          <w:rPr>
            <w:rStyle w:val="Hyperlink"/>
          </w:rPr>
          <w:t xml:space="preserve">Constitution 101</w:t>
        </w:r>
      </w:hyperlink>
      <w:r>
        <w:t xml:space="preserve"> </w:t>
      </w:r>
      <w:r>
        <w:t xml:space="preserve">(Word doc)</w:t>
      </w:r>
    </w:p>
    <w:p>
      <w:pPr>
        <w:pStyle w:val="BodyText"/>
      </w:pPr>
      <w:hyperlink r:id="rId25">
        <w:r>
          <w:rPr>
            <w:rStyle w:val="Hyperlink"/>
          </w:rPr>
          <w:t xml:space="preserve">Overview of Civil Procedure</w:t>
        </w:r>
      </w:hyperlink>
      <w:r>
        <w:t xml:space="preserve"> (pdf)</w:t>
      </w:r>
    </w:p>
    <w:p>
      <w:pPr>
        <w:pStyle w:val="BodyText"/>
      </w:pPr>
      <w:hyperlink r:id="rId26">
        <w:r>
          <w:rPr>
            <w:rStyle w:val="Hyperlink"/>
          </w:rPr>
          <w:t xml:space="preserve">Civil Procedure Glossary</w:t>
        </w:r>
      </w:hyperlink>
      <w:r>
        <w:t xml:space="preserve"> (Word doc)</w:t>
      </w:r>
    </w:p>
    <w:p>
      <w:pPr>
        <w:pStyle w:val="NodeEnd"/>
      </w:pPr>
      <w:r>
        <w:t xml:space="preserve"> </w:t>
      </w:r>
    </w:p>
    <w:p>
      <w:pPr>
        <w:pStyle w:val="NodeStart"/>
      </w:pPr>
      <w:r>
        <w:t xml:space="preserve"> </w:t>
      </w:r>
    </w:p>
    <w:p>
      <w:pPr>
        <w:pStyle w:val="HeadSeparator"/>
      </w:pPr>
      <w:r>
        <w:t xml:space="preserve"> </w:t>
      </w:r>
    </w:p>
    <w:bookmarkStart w:id="5" w:name="_auto_toc_5"/>
    <w:bookmarkEnd w:id="5"/>
    <w:p>
      <w:pPr>
        <w:pStyle w:val="ResourceNumber"/>
      </w:pPr>
      <w:r>
        <w:t xml:space="preserve">1.2</w:t>
      </w:r>
    </w:p>
    <w:p>
      <w:pPr>
        <w:pStyle w:val="ResourceTitle"/>
      </w:pPr>
      <w:r>
        <w:t xml:space="preserve">Civil Procedure in Context</w:t>
      </w:r>
    </w:p>
    <w:p>
      <w:pPr>
        <w:pStyle w:val="HeadFieldSeparator"/>
      </w:pPr>
      <w:r>
        <w:t xml:space="preserve"> </w:t>
      </w:r>
    </w:p>
    <w:p>
      <w:pPr>
        <w:pStyle w:val="ResourceHeadnote"/>
      </w:pPr>
      <w:r>
        <w:t xml:space="preserve">Please review the handout found</w:t>
      </w:r>
      <w:r>
        <w:t xml:space="preserve"> </w:t>
      </w:r>
      <w:hyperlink r:id="rId27">
        <w:r>
          <w:rPr>
            <w:rStyle w:val="Hyperlink"/>
          </w:rPr>
          <w:t xml:space="preserve">here</w:t>
        </w:r>
      </w:hyperlink>
      <w:r>
        <w:t xml:space="preserve"> </w:t>
      </w:r>
      <w:r>
        <w:t xml:space="preserve">(pdf).</w:t>
      </w:r>
    </w:p>
    <w:p>
      <w:pPr>
        <w:pStyle w:val="HeadEnd"/>
      </w:pPr>
      <w:r>
        <w:t xml:space="preserve"> </w:t>
      </w:r>
    </w:p>
    <w:p>
      <w:pPr>
        <w:pStyle w:val="NodeEnd"/>
      </w:pPr>
      <w:r>
        <w:t xml:space="preserve"> </w:t>
      </w:r>
    </w:p>
    <w:p>
      <w:pPr>
        <w:pStyle w:val="NodeStart"/>
      </w:pPr>
      <w:r>
        <w:t xml:space="preserve"> </w:t>
      </w:r>
    </w:p>
    <w:p>
      <w:pPr>
        <w:pStyle w:val="HeadSeparator"/>
      </w:pPr>
      <w:r>
        <w:t xml:space="preserve"> </w:t>
      </w:r>
    </w:p>
    <w:bookmarkStart w:id="6" w:name="_auto_toc_6"/>
    <w:bookmarkEnd w:id="6"/>
    <w:p>
      <w:pPr>
        <w:pStyle w:val="ResourceNumber"/>
      </w:pPr>
      <w:r>
        <w:t xml:space="preserve">1.3</w:t>
      </w:r>
    </w:p>
    <w:p>
      <w:pPr>
        <w:pStyle w:val="ResourceTitle"/>
      </w:pPr>
      <w:r>
        <w:t xml:space="preserve">A Survey of the Civil Action</w:t>
      </w:r>
    </w:p>
    <w:p>
      <w:pPr>
        <w:pStyle w:val="HeadFieldSeparator"/>
      </w:pPr>
      <w:r>
        <w:t xml:space="preserve"> </w:t>
      </w:r>
    </w:p>
    <w:p>
      <w:pPr>
        <w:pStyle w:val="ResourceHeadnote"/>
      </w:pPr>
      <w:r>
        <w:t xml:space="preserve">This section is not for full Socratic discussion. Do not outline it, simply read it.</w:t>
      </w:r>
    </w:p>
    <w:p>
      <w:pPr>
        <w:pStyle w:val="HeadEnd"/>
      </w:pPr>
      <w:r>
        <w:t xml:space="preserve"> </w:t>
      </w:r>
    </w:p>
    <w:p>
      <w:pPr>
        <w:pStyle w:val="BodyText"/>
      </w:pPr>
      <w:r>
        <w:rPr>
          <w:bCs/>
          <w:b/>
        </w:rPr>
        <w:t xml:space="preserve">The Nature of Civil Procedure</w:t>
      </w:r>
    </w:p>
    <w:p>
      <w:pPr>
        <w:pStyle w:val="BodyText"/>
      </w:pPr>
      <w:r>
        <w:t xml:space="preserve">Resolution of a civil dispute involves the application of both substantive and procedural law. Substantive law deals with the rights and obligations of everyday conduct, e.g., contracts and torts. Procedural law deals with the rules that govern a legal proceeding. In many court systems (for example, in the United States federal courts), procedural rules are supposed to be the same regardless of the substantive law at issue. Near the end of the course, you can decide for yourself whether federal procedural law is in fact trans-substantive.</w:t>
      </w:r>
    </w:p>
    <w:p>
      <w:pPr>
        <w:pStyle w:val="BodyText"/>
      </w:pPr>
      <w:r>
        <w:t xml:space="preserve">Speaking generally, civil procedure refers to the rules that govern litigants, lawyers, and courts in the resolution of a civil dispute.</w:t>
      </w:r>
    </w:p>
    <w:p>
      <w:pPr>
        <w:pStyle w:val="BodyText"/>
      </w:pPr>
      <w:r>
        <w:t xml:space="preserve">The focus of this course is on civil, not criminal, proceedings. Criminal proceedings are initiated and prosecuted by a government against an individual who has allegedly committed a crime. Civil proceedings, on the other hand, involve disputes between a private party and another private party. Private parties include people, non-profit organizations, businesses, and agencies. In civil procedings, the initiating party (usually called a "plaintiff" or sometimes a "petitioner") ordinarily seeks compensation or vindication of rights.</w:t>
      </w:r>
    </w:p>
    <w:p>
      <w:pPr>
        <w:pStyle w:val="BodyText"/>
      </w:pPr>
      <w:r>
        <w:t xml:space="preserve">Most civil procedural systems in the United States are adversarial nature. In an adversarial system, most of the responsibility is on the litigants to investigate and present the evidence and arguments. In this model, the judge (or sometimes a jury) acts as a disinterested, but hopefully not uninterested, passive decision maker. By contrast, in civil law countries, procedural law is frequently inquisitorial, meaning that the judge is an active participant in the case, primarily responsible for supervising the gathering of evidence necessary to resolve the case.   </w:t>
      </w:r>
    </w:p>
    <w:p>
      <w:pPr>
        <w:pStyle w:val="BodyText"/>
      </w:pPr>
      <w:r>
        <w:t xml:space="preserve">Supporters articulate at least four rationales in defense of the adversarial system:</w:t>
      </w:r>
    </w:p>
    <w:p>
      <w:pPr>
        <w:numPr>
          <w:ilvl w:val="0"/>
          <w:numId w:val="1002"/>
        </w:numPr>
      </w:pPr>
      <w:r>
        <w:t xml:space="preserve">A true result is reached because each party's self-interest in prevailing incentives it to gather and present (well) evidence and arguments in its favor, and the result is a competent presentation of all evidence and all arguments on from all sides.</w:t>
      </w:r>
    </w:p>
    <w:p>
      <w:pPr>
        <w:numPr>
          <w:ilvl w:val="0"/>
          <w:numId w:val="1002"/>
        </w:numPr>
      </w:pPr>
      <w:r>
        <w:t xml:space="preserve">Litigants, not taxpayers, should bear the primary burden of time, energy, and expense needed to resolve a dispute.</w:t>
      </w:r>
    </w:p>
    <w:p>
      <w:pPr>
        <w:numPr>
          <w:ilvl w:val="0"/>
          <w:numId w:val="1002"/>
        </w:numPr>
      </w:pPr>
      <w:r>
        <w:t xml:space="preserve">Litigation is often a zero-sum game, meaning that one party is in the eyes of the law right and the other is wrong. Setting up adversarial sides makes it easier to reach a yes-no decision.</w:t>
      </w:r>
    </w:p>
    <w:p>
      <w:pPr>
        <w:numPr>
          <w:ilvl w:val="0"/>
          <w:numId w:val="1002"/>
        </w:numPr>
      </w:pPr>
      <w:r>
        <w:t xml:space="preserve">By placing control in the hands of the litigants, the adversarial system is a better substitute for our atavistic instinct for battle.</w:t>
      </w:r>
    </w:p>
    <w:p>
      <w:pPr>
        <w:pStyle w:val="FirstParagraph"/>
      </w:pPr>
      <w:r>
        <w:t xml:space="preserve">Notes and Questions</w:t>
      </w:r>
    </w:p>
    <w:p>
      <w:pPr>
        <w:numPr>
          <w:ilvl w:val="0"/>
          <w:numId w:val="1003"/>
        </w:numPr>
      </w:pPr>
      <w:r>
        <w:t xml:space="preserve">What values should guide a system of civil procedure? Consider the following perspectives.</w:t>
      </w:r>
    </w:p>
    <w:p>
      <w:pPr>
        <w:pStyle w:val="FirstParagraph"/>
      </w:pPr>
      <w:r>
        <w:rPr>
          <w:bCs/>
          <w:b/>
        </w:rPr>
        <w:t xml:space="preserve">Solum,</w:t>
      </w:r>
      <w:r>
        <w:rPr>
          <w:bCs/>
          <w:b/>
        </w:rPr>
        <w:t xml:space="preserve"> </w:t>
      </w:r>
      <w:r>
        <w:rPr>
          <w:iCs/>
          <w:i/>
          <w:bCs/>
          <w:b/>
        </w:rPr>
        <w:t xml:space="preserve">Procedural Justice</w:t>
      </w:r>
      <w:r>
        <w:rPr>
          <w:bCs/>
          <w:b/>
        </w:rPr>
        <w:t xml:space="preserve">, 78 S.Calif.L.Rev. 181, 321 (2004)</w:t>
      </w:r>
    </w:p>
    <w:p>
      <w:pPr>
        <w:pStyle w:val="BodyText"/>
      </w:pPr>
      <w:r>
        <w:t xml:space="preserve">The Participation principle requires that the structure of the resolution of civil disputes provide each interested party with a right to meaningful participation. The Accuracy principle emphasizes the achievement of a legally correct outcome as a measure of procedural fairness. Together, both principles provide guidance where guidance is needed, both for the architects of procedural design and reform and for judges who apply general procedural rules to particular cases</w:t>
      </w:r>
    </w:p>
    <w:p>
      <w:pPr>
        <w:pStyle w:val="BodyText"/>
      </w:pPr>
      <w:r>
        <w:rPr>
          <w:bCs/>
          <w:b/>
        </w:rPr>
        <w:t xml:space="preserve">Michelman, The Supreme Court and Litigation Access Fees: The Right to Protect One’s Rights – Part I, 1973 Duke L.J. 1153, 1172 – 73 (footnotes omitted)</w:t>
      </w:r>
    </w:p>
    <w:p>
      <w:pPr>
        <w:pStyle w:val="BodyText"/>
      </w:pPr>
      <w:r>
        <w:rPr>
          <w:iCs/>
          <w:i/>
        </w:rPr>
        <w:t xml:space="preserve">Dignity values</w:t>
      </w:r>
      <w:r>
        <w:t xml:space="preserve"> </w:t>
      </w:r>
      <w:r>
        <w:t xml:space="preserve">reflect concern for the humiliation or loss of self-respect which a person might suffer if denied an opportunity to litigate.</w:t>
      </w:r>
      <w:r>
        <w:t xml:space="preserve"> </w:t>
      </w:r>
      <w:r>
        <w:rPr>
          <w:iCs/>
          <w:i/>
        </w:rPr>
        <w:t xml:space="preserve">Participation values</w:t>
      </w:r>
      <w:r>
        <w:t xml:space="preserve"> </w:t>
      </w:r>
      <w:r>
        <w:t xml:space="preserve">reflect an appreciation of litigation as one of the modes in which persons exert influence, or have their wills "counted," in societal decisions they care about.</w:t>
      </w:r>
      <w:r>
        <w:t xml:space="preserve"> </w:t>
      </w:r>
      <w:r>
        <w:rPr>
          <w:iCs/>
          <w:i/>
        </w:rPr>
        <w:t xml:space="preserve">Deterrence values</w:t>
      </w:r>
      <w:r>
        <w:t xml:space="preserve"> </w:t>
      </w:r>
      <w:r>
        <w:t xml:space="preserve">recognize the instrumentality of litigation as a mechanism for influencing or constraining individual behavior in ways thought socially desirable.</w:t>
      </w:r>
      <w:r>
        <w:t xml:space="preserve"> </w:t>
      </w:r>
      <w:r>
        <w:rPr>
          <w:iCs/>
          <w:i/>
        </w:rPr>
        <w:t xml:space="preserve">Effectuation values</w:t>
      </w:r>
      <w:r>
        <w:t xml:space="preserve"> </w:t>
      </w:r>
      <w:r>
        <w:t xml:space="preserve">see litigation as an important means through which persons are enabled to get, or are given assurance of having, whatever we are pleased to regard as rightfully theirs.</w:t>
      </w:r>
    </w:p>
    <w:p>
      <w:pPr>
        <w:pStyle w:val="BodyText"/>
      </w:pPr>
      <w:r>
        <w:rPr>
          <w:bCs/>
          <w:b/>
        </w:rPr>
        <w:t xml:space="preserve">Posner, Economic Analysis of Law § 22.1 (9th ed. 2014)</w:t>
      </w:r>
    </w:p>
    <w:p>
      <w:pPr>
        <w:pStyle w:val="BodyText"/>
      </w:pPr>
      <w:r>
        <w:t xml:space="preserve">The objective of a procedure system, viewed economically, is to minimize the sum of two types of cost. The first is the cost of erroneous judicial decisions. The second cost is [the cost of reaching decisions].</w:t>
      </w:r>
    </w:p>
    <w:p>
      <w:pPr>
        <w:pStyle w:val="BodyText"/>
      </w:pPr>
      <w:r>
        <w:rPr>
          <w:bCs/>
          <w:b/>
        </w:rPr>
        <w:t xml:space="preserve">Questions to consider</w:t>
      </w:r>
    </w:p>
    <w:p>
      <w:pPr>
        <w:numPr>
          <w:ilvl w:val="0"/>
          <w:numId w:val="1004"/>
        </w:numPr>
      </w:pPr>
      <w:r>
        <w:t xml:space="preserve">Can all of the values identified in the writings of these three authors be incorporated into a single procedural system?</w:t>
      </w:r>
    </w:p>
    <w:p>
      <w:pPr>
        <w:numPr>
          <w:ilvl w:val="1"/>
          <w:numId w:val="1005"/>
        </w:numPr>
      </w:pPr>
      <w:r>
        <w:t xml:space="preserve">If there must be trade-offs, how should they be determined, and by whom? The legislature? The judiciary? The parties?</w:t>
      </w:r>
    </w:p>
    <w:p>
      <w:pPr>
        <w:numPr>
          <w:ilvl w:val="1"/>
          <w:numId w:val="1005"/>
        </w:numPr>
      </w:pPr>
      <w:r>
        <w:t xml:space="preserve">Should trade-offs be made on a case-by-case basis or in a more formal process of rulemaking?</w:t>
      </w:r>
    </w:p>
    <w:p>
      <w:pPr>
        <w:numPr>
          <w:ilvl w:val="0"/>
          <w:numId w:val="1004"/>
        </w:numPr>
      </w:pPr>
      <w:r>
        <w:t xml:space="preserve">Conflict resolution and behavior modification (or deterrence) are two distinct goals of judicial decision-making. How might they overlap or be at odds with one another?</w:t>
      </w:r>
    </w:p>
    <w:p>
      <w:pPr>
        <w:numPr>
          <w:ilvl w:val="0"/>
          <w:numId w:val="1004"/>
        </w:numPr>
      </w:pPr>
      <w:r>
        <w:t xml:space="preserve">A losing party’s perception of procedural fairness is essential to their acceptance of an unfavorable judgment, which is central to the legitimacy of the judicial system. Some principles of procedural fairness include:</w:t>
      </w:r>
    </w:p>
    <w:p>
      <w:pPr>
        <w:numPr>
          <w:ilvl w:val="1"/>
          <w:numId w:val="1006"/>
        </w:numPr>
      </w:pPr>
      <w:r>
        <w:t xml:space="preserve">“Voice” – the opportunity to present one’s own side of a story</w:t>
      </w:r>
    </w:p>
    <w:p>
      <w:pPr>
        <w:numPr>
          <w:ilvl w:val="1"/>
          <w:numId w:val="1006"/>
        </w:numPr>
      </w:pPr>
      <w:r>
        <w:t xml:space="preserve">“Neutrality” – the decision-maker’s lack of bias and adherence to rules</w:t>
      </w:r>
    </w:p>
    <w:p>
      <w:pPr>
        <w:numPr>
          <w:ilvl w:val="1"/>
          <w:numId w:val="1006"/>
        </w:numPr>
      </w:pPr>
      <w:r>
        <w:t xml:space="preserve">“Respect” – the system’s treatment of the participant as important and valued regardless of their socioeconomic status</w:t>
      </w:r>
    </w:p>
    <w:p>
      <w:pPr>
        <w:numPr>
          <w:ilvl w:val="1"/>
          <w:numId w:val="1006"/>
        </w:numPr>
      </w:pPr>
      <w:r>
        <w:t xml:space="preserve">“Trust” – the view that the court system is serving a public function and is committed to its mission</w:t>
      </w:r>
    </w:p>
    <w:p>
      <w:pPr>
        <w:pStyle w:val="FirstParagraph"/>
      </w:pPr>
      <w:r>
        <w:t xml:space="preserve"> </w:t>
      </w:r>
    </w:p>
    <w:p>
      <w:pPr>
        <w:pStyle w:val="BodyText"/>
      </w:pPr>
      <w:r>
        <w:rPr>
          <w:bCs/>
          <w:b/>
        </w:rPr>
        <w:t xml:space="preserve">STAGES OF A LAWSUIT</w:t>
      </w:r>
    </w:p>
    <w:p>
      <w:pPr>
        <w:numPr>
          <w:ilvl w:val="0"/>
          <w:numId w:val="1007"/>
        </w:numPr>
      </w:pPr>
      <w:r>
        <w:rPr>
          <w:bCs/>
          <w:b/>
        </w:rPr>
        <w:t xml:space="preserve">Decision to Sue</w:t>
      </w:r>
    </w:p>
    <w:p>
      <w:pPr>
        <w:numPr>
          <w:ilvl w:val="1"/>
          <w:numId w:val="1008"/>
        </w:numPr>
      </w:pPr>
      <w:r>
        <w:t xml:space="preserve">Selecting a proper court</w:t>
      </w:r>
    </w:p>
    <w:p>
      <w:pPr>
        <w:numPr>
          <w:ilvl w:val="2"/>
          <w:numId w:val="1009"/>
        </w:numPr>
      </w:pPr>
      <w:r>
        <w:rPr>
          <w:bCs/>
          <w:b/>
        </w:rPr>
        <w:t xml:space="preserve">Subject Matter Jurisdiction</w:t>
      </w:r>
      <w:r>
        <w:t xml:space="preserve"> </w:t>
      </w:r>
      <w:r>
        <w:t xml:space="preserve">- State or Federal Court System?</w:t>
      </w:r>
    </w:p>
    <w:p>
      <w:pPr>
        <w:numPr>
          <w:ilvl w:val="2"/>
          <w:numId w:val="1009"/>
        </w:numPr>
      </w:pPr>
      <w:r>
        <w:rPr>
          <w:bCs/>
          <w:b/>
        </w:rPr>
        <w:t xml:space="preserve">Personal</w:t>
      </w:r>
      <w:r>
        <w:t xml:space="preserve"> </w:t>
      </w:r>
      <w:r>
        <w:rPr>
          <w:bCs/>
          <w:b/>
        </w:rPr>
        <w:t xml:space="preserve">Jurisdiction</w:t>
      </w:r>
      <w:r>
        <w:t xml:space="preserve"> </w:t>
      </w:r>
      <w:r>
        <w:t xml:space="preserve">- Does the court, in the geographic sense, have the power to enter judgment with respect the person or property?</w:t>
      </w:r>
    </w:p>
    <w:p>
      <w:pPr>
        <w:numPr>
          <w:ilvl w:val="2"/>
          <w:numId w:val="1009"/>
        </w:numPr>
      </w:pPr>
      <w:r>
        <w:rPr>
          <w:bCs/>
          <w:b/>
        </w:rPr>
        <w:t xml:space="preserve">Venue</w:t>
      </w:r>
      <w:r>
        <w:t xml:space="preserve"> </w:t>
      </w:r>
      <w:r>
        <w:t xml:space="preserve">- where within a state or district can the suit be brought (this is another geographic doctrine, on top of personal jurisdiction)?</w:t>
      </w:r>
    </w:p>
    <w:p>
      <w:pPr>
        <w:numPr>
          <w:ilvl w:val="0"/>
          <w:numId w:val="1007"/>
        </w:numPr>
      </w:pPr>
      <w:r>
        <w:rPr>
          <w:bCs/>
          <w:b/>
        </w:rPr>
        <w:t xml:space="preserve">Starting the Suit</w:t>
      </w:r>
    </w:p>
    <w:p>
      <w:pPr>
        <w:numPr>
          <w:ilvl w:val="1"/>
          <w:numId w:val="1010"/>
        </w:numPr>
      </w:pPr>
      <w:r>
        <w:rPr>
          <w:bCs/>
          <w:b/>
        </w:rPr>
        <w:t xml:space="preserve">Filing the Complaint</w:t>
      </w:r>
    </w:p>
    <w:p>
      <w:pPr>
        <w:numPr>
          <w:ilvl w:val="1"/>
          <w:numId w:val="1010"/>
        </w:numPr>
      </w:pPr>
      <w:r>
        <w:rPr>
          <w:bCs/>
          <w:b/>
        </w:rPr>
        <w:t xml:space="preserve">Service of Process</w:t>
      </w:r>
      <w:r>
        <w:t xml:space="preserve"> </w:t>
      </w:r>
      <w:r>
        <w:t xml:space="preserve">- notice to the defendant/adversary of the commencement of the action</w:t>
      </w:r>
    </w:p>
    <w:p>
      <w:pPr>
        <w:numPr>
          <w:ilvl w:val="0"/>
          <w:numId w:val="1007"/>
        </w:numPr>
      </w:pPr>
      <w:r>
        <w:rPr>
          <w:bCs/>
          <w:b/>
        </w:rPr>
        <w:t xml:space="preserve">Pleading and Parties</w:t>
      </w:r>
    </w:p>
    <w:p>
      <w:pPr>
        <w:numPr>
          <w:ilvl w:val="1"/>
          <w:numId w:val="1011"/>
        </w:numPr>
      </w:pPr>
      <w:r>
        <w:t xml:space="preserve">Pleading - a written statement that contains the plaintiff's claim. Objectives of pleading include:</w:t>
      </w:r>
    </w:p>
    <w:p>
      <w:pPr>
        <w:numPr>
          <w:ilvl w:val="2"/>
          <w:numId w:val="1012"/>
        </w:numPr>
      </w:pPr>
      <w:r>
        <w:t xml:space="preserve">Articulate the legal and factual contentions involved so that some issues, perhaps even an entire case, may be disposed of at an early stage</w:t>
      </w:r>
    </w:p>
    <w:p>
      <w:pPr>
        <w:numPr>
          <w:ilvl w:val="2"/>
          <w:numId w:val="1012"/>
        </w:numPr>
      </w:pPr>
      <w:r>
        <w:t xml:space="preserve">Provide notice to the defendant as to the factual and legal contentions against them</w:t>
      </w:r>
    </w:p>
    <w:p>
      <w:pPr>
        <w:numPr>
          <w:ilvl w:val="0"/>
          <w:numId w:val="1007"/>
        </w:numPr>
      </w:pPr>
      <w:r>
        <w:rPr>
          <w:bCs/>
          <w:b/>
        </w:rPr>
        <w:t xml:space="preserve">The Response</w:t>
      </w:r>
    </w:p>
    <w:p>
      <w:pPr>
        <w:numPr>
          <w:ilvl w:val="1"/>
          <w:numId w:val="1013"/>
        </w:numPr>
      </w:pPr>
      <w:r>
        <w:rPr>
          <w:bCs/>
          <w:b/>
        </w:rPr>
        <w:t xml:space="preserve">Motion to dismiss - Rule 12(b)(6) - </w:t>
      </w:r>
      <w:r>
        <w:t xml:space="preserve">generally granted in three situations:</w:t>
      </w:r>
    </w:p>
    <w:p>
      <w:pPr>
        <w:numPr>
          <w:ilvl w:val="2"/>
          <w:numId w:val="1014"/>
        </w:numPr>
      </w:pPr>
      <w:r>
        <w:t xml:space="preserve">The facts alleged are so fantastical that no reasonable person could credit them (think allegations of harm due to a defendant's complicity in an alien landing in Area 51 in Nevada)</w:t>
      </w:r>
    </w:p>
    <w:p>
      <w:pPr>
        <w:numPr>
          <w:ilvl w:val="2"/>
          <w:numId w:val="1014"/>
        </w:numPr>
      </w:pPr>
      <w:r>
        <w:t xml:space="preserve">The law upon which the plaintiff relies does not provide a right to relief under the facts the plaintiff articulates </w:t>
      </w:r>
    </w:p>
    <w:p>
      <w:pPr>
        <w:numPr>
          <w:ilvl w:val="2"/>
          <w:numId w:val="1014"/>
        </w:numPr>
      </w:pPr>
      <w:r>
        <w:t xml:space="preserve">The complaint articulates the facts at an insufficient level of specificity (meaning its description of events is too general under the applicable standard)</w:t>
      </w:r>
    </w:p>
    <w:p>
      <w:pPr>
        <w:numPr>
          <w:ilvl w:val="1"/>
          <w:numId w:val="1013"/>
        </w:numPr>
      </w:pPr>
      <w:r>
        <w:rPr>
          <w:bCs/>
          <w:b/>
        </w:rPr>
        <w:t xml:space="preserve">Answer</w:t>
      </w:r>
      <w:r>
        <w:t xml:space="preserve">: A legal document that admits some and denies many of the allegations in the complaint, allowing the parties to proceed to the next stage of litigation by focusing only on the denied issues</w:t>
      </w:r>
    </w:p>
    <w:p>
      <w:pPr>
        <w:numPr>
          <w:ilvl w:val="0"/>
          <w:numId w:val="1007"/>
        </w:numPr>
      </w:pPr>
      <w:r>
        <w:rPr>
          <w:bCs/>
          <w:b/>
        </w:rPr>
        <w:t xml:space="preserve">Discovery: Obtaining Information Prior to Trial</w:t>
      </w:r>
    </w:p>
    <w:p>
      <w:pPr>
        <w:numPr>
          <w:ilvl w:val="1"/>
          <w:numId w:val="1015"/>
        </w:numPr>
      </w:pPr>
      <w:r>
        <w:rPr>
          <w:bCs/>
          <w:b/>
        </w:rPr>
        <w:t xml:space="preserve">Request for production of documents</w:t>
      </w:r>
      <w:r>
        <w:t xml:space="preserve"> </w:t>
      </w:r>
      <w:r>
        <w:t xml:space="preserve">- A demand from one party to another to produce documents in their possession or control</w:t>
      </w:r>
    </w:p>
    <w:p>
      <w:pPr>
        <w:numPr>
          <w:ilvl w:val="1"/>
          <w:numId w:val="1015"/>
        </w:numPr>
      </w:pPr>
      <w:r>
        <w:rPr>
          <w:bCs/>
          <w:b/>
        </w:rPr>
        <w:t xml:space="preserve">Written interrogatory</w:t>
      </w:r>
      <w:r>
        <w:t xml:space="preserve"> </w:t>
      </w:r>
      <w:r>
        <w:t xml:space="preserve">- a question from one party to another, requiring a response that a witness affirms as truthful under penalty of perjury</w:t>
      </w:r>
    </w:p>
    <w:p>
      <w:pPr>
        <w:numPr>
          <w:ilvl w:val="1"/>
          <w:numId w:val="1015"/>
        </w:numPr>
      </w:pPr>
      <w:r>
        <w:rPr>
          <w:bCs/>
          <w:b/>
        </w:rPr>
        <w:t xml:space="preserve">Deposition</w:t>
      </w:r>
      <w:r>
        <w:t xml:space="preserve"> </w:t>
      </w:r>
      <w:r>
        <w:t xml:space="preserve">- a meeting of one party's attorney, a witness (usually accompanied by the witness's lawyer and/or a lawyer for another party), and a court reporter in which the first party's attorney asks questions of the witnesses while the court reporter transcribes the questions and answers</w:t>
      </w:r>
    </w:p>
    <w:p>
      <w:pPr>
        <w:numPr>
          <w:ilvl w:val="1"/>
          <w:numId w:val="1015"/>
        </w:numPr>
      </w:pPr>
      <w:r>
        <w:rPr>
          <w:bCs/>
          <w:b/>
        </w:rPr>
        <w:t xml:space="preserve">Request for admission</w:t>
      </w:r>
      <w:r>
        <w:t xml:space="preserve"> </w:t>
      </w:r>
      <w:r>
        <w:t xml:space="preserve">- a request from one party to another to admit that a certain fact or proposition of law is true for purposes of the litigation</w:t>
      </w:r>
    </w:p>
    <w:p>
      <w:pPr>
        <w:numPr>
          <w:ilvl w:val="0"/>
          <w:numId w:val="1007"/>
        </w:numPr>
      </w:pPr>
      <w:r>
        <w:rPr>
          <w:bCs/>
          <w:b/>
        </w:rPr>
        <w:t xml:space="preserve">Summary Judgment</w:t>
      </w:r>
      <w:r>
        <w:t xml:space="preserve">: A device to avoid an unnecessary trial in which a judge decides whether to rule in one party's favor on the grounds that, as to a particular issue or set of issues, there is "no genuine issue of material fact and the moving party is entitled to judgment as a matter of law."</w:t>
      </w:r>
    </w:p>
    <w:p>
      <w:pPr>
        <w:numPr>
          <w:ilvl w:val="0"/>
          <w:numId w:val="1007"/>
        </w:numPr>
      </w:pPr>
      <w:r>
        <w:rPr>
          <w:bCs/>
          <w:b/>
        </w:rPr>
        <w:t xml:space="preserve">Setting the Case for Trial</w:t>
      </w:r>
      <w:r>
        <w:t xml:space="preserve">: Scheduling the trial in a case that survives  a summary judgment ruling, if any. This is harder than it sounds. Court dockets are often so full that it can be hard for the parties and the judge to schedule a trial. Sometimes cases receive a stand-by date, in which they might go to trial if the judge can break free.</w:t>
      </w:r>
    </w:p>
    <w:p>
      <w:pPr>
        <w:numPr>
          <w:ilvl w:val="0"/>
          <w:numId w:val="1007"/>
        </w:numPr>
      </w:pPr>
      <w:r>
        <w:rPr>
          <w:bCs/>
          <w:b/>
        </w:rPr>
        <w:t xml:space="preserve">The Jury and its Selection</w:t>
      </w:r>
    </w:p>
    <w:p>
      <w:pPr>
        <w:numPr>
          <w:ilvl w:val="1"/>
          <w:numId w:val="1016"/>
        </w:numPr>
      </w:pPr>
      <w:r>
        <w:t xml:space="preserve">Generally, in civil actions for damages (issues "at law") in federal court (but not necessarily in state court), parties have a</w:t>
      </w:r>
      <w:r>
        <w:t xml:space="preserve"> </w:t>
      </w:r>
      <w:r>
        <w:rPr>
          <w:bCs/>
          <w:b/>
        </w:rPr>
        <w:t xml:space="preserve">Seventh Amendment</w:t>
      </w:r>
      <w:r>
        <w:t xml:space="preserve"> </w:t>
      </w:r>
      <w:r>
        <w:t xml:space="preserve">right to have the facts tried by a jury. Either party may assert this right. Otherwise, the judge will try the facts (bench trial), as well as the law.</w:t>
      </w:r>
    </w:p>
    <w:p>
      <w:pPr>
        <w:numPr>
          <w:ilvl w:val="1"/>
          <w:numId w:val="1016"/>
        </w:numPr>
      </w:pPr>
      <w:r>
        <w:t xml:space="preserve">In actions for equitable remedies (such as an injunction), there is usually no right to a jury trial.</w:t>
      </w:r>
    </w:p>
    <w:p>
      <w:pPr>
        <w:numPr>
          <w:ilvl w:val="1"/>
          <w:numId w:val="1016"/>
        </w:numPr>
      </w:pPr>
      <w:r>
        <w:t xml:space="preserve">If a jury has been requested, prospective jurors are selected from various lists such as tax rolls, street directories, etc. The juror selection process includes unlimited for-cause excuses and limited peremptory challenges (meaning dismissals of jurors for no reason). </w:t>
      </w:r>
    </w:p>
    <w:p>
      <w:pPr>
        <w:numPr>
          <w:ilvl w:val="0"/>
          <w:numId w:val="1007"/>
        </w:numPr>
      </w:pPr>
      <w:r>
        <w:rPr>
          <w:bCs/>
          <w:b/>
        </w:rPr>
        <w:t xml:space="preserve">The Trial</w:t>
      </w:r>
    </w:p>
    <w:p>
      <w:pPr>
        <w:numPr>
          <w:ilvl w:val="1"/>
          <w:numId w:val="1017"/>
        </w:numPr>
      </w:pPr>
      <w:r>
        <w:rPr>
          <w:bCs/>
          <w:b/>
        </w:rPr>
        <w:t xml:space="preserve">Mechanics Part I</w:t>
      </w:r>
    </w:p>
    <w:p>
      <w:pPr>
        <w:numPr>
          <w:ilvl w:val="2"/>
          <w:numId w:val="1018"/>
        </w:numPr>
      </w:pPr>
      <w:r>
        <w:t xml:space="preserve">Opening statement by plaintiff's lawyer</w:t>
      </w:r>
    </w:p>
    <w:p>
      <w:pPr>
        <w:numPr>
          <w:ilvl w:val="2"/>
          <w:numId w:val="1018"/>
        </w:numPr>
      </w:pPr>
      <w:r>
        <w:t xml:space="preserve">Opening statement by defendant's lawyer - may be reserved for later</w:t>
      </w:r>
    </w:p>
    <w:p>
      <w:pPr>
        <w:numPr>
          <w:ilvl w:val="2"/>
          <w:numId w:val="1018"/>
        </w:numPr>
      </w:pPr>
      <w:r>
        <w:t xml:space="preserve">Direct examination of plaintiff's witnesses by plaintiff's lawyer</w:t>
      </w:r>
    </w:p>
    <w:p>
      <w:pPr>
        <w:numPr>
          <w:ilvl w:val="2"/>
          <w:numId w:val="1018"/>
        </w:numPr>
      </w:pPr>
      <w:r>
        <w:t xml:space="preserve">Cross-examination of plaintiff's witnesses by defendant's lawyer</w:t>
      </w:r>
    </w:p>
    <w:p>
      <w:pPr>
        <w:numPr>
          <w:ilvl w:val="1"/>
          <w:numId w:val="1017"/>
        </w:numPr>
      </w:pPr>
      <w:r>
        <w:rPr>
          <w:bCs/>
          <w:b/>
        </w:rPr>
        <w:t xml:space="preserve">Motion for Judgment as a Matter of Law</w:t>
      </w:r>
    </w:p>
    <w:p>
      <w:pPr>
        <w:numPr>
          <w:ilvl w:val="2"/>
          <w:numId w:val="1019"/>
        </w:numPr>
      </w:pPr>
      <w:r>
        <w:t xml:space="preserve">Defendant moves for dismissal on the grounds that the plaintiff has not established their case</w:t>
      </w:r>
    </w:p>
    <w:p>
      <w:pPr>
        <w:numPr>
          <w:ilvl w:val="2"/>
          <w:numId w:val="1019"/>
        </w:numPr>
      </w:pPr>
      <w:r>
        <w:t xml:space="preserve">Never denied, just deferred for the post-trial renewal</w:t>
      </w:r>
    </w:p>
    <w:p>
      <w:pPr>
        <w:numPr>
          <w:ilvl w:val="1"/>
          <w:numId w:val="1017"/>
        </w:numPr>
      </w:pPr>
      <w:r>
        <w:rPr>
          <w:bCs/>
          <w:b/>
        </w:rPr>
        <w:t xml:space="preserve">Mechanics Part II</w:t>
      </w:r>
    </w:p>
    <w:p>
      <w:pPr>
        <w:numPr>
          <w:ilvl w:val="2"/>
          <w:numId w:val="1020"/>
        </w:numPr>
      </w:pPr>
      <w:r>
        <w:t xml:space="preserve">Defendant can rest at this point or proceed</w:t>
      </w:r>
    </w:p>
    <w:p>
      <w:pPr>
        <w:numPr>
          <w:ilvl w:val="2"/>
          <w:numId w:val="1020"/>
        </w:numPr>
      </w:pPr>
      <w:r>
        <w:t xml:space="preserve">Direct examination of defense witnesses by defendant's lawyer</w:t>
      </w:r>
    </w:p>
    <w:p>
      <w:pPr>
        <w:numPr>
          <w:ilvl w:val="2"/>
          <w:numId w:val="1020"/>
        </w:numPr>
      </w:pPr>
      <w:r>
        <w:t xml:space="preserve">Cross-examination of defense witnesses by plaintiff's lawyer</w:t>
      </w:r>
    </w:p>
    <w:p>
      <w:pPr>
        <w:numPr>
          <w:ilvl w:val="2"/>
          <w:numId w:val="1020"/>
        </w:numPr>
      </w:pPr>
      <w:r>
        <w:t xml:space="preserve">Defense rests</w:t>
      </w:r>
    </w:p>
    <w:p>
      <w:pPr>
        <w:numPr>
          <w:ilvl w:val="1"/>
          <w:numId w:val="1017"/>
        </w:numPr>
      </w:pPr>
      <w:r>
        <w:t xml:space="preserve">Plaintiff may present additional evidence to address any new issue raised by defense witnesses and rest</w:t>
      </w:r>
    </w:p>
    <w:p>
      <w:pPr>
        <w:numPr>
          <w:ilvl w:val="1"/>
          <w:numId w:val="1017"/>
        </w:numPr>
      </w:pPr>
      <w:r>
        <w:t xml:space="preserve">Defense may present additional evidence and rest</w:t>
      </w:r>
    </w:p>
    <w:p>
      <w:pPr>
        <w:numPr>
          <w:ilvl w:val="1"/>
          <w:numId w:val="1017"/>
        </w:numPr>
      </w:pPr>
      <w:r>
        <w:rPr>
          <w:bCs/>
          <w:b/>
        </w:rPr>
        <w:t xml:space="preserve">Cycle continues until both parties rest</w:t>
      </w:r>
    </w:p>
    <w:p>
      <w:pPr>
        <w:numPr>
          <w:ilvl w:val="1"/>
          <w:numId w:val="1017"/>
        </w:numPr>
      </w:pPr>
      <w:r>
        <w:rPr>
          <w:bCs/>
          <w:b/>
        </w:rPr>
        <w:t xml:space="preserve">Either party may move for judgment as a matter of law</w:t>
      </w:r>
    </w:p>
    <w:p>
      <w:pPr>
        <w:numPr>
          <w:ilvl w:val="0"/>
          <w:numId w:val="1007"/>
        </w:numPr>
      </w:pPr>
      <w:r>
        <w:rPr>
          <w:bCs/>
          <w:b/>
        </w:rPr>
        <w:t xml:space="preserve">Submitting the Case to the Jury</w:t>
      </w:r>
    </w:p>
    <w:p>
      <w:pPr>
        <w:numPr>
          <w:ilvl w:val="1"/>
          <w:numId w:val="1021"/>
        </w:numPr>
      </w:pPr>
      <w:r>
        <w:rPr>
          <w:bCs/>
          <w:b/>
        </w:rPr>
        <w:t xml:space="preserve">Judge and lawyers confer on the content of jury instruction</w:t>
      </w:r>
    </w:p>
    <w:p>
      <w:pPr>
        <w:numPr>
          <w:ilvl w:val="1"/>
          <w:numId w:val="1021"/>
        </w:numPr>
      </w:pPr>
      <w:r>
        <w:rPr>
          <w:bCs/>
          <w:b/>
        </w:rPr>
        <w:t xml:space="preserve">Lawyers make closing arguments </w:t>
      </w:r>
    </w:p>
    <w:p>
      <w:pPr>
        <w:numPr>
          <w:ilvl w:val="1"/>
          <w:numId w:val="1021"/>
        </w:numPr>
      </w:pPr>
      <w:r>
        <w:rPr>
          <w:bCs/>
          <w:b/>
        </w:rPr>
        <w:t xml:space="preserve">Judge delivers charge to the jury</w:t>
      </w:r>
    </w:p>
    <w:p>
      <w:pPr>
        <w:numPr>
          <w:ilvl w:val="2"/>
          <w:numId w:val="1022"/>
        </w:numPr>
      </w:pPr>
      <w:r>
        <w:t xml:space="preserve">Summarizes the issues of the case</w:t>
      </w:r>
    </w:p>
    <w:p>
      <w:pPr>
        <w:numPr>
          <w:ilvl w:val="2"/>
          <w:numId w:val="1022"/>
        </w:numPr>
      </w:pPr>
      <w:r>
        <w:t xml:space="preserve">Instructs the jury on the substantive law to be applied</w:t>
      </w:r>
    </w:p>
    <w:p>
      <w:pPr>
        <w:numPr>
          <w:ilvl w:val="2"/>
          <w:numId w:val="1022"/>
        </w:numPr>
      </w:pPr>
      <w:r>
        <w:t xml:space="preserve">Provides general information on determining the credibility of witnesses</w:t>
      </w:r>
    </w:p>
    <w:p>
      <w:pPr>
        <w:numPr>
          <w:ilvl w:val="2"/>
          <w:numId w:val="1022"/>
        </w:numPr>
      </w:pPr>
      <w:r>
        <w:t xml:space="preserve">The plaintiff has the burden of persuasion on each issue of fact.</w:t>
      </w:r>
    </w:p>
    <w:p>
      <w:pPr>
        <w:numPr>
          <w:ilvl w:val="1"/>
          <w:numId w:val="1021"/>
        </w:numPr>
      </w:pPr>
      <w:r>
        <w:rPr>
          <w:bCs/>
          <w:b/>
        </w:rPr>
        <w:t xml:space="preserve">Jury retires and reaches a verdict.</w:t>
      </w:r>
    </w:p>
    <w:p>
      <w:pPr>
        <w:numPr>
          <w:ilvl w:val="2"/>
          <w:numId w:val="1023"/>
        </w:numPr>
      </w:pPr>
      <w:r>
        <w:t xml:space="preserve">Three types of verdict, chosen by the judge:</w:t>
      </w:r>
    </w:p>
    <w:p>
      <w:pPr>
        <w:numPr>
          <w:ilvl w:val="3"/>
          <w:numId w:val="1024"/>
        </w:numPr>
      </w:pPr>
      <w:r>
        <w:rPr>
          <w:bCs/>
          <w:b/>
        </w:rPr>
        <w:t xml:space="preserve">General verdict</w:t>
      </w:r>
      <w:r>
        <w:t xml:space="preserve"> </w:t>
      </w:r>
      <w:r>
        <w:t xml:space="preserve">- only the conclusion as to who prevails and the amount of damages is stated</w:t>
      </w:r>
    </w:p>
    <w:p>
      <w:pPr>
        <w:numPr>
          <w:ilvl w:val="3"/>
          <w:numId w:val="1024"/>
        </w:numPr>
      </w:pPr>
      <w:r>
        <w:rPr>
          <w:bCs/>
          <w:b/>
        </w:rPr>
        <w:t xml:space="preserve">General verdict with interrogatories</w:t>
      </w:r>
      <w:r>
        <w:t xml:space="preserve"> </w:t>
      </w:r>
      <w:r>
        <w:t xml:space="preserve">- combines a general verdict with several key questions designed to test the jury's understanding of the issues</w:t>
      </w:r>
    </w:p>
    <w:p>
      <w:pPr>
        <w:numPr>
          <w:ilvl w:val="3"/>
          <w:numId w:val="1024"/>
        </w:numPr>
      </w:pPr>
      <w:r>
        <w:rPr>
          <w:bCs/>
          <w:b/>
        </w:rPr>
        <w:t xml:space="preserve">Special verdict</w:t>
      </w:r>
      <w:r>
        <w:t xml:space="preserve"> </w:t>
      </w:r>
      <w:r>
        <w:t xml:space="preserve">- all factual issues in the case are submitted to the jury as questions without instructions as to their legal effect. The judge applies the law to the jury's answers and determines which party prevails</w:t>
      </w:r>
    </w:p>
    <w:p>
      <w:pPr>
        <w:numPr>
          <w:ilvl w:val="0"/>
          <w:numId w:val="1007"/>
        </w:numPr>
      </w:pPr>
      <w:r>
        <w:rPr>
          <w:bCs/>
          <w:b/>
        </w:rPr>
        <w:t xml:space="preserve">Post-Trial Motions</w:t>
      </w:r>
    </w:p>
    <w:p>
      <w:pPr>
        <w:numPr>
          <w:ilvl w:val="1"/>
          <w:numId w:val="1025"/>
        </w:numPr>
      </w:pPr>
      <w:r>
        <w:t xml:space="preserve">After the verdict, a judgment is entered</w:t>
      </w:r>
    </w:p>
    <w:p>
      <w:pPr>
        <w:numPr>
          <w:ilvl w:val="1"/>
          <w:numId w:val="1025"/>
        </w:numPr>
      </w:pPr>
      <w:r>
        <w:t xml:space="preserve">The losing party may </w:t>
      </w:r>
      <w:r>
        <w:rPr>
          <w:bCs/>
          <w:b/>
        </w:rPr>
        <w:t xml:space="preserve">renew the motion for judgment as a matter of law</w:t>
      </w:r>
    </w:p>
    <w:p>
      <w:pPr>
        <w:numPr>
          <w:ilvl w:val="1"/>
          <w:numId w:val="1025"/>
        </w:numPr>
      </w:pPr>
      <w:r>
        <w:t xml:space="preserve">The losing party may also move for a new trial on several grounds, e.g., judicial error in including or excluding evidence</w:t>
      </w:r>
    </w:p>
    <w:p>
      <w:pPr>
        <w:numPr>
          <w:ilvl w:val="0"/>
          <w:numId w:val="1007"/>
        </w:numPr>
      </w:pPr>
      <w:r>
        <w:rPr>
          <w:bCs/>
          <w:b/>
        </w:rPr>
        <w:t xml:space="preserve">The Judgment and its Enforcement</w:t>
      </w:r>
    </w:p>
    <w:p>
      <w:pPr>
        <w:numPr>
          <w:ilvl w:val="1"/>
          <w:numId w:val="1026"/>
        </w:numPr>
      </w:pPr>
      <w:r>
        <w:t xml:space="preserve">Judgment is the final determination of the lawsuit absent an appeal</w:t>
      </w:r>
    </w:p>
    <w:p>
      <w:pPr>
        <w:numPr>
          <w:ilvl w:val="1"/>
          <w:numId w:val="1026"/>
        </w:numPr>
      </w:pPr>
      <w:r>
        <w:rPr>
          <w:bCs/>
          <w:b/>
        </w:rPr>
        <w:t xml:space="preserve">Writ of execution</w:t>
      </w:r>
      <w:r>
        <w:t xml:space="preserve"> </w:t>
      </w:r>
      <w:r>
        <w:t xml:space="preserve">- may be issued by the court commanding an officer to seize the property of the losing party and, if necessary, publicly sell it and use the proceeds to satisfy the plaintiff's judgment</w:t>
      </w:r>
    </w:p>
    <w:p>
      <w:pPr>
        <w:numPr>
          <w:ilvl w:val="1"/>
          <w:numId w:val="1026"/>
        </w:numPr>
      </w:pPr>
      <w:r>
        <w:t xml:space="preserve">If judgment takes the form of an injunction, the defendant may be held in contempt of the court if they do not obey</w:t>
      </w:r>
    </w:p>
    <w:p>
      <w:pPr>
        <w:numPr>
          <w:ilvl w:val="0"/>
          <w:numId w:val="1007"/>
        </w:numPr>
      </w:pPr>
      <w:r>
        <w:rPr>
          <w:bCs/>
          <w:b/>
        </w:rPr>
        <w:t xml:space="preserve">Appeal</w:t>
      </w:r>
    </w:p>
    <w:p>
      <w:pPr>
        <w:numPr>
          <w:ilvl w:val="1"/>
          <w:numId w:val="1027"/>
        </w:numPr>
      </w:pPr>
      <w:r>
        <w:t xml:space="preserve">The losing party has the right to appeal the judgment to one higher court</w:t>
      </w:r>
    </w:p>
    <w:p>
      <w:pPr>
        <w:numPr>
          <w:ilvl w:val="1"/>
          <w:numId w:val="1027"/>
        </w:numPr>
      </w:pPr>
      <w:r>
        <w:t xml:space="preserve">Appeal to the highest level, e.g., the Supreme Court, is discretionary and sought by a petition for a</w:t>
      </w:r>
      <w:r>
        <w:t xml:space="preserve"> </w:t>
      </w:r>
      <w:r>
        <w:rPr>
          <w:iCs/>
          <w:i/>
        </w:rPr>
        <w:t xml:space="preserve">writ of certiorari</w:t>
      </w:r>
    </w:p>
    <w:p>
      <w:pPr>
        <w:numPr>
          <w:ilvl w:val="1"/>
          <w:numId w:val="1027"/>
        </w:numPr>
      </w:pPr>
      <w:r>
        <w:t xml:space="preserve">The appellate court has the power to</w:t>
      </w:r>
      <w:r>
        <w:t xml:space="preserve"> </w:t>
      </w:r>
      <w:r>
        <w:rPr>
          <w:iCs/>
          <w:i/>
        </w:rPr>
        <w:t xml:space="preserve">affirm, reverse, or modify</w:t>
      </w:r>
      <w:r>
        <w:t xml:space="preserve"> </w:t>
      </w:r>
      <w:r>
        <w:t xml:space="preserve">the judgment of the trial court. If the court reverses, it may order judgment to be entered, or it may</w:t>
      </w:r>
      <w:r>
        <w:t xml:space="preserve"> </w:t>
      </w:r>
      <w:r>
        <w:rPr>
          <w:iCs/>
          <w:i/>
        </w:rPr>
        <w:t xml:space="preserve">remand</w:t>
      </w:r>
      <w:r>
        <w:t xml:space="preserve"> </w:t>
      </w:r>
      <w:r>
        <w:t xml:space="preserve">the case to the trial court for a new trial or other proceedings</w:t>
      </w:r>
    </w:p>
    <w:p>
      <w:pPr>
        <w:numPr>
          <w:ilvl w:val="0"/>
          <w:numId w:val="1007"/>
        </w:numPr>
      </w:pPr>
      <w:r>
        <w:rPr>
          <w:bCs/>
          <w:b/>
        </w:rPr>
        <w:t xml:space="preserve">The Conclusiveness of Judgments</w:t>
      </w:r>
    </w:p>
    <w:p>
      <w:pPr>
        <w:numPr>
          <w:ilvl w:val="1"/>
          <w:numId w:val="1028"/>
        </w:numPr>
      </w:pPr>
      <w:r>
        <w:t xml:space="preserve">Judgment becomes</w:t>
      </w:r>
      <w:r>
        <w:t xml:space="preserve"> </w:t>
      </w:r>
      <w:r>
        <w:rPr>
          <w:iCs/>
          <w:i/>
        </w:rPr>
        <w:t xml:space="preserve">final</w:t>
      </w:r>
      <w:r>
        <w:t xml:space="preserve"> </w:t>
      </w:r>
      <w:r>
        <w:t xml:space="preserve">after appeal and whatever further proceedings or, if no appeal is taken, when the time for appeal expires.</w:t>
      </w:r>
      <w:r>
        <w:t xml:space="preserve"> </w:t>
      </w:r>
      <w:r>
        <w:rPr>
          <w:bCs/>
          <w:b/>
        </w:rPr>
        <w:t xml:space="preserve">Preclusion</w:t>
      </w:r>
      <w:r>
        <w:t xml:space="preserve"> </w:t>
      </w:r>
      <w:r>
        <w:t xml:space="preserve">doctrine governments relitigation of something that has, in some sense, already been decided in prior litigation.</w:t>
      </w:r>
    </w:p>
    <w:p>
      <w:pPr>
        <w:pStyle w:val="NodeEnd"/>
      </w:pPr>
      <w:r>
        <w:t xml:space="preserve"> </w:t>
      </w:r>
    </w:p>
    <w:p>
      <w:pPr>
        <w:pStyle w:val="NodeStart"/>
      </w:pPr>
      <w:r>
        <w:t xml:space="preserve"> </w:t>
      </w:r>
    </w:p>
    <w:p>
      <w:pPr>
        <w:pStyle w:val="HeadSeparator"/>
      </w:pPr>
      <w:r>
        <w:t xml:space="preserve"> </w:t>
      </w:r>
    </w:p>
    <w:bookmarkStart w:id="7" w:name="_auto_toc_7"/>
    <w:bookmarkEnd w:id="7"/>
    <w:p>
      <w:pPr>
        <w:pStyle w:val="ResourceNumber"/>
      </w:pPr>
      <w:r>
        <w:t xml:space="preserve">1.4</w:t>
      </w:r>
    </w:p>
    <w:p>
      <w:pPr>
        <w:pStyle w:val="ResourceTitle"/>
      </w:pPr>
      <w:r>
        <w:t xml:space="preserve">Statutes and Constitutional Provisions</w:t>
      </w:r>
    </w:p>
    <w:p>
      <w:pPr>
        <w:pStyle w:val="HeadFieldSeparator"/>
      </w:pPr>
      <w:r>
        <w:t xml:space="preserve"> </w:t>
      </w:r>
    </w:p>
    <w:p>
      <w:pPr>
        <w:pStyle w:val="ResourceHeadnote"/>
      </w:pPr>
      <w:r>
        <w:t xml:space="preserve">Read the following statutes and constitutional provisions. You can access them via the internet. Helpful primers from former TA Nick Gladstone for 1331 and 2021 are available on the course website.</w:t>
      </w:r>
    </w:p>
    <w:p>
      <w:pPr>
        <w:pStyle w:val="HeadEnd"/>
      </w:pPr>
      <w:r>
        <w:t xml:space="preserve"> </w:t>
      </w:r>
    </w:p>
    <w:p>
      <w:pPr>
        <w:numPr>
          <w:ilvl w:val="0"/>
          <w:numId w:val="1029"/>
        </w:numPr>
      </w:pPr>
      <w:r>
        <w:t xml:space="preserve">U.S. Const. Art. III, § 1 and § 2, cl. 1</w:t>
      </w:r>
    </w:p>
    <w:p>
      <w:pPr>
        <w:numPr>
          <w:ilvl w:val="0"/>
          <w:numId w:val="1029"/>
        </w:numPr>
      </w:pPr>
      <w:r>
        <w:t xml:space="preserve">28 U.S.C. § 1331</w:t>
      </w:r>
    </w:p>
    <w:p>
      <w:pPr>
        <w:numPr>
          <w:ilvl w:val="0"/>
          <w:numId w:val="1029"/>
        </w:numPr>
      </w:pPr>
      <w:r>
        <w:t xml:space="preserve">42 U.S.C. § 1983, plus short summary of this statute in your "Utterly Oversimplified" summary of three federal causes of action, below</w:t>
      </w:r>
    </w:p>
    <w:p>
      <w:pPr>
        <w:numPr>
          <w:ilvl w:val="0"/>
          <w:numId w:val="1029"/>
        </w:numPr>
      </w:pPr>
      <w:r>
        <w:t xml:space="preserve">28 U.S.C. § 2201(a)</w:t>
      </w:r>
    </w:p>
    <w:p>
      <w:pPr>
        <w:pStyle w:val="FirstParagraph"/>
      </w:pPr>
      <w:r>
        <w:t xml:space="preserve"> </w:t>
      </w:r>
    </w:p>
    <w:p>
      <w:pPr>
        <w:pStyle w:val="NodeEnd"/>
      </w:pPr>
      <w:r>
        <w:t xml:space="preserve"> </w:t>
      </w:r>
    </w:p>
    <w:p>
      <w:pPr>
        <w:pStyle w:val="NodeStart"/>
      </w:pPr>
      <w:r>
        <w:t xml:space="preserve"> </w:t>
      </w:r>
    </w:p>
    <w:p>
      <w:pPr>
        <w:pStyle w:val="HeadSeparator"/>
      </w:pPr>
      <w:r>
        <w:t xml:space="preserve"> </w:t>
      </w:r>
    </w:p>
    <w:bookmarkStart w:id="8" w:name="_auto_toc_8"/>
    <w:bookmarkEnd w:id="8"/>
    <w:p>
      <w:pPr>
        <w:pStyle w:val="ResourceNumber"/>
      </w:pPr>
      <w:r>
        <w:t xml:space="preserve">1.5</w:t>
      </w:r>
    </w:p>
    <w:p>
      <w:pPr>
        <w:pStyle w:val="ResourceTitle"/>
      </w:pPr>
      <w:r>
        <w:t xml:space="preserve">Cooper v. Aaron</w:t>
      </w:r>
    </w:p>
    <w:p>
      <w:pPr>
        <w:pStyle w:val="HeadFieldSeparator"/>
      </w:pPr>
      <w:r>
        <w:t xml:space="preserve"> </w:t>
      </w:r>
    </w:p>
    <w:p>
      <w:pPr>
        <w:pStyle w:val="ResourceHeadnote"/>
      </w:pPr>
      <w:r>
        <w:t xml:space="preserve">The United States judicial system is unusual in that it features two geographically overlapping but distinct sets of sovereigns: (1) a system of non-overlapping, theoretically sovereign</w:t>
      </w:r>
      <w:r>
        <w:t xml:space="preserve"> </w:t>
      </w:r>
      <w:r>
        <w:rPr>
          <w:iCs/>
          <w:i/>
        </w:rPr>
        <w:t xml:space="preserve">states</w:t>
      </w:r>
      <w:r>
        <w:t xml:space="preserve">, and (2) a single</w:t>
      </w:r>
      <w:r>
        <w:t xml:space="preserve"> </w:t>
      </w:r>
      <w:r>
        <w:rPr>
          <w:iCs/>
          <w:i/>
        </w:rPr>
        <w:t xml:space="preserve">federal</w:t>
      </w:r>
      <w:r>
        <w:t xml:space="preserve"> </w:t>
      </w:r>
      <w:r>
        <w:t xml:space="preserve">government, supreme when it operates but theoretically limited in its sphere of operation, and also featuring its own court system. Each state has its own constitution and its own court system. Each state’s court system has a set of lowest level, or trial, courts. Plaintiffs initiate cases in trial courts, which are empowered to hear any type of case. We say that state trial courts are courts of</w:t>
      </w:r>
      <w:r>
        <w:t xml:space="preserve"> </w:t>
      </w:r>
      <w:r>
        <w:rPr>
          <w:iCs/>
          <w:i/>
        </w:rPr>
        <w:t xml:space="preserve">general jurisdiction</w:t>
      </w:r>
      <w:r>
        <w:t xml:space="preserve"> </w:t>
      </w:r>
      <w:r>
        <w:t xml:space="preserve">because they have the power to hear any type of case, regardless of subject matter. The federal government also has a constitution, often referred to as simply “The Constitution,” adopted in the late 1700s.</w:t>
      </w:r>
      <w:r>
        <w:t xml:space="preserve"> </w:t>
      </w:r>
      <w:r>
        <w:t xml:space="preserve">The Constitution established the United States Supreme Court, but did not require the establishment of lower federal courts. Instead, Article III gave Congress the power to establish the lower federal courts. The very first Congress to convene exercised that power in the first “Judiciary Act.” Today, the federal court system includes federal “district courts,” which are the federal trial courts.</w:t>
      </w:r>
    </w:p>
    <w:p>
      <w:pPr>
        <w:pStyle w:val="ResourceHeadnote"/>
      </w:pPr>
      <w:r>
        <w:t xml:space="preserve">As noted above, the federal government is supreme when it operates but is theoretically limited in its sphere of operation. The federal district courts operationalize this principle in that they have limited</w:t>
      </w:r>
      <w:r>
        <w:t xml:space="preserve"> </w:t>
      </w:r>
      <w:r>
        <w:rPr>
          <w:iCs/>
          <w:i/>
        </w:rPr>
        <w:t xml:space="preserve">subject matter jurisdiction</w:t>
      </w:r>
      <w:r>
        <w:t xml:space="preserve">, meaning they can hear only certain kinds of cases.</w:t>
      </w:r>
    </w:p>
    <w:p>
      <w:pPr>
        <w:pStyle w:val="ResourceHeadnote"/>
      </w:pPr>
      <w:r>
        <w:t xml:space="preserve">Thus, a consequence of the United States’ state/federal system is that there are two geographically overlapping but distinct sets of court systems. A plaintiff may initiate any kind of case in a state trial court system. If a case fits within the federal courts' subject matter jurisdiction, a plaintiff may also initiate that case in a federal district court. In that situation, a plaintiff has a choice: file in a state trial court, or file in a federal district court. For cases that fall outside of the federal district courts’ subject matter jurisdiction, plaintiffs must initiate in state trial courts.</w:t>
      </w:r>
    </w:p>
    <w:p>
      <w:pPr>
        <w:pStyle w:val="ResourceHeadnote"/>
      </w:pPr>
      <w:r>
        <w:t xml:space="preserve">We will not do a full Socratic treatment of this case in class. I assigned it to get you to think about why a plaintiff (more likely, a plaintiff's attorney) might choose to file a case in a state court or a federal court. What sorts of things should an attorney consider when deciding where to initiate a case?</w:t>
      </w:r>
    </w:p>
    <w:p>
      <w:pPr>
        <w:pStyle w:val="ResourceHeadnote"/>
      </w:pPr>
      <w:r>
        <w:t xml:space="preserve">********</w:t>
      </w:r>
    </w:p>
    <w:p>
      <w:pPr>
        <w:pStyle w:val="ResourceHeadnote"/>
      </w:pPr>
      <w:r>
        <w:t xml:space="preserve">In</w:t>
      </w:r>
      <w:r>
        <w:t xml:space="preserve"> </w:t>
      </w:r>
      <w:r>
        <w:rPr>
          <w:iCs/>
          <w:i/>
        </w:rPr>
        <w:t xml:space="preserve">Brown v. Board of Education</w:t>
      </w:r>
      <w:r>
        <w:t xml:space="preserve">, 347 U.S. 483 (1954), the Supreme Court held that the Equal Protection Clause of the Fourteenth Amendment renders unconstitutional state action that segregates school children by race. This holding, and that in a subsequent opinion addressing remedy,</w:t>
      </w:r>
      <w:r>
        <w:t xml:space="preserve"> </w:t>
      </w:r>
      <w:r>
        <w:rPr>
          <w:iCs/>
          <w:i/>
        </w:rPr>
        <w:t xml:space="preserve">Brown v. Board of Education</w:t>
      </w:r>
      <w:r>
        <w:t xml:space="preserve">, 349 U.S. 294 (1955), were met with a campaign of “massive resistance” by state governors and legislators. A key battleground in this campaign was Central High School in Little Rock, Arkansas. There, in September of 1957, the local school board sought to comply (or at least, to begin to comply) with</w:t>
      </w:r>
      <w:r>
        <w:t xml:space="preserve"> </w:t>
      </w:r>
      <w:r>
        <w:rPr>
          <w:iCs/>
          <w:i/>
        </w:rPr>
        <w:t xml:space="preserve">Brown’s</w:t>
      </w:r>
      <w:r>
        <w:t xml:space="preserve"> </w:t>
      </w:r>
      <w:r>
        <w:t xml:space="preserve">mandate by enrolling nine African-American children at Central High. The children were met by the Arkansas National Guard, who were following Governor Orval Faubus’ order to prevent the children from entering school grounds.</w:t>
      </w:r>
    </w:p>
    <w:p>
      <w:pPr>
        <w:pStyle w:val="ResourceHeadnote"/>
      </w:pPr>
      <w:r>
        <w:t xml:space="preserve">After further political and legal machinations, as well as some mob action by persons opposed to desegregation, the nine children gained access to the high school, first under the protection of local and state police, then under the protection of regular United States military troops, then under the Arkansas National Guard, which President Eisenhower had, in the meantime, federalized by executive order. Pictures of children in high school classrooms, watched over by military troops with rifles, entered the national awareness.</w:t>
      </w:r>
    </w:p>
    <w:p>
      <w:pPr>
        <w:pStyle w:val="ResourceHeadnote"/>
      </w:pPr>
      <w:r>
        <w:t xml:space="preserve">Citing the disruption to ordinary educational activities at Central High, in February 1958, the local school board petitioned the United States District Court that had been overseeing the implementation of</w:t>
      </w:r>
      <w:r>
        <w:t xml:space="preserve"> </w:t>
      </w:r>
      <w:r>
        <w:rPr>
          <w:iCs/>
          <w:i/>
        </w:rPr>
        <w:t xml:space="preserve">Brown’s</w:t>
      </w:r>
      <w:r>
        <w:t xml:space="preserve"> </w:t>
      </w:r>
      <w:r>
        <w:t xml:space="preserve">mandate for permission to delay further desegregation efforts for two and one-half years. In June of 1958, the District Court granted the school board’s petition, but the United States Court of Appeals for the Eighth Circuit reversed and ordered that desegregation efforts continue. In this opinion, the United States Supreme Court affirmed the Eighth Circuit’s ruling.</w:t>
      </w:r>
    </w:p>
    <w:p>
      <w:pPr>
        <w:pStyle w:val="ResourceHeadnote"/>
      </w:pPr>
      <w:r>
        <w:t xml:space="preserve">Ordinary Supreme Court cases are written by one justice, with other justices joining the opinion, or concurring or dissenting (or both). Notice who wrote this opinion.</w:t>
      </w:r>
    </w:p>
    <w:p>
      <w:pPr>
        <w:pStyle w:val="HeadEnd"/>
      </w:pPr>
      <w:r>
        <w:t xml:space="preserve"> </w:t>
      </w:r>
    </w:p>
    <w:p>
      <w:pPr>
        <w:pStyle w:val="CaseHeader"/>
      </w:pPr>
      <w:r>
        <w:t xml:space="preserve">Supreme Court of the United States</w:t>
      </w:r>
    </w:p>
    <w:p>
      <w:pPr>
        <w:pStyle w:val="CaseHeader"/>
      </w:pPr>
      <w:r>
        <w:t xml:space="preserve">358 U.S. 1, 3 L. Ed. 2d 5, 78 S. Ct. 1401, 1958 U.S. LEXIS 657, SCDB 1958-002</w:t>
      </w:r>
    </w:p>
    <w:p>
      <w:pPr>
        <w:pStyle w:val="CaseHeader"/>
      </w:pPr>
      <w:r>
        <w:t xml:space="preserve">No. 1</w:t>
      </w:r>
    </w:p>
    <w:p>
      <w:pPr>
        <w:pStyle w:val="CaseHeader"/>
      </w:pPr>
      <w:r>
        <w:t xml:space="preserve">1958-09-12</w:t>
      </w:r>
    </w:p>
    <w:p>
      <w:pPr>
        <w:pStyle w:val="CaseBody"/>
      </w:pPr>
      <w:r>
        <w:t xml:space="preserve">Argued September 11, 1958.</w:t>
      </w:r>
    </w:p>
    <w:p>
      <w:pPr>
        <w:pStyle w:val="CaseBody"/>
      </w:pPr>
      <w:r>
        <w:t xml:space="preserve">Opinion announced September 29, 1958.</w:t>
      </w:r>
    </w:p>
    <w:p>
      <w:pPr>
        <w:pStyle w:val="CaseBody"/>
      </w:pPr>
      <w:r>
        <w:rPr>
          <w:rStyle w:val="Elision"/>
        </w:rPr>
        <w:t xml:space="preserve">[ … ]</w:t>
      </w:r>
    </w:p>
    <w:p>
      <w:pPr>
        <w:pStyle w:val="CaseBody"/>
      </w:pPr>
      <w:r>
        <w:t xml:space="preserve">Opinion of the Court by The Chief Justice, Mr. Justice Black, Mr. Justice Frankfurter, Mr. Justice Douglas, Mr. Justice Burton, Mr. Justice Clark, Mr. Justice Harlan, Mr. Justice Brennan, and Mr. Justice Whittaker.</w:t>
      </w:r>
    </w:p>
    <w:p>
      <w:pPr>
        <w:pStyle w:val="CaseBody"/>
      </w:pPr>
      <w:r>
        <w:t xml:space="preserve">As this case reaches us it raises questions of the highest importance to the maintenance of our federal system of government. It necessarily involves a claim by the Governor and Legislature of a State that there is no duty on state officials to obey federal court orders resting on this Court’s considered interpretation of the United States Constitution. Specifically it involves actions by the Governor and Legislature of Arkansas upon the premise that they are not bound by our holding in</w:t>
      </w:r>
      <w:r>
        <w:t xml:space="preserve"> </w:t>
      </w:r>
      <w:r>
        <w:rPr>
          <w:iCs/>
          <w:i/>
        </w:rPr>
        <w:t xml:space="preserve">Brown</w:t>
      </w:r>
      <w:r>
        <w:t xml:space="preserve"> </w:t>
      </w:r>
      <w:r>
        <w:t xml:space="preserve">v.</w:t>
      </w:r>
      <w:r>
        <w:t xml:space="preserve"> </w:t>
      </w:r>
      <w:r>
        <w:rPr>
          <w:iCs/>
          <w:i/>
        </w:rPr>
        <w:t xml:space="preserve">Board of Education,</w:t>
      </w:r>
      <w:r>
        <w:t xml:space="preserve"> </w:t>
      </w:r>
      <w:r>
        <w:t xml:space="preserve">347 U. S. 483. That holding was that the Fourteenth Amendment forbids States to use their governmental powers to bar children on racial grounds from attending schools where there is state participation through any arrangement, management, funds or property. We are urged to uphold a suspension of the Little Rock School Board’s plan to do away with segregated public schools in Little Rock until state laws and efforts to upset and nullify our holding in</w:t>
      </w:r>
      <w:r>
        <w:t xml:space="preserve"> </w:t>
      </w:r>
      <w:r>
        <w:rPr>
          <w:iCs/>
          <w:i/>
        </w:rPr>
        <w:t xml:space="preserve">Brown</w:t>
      </w:r>
      <w:r>
        <w:t xml:space="preserve"> </w:t>
      </w:r>
      <w:r>
        <w:t xml:space="preserve">v.</w:t>
      </w:r>
      <w:r>
        <w:t xml:space="preserve"> </w:t>
      </w:r>
      <w:r>
        <w:rPr>
          <w:iCs/>
          <w:i/>
        </w:rPr>
        <w:t xml:space="preserve">Board of Education</w:t>
      </w:r>
      <w:r>
        <w:t xml:space="preserve"> </w:t>
      </w:r>
      <w:r>
        <w:t xml:space="preserve">have been further challenged and tested in the courts. We reject these contentions.</w:t>
      </w:r>
    </w:p>
    <w:p>
      <w:pPr>
        <w:pStyle w:val="CaseBody"/>
      </w:pPr>
      <w:r>
        <w:rPr>
          <w:rStyle w:val="ReplacementText"/>
        </w:rPr>
        <w:t xml:space="preserve">[The Supreme Court described its rulings in Brown v. Board of Education, 347 U.S. 483 and Brown v. Board of Education, 349 U.S. 294, as well as the factual and legal history summarized above. It then revisited, briefly, its legal reasoning for holding that racial segregation in public schools violates the Fourteenth Amendment.]</w:t>
      </w:r>
    </w:p>
    <w:p>
      <w:pPr>
        <w:pStyle w:val="CaseBody"/>
      </w:pPr>
      <w:r>
        <w:t xml:space="preserve">What has been said, in the light of the facts developed, is enough to dispose of the case. However, we should answer the premise of the actions of the Governor and Legislature that they are not bound by our holding in the</w:t>
      </w:r>
      <w:r>
        <w:t xml:space="preserve"> </w:t>
      </w:r>
      <w:r>
        <w:rPr>
          <w:iCs/>
          <w:i/>
        </w:rPr>
        <w:t xml:space="preserve">Brown</w:t>
      </w:r>
      <w:r>
        <w:t xml:space="preserve"> </w:t>
      </w:r>
      <w:r>
        <w:t xml:space="preserve">case. It is necessary only to recall some basic constitutional propositions which are settled doctrine.</w:t>
      </w:r>
    </w:p>
    <w:p>
      <w:pPr>
        <w:pStyle w:val="CaseBody"/>
      </w:pPr>
      <w:r>
        <w:t xml:space="preserve">Article VI of the Constitution makes the Constitution the “supreme Law of the Land.” In 1803, Chief Justice Marshall, speaking for a unanimous Court, referring to the Constitution as “the fundamental and paramount law of the nation,” declared in the notable case of</w:t>
      </w:r>
      <w:r>
        <w:t xml:space="preserve"> </w:t>
      </w:r>
      <w:r>
        <w:rPr>
          <w:iCs/>
          <w:i/>
        </w:rPr>
        <w:t xml:space="preserve">Marbury</w:t>
      </w:r>
      <w:r>
        <w:t xml:space="preserve"> </w:t>
      </w:r>
      <w:r>
        <w:t xml:space="preserve">v.</w:t>
      </w:r>
      <w:r>
        <w:t xml:space="preserve"> </w:t>
      </w:r>
      <w:r>
        <w:rPr>
          <w:iCs/>
          <w:i/>
        </w:rPr>
        <w:t xml:space="preserve">Madison,</w:t>
      </w:r>
      <w:r>
        <w:t xml:space="preserve"> </w:t>
      </w:r>
      <w:r>
        <w:t xml:space="preserve">1 Cranch 137, 177, that “It is emphatically the province and duty of the judicial department to say what the law is.” This decision declared the basic principle that the federal judiciary is supreme in the exposition of the law of the Constitution, and that principle has ever since been respected by this Court and the Country as a permanent and indispensable feature of our constitutional system. It follows that the interpretation of the Fourteenth Amendment enunciated by this Court in the</w:t>
      </w:r>
      <w:r>
        <w:t xml:space="preserve"> </w:t>
      </w:r>
      <w:r>
        <w:rPr>
          <w:iCs/>
          <w:i/>
        </w:rPr>
        <w:t xml:space="preserve">Brown</w:t>
      </w:r>
      <w:r>
        <w:t xml:space="preserve"> </w:t>
      </w:r>
      <w:r>
        <w:t xml:space="preserve">case is the supreme law of the land, and Art. VI of the Constitution makes it of binding</w:t>
      </w:r>
      <w:r>
        <w:t xml:space="preserve"> </w:t>
      </w:r>
      <w:r>
        <w:rPr>
          <w:iCs/>
          <w:i/>
        </w:rPr>
        <w:t xml:space="preserve">effect</w:t>
      </w:r>
      <w:r>
        <w:t xml:space="preserve"> </w:t>
      </w:r>
      <w:r>
        <w:t xml:space="preserve">on the States “any Thing in the Constitution or Laws of any State to the Contrary notwithstanding.” Every state legislator and executive and judicial officer is solemnly committed by oath taken pursuant to Art. VI, cl. 3, “to support this Constitution.” Chief Justice Taney, speaking for a unanimous Court in 1859, said that this requirement reflected the framers’ “anxiety to preserve it [the Constitution] in full force, in all its powers, and to guard against resistance to or evasion of its “authority, on the part of a State . . . .”</w:t>
      </w:r>
      <w:r>
        <w:t xml:space="preserve"> </w:t>
      </w:r>
      <w:r>
        <w:rPr>
          <w:rStyle w:val="Elision"/>
        </w:rPr>
        <w:t xml:space="preserve">[ … ]</w:t>
      </w:r>
    </w:p>
    <w:p>
      <w:pPr>
        <w:pStyle w:val="CaseBody"/>
      </w:pPr>
      <w:r>
        <w:t xml:space="preserve">No state legislator or executive or judicial officer can war against the Constitution without violating his undertaking to support it. Chief Justice Marshall spoke for a unanimous Court in saying that: “If the legislatures of the several states may, at will, annul the judgments of the courts of the United States, and destroy the rights acquired under those judgments, the constitution itself becomes a solemn mockery . . . .”</w:t>
      </w:r>
      <w:r>
        <w:t xml:space="preserve"> </w:t>
      </w:r>
      <w:r>
        <w:rPr>
          <w:rStyle w:val="Elision"/>
        </w:rPr>
        <w:t xml:space="preserve">[ … ]</w:t>
      </w:r>
      <w:r>
        <w:t xml:space="preserve"> </w:t>
      </w:r>
      <w:r>
        <w:t xml:space="preserve">A Governor who asserts a power to nullify a federal court order is similarly restrained. If he had such power, said Chief Justice Hughes, in 1932, also for a unanimous Court, “it is manifest that the fiat of a state Governor, and not the Constitution of the United States, would be the supreme law of the land; that the restrictions of the Federal Constitution upon the exercise of state power would be but impotent phrases . . . .”</w:t>
      </w:r>
      <w:r>
        <w:rPr>
          <w:rStyle w:val="Elision"/>
        </w:rPr>
        <w:t xml:space="preserve">[ … ]</w:t>
      </w:r>
    </w:p>
    <w:p>
      <w:pPr>
        <w:pStyle w:val="CaseBody"/>
      </w:pPr>
      <w:r>
        <w:t xml:space="preserve">It is, of course, quite true that the responsibility for public education is primarily the concern of the States, but it is equally true that such responsibilities, like all other state activity, must be exercised consistently with federal constitutional requirements as they apply to state action. The Constitution created a government dedicated to equal justice under law. The Fourteenth Amendment embodied and emphasized that ideal. State support of segregated schools through any arrangement, management, funds, or property cannot be squared with the Amendment’s command that no State shall deny to any person within its jurisdiction the equal protection of the laws.</w:t>
      </w:r>
      <w:r>
        <w:t xml:space="preserve"> </w:t>
      </w:r>
      <w:r>
        <w:rPr>
          <w:rStyle w:val="Elision"/>
        </w:rPr>
        <w:t xml:space="preserve">[ … ]</w:t>
      </w:r>
      <w:r>
        <w:t xml:space="preserve"> </w:t>
      </w:r>
      <w:r>
        <w:t xml:space="preserve">Since the first</w:t>
      </w:r>
      <w:r>
        <w:t xml:space="preserve"> </w:t>
      </w:r>
      <w:r>
        <w:rPr>
          <w:iCs/>
          <w:i/>
        </w:rPr>
        <w:t xml:space="preserve">Brown</w:t>
      </w:r>
      <w:r>
        <w:t xml:space="preserve"> </w:t>
      </w:r>
      <w:r>
        <w:t xml:space="preserve">opinion three new Justices have come to the Court. They are at one with the Justices still on the Court who participated in that basic decision as to its correctness, and that decision is now unanimously reaffirmed. The principles announced in that decision and the obedience of the States to them, according to the command of the Constitution, are indispensable for the protection of the freedoms guaranteed by our fundamental charter for all of us. Our constitutional ideal of equal justice under law is thus made a living truth.</w:t>
      </w:r>
    </w:p>
    <w:p>
      <w:pPr>
        <w:pStyle w:val="CaseBody"/>
      </w:pPr>
      <w:r>
        <w:rPr>
          <w:rStyle w:val="ReplacementText"/>
        </w:rPr>
        <w:t xml:space="preserve">Justice Frankfurter's concurrence is omitted.</w:t>
      </w:r>
    </w:p>
    <w:p>
      <w:pPr>
        <w:pStyle w:val="NodeEnd"/>
      </w:pPr>
      <w:r>
        <w:t xml:space="preserve"> </w:t>
      </w:r>
    </w:p>
    <w:p>
      <w:pPr>
        <w:pStyle w:val="NodeStart"/>
      </w:pPr>
      <w:r>
        <w:t xml:space="preserve"> </w:t>
      </w:r>
    </w:p>
    <w:p>
      <w:pPr>
        <w:pStyle w:val="HeadSeparator"/>
      </w:pPr>
      <w:r>
        <w:t xml:space="preserve"> </w:t>
      </w:r>
    </w:p>
    <w:bookmarkStart w:id="9" w:name="_auto_toc_9"/>
    <w:bookmarkEnd w:id="9"/>
    <w:p>
      <w:pPr>
        <w:pStyle w:val="ResourceNumber"/>
      </w:pPr>
      <w:r>
        <w:t xml:space="preserve">1.6</w:t>
      </w:r>
    </w:p>
    <w:p>
      <w:pPr>
        <w:pStyle w:val="ResourceTitle"/>
      </w:pPr>
      <w:r>
        <w:t xml:space="preserve">Notes following Cooper</w:t>
      </w:r>
    </w:p>
    <w:p>
      <w:pPr>
        <w:pStyle w:val="HeadEnd"/>
      </w:pPr>
      <w:r>
        <w:t xml:space="preserve"> </w:t>
      </w:r>
    </w:p>
    <w:p>
      <w:pPr>
        <w:numPr>
          <w:ilvl w:val="0"/>
          <w:numId w:val="1030"/>
        </w:numPr>
      </w:pPr>
      <w:r>
        <w:rPr>
          <w:iCs/>
          <w:i/>
        </w:rPr>
        <w:t xml:space="preserve">Where a case starts.</w:t>
      </w:r>
      <w:r>
        <w:t xml:space="preserve"> </w:t>
      </w:r>
      <w:r>
        <w:t xml:space="preserve">As noted above, when a dispute fits within the subject matter jurisdiction of the federal district courts, a plaintiff has a choice regarding whether to initiate it in a state trial court or a federal district court. If the plaintiff has a lawyer (most plaintiffs do not), the lawyer will ordinarily make that choice. What factors might a plaintiff, or a plaintiff’s lawyer, consider in deciding whether to file a case in a state trial court or a federal district court?</w:t>
      </w:r>
    </w:p>
    <w:p>
      <w:pPr>
        <w:numPr>
          <w:ilvl w:val="1"/>
          <w:numId w:val="1031"/>
        </w:numPr>
      </w:pPr>
      <w:r>
        <w:t xml:space="preserve">How are judges in most states selected?</w:t>
      </w:r>
      <w:r>
        <w:t xml:space="preserve"> </w:t>
      </w:r>
      <w:r>
        <w:t xml:space="preserve">How are federal judges selected?</w:t>
      </w:r>
    </w:p>
    <w:p>
      <w:pPr>
        <w:numPr>
          <w:ilvl w:val="1"/>
          <w:numId w:val="1031"/>
        </w:numPr>
      </w:pPr>
      <w:r>
        <w:t xml:space="preserve">Is there likely to be information available about how particular sets of state judges tend to rule (“pro-plaintiff” or “pro-defendant”)?</w:t>
      </w:r>
      <w:r>
        <w:t xml:space="preserve"> </w:t>
      </w:r>
      <w:r>
        <w:t xml:space="preserve">A particular set of federal judges?</w:t>
      </w:r>
    </w:p>
    <w:p>
      <w:pPr>
        <w:numPr>
          <w:ilvl w:val="1"/>
          <w:numId w:val="1031"/>
        </w:numPr>
      </w:pPr>
      <w:r>
        <w:t xml:space="preserve">Could state rules of civil procedure differ from federal rules of civil procedure?</w:t>
      </w:r>
    </w:p>
    <w:p>
      <w:pPr>
        <w:numPr>
          <w:ilvl w:val="1"/>
          <w:numId w:val="1031"/>
        </w:numPr>
      </w:pPr>
      <w:r>
        <w:t xml:space="preserve">If a jury will hear a case, from what geographies will jurors be chosen?</w:t>
      </w:r>
    </w:p>
    <w:p>
      <w:pPr>
        <w:numPr>
          <w:ilvl w:val="1"/>
          <w:numId w:val="1031"/>
        </w:numPr>
      </w:pPr>
      <w:r>
        <w:t xml:space="preserve">Could the location of courthouses make a difference?</w:t>
      </w:r>
      <w:r>
        <w:t xml:space="preserve"> </w:t>
      </w:r>
      <w:r>
        <w:t xml:space="preserve">(Could it have made more of a difference historically, when travel was slower and more expensive?)</w:t>
      </w:r>
    </w:p>
    <w:p>
      <w:pPr>
        <w:numPr>
          <w:ilvl w:val="0"/>
          <w:numId w:val="1030"/>
        </w:numPr>
      </w:pPr>
      <w:r>
        <w:rPr>
          <w:iCs/>
          <w:i/>
        </w:rPr>
        <w:t xml:space="preserve">Federalism</w:t>
      </w:r>
      <w:r>
        <w:t xml:space="preserve">. What does this case show about the nature of the dual United States court system?</w:t>
      </w:r>
    </w:p>
    <w:p>
      <w:pPr>
        <w:numPr>
          <w:ilvl w:val="1"/>
          <w:numId w:val="1032"/>
        </w:numPr>
      </w:pPr>
      <w:r>
        <w:t xml:space="preserve">Think about which courts must follow which other courts' rulings.</w:t>
      </w:r>
    </w:p>
    <w:p>
      <w:pPr>
        <w:numPr>
          <w:ilvl w:val="1"/>
          <w:numId w:val="1032"/>
        </w:numPr>
      </w:pPr>
      <w:r>
        <w:t xml:space="preserve">Why might we want to limit the jurisdiction of federal courts?</w:t>
      </w:r>
    </w:p>
    <w:p>
      <w:pPr>
        <w:numPr>
          <w:ilvl w:val="0"/>
          <w:numId w:val="1030"/>
        </w:numPr>
      </w:pPr>
      <w:r>
        <w:rPr>
          <w:iCs/>
          <w:i/>
        </w:rPr>
        <w:t xml:space="preserve">Federal question</w:t>
      </w:r>
      <w:r>
        <w:t xml:space="preserve">. As noted above, the federal court system is supreme when it operates, but is limited in its sphere. One type of case the federal courts may hear is one involving a so-called “federal question.” Does </w:t>
      </w:r>
      <w:r>
        <w:rPr>
          <w:iCs/>
          <w:i/>
        </w:rPr>
        <w:t xml:space="preserve">Cooper v. Aaron</w:t>
      </w:r>
      <w:r>
        <w:t xml:space="preserve"> </w:t>
      </w:r>
      <w:r>
        <w:t xml:space="preserve">present a “federal question”? What is it?</w:t>
      </w:r>
    </w:p>
    <w:p>
      <w:pPr>
        <w:numPr>
          <w:ilvl w:val="0"/>
          <w:numId w:val="1030"/>
        </w:numPr>
      </w:pPr>
      <w:r>
        <w:rPr>
          <w:iCs/>
          <w:i/>
        </w:rPr>
        <w:t xml:space="preserve">Final authority</w:t>
      </w:r>
      <w:r>
        <w:t xml:space="preserve">. What is the value of having a final court with authority to articulate “the supreme law of the land”? Note the following comment by former Supreme Court Justice Robert Jackson: “We are not final because we are infallible, we are infallible only because we are final.”</w:t>
      </w:r>
    </w:p>
    <w:p>
      <w:pPr>
        <w:pStyle w:val="NodeEnd"/>
      </w:pPr>
      <w:r>
        <w:t xml:space="preserve"> </w:t>
      </w:r>
    </w:p>
    <w:p>
      <w:pPr>
        <w:pStyle w:val="NodeStart"/>
      </w:pPr>
      <w:r>
        <w:t xml:space="preserve"> </w:t>
      </w:r>
    </w:p>
    <w:p>
      <w:pPr>
        <w:pStyle w:val="HeadSeparator"/>
      </w:pPr>
      <w:r>
        <w:t xml:space="preserve"> </w:t>
      </w:r>
    </w:p>
    <w:bookmarkStart w:id="10" w:name="_auto_toc_10"/>
    <w:bookmarkEnd w:id="10"/>
    <w:p>
      <w:pPr>
        <w:pStyle w:val="ResourceNumber"/>
      </w:pPr>
      <w:r>
        <w:t xml:space="preserve">1.7</w:t>
      </w:r>
    </w:p>
    <w:p>
      <w:pPr>
        <w:pStyle w:val="ResourceTitle"/>
      </w:pPr>
      <w:r>
        <w:t xml:space="preserve">Concurrent Jurisdiction</w:t>
      </w:r>
    </w:p>
    <w:p>
      <w:pPr>
        <w:pStyle w:val="HeadEnd"/>
      </w:pPr>
      <w:r>
        <w:t xml:space="preserve"> </w:t>
      </w:r>
    </w:p>
    <w:p>
      <w:pPr>
        <w:pStyle w:val="BodyText"/>
      </w:pPr>
      <w:r>
        <w:t xml:space="preserve">The remainder of Day 1, along with Days 2, 3, and 4, concern whether a plaintiff can initiate a lawsuit in a federal court, remembering that state law empowers state courts (for our purposes) retain the power to adjudicate any type of dispute. (Note that there is a certain class of so-called "exclusive federal jurisdiction" cases in which Congress has specified that only federal district courts may adjudicate. Copyright, patent, trademark, and federal antitrust claims fall within exclusive federal jurisdiction, as do suits against the United States government.) So, sometimes a plaintiff has a choice of whether to initiate a case in federal district court or a state trial court. Under what circumstances does a plaintiff have that choice? Using legal terminology, under what circumstances does a federal district court have </w:t>
      </w:r>
      <w:r>
        <w:rPr>
          <w:iCs/>
          <w:i/>
        </w:rPr>
        <w:t xml:space="preserve">subject matter jurisdiction</w:t>
      </w:r>
      <w:r>
        <w:t xml:space="preserve">.</w:t>
      </w:r>
    </w:p>
    <w:p>
      <w:pPr>
        <w:pStyle w:val="BodyText"/>
      </w:pPr>
      <w:r>
        <w:t xml:space="preserve">The answer to this question depends in part on what kind of cause of action a plaintiff asserts.  A "cause of action" is a legal theory that entitles a plaintiff to some kind of remedy - usually money, sometimes a court order called an "injunction" to the defendant to do or not to do something, or sometimes something else.  State law creates many causes of action:  negligence, trespass, battery, libel, breach of contract.  Federal law also creates many causes of action; specifically, Congress creates many causes of action in statutes, although occasionally the federal courts make up their own causes of action.  The document below called "Utterly Oversimplified Summary of Three Causes of Action" summarizes three congressional statutes that create causes of action.</w:t>
      </w:r>
    </w:p>
    <w:p>
      <w:pPr>
        <w:pStyle w:val="BodyText"/>
      </w:pPr>
      <w:r>
        <w:t xml:space="preserve">When two or more courts have the power to hear a case, they are said to have</w:t>
      </w:r>
      <w:r>
        <w:t xml:space="preserve"> </w:t>
      </w:r>
      <w:r>
        <w:rPr>
          <w:iCs/>
          <w:i/>
        </w:rPr>
        <w:t xml:space="preserve">concurrent jurisdiction</w:t>
      </w:r>
      <w:r>
        <w:t xml:space="preserve">. When Congress enacts a statute that provides a cause of action to a potential plaintiff (meaning that the statute empowers a person injured as specified in the statute to sue for redress), there is a presumption of concurrent jurisdiction, i.e., that both state and federal courts can hear the case.  It is worth repeating: Congress can choose to provide the federal courts with</w:t>
      </w:r>
      <w:r>
        <w:t xml:space="preserve"> </w:t>
      </w:r>
      <w:r>
        <w:rPr>
          <w:iCs/>
          <w:i/>
        </w:rPr>
        <w:t xml:space="preserve">exclusive jurisdiction</w:t>
      </w:r>
      <w:r>
        <w:t xml:space="preserve"> </w:t>
      </w:r>
      <w:r>
        <w:t xml:space="preserve">to hear a cause of action it creates.  If Congress creates exclusive jurisdiction, a plaintiff can initiate the corresponding cause of action only in a federal court.  But Congress rarely creates exclusive jurisdiction.  It has done so, for example, in federal antitrust and intellectual property statutes, as well as in lawsuits against the United States under the Federal Tort Claims Act.</w:t>
      </w:r>
    </w:p>
    <w:p>
      <w:pPr>
        <w:pStyle w:val="BodyText"/>
      </w:pPr>
      <w:r>
        <w:t xml:space="preserve">A congressionally created cause of action is sometimes called a "federal claim." We will avoid the word "claim" in our class because it has multiple meanings in Civil Procedure.</w:t>
      </w:r>
    </w:p>
    <w:p>
      <w:pPr>
        <w:pStyle w:val="BodyText"/>
      </w:pPr>
      <w:r>
        <w:t xml:space="preserve">The Supreme Court has recognized a “deeply rooted presumption in favor of concurrent state court jurisdiction over federal claims.” Only an “explicit statutory directive,” “an unmistakable implication from legislative history,” or a “clear incompatibility between state-court jurisdiction and federal interests can displace this presumption.”</w:t>
      </w:r>
      <w:r>
        <w:t xml:space="preserve"> </w:t>
      </w:r>
      <w:r>
        <w:rPr>
          <w:iCs/>
          <w:i/>
        </w:rPr>
        <w:t xml:space="preserve">Tafflin v. Levitt</w:t>
      </w:r>
      <w:r>
        <w:t xml:space="preserve">, 493 U. S. 455, 458-459, 110 S. Ct. 792, 107 L. Ed. 2d 887 (1990).</w:t>
      </w:r>
      <w:r>
        <w:t xml:space="preserve"> </w:t>
      </w:r>
      <w:r>
        <w:rPr>
          <w:iCs/>
          <w:i/>
        </w:rPr>
        <w:t xml:space="preserve">See Atlantic Richfield Co. v. Christian 140 S. Ct. 1335 (2020)</w:t>
      </w:r>
      <w:r>
        <w:t xml:space="preserve">.</w:t>
      </w:r>
    </w:p>
    <w:p>
      <w:pPr>
        <w:pStyle w:val="NodeEnd"/>
      </w:pPr>
      <w:r>
        <w:t xml:space="preserve"> </w:t>
      </w:r>
    </w:p>
    <w:p>
      <w:pPr>
        <w:pStyle w:val="NodeStart"/>
      </w:pPr>
      <w:r>
        <w:t xml:space="preserve"> </w:t>
      </w:r>
    </w:p>
    <w:p>
      <w:pPr>
        <w:pStyle w:val="HeadSeparator"/>
      </w:pPr>
      <w:r>
        <w:t xml:space="preserve"> </w:t>
      </w:r>
    </w:p>
    <w:bookmarkStart w:id="11" w:name="_auto_toc_11"/>
    <w:bookmarkEnd w:id="11"/>
    <w:p>
      <w:pPr>
        <w:pStyle w:val="ResourceNumber"/>
      </w:pPr>
      <w:r>
        <w:t xml:space="preserve">1.8</w:t>
      </w:r>
    </w:p>
    <w:p>
      <w:pPr>
        <w:pStyle w:val="ResourceTitle"/>
      </w:pPr>
      <w:r>
        <w:t xml:space="preserve">Osborn v. Bank of the United States, 22 U.S. 738 (1824)</w:t>
      </w:r>
    </w:p>
    <w:p>
      <w:pPr>
        <w:pStyle w:val="HeadEnd"/>
      </w:pPr>
      <w:r>
        <w:t xml:space="preserve"> </w:t>
      </w:r>
    </w:p>
    <w:p>
      <w:pPr>
        <w:pStyle w:val="BodyText"/>
      </w:pPr>
      <w:r>
        <w:t xml:space="preserve">This case is about the scope of the federal courts' subject matter jurisdiction under the United States Constitution, specifically under the provision of Article III, sec. 2, cl. 1 that grants federal court subject matter jurisdiction over "all cases . . . arising under this Constitution [or] the laws of the United States."</w:t>
      </w:r>
    </w:p>
    <w:p>
      <w:pPr>
        <w:pStyle w:val="BodyText"/>
      </w:pPr>
      <w:r>
        <w:t xml:space="preserve">The facts in this case are roughly as follows. Early in our nation's history, Congress passed a statute incorporating the Bank of the United States.  At the time, the issue of whether the United States government could and/or should incorporate a national bank was contested, strenuously so. It was an issue during national and state elections for decades, with those advocating for a limited federal government opposed to the Bank's creation.</w:t>
      </w:r>
    </w:p>
    <w:p>
      <w:pPr>
        <w:pStyle w:val="BodyText"/>
      </w:pPr>
      <w:r>
        <w:t xml:space="preserve">Ohio enacted a statute levying a tax on certain contracts that the Bank of the United States made with private parties. The Ohio statute authorized the state auditor, Ralph Osborn, to collect the tax.  The Bank of the United States sued Osborn in federal court, seeking an order preventing Osborn from collecting the tax.  The federal court issued an "injunction" (an order to one of the parties) prohibiting Osborn from collecting the tax.  Instead of complying with the court's order, Osborn arranged for the money to be forcibly removed from the bank (as in, he robbed the bank). The federal court was not amused.  It directed the state officials to repay the money with interest. Osborn appealed, arguing that the federal court lacked subject matter jurisdiction over the case.</w:t>
      </w:r>
    </w:p>
    <w:p>
      <w:pPr>
        <w:pStyle w:val="BodyText"/>
      </w:pPr>
      <w:r>
        <w:t xml:space="preserve">The Supreme Court affirmed the lower federal court's decision that it had subject matter jurisdiction.  Chief Justice John Marshall, writing for the Court, spoke in broad language:  "</w:t>
      </w:r>
      <w:r>
        <w:t xml:space="preserve">We think, then that when a question to which the judicial power of the Union is extended by the Constitution forms an ingredient of the original cause, it is in the power of Congress to give the circuit courts jurisdiction of that cause, although other questions of fact or of law may be involved in it.</w:t>
      </w:r>
      <w:r>
        <w:t xml:space="preserve">"</w:t>
      </w:r>
    </w:p>
    <w:p>
      <w:pPr>
        <w:pStyle w:val="BodyText"/>
      </w:pPr>
      <w:r>
        <w:t xml:space="preserve">Chief Justice Marshall applied his "ingredient" test to the facts of Osborn as follows. First, the Bank’s articles of incorporation enabled it “to sue and be sued  * * * in any . . . Court of the United States.” Second, this grant of jurisdiction to the federal courts was constitutional because Art III, § 2 provides that “the judicial power shall extend to all cases, * * * arising under this constitution [and] the laws of the United States . . . ." If a case arises under the laws of the United States, the Constitution empowers the federal courts to hear it. Congress incorporated the Bank using its powers under the Commerce Clause and the Necessary and Proper Clause of the Constitution. Therefore, every case and issue involving the Bank “grows out of, and is tested by” federal law.  Chief Justice Marshall wrote, </w:t>
      </w:r>
    </w:p>
    <w:p>
      <w:pPr>
        <w:pStyle w:val="BodyText"/>
      </w:pPr>
      <w:r>
        <w:t xml:space="preserve">“[Ohio and Osborn] say, that the case arises on the contract [that the Bank made triggering the Ohio tax], but the validity of the contract depends on a law of the United States [incorporating the Bank], and the [Bank] is compelled, in every case, to show its validity. The case arises emphatically under the law. The act of Congress [incorporating the Bank] is its foundation. The contract could never have been made but under the authority of that act. The act itself is the first ingredient in the case, is its origin, is that from which every other part arises. That other questions may also arise, as the execution of the contract, or its performance, cannot change the case, or give it any other origin than the charter of incorporation. The action still originates in, and is sustained by, that charter.” Osborn v. Bank of U.S., 22 U.S. 738, 824–25 (1824).</w:t>
      </w:r>
    </w:p>
    <w:p>
      <w:pPr>
        <w:pStyle w:val="BodyText"/>
      </w:pPr>
      <w:r>
        <w:t xml:space="preserve">Note that nothing in Chief Justice Marshall's language excludes cases in which (i) the United States Supreme Court has already decided the only federal issue, or "ingredient" to use Chief Justice Marshall's language, in the case, so that the issue could not seriously contested unless the Supreme Court were to reconsider its precedent, nor (ii) a federal "ingredient" MIGHT arise, but only if certain preliminary legal ruling go a particular way, nor (iii) all parties to the case agree on the right answer to the federal "ingredient," so that the trial court will never have to rule on it. ANY federal ingredient that the parties might raise or that could come up, even one that the Supreme Court has previously resolved, is enough to bring the dispute into Chief Justice Marshall's view of the constitutional reach of the arising under jurisdiction. What are the implications of a principle this broad?</w:t>
      </w:r>
    </w:p>
    <w:p>
      <w:pPr>
        <w:pStyle w:val="NodeEnd"/>
      </w:pPr>
      <w:r>
        <w:t xml:space="preserve"> </w:t>
      </w:r>
    </w:p>
    <w:p>
      <w:pPr>
        <w:pStyle w:val="NodeStart"/>
      </w:pPr>
      <w:r>
        <w:t xml:space="preserve"> </w:t>
      </w:r>
    </w:p>
    <w:p>
      <w:pPr>
        <w:pStyle w:val="HeadSeparator"/>
      </w:pPr>
      <w:r>
        <w:t xml:space="preserve"> </w:t>
      </w:r>
    </w:p>
    <w:bookmarkStart w:id="12" w:name="_auto_toc_12"/>
    <w:bookmarkEnd w:id="12"/>
    <w:p>
      <w:pPr>
        <w:pStyle w:val="ResourceNumber"/>
      </w:pPr>
      <w:r>
        <w:t xml:space="preserve">1.9</w:t>
      </w:r>
    </w:p>
    <w:p>
      <w:pPr>
        <w:pStyle w:val="ResourceTitle"/>
      </w:pPr>
      <w:r>
        <w:t xml:space="preserve">Notes following Osborn</w:t>
      </w:r>
    </w:p>
    <w:p>
      <w:pPr>
        <w:pStyle w:val="HeadEnd"/>
      </w:pPr>
      <w:r>
        <w:t xml:space="preserve"> </w:t>
      </w:r>
    </w:p>
    <w:p>
      <w:pPr>
        <w:pStyle w:val="BodyText"/>
      </w:pPr>
      <w:r>
        <w:t xml:space="preserve">In a case arising several years after</w:t>
      </w:r>
      <w:r>
        <w:t xml:space="preserve"> </w:t>
      </w:r>
      <w:r>
        <w:rPr>
          <w:iCs/>
          <w:i/>
        </w:rPr>
        <w:t xml:space="preserve">Osborn</w:t>
      </w:r>
      <w:r>
        <w:t xml:space="preserve"> </w:t>
      </w:r>
      <w:r>
        <w:t xml:space="preserve">called</w:t>
      </w:r>
      <w:r>
        <w:t xml:space="preserve"> </w:t>
      </w:r>
      <w:r>
        <w:rPr>
          <w:iCs/>
          <w:i/>
        </w:rPr>
        <w:t xml:space="preserve">Bank of the United States v. Planters' Bank of Georgia</w:t>
      </w:r>
      <w:r>
        <w:t xml:space="preserve">,</w:t>
      </w:r>
      <w:r>
        <w:rPr>
          <w:iCs/>
          <w:i/>
        </w:rPr>
        <w:t xml:space="preserve"> </w:t>
      </w:r>
      <w:r>
        <w:t xml:space="preserve">the Bank of the United States had purchased bonds (or debts) issued by a state bank.  When (according to the Bank of the United States) the Georgia bank's debt came due, it refused to pay. The Bank of the United States sued for payment in federal court, and the state bank contested the federal court's subject matter jurisdiction.  The Georgia bank pointed out that it was not disputing that the Bank of the United States could sue and be sued, nor challenging the constitutionality of the Congressional statute incorporating the Bank. Rather, the Georgia bank argued, it was contesting only whether the debt really was due and owed, issues that even the Bank of the United States agreed were not governed by federal law.  Thus, according to the Georgia bank, there was no live (meaning contested) federal issue in the case, so the case did not "arise under" federal law under the Constitution.  The implication, according to the Georgia bank, was that Congress exceeded its powers under the Constitution by authorizing the Bank to sue and be sued in this kind of case, which concerned no live federal issue.  There was no basis for federal court subject matter jurisdiction.</w:t>
      </w:r>
    </w:p>
    <w:p>
      <w:pPr>
        <w:pStyle w:val="BodyText"/>
      </w:pPr>
      <w:r>
        <w:t xml:space="preserve">The Supreme Court rejected this argument, explaining that the question had been "fully considered" in</w:t>
      </w:r>
      <w:r>
        <w:t xml:space="preserve"> </w:t>
      </w:r>
      <w:r>
        <w:rPr>
          <w:iCs/>
          <w:i/>
        </w:rPr>
        <w:t xml:space="preserve">Osborn</w:t>
      </w:r>
      <w:r>
        <w:t xml:space="preserve">, and it was "unnecessary to repeat the reasoning."</w:t>
      </w:r>
    </w:p>
    <w:p>
      <w:pPr>
        <w:pStyle w:val="BodyText"/>
      </w:pPr>
      <w:r>
        <w:t xml:space="preserve">What was the federal "ingredient" that provided the constitutional basis for jurisdiction in both cases? </w:t>
      </w:r>
    </w:p>
    <w:p>
      <w:pPr>
        <w:pStyle w:val="NodeEnd"/>
      </w:pPr>
      <w:r>
        <w:t xml:space="preserve"> </w:t>
      </w:r>
    </w:p>
    <w:p>
      <w:pPr>
        <w:pStyle w:val="NodeStart"/>
      </w:pPr>
      <w:r>
        <w:t xml:space="preserve"> </w:t>
      </w:r>
    </w:p>
    <w:p>
      <w:pPr>
        <w:pStyle w:val="HeadSeparator"/>
      </w:pPr>
      <w:r>
        <w:t xml:space="preserve"> </w:t>
      </w:r>
    </w:p>
    <w:bookmarkStart w:id="13" w:name="_auto_toc_13"/>
    <w:bookmarkEnd w:id="13"/>
    <w:p>
      <w:pPr>
        <w:pStyle w:val="ResourceNumber"/>
      </w:pPr>
      <w:r>
        <w:t xml:space="preserve">1.10</w:t>
      </w:r>
    </w:p>
    <w:p>
      <w:pPr>
        <w:pStyle w:val="ResourceTitle"/>
      </w:pPr>
      <w:r>
        <w:t xml:space="preserve">Louisville &amp; Nashville Railroad v. Mottley</w:t>
      </w:r>
    </w:p>
    <w:p>
      <w:pPr>
        <w:pStyle w:val="HeadFieldSeparator"/>
      </w:pPr>
      <w:r>
        <w:t xml:space="preserve"> </w:t>
      </w:r>
    </w:p>
    <w:p>
      <w:pPr>
        <w:pStyle w:val="ResourceHeadnote"/>
      </w:pPr>
      <w:r>
        <w:t xml:space="preserve">Osborn was about the scope of the "arising under" power under the Constitution, specifically Article III,</w:t>
      </w:r>
      <w:r>
        <w:t xml:space="preserve"> </w:t>
      </w:r>
      <w:r>
        <w:t xml:space="preserve">§</w:t>
      </w:r>
      <w:r>
        <w:t xml:space="preserve"> </w:t>
      </w:r>
      <w:r>
        <w:t xml:space="preserve">2, clause 1.</w:t>
      </w:r>
    </w:p>
    <w:p>
      <w:pPr>
        <w:pStyle w:val="ResourceHeadnote"/>
      </w:pPr>
      <w:r>
        <w:t xml:space="preserve">This case, in contrast, is about the scope of the "arising under" grant of power in a federal statute, specifically 28 U.S.C.</w:t>
      </w:r>
      <w:r>
        <w:t xml:space="preserve"> </w:t>
      </w:r>
      <w:r>
        <w:t xml:space="preserve">§</w:t>
      </w:r>
      <w:r>
        <w:t xml:space="preserve"> </w:t>
      </w:r>
      <w:r>
        <w:t xml:space="preserve">1331. How broad is that statutory grant of power? What must a case have in it for it to "arise under" federal law? For purposes of the statute, where is the dividing line between cases that do and do not "arise under" federal law? Is the statutory line the same as Chief Justice Marshall's view of the line you saw in</w:t>
      </w:r>
      <w:r>
        <w:t xml:space="preserve"> </w:t>
      </w:r>
      <w:r>
        <w:rPr>
          <w:iCs/>
          <w:i/>
        </w:rPr>
        <w:t xml:space="preserve">Osborn</w:t>
      </w:r>
      <w:r>
        <w:t xml:space="preserve">, the one that delimits the "arising under" power for purposes of the U.S. Constitution? If not, which one is broader?</w:t>
      </w:r>
    </w:p>
    <w:p>
      <w:pPr>
        <w:pStyle w:val="HeadEnd"/>
      </w:pPr>
      <w:r>
        <w:t xml:space="preserve"> </w:t>
      </w:r>
    </w:p>
    <w:p>
      <w:pPr>
        <w:pStyle w:val="CaseHeader"/>
      </w:pPr>
      <w:r>
        <w:t xml:space="preserve">Supreme Court of the United States</w:t>
      </w:r>
    </w:p>
    <w:p>
      <w:pPr>
        <w:pStyle w:val="CaseHeader"/>
      </w:pPr>
      <w:r>
        <w:t xml:space="preserve">211 U.S. 149, 53 L. Ed. 126, 29 S. Ct. 42, 1908 U.S. LEXIS 1533, SCDB 1908-012</w:t>
      </w:r>
    </w:p>
    <w:p>
      <w:pPr>
        <w:pStyle w:val="CaseHeader"/>
      </w:pPr>
      <w:r>
        <w:t xml:space="preserve">No. 37</w:t>
      </w:r>
    </w:p>
    <w:p>
      <w:pPr>
        <w:pStyle w:val="CaseHeader"/>
      </w:pPr>
      <w:r>
        <w:t xml:space="preserve">1908-11-16</w:t>
      </w:r>
    </w:p>
    <w:p>
      <w:pPr>
        <w:pStyle w:val="CaseBody"/>
      </w:pPr>
      <w:r>
        <w:rPr>
          <w:rStyle w:val="Elision"/>
        </w:rPr>
        <w:t xml:space="preserve">[ … ]</w:t>
      </w:r>
    </w:p>
    <w:p>
      <w:pPr>
        <w:pStyle w:val="CaseHeader"/>
      </w:pPr>
      <w:r>
        <w:t xml:space="preserve">LOUISVILLE AND NASHVILLE RAILROAD COMPANY</w:t>
      </w:r>
      <w:r>
        <w:br/>
      </w:r>
      <w:r>
        <w:t xml:space="preserve">v.</w:t>
      </w:r>
      <w:r>
        <w:br/>
      </w:r>
      <w:r>
        <w:t xml:space="preserve">MOTTLEY.</w:t>
      </w:r>
    </w:p>
    <w:p>
      <w:pPr>
        <w:pStyle w:val="CaseBody"/>
      </w:pPr>
      <w:r>
        <w:t xml:space="preserve">No. 37.</w:t>
      </w:r>
    </w:p>
    <w:p>
      <w:pPr>
        <w:pStyle w:val="CaseBody"/>
      </w:pPr>
      <w:r>
        <w:t xml:space="preserve">Supreme Court of United States.</w:t>
      </w:r>
    </w:p>
    <w:p>
      <w:pPr>
        <w:pStyle w:val="CaseBody"/>
      </w:pPr>
      <w:r>
        <w:t xml:space="preserve">Argued October 13, 1908.</w:t>
      </w:r>
    </w:p>
    <w:p>
      <w:pPr>
        <w:pStyle w:val="CaseBody"/>
      </w:pPr>
      <w:r>
        <w:t xml:space="preserve">Decided November 16, 1908.</w:t>
      </w:r>
    </w:p>
    <w:p>
      <w:pPr>
        <w:pStyle w:val="CaseBody"/>
      </w:pPr>
      <w:r>
        <w:t xml:space="preserve">APPEAL FROM THE CIRCUIT COURT OF THE UNITED STATES FOR THE WESTERN DISTRICT OF KENTUCKY.</w:t>
      </w:r>
    </w:p>
    <w:p>
      <w:pPr>
        <w:pStyle w:val="CaseBody"/>
      </w:pPr>
      <w:r>
        <w:rPr>
          <w:rStyle w:val="Elision"/>
        </w:rPr>
        <w:t xml:space="preserve">[ … ]</w:t>
      </w:r>
    </w:p>
    <w:bookmarkStart w:id="28" w:name="Xd63151efc152bc0d8fc35b4339fb20a2cf7ad61"/>
    <w:p>
      <w:pPr>
        <w:pStyle w:val="Heading2"/>
      </w:pPr>
      <w:r>
        <w:t xml:space="preserve">MR. JUSTICE MOODY, after making the foregoing statement, delivered the opinion of the court.</w:t>
      </w:r>
    </w:p>
    <w:p>
      <w:pPr>
        <w:pStyle w:val="CaseBody"/>
      </w:pPr>
      <w:r>
        <w:t xml:space="preserve">Two questions of law were raised by the</w:t>
      </w:r>
      <w:r>
        <w:t xml:space="preserve"> </w:t>
      </w:r>
      <w:r>
        <w:t xml:space="preserve">demurrer</w:t>
      </w:r>
      <w:r>
        <w:rPr>
          <w:rStyle w:val="FootnoteReference"/>
        </w:rPr>
        <w:footnoteReference w:customMarkFollows="1" w:id="2"/>
        <w:t xml:space="preserve">*</w:t>
      </w:r>
      <w:r>
        <w:t xml:space="preserve"> </w:t>
      </w:r>
      <w:r>
        <w:t xml:space="preserve">to the</w:t>
      </w:r>
      <w:r>
        <w:t xml:space="preserve"> </w:t>
      </w:r>
      <w:r>
        <w:t xml:space="preserve">bill</w:t>
      </w:r>
      <w:r>
        <w:rPr>
          <w:rStyle w:val="FootnoteReference"/>
        </w:rPr>
        <w:footnoteReference w:customMarkFollows="1" w:id="58"/>
        <w:t xml:space="preserve">**</w:t>
      </w:r>
      <w:r>
        <w:t xml:space="preserve">, were brought here by appeal, and have been argued before us. They are, first, whether that part of the act of Congress of June 29, 1906 (34 Stat. 584), which forbids the giving of free passes or the collection of any different compensation for transportation of passengers than that specified in the tariff filed, makes it unlawful to perform a contract for transportation of persons, who in good faith, before the passage of the act, had accepted such contract in satisfaction of a valid cause of action against the railroad; and, second, whether the statute, if it should be construed to render such a contract unlawful, is in</w:t>
      </w:r>
      <w:r>
        <w:t xml:space="preserve"> </w:t>
      </w:r>
      <w:r>
        <w:rPr>
          <w:rStyle w:val="Elision"/>
        </w:rPr>
        <w:t xml:space="preserve">[ … ]</w:t>
      </w:r>
      <w:r>
        <w:t xml:space="preserve"> </w:t>
      </w:r>
      <w:r>
        <w:t xml:space="preserve">violation of the Fifth Amendment of the Constitution of the United States. We do not deem it necessary, however, to consider either of these questions, because, in our opinion, the</w:t>
      </w:r>
      <w:r>
        <w:t xml:space="preserve"> </w:t>
      </w:r>
      <w:r>
        <w:t xml:space="preserve">court below</w:t>
      </w:r>
      <w:r>
        <w:rPr>
          <w:rStyle w:val="FootnoteReference"/>
        </w:rPr>
        <w:footnoteReference w:customMarkFollows="1" w:id="94"/>
        <w:t xml:space="preserve">***</w:t>
      </w:r>
      <w:r>
        <w:t xml:space="preserve"> </w:t>
      </w:r>
      <w:r>
        <w:t xml:space="preserve">was without</w:t>
      </w:r>
      <w:r>
        <w:t xml:space="preserve"> </w:t>
      </w:r>
      <w:r>
        <w:t xml:space="preserve">jurisdiction</w:t>
      </w:r>
      <w:r>
        <w:rPr>
          <w:rStyle w:val="FootnoteReference"/>
        </w:rPr>
        <w:footnoteReference w:customMarkFollows="1" w:id="118"/>
        <w:t xml:space="preserve">****</w:t>
      </w:r>
      <w:r>
        <w:t xml:space="preserve"> </w:t>
      </w:r>
      <w:r>
        <w:t xml:space="preserve">of the cause. Neither party has questioned that jurisdiction, but it is the duty of this court to see to it that the jurisdiction of the</w:t>
      </w:r>
      <w:r>
        <w:t xml:space="preserve"> </w:t>
      </w:r>
      <w:r>
        <w:t xml:space="preserve">Circuit Court</w:t>
      </w:r>
      <w:r>
        <w:rPr>
          <w:rStyle w:val="FootnoteReference"/>
        </w:rPr>
        <w:footnoteReference w:customMarkFollows="1" w:id="130"/>
        <w:t xml:space="preserve">*****</w:t>
      </w:r>
      <w:r>
        <w:t xml:space="preserve">, which is defined and limited by statute, is not exceeded. This duty we have frequently performed of our own motion.</w:t>
      </w:r>
      <w:r>
        <w:t xml:space="preserve"> </w:t>
      </w:r>
      <w:r>
        <w:rPr>
          <w:rStyle w:val="Elision"/>
        </w:rPr>
        <w:t xml:space="preserve">[ … ]</w:t>
      </w:r>
    </w:p>
    <w:p>
      <w:pPr>
        <w:pStyle w:val="CaseBody"/>
      </w:pPr>
      <w:r>
        <w:t xml:space="preserve">There was no diversity of citizenship and it is not and cannot be suggested that there was any ground of jurisdiction, except that the case was a "suit . . . arising under the Constitution and laws of the United States."</w:t>
      </w:r>
      <w:r>
        <w:t xml:space="preserve"> </w:t>
      </w:r>
      <w:r>
        <w:t xml:space="preserve">Act of August 13, 1888, c. 866, 25 Stat. 433, 434.</w:t>
      </w:r>
      <w:r>
        <w:t xml:space="preserve"> </w:t>
      </w:r>
      <w:r>
        <w:rPr>
          <w:rStyle w:val="FootnoteReference"/>
        </w:rPr>
        <w:footnoteReference w:customMarkFollows="1" w:id="139"/>
        <w:t xml:space="preserve">******</w:t>
      </w:r>
      <w:r>
        <w:t xml:space="preserve">It is the settled interpretation of these words, as used in this statute, conferring jurisdiction, that a suit arises under the Constitution and laws of the United States only when the plaintiff's statement of his own cause of action shows that it is based upon those laws or that Constitution. It is not enough that the plaintiff alleges some anticipated defense to his cause of action and asserts that the defense is invalidated by some provision of the Constitution of the United States. Although such allegations show that very likely, in the course of the litigation, a question under the Constitution would arise, they do not show that the suit, that is, the plaintiff's original cause of action, arises under the Constitution. In</w:t>
      </w:r>
      <w:r>
        <w:t xml:space="preserve"> </w:t>
      </w:r>
      <w:r>
        <w:rPr>
          <w:iCs/>
          <w:i/>
        </w:rPr>
        <w:t xml:space="preserve">Tennessee</w:t>
      </w:r>
      <w:r>
        <w:t xml:space="preserve"> </w:t>
      </w:r>
      <w:r>
        <w:t xml:space="preserve">v.</w:t>
      </w:r>
      <w:r>
        <w:t xml:space="preserve"> </w:t>
      </w:r>
      <w:r>
        <w:rPr>
          <w:iCs/>
          <w:i/>
        </w:rPr>
        <w:t xml:space="preserve">Union &amp; Planters' Bank,</w:t>
      </w:r>
      <w:r>
        <w:t xml:space="preserve"> </w:t>
      </w:r>
      <w:r>
        <w:t xml:space="preserve">152 U.S. 454, the plaintiff, the State of Tennessee, brought suit in the Circuit Court of the United States to recover from the defendant certain taxes alleged to be due under the laws of the State. The plaintiff alleged that the defendant claimed an immunity from the taxation by virtue of its charter, and that therefore the tax was void, because in violation of the provision of the Constitution of the United</w:t>
      </w:r>
      <w:r>
        <w:t xml:space="preserve"> </w:t>
      </w:r>
      <w:r>
        <w:rPr>
          <w:rStyle w:val="Elision"/>
        </w:rPr>
        <w:t xml:space="preserve">[ … ]</w:t>
      </w:r>
      <w:r>
        <w:t xml:space="preserve"> </w:t>
      </w:r>
      <w:r>
        <w:t xml:space="preserve">States, which forbids any State from passing a law impairing the obligation of contracts. The cause was held to be beyond the jurisdiction of the Circuit Court, the court saying, by Mr. Justice Gray</w:t>
      </w:r>
      <w:r>
        <w:t xml:space="preserve"> </w:t>
      </w:r>
      <w:r>
        <w:rPr>
          <w:rStyle w:val="Elision"/>
        </w:rPr>
        <w:t xml:space="preserve">[ … ]</w:t>
      </w:r>
      <w:r>
        <w:t xml:space="preserve">, "a suggestion of one party, that the other will or may set up a claim under the Constitution or laws of the United States, does not make the suit one arising under that Constitution or those laws." Again, in</w:t>
      </w:r>
      <w:r>
        <w:t xml:space="preserve"> </w:t>
      </w:r>
      <w:r>
        <w:rPr>
          <w:iCs/>
          <w:i/>
        </w:rPr>
        <w:t xml:space="preserve">Boston &amp; Montana Consolidated Copper &amp; Silver Mining Company</w:t>
      </w:r>
      <w:r>
        <w:t xml:space="preserve"> </w:t>
      </w:r>
      <w:r>
        <w:t xml:space="preserve">v.</w:t>
      </w:r>
      <w:r>
        <w:t xml:space="preserve"> </w:t>
      </w:r>
      <w:r>
        <w:rPr>
          <w:iCs/>
          <w:i/>
        </w:rPr>
        <w:t xml:space="preserve">Montana Ore Purchasing Company,</w:t>
      </w:r>
      <w:r>
        <w:t xml:space="preserve"> </w:t>
      </w:r>
      <w:r>
        <w:t xml:space="preserve">188 U.S. 632, the plaintiff brought suit in the Circuit Court of the United States for the conversion of copper ore and for an injunction against its continuance. The plaintiff then alleged, for the purpose of showing jurisdiction, in substance, that the defendant would set up in defense certain laws of the United States. The cause was held to be beyond the jurisdiction of the Circuit Court, the court saying, by Mr. Justice Peckham</w:t>
      </w:r>
      <w:r>
        <w:t xml:space="preserve"> </w:t>
      </w:r>
      <w:r>
        <w:rPr>
          <w:rStyle w:val="ReplacementText"/>
        </w:rPr>
        <w:t xml:space="preserve">:</w:t>
      </w:r>
    </w:p>
    <w:p>
      <w:pPr>
        <w:pStyle w:val="BlockText"/>
      </w:pPr>
      <w:r>
        <w:t xml:space="preserve">"It would be wholly unnecessary and improper in order to prove complainant's cause of action to go into any matters of defence which the defendants might possibly set up and then attempt to reply to such defence, and thus, if possible, to show that a Federal question might or probably would arise in the course of the trial of the case.</w:t>
      </w:r>
      <w:r>
        <w:t xml:space="preserve"> </w:t>
      </w:r>
      <w:r>
        <w:rPr>
          <w:rStyle w:val="Elision"/>
        </w:rPr>
        <w:t xml:space="preserve">[ … ]</w:t>
      </w:r>
    </w:p>
    <w:p>
      <w:pPr>
        <w:pStyle w:val="BlockText"/>
      </w:pPr>
      <w:r>
        <w:rPr>
          <w:rStyle w:val="Elision"/>
        </w:rPr>
        <w:t xml:space="preserve">[ … ]</w:t>
      </w:r>
    </w:p>
    <w:p>
      <w:pPr>
        <w:pStyle w:val="BlockText"/>
      </w:pPr>
      <w:r>
        <w:t xml:space="preserve">"Conforming itself to that rule the complainant would not, in the assertion or proof of its cause of action, bring up a single Federal question. The presentation of its cause of action would not show that it was one arising under the Constitution or laws of the United States.</w:t>
      </w:r>
    </w:p>
    <w:p>
      <w:pPr>
        <w:pStyle w:val="BlockText"/>
      </w:pPr>
      <w:r>
        <w:rPr>
          <w:rStyle w:val="Elision"/>
        </w:rPr>
        <w:t xml:space="preserve">[ … ]</w:t>
      </w:r>
      <w:r>
        <w:t xml:space="preserve"> </w:t>
      </w:r>
      <w:r>
        <w:t xml:space="preserve">"The only way in which it might be claimed that a Federal question was presented would be in the complainant's statement of what the defence of defendants would be and complainant's answer to such defence. Under these circumstances the case is brought within the rule laid down in</w:t>
      </w:r>
      <w:r>
        <w:t xml:space="preserve"> </w:t>
      </w:r>
      <w:r>
        <w:rPr>
          <w:iCs/>
          <w:i/>
        </w:rPr>
        <w:t xml:space="preserve">Tennessee</w:t>
      </w:r>
      <w:r>
        <w:t xml:space="preserve"> </w:t>
      </w:r>
      <w:r>
        <w:t xml:space="preserve">v.</w:t>
      </w:r>
      <w:r>
        <w:t xml:space="preserve"> </w:t>
      </w:r>
      <w:r>
        <w:rPr>
          <w:iCs/>
          <w:i/>
        </w:rPr>
        <w:t xml:space="preserve">Union &amp; Planters' Bank,</w:t>
      </w:r>
      <w:r>
        <w:t xml:space="preserve"> </w:t>
      </w:r>
      <w:r>
        <w:t xml:space="preserve">152 U.S. 454. That case has been cited and approved many times since, . . ."</w:t>
      </w:r>
    </w:p>
    <w:p>
      <w:pPr>
        <w:pStyle w:val="CaseBody"/>
      </w:pPr>
      <w:r>
        <w:rPr>
          <w:rStyle w:val="Elision"/>
        </w:rPr>
        <w:t xml:space="preserve">[ … ]</w:t>
      </w:r>
      <w:r>
        <w:rPr>
          <w:rStyle w:val="Elision"/>
        </w:rPr>
        <w:t xml:space="preserve">[ … ]</w:t>
      </w:r>
    </w:p>
    <w:p>
      <w:pPr>
        <w:pStyle w:val="CaseBody"/>
      </w:pPr>
      <w:r>
        <w:t xml:space="preserve">It is ordered that the</w:t>
      </w:r>
    </w:p>
    <w:p>
      <w:pPr>
        <w:pStyle w:val="CaseBody"/>
      </w:pPr>
      <w:r>
        <w:rPr>
          <w:iCs/>
          <w:i/>
        </w:rPr>
        <w:t xml:space="preserve">Judgment be reversed and the case remitted to the Circuit Court with instructions to dismiss the suit for want of jurisdiction.</w:t>
      </w:r>
    </w:p>
    <w:bookmarkEnd w:id="28"/>
    <w:p>
      <w:pPr>
        <w:pStyle w:val="NodeEnd"/>
      </w:pPr>
      <w:r>
        <w:t xml:space="preserve"> </w:t>
      </w:r>
    </w:p>
    <w:p>
      <w:pPr>
        <w:pStyle w:val="NodeStart"/>
      </w:pPr>
      <w:r>
        <w:t xml:space="preserve"> </w:t>
      </w:r>
    </w:p>
    <w:p>
      <w:pPr>
        <w:pStyle w:val="HeadSeparator"/>
      </w:pPr>
      <w:r>
        <w:t xml:space="preserve"> </w:t>
      </w:r>
    </w:p>
    <w:bookmarkStart w:id="14" w:name="_auto_toc_14"/>
    <w:bookmarkEnd w:id="14"/>
    <w:p>
      <w:pPr>
        <w:pStyle w:val="ResourceNumber"/>
      </w:pPr>
      <w:r>
        <w:t xml:space="preserve">1.11</w:t>
      </w:r>
    </w:p>
    <w:p>
      <w:pPr>
        <w:pStyle w:val="ResourceTitle"/>
      </w:pPr>
      <w:r>
        <w:t xml:space="preserve">Notes following Mottley</w:t>
      </w:r>
    </w:p>
    <w:p>
      <w:pPr>
        <w:pStyle w:val="HeadEnd"/>
      </w:pPr>
      <w:r>
        <w:t xml:space="preserve"> </w:t>
      </w:r>
    </w:p>
    <w:p>
      <w:pPr>
        <w:numPr>
          <w:ilvl w:val="0"/>
          <w:numId w:val="1033"/>
        </w:numPr>
      </w:pPr>
      <w:r>
        <w:t xml:space="preserve">To what extent is the statutory jurisdiction under</w:t>
      </w:r>
      <w:r>
        <w:t xml:space="preserve"> </w:t>
      </w:r>
      <w:r>
        <w:rPr>
          <w:iCs/>
          <w:i/>
        </w:rPr>
        <w:t xml:space="preserve">Mottley</w:t>
      </w:r>
      <w:r>
        <w:t xml:space="preserve"> </w:t>
      </w:r>
      <w:r>
        <w:t xml:space="preserve">narrower than the Article III</w:t>
      </w:r>
      <w:r>
        <w:t xml:space="preserve"> </w:t>
      </w:r>
      <w:r>
        <w:rPr>
          <w:iCs/>
          <w:i/>
        </w:rPr>
        <w:t xml:space="preserve">Osborn</w:t>
      </w:r>
      <w:r>
        <w:t xml:space="preserve"> </w:t>
      </w:r>
      <w:r>
        <w:t xml:space="preserve">“ingredient” test for jurisdiction?</w:t>
      </w:r>
    </w:p>
    <w:p>
      <w:pPr>
        <w:numPr>
          <w:ilvl w:val="0"/>
          <w:numId w:val="1033"/>
        </w:numPr>
      </w:pPr>
      <w:r>
        <w:t xml:space="preserve">According to a well-respected scholar's casebook, the floor manager of the bill that became Section 1331 stated the following in the debates leading to the statute's passage:  The bill “gives precisely the power which the Constitution confers—nothing more, nothing less." Chemerinsky, Federal Jurisdiction § 5.2 (8th ed.).  Given this legislative history, is the Supreme Court's interpretation of Section 1331 correct?</w:t>
      </w:r>
    </w:p>
    <w:p>
      <w:pPr>
        <w:numPr>
          <w:ilvl w:val="0"/>
          <w:numId w:val="1033"/>
        </w:numPr>
      </w:pPr>
      <w:r>
        <w:t xml:space="preserve">Following the Court’s decision, the Mottleys commenced an action in Kentucky state trial court. The case worked its way up the state court system, and, after the Kentucky high court ruled, the Supreme Court granted certiorari and ruled in favor of the railroad. Given that the Supreme Court eventually ruled on the merits of the dispute, what purpose did the earlier</w:t>
      </w:r>
      <w:r>
        <w:t xml:space="preserve"> </w:t>
      </w:r>
      <w:r>
        <w:rPr>
          <w:iCs/>
          <w:i/>
        </w:rPr>
        <w:t xml:space="preserve">Mottley</w:t>
      </w:r>
      <w:r>
        <w:t xml:space="preserve"> </w:t>
      </w:r>
      <w:r>
        <w:t xml:space="preserve">dismissal, the case you just read, serve?</w:t>
      </w:r>
    </w:p>
    <w:p>
      <w:pPr>
        <w:numPr>
          <w:ilvl w:val="0"/>
          <w:numId w:val="1033"/>
        </w:numPr>
      </w:pPr>
      <w:r>
        <w:t xml:space="preserve">After the Civil War, the number of lawsuits filed in federal courts dramatically increased, but Congress did not create more federal courts or judgeships, nor did it greatly increase the federal courts' budget.</w:t>
      </w:r>
      <w:r>
        <w:t xml:space="preserve"> </w:t>
      </w:r>
      <w:r>
        <w:rPr>
          <w:iCs/>
          <w:i/>
        </w:rPr>
        <w:t xml:space="preserve">See</w:t>
      </w:r>
      <w:r>
        <w:t xml:space="preserve"> </w:t>
      </w:r>
      <w:r>
        <w:t xml:space="preserve">Percell, Jr.,</w:t>
      </w:r>
      <w:r>
        <w:t xml:space="preserve"> </w:t>
      </w:r>
      <w:r>
        <w:rPr>
          <w:iCs/>
          <w:i/>
        </w:rPr>
        <w:t xml:space="preserve">Reconsidering the Frankfurterian Paradigm: Reflections on Histories of lower Federal Courts</w:t>
      </w:r>
      <w:r>
        <w:t xml:space="preserve">, 24 Law &amp; Soc. Inquiry 679 (1999). To what extent did the narrow construction in</w:t>
      </w:r>
      <w:r>
        <w:t xml:space="preserve"> </w:t>
      </w:r>
      <w:r>
        <w:rPr>
          <w:iCs/>
          <w:i/>
        </w:rPr>
        <w:t xml:space="preserve">Mottley</w:t>
      </w:r>
      <w:r>
        <w:t xml:space="preserve"> </w:t>
      </w:r>
      <w:r>
        <w:t xml:space="preserve">help resolve problems of federal docket overload?</w:t>
      </w:r>
    </w:p>
    <w:p>
      <w:pPr>
        <w:numPr>
          <w:ilvl w:val="0"/>
          <w:numId w:val="1033"/>
        </w:numPr>
      </w:pPr>
      <w:r>
        <w:rPr>
          <w:iCs/>
          <w:i/>
        </w:rPr>
        <w:t xml:space="preserve">Mottley</w:t>
      </w:r>
      <w:r>
        <w:t xml:space="preserve"> </w:t>
      </w:r>
      <w:r>
        <w:t xml:space="preserve">is said to stand for the “well-pleaded complaint” rule. This means that for a court to have jurisdiction under § 1331, the federal issue must exist as part of the plaintiff’s cause of action. If the federal issue occurs only by way of an affirmative defense that the defendant asserts, or in something that the plaintiff will argue to counteract an affirmative defense, arising under jurisdiction cannot be asserted under § 1331. Why was arising under jurisdiction not present on the face of the Mottleys’ complaint?</w:t>
      </w:r>
    </w:p>
    <w:p>
      <w:pPr>
        <w:numPr>
          <w:ilvl w:val="0"/>
          <w:numId w:val="1033"/>
        </w:numPr>
      </w:pPr>
      <w:r>
        <w:rPr>
          <w:iCs/>
          <w:i/>
        </w:rPr>
        <w:t xml:space="preserve">Mottley</w:t>
      </w:r>
      <w:r>
        <w:t xml:space="preserve"> </w:t>
      </w:r>
      <w:r>
        <w:t xml:space="preserve">is an example of the well-established rule that a federal court must immediately dismiss a case if it finds that it lacks subject matter jurisdiction, and that federal court has a duty to examine whether it has subject matter jurisdiction even if neither party raises the issue.  Here, the Supreme Court lacked subject matter jurisdiction because the trial court (we would now call this a federal district court) where the Mottleys first filed the case lacked subject matter jurisdiction, and thus there was no proper trial court decision to appeal.  This rule is virtually unique to subject matter jurisdiction.  We will learn about another kind of jurisdiction, called "personal jurisdiction," later in the class.  This rule does not apply to personal jurisdiction; a party who thinks a court lacks personal jurisdiction must raise the issue (promptly) or else the court will hold that it can proceed.  We say that the federal courts must</w:t>
      </w:r>
      <w:r>
        <w:t xml:space="preserve"> </w:t>
      </w:r>
      <w:r>
        <w:rPr>
          <w:iCs/>
          <w:i/>
        </w:rPr>
        <w:t xml:space="preserve">notice</w:t>
      </w:r>
      <w:r>
        <w:t xml:space="preserve"> </w:t>
      </w:r>
      <w:r>
        <w:t xml:space="preserve">a potential defect in their subject matter jurisdiction</w:t>
      </w:r>
      <w:r>
        <w:t xml:space="preserve"> </w:t>
      </w:r>
      <w:r>
        <w:rPr>
          <w:iCs/>
          <w:i/>
        </w:rPr>
        <w:t xml:space="preserve">sua sponte</w:t>
      </w:r>
      <w:r>
        <w:t xml:space="preserve"> </w:t>
      </w:r>
      <w:r>
        <w:t xml:space="preserve">(meaning "on their own," even if neither party raises the issue).  Why would we want this rule to be almost this unique to subject matter jurisdiction?</w:t>
      </w:r>
    </w:p>
    <w:p>
      <w:pPr>
        <w:pStyle w:val="NodeEnd"/>
      </w:pPr>
      <w:r>
        <w:t xml:space="preserve"> </w:t>
      </w:r>
    </w:p>
    <w:p>
      <w:pPr>
        <w:pStyle w:val="NodeStart"/>
      </w:pPr>
      <w:r>
        <w:t xml:space="preserve"> </w:t>
      </w:r>
    </w:p>
    <w:p>
      <w:pPr>
        <w:pStyle w:val="HeadSeparator"/>
      </w:pPr>
      <w:r>
        <w:t xml:space="preserve"> </w:t>
      </w:r>
    </w:p>
    <w:bookmarkStart w:id="15" w:name="_auto_toc_15"/>
    <w:bookmarkEnd w:id="15"/>
    <w:p>
      <w:pPr>
        <w:pStyle w:val="ResourceNumber"/>
      </w:pPr>
      <w:r>
        <w:t xml:space="preserve">1.12</w:t>
      </w:r>
    </w:p>
    <w:p>
      <w:pPr>
        <w:pStyle w:val="ResourceTitle"/>
      </w:pPr>
      <w:r>
        <w:t xml:space="preserve">Utterly Oversimplified Summary of Three Causes of Action</w:t>
      </w:r>
    </w:p>
    <w:p>
      <w:pPr>
        <w:pStyle w:val="HeadFieldSeparator"/>
      </w:pPr>
      <w:r>
        <w:t xml:space="preserve"> </w:t>
      </w:r>
    </w:p>
    <w:p>
      <w:pPr>
        <w:pStyle w:val="ResourceHeadnote"/>
      </w:pPr>
      <w:r>
        <w:t xml:space="preserve">For today's class, pay particular attention to Section 1983. This section will appear multiple times throughout the course. A copy available for download can be found</w:t>
      </w:r>
      <w:r>
        <w:t xml:space="preserve"> </w:t>
      </w:r>
      <w:hyperlink r:id="rId29">
        <w:r>
          <w:rPr>
            <w:rStyle w:val="Hyperlink"/>
          </w:rPr>
          <w:t xml:space="preserve">here</w:t>
        </w:r>
      </w:hyperlink>
      <w:r>
        <w:t xml:space="preserve"> </w:t>
      </w:r>
      <w:r>
        <w:t xml:space="preserve">(pdf).</w:t>
      </w:r>
    </w:p>
    <w:p>
      <w:pPr>
        <w:pStyle w:val="HeadEnd"/>
      </w:pPr>
      <w:r>
        <w:t xml:space="preserve"> </w:t>
      </w:r>
    </w:p>
    <w:p>
      <w:pPr>
        <w:pStyle w:val="BodyText"/>
      </w:pPr>
      <w:r>
        <w:rPr>
          <w:bCs/>
          <w:b/>
        </w:rPr>
        <w:t xml:space="preserve">Warning: </w:t>
      </w:r>
      <w:r>
        <w:t xml:space="preserve">Use this document only for Professor Greiner’s Civil Procedure course. When dealing with any substantive issue regarding these statutes outside of Professor Greiner’s Civil Procedure, disregard this summary entirely.</w:t>
      </w:r>
    </w:p>
    <w:bookmarkStart w:id="30" w:name="X147a6cba8a3227c98264e93b22f2b0eea69c06c"/>
    <w:p>
      <w:pPr>
        <w:pStyle w:val="Heading2"/>
      </w:pPr>
      <w:r>
        <w:rPr>
          <w:bCs/>
          <w:b/>
        </w:rPr>
        <w:t xml:space="preserve">Title VII of the Civil Rights Act of 1964</w:t>
      </w:r>
    </w:p>
    <w:p>
      <w:pPr>
        <w:numPr>
          <w:ilvl w:val="0"/>
          <w:numId w:val="1034"/>
        </w:numPr>
      </w:pPr>
      <w:r>
        <w:t xml:space="preserve">Prohibits adverse action related to a plaintiff’s employment “because of,” among other things, race and sex</w:t>
      </w:r>
    </w:p>
    <w:p>
      <w:pPr>
        <w:numPr>
          <w:ilvl w:val="0"/>
          <w:numId w:val="1034"/>
        </w:numPr>
      </w:pPr>
      <w:r>
        <w:t xml:space="preserve">Has been interpreted to include the following theories of relief:</w:t>
      </w:r>
    </w:p>
    <w:p>
      <w:pPr>
        <w:numPr>
          <w:ilvl w:val="1"/>
          <w:numId w:val="1035"/>
        </w:numPr>
      </w:pPr>
      <w:r>
        <w:t xml:space="preserve">Discharge, failure to hire, failure to promote because of race or sex</w:t>
      </w:r>
    </w:p>
    <w:p>
      <w:pPr>
        <w:numPr>
          <w:ilvl w:val="2"/>
          <w:numId w:val="1036"/>
        </w:numPr>
      </w:pPr>
      <w:r>
        <w:t xml:space="preserve">“Intent”: In certain types of cases, requires a plaintiff to prove that the defendant “intentionally” took the adverse employment action because of race or sex</w:t>
      </w:r>
    </w:p>
    <w:p>
      <w:pPr>
        <w:numPr>
          <w:ilvl w:val="2"/>
          <w:numId w:val="1036"/>
        </w:numPr>
      </w:pPr>
      <w:r>
        <w:t xml:space="preserve">Partly in response to the fact that intent is unobservable, courts have developed a three-part mode of analysis (we will talk more about this when we discuss burden- shifting)</w:t>
      </w:r>
    </w:p>
    <w:p>
      <w:pPr>
        <w:numPr>
          <w:ilvl w:val="1"/>
          <w:numId w:val="1035"/>
        </w:numPr>
      </w:pPr>
      <w:r>
        <w:rPr>
          <w:u w:val="single"/>
        </w:rPr>
        <w:t xml:space="preserve">Prima facie case</w:t>
      </w:r>
      <w:r>
        <w:t xml:space="preserve">: Still a matter of dispute, and specifics vary anyway, but definitely includes the idea that the plaintiff is of one race (sex), that she suffered adverse employment action, and that an applicant/employee of another race (sex) did not suffer adverse employment action; a remaining (currently unanswered) question is whether the prima facie case requires “something more” of a plaintiff that supports an inference of discrimination</w:t>
      </w:r>
    </w:p>
    <w:p>
      <w:pPr>
        <w:numPr>
          <w:ilvl w:val="1"/>
          <w:numId w:val="1035"/>
        </w:numPr>
      </w:pPr>
      <w:r>
        <w:rPr>
          <w:u w:val="single"/>
        </w:rPr>
        <w:t xml:space="preserve">Def’s reasons</w:t>
      </w:r>
      <w:r>
        <w:t xml:space="preserve">: Defendant produces evidence of a legitimate, non-discriminatory reason for the adverse action taken</w:t>
      </w:r>
    </w:p>
    <w:p>
      <w:pPr>
        <w:numPr>
          <w:ilvl w:val="1"/>
          <w:numId w:val="1035"/>
        </w:numPr>
      </w:pPr>
      <w:r>
        <w:rPr>
          <w:u w:val="single"/>
        </w:rPr>
        <w:t xml:space="preserve">Pretext</w:t>
      </w:r>
      <w:r>
        <w:t xml:space="preserve">: Plaintiff attempts to prove that the defendant’s reasons are unworthy of credence, i.e., a pretext for discrimination</w:t>
      </w:r>
    </w:p>
    <w:p>
      <w:pPr>
        <w:numPr>
          <w:ilvl w:val="2"/>
          <w:numId w:val="1037"/>
        </w:numPr>
      </w:pPr>
      <w:r>
        <w:t xml:space="preserve">Sexual harassment</w:t>
      </w:r>
    </w:p>
    <w:p>
      <w:pPr>
        <w:numPr>
          <w:ilvl w:val="3"/>
          <w:numId w:val="1038"/>
        </w:numPr>
      </w:pPr>
      <w:r>
        <w:t xml:space="preserve">“Quid Pro Quo”: Adverse employment action because of the refusal by a plaintiff to engage in sexual conduct with an employee (usually a superior officer) of the defendant</w:t>
      </w:r>
    </w:p>
    <w:p>
      <w:pPr>
        <w:numPr>
          <w:ilvl w:val="3"/>
          <w:numId w:val="1038"/>
        </w:numPr>
      </w:pPr>
      <w:r>
        <w:t xml:space="preserve">“Hostile Workplace”: The maintenance of a working environment in which sexual or racial harassment is so pervasive that it changes the terms or conditions of employment</w:t>
      </w:r>
    </w:p>
    <w:p>
      <w:pPr>
        <w:numPr>
          <w:ilvl w:val="2"/>
          <w:numId w:val="1037"/>
        </w:numPr>
      </w:pPr>
      <w:r>
        <w:t xml:space="preserve">Provides a cause of action against the employer for actions taken by employees within the scope of their employment (the “respondeat superior” theory, which you will cover in more detail in torts)</w:t>
      </w:r>
    </w:p>
    <w:p>
      <w:pPr>
        <w:numPr>
          <w:ilvl w:val="2"/>
          <w:numId w:val="1037"/>
        </w:numPr>
      </w:pPr>
      <w:r>
        <w:t xml:space="preserve">Has tight (comparatively speaking) limitations provisions involving presentation of the claim to an administrative agency before a lawsuit may be filed</w:t>
      </w:r>
    </w:p>
    <w:p>
      <w:pPr>
        <w:numPr>
          <w:ilvl w:val="2"/>
          <w:numId w:val="1037"/>
        </w:numPr>
      </w:pPr>
      <w:r>
        <w:t xml:space="preserve">Includes as an affirmative defense allowing an employer to impose an adverse employment action because of “religion, sex, or national origin” (notice not race) when “religion, sex, or national origin is a bona fide occupational qualification reasonably necessary to the normal operation of that particular business or enterprise”</w:t>
      </w:r>
    </w:p>
    <w:bookmarkEnd w:id="30"/>
    <w:bookmarkStart w:id="31" w:name="u.s.c.-1983"/>
    <w:p>
      <w:pPr>
        <w:pStyle w:val="Heading2"/>
      </w:pPr>
      <w:r>
        <w:rPr>
          <w:bCs/>
          <w:b/>
        </w:rPr>
        <w:t xml:space="preserve">42 U.S.C. § 1983</w:t>
      </w:r>
    </w:p>
    <w:p>
      <w:pPr>
        <w:numPr>
          <w:ilvl w:val="0"/>
          <w:numId w:val="1039"/>
        </w:numPr>
      </w:pPr>
      <w:r>
        <w:t xml:space="preserve">Provides a cause of action against a “person” acting under color of state law who deprives the plaintiff of her constitutional rights</w:t>
      </w:r>
    </w:p>
    <w:p>
      <w:pPr>
        <w:numPr>
          <w:ilvl w:val="0"/>
          <w:numId w:val="1039"/>
        </w:numPr>
      </w:pPr>
      <w:r>
        <w:t xml:space="preserve">“Persons” include municipalities as well as human beings, but elements of the cause of action vary depending on the kind of defendant</w:t>
      </w:r>
    </w:p>
    <w:p>
      <w:pPr>
        <w:numPr>
          <w:ilvl w:val="1"/>
          <w:numId w:val="1040"/>
        </w:numPr>
      </w:pPr>
      <w:r>
        <w:t xml:space="preserve">In</w:t>
      </w:r>
      <w:r>
        <w:t xml:space="preserve"> </w:t>
      </w:r>
      <w:r>
        <w:rPr>
          <w:iCs/>
          <w:i/>
        </w:rPr>
        <w:t xml:space="preserve">Monroe v Pape</w:t>
      </w:r>
      <w:r>
        <w:t xml:space="preserve"> </w:t>
      </w:r>
      <w:r>
        <w:t xml:space="preserve">(1961), the Supreme Court held that a municipality was NOT a “person” within the meaning of Section 1983, meaning that no plaintiff could sue a municipality under this statute</w:t>
      </w:r>
    </w:p>
    <w:p>
      <w:pPr>
        <w:numPr>
          <w:ilvl w:val="1"/>
          <w:numId w:val="1040"/>
        </w:numPr>
      </w:pPr>
      <w:r>
        <w:t xml:space="preserve">In</w:t>
      </w:r>
      <w:r>
        <w:t xml:space="preserve"> </w:t>
      </w:r>
      <w:r>
        <w:rPr>
          <w:iCs/>
          <w:i/>
        </w:rPr>
        <w:t xml:space="preserve">Monell v. DSS</w:t>
      </w:r>
      <w:r>
        <w:t xml:space="preserve"> </w:t>
      </w:r>
      <w:r>
        <w:t xml:space="preserve">(1978), however, the Supreme Court reversed itself, holding that a municipality was in fact a “person” within the meaning of Section 1983</w:t>
      </w:r>
    </w:p>
    <w:p>
      <w:pPr>
        <w:numPr>
          <w:ilvl w:val="1"/>
          <w:numId w:val="1040"/>
        </w:numPr>
      </w:pPr>
      <w:r>
        <w:t xml:space="preserve">Between 1961 and 1978, some important cases were decided in which the then-extant</w:t>
      </w:r>
      <w:r>
        <w:t xml:space="preserve"> </w:t>
      </w:r>
      <w:r>
        <w:rPr>
          <w:iCs/>
          <w:i/>
        </w:rPr>
        <w:t xml:space="preserve">Monroe</w:t>
      </w:r>
      <w:r>
        <w:t xml:space="preserve"> </w:t>
      </w:r>
      <w:r>
        <w:t xml:space="preserve">rule made a difference; among these is</w:t>
      </w:r>
      <w:r>
        <w:t xml:space="preserve"> </w:t>
      </w:r>
      <w:r>
        <w:rPr>
          <w:iCs/>
          <w:i/>
        </w:rPr>
        <w:t xml:space="preserve">Aldinger v. Howard</w:t>
      </w:r>
      <w:r>
        <w:t xml:space="preserve"> </w:t>
      </w:r>
      <w:r>
        <w:t xml:space="preserve">(1976), dealing with supplemental jurisdiction</w:t>
      </w:r>
    </w:p>
    <w:p>
      <w:pPr>
        <w:numPr>
          <w:ilvl w:val="0"/>
          <w:numId w:val="1039"/>
        </w:numPr>
      </w:pPr>
      <w:r>
        <w:t xml:space="preserve">Applies to an enormous variety of fact situations, from police brutality to denial of equal protection</w:t>
      </w:r>
    </w:p>
    <w:p>
      <w:pPr>
        <w:numPr>
          <w:ilvl w:val="0"/>
          <w:numId w:val="1039"/>
        </w:numPr>
      </w:pPr>
      <w:r>
        <w:t xml:space="preserve">Has been held to provide a cause of action essentially identical to Title VII when the plaintiff is an employee of a state and the allegedly illegal activity is undertaken by employees of the state with respect to the terms and conditions of the plaintiff’s employment; this is important in</w:t>
      </w:r>
      <w:r>
        <w:t xml:space="preserve"> </w:t>
      </w:r>
      <w:r>
        <w:rPr>
          <w:iCs/>
          <w:i/>
        </w:rPr>
        <w:t xml:space="preserve">Jones v. Clinton</w:t>
      </w:r>
      <w:r>
        <w:t xml:space="preserve"> </w:t>
      </w:r>
      <w:r>
        <w:t xml:space="preserve">because, unlike Title VII, Section 1983 does NOT have comparatively tight limitations periods associated with it</w:t>
      </w:r>
    </w:p>
    <w:p>
      <w:pPr>
        <w:numPr>
          <w:ilvl w:val="0"/>
          <w:numId w:val="1039"/>
        </w:numPr>
      </w:pPr>
      <w:r>
        <w:t xml:space="preserve">Section 1983 is one of a set of important civil rights statutes as to which special removal/remand provisions apply</w:t>
      </w:r>
    </w:p>
    <w:bookmarkEnd w:id="31"/>
    <w:bookmarkStart w:id="32" w:name="sherman-act-section-1"/>
    <w:p>
      <w:pPr>
        <w:pStyle w:val="Heading2"/>
      </w:pPr>
      <w:r>
        <w:rPr>
          <w:bCs/>
          <w:b/>
        </w:rPr>
        <w:t xml:space="preserve">Sherman Act, Section 1</w:t>
      </w:r>
    </w:p>
    <w:p>
      <w:pPr>
        <w:numPr>
          <w:ilvl w:val="0"/>
          <w:numId w:val="1041"/>
        </w:numPr>
      </w:pPr>
      <w:r>
        <w:t xml:space="preserve">Prohibits “conspiracy” in restraint of trade</w:t>
      </w:r>
    </w:p>
    <w:p>
      <w:pPr>
        <w:numPr>
          <w:ilvl w:val="0"/>
          <w:numId w:val="1041"/>
        </w:numPr>
      </w:pPr>
      <w:r>
        <w:t xml:space="preserve">Has been interpreted to include two types of analyses: “per se” violations and “rule of reason” cases</w:t>
      </w:r>
    </w:p>
    <w:p>
      <w:pPr>
        <w:numPr>
          <w:ilvl w:val="1"/>
          <w:numId w:val="1042"/>
        </w:numPr>
      </w:pPr>
      <w:r>
        <w:t xml:space="preserve">Per se violations:</w:t>
      </w:r>
    </w:p>
    <w:p>
      <w:pPr>
        <w:numPr>
          <w:ilvl w:val="2"/>
          <w:numId w:val="1043"/>
        </w:numPr>
      </w:pPr>
      <w:r>
        <w:t xml:space="preserve">Ultimate example is a “horizontal” agreement by persons engaged in the same industry or selling the same product to fix prices</w:t>
      </w:r>
    </w:p>
    <w:p>
      <w:pPr>
        <w:numPr>
          <w:ilvl w:val="2"/>
          <w:numId w:val="1043"/>
        </w:numPr>
      </w:pPr>
      <w:r>
        <w:t xml:space="preserve">Another example is an agreement by horizontal competitors to divide a market in a specified way, e.g., to avoid competition in each other’s “areas”</w:t>
      </w:r>
    </w:p>
    <w:p>
      <w:pPr>
        <w:numPr>
          <w:ilvl w:val="1"/>
          <w:numId w:val="1042"/>
        </w:numPr>
      </w:pPr>
      <w:r>
        <w:t xml:space="preserve">Rule of reason: If the defendants’ conduct is not a per se violation, then it is governed by the “rule of reason,” which means that it may be illegal if the plaintiffs can convince the court that the conduct is in restraint of trade; typically requires extensive economic theory and analysis to prove that a particular transaction has anti-competitive effects</w:t>
      </w:r>
    </w:p>
    <w:p>
      <w:pPr>
        <w:numPr>
          <w:ilvl w:val="0"/>
          <w:numId w:val="1041"/>
        </w:numPr>
      </w:pPr>
      <w:r>
        <w:t xml:space="preserve">Requires a plaintiff to prove an “agreement” in restraint of trade, thus rendering proof of “conscious parallelism” insufficient</w:t>
      </w:r>
    </w:p>
    <w:p>
      <w:pPr>
        <w:numPr>
          <w:ilvl w:val="0"/>
          <w:numId w:val="1041"/>
        </w:numPr>
      </w:pPr>
      <w:r>
        <w:t xml:space="preserve">“Conscious parallelism” is action by competitor A that mirrors action by competitor B despite the absence of any sort of agreement between A and B</w:t>
      </w:r>
    </w:p>
    <w:p>
      <w:pPr>
        <w:numPr>
          <w:ilvl w:val="0"/>
          <w:numId w:val="1041"/>
        </w:numPr>
      </w:pPr>
      <w:r>
        <w:t xml:space="preserve">“Conscious parallelism” is sometimes seen in airline ticket pricing (at least, that is what the airlines say), where multiple companies have the same prices for, say, a trip from Boston to Chicago, even though (according to the airlines) they are not communicating with each other directly over prices</w:t>
      </w:r>
    </w:p>
    <w:bookmarkEnd w:id="32"/>
    <w:p>
      <w:pPr>
        <w:pStyle w:val="NodeEnd"/>
      </w:pPr>
      <w:r>
        <w:t xml:space="preserve"> </w:t>
      </w:r>
    </w:p>
    <w:p>
      <w:pPr>
        <w:pStyle w:val="NodeStart"/>
      </w:pPr>
      <w:r>
        <w:t xml:space="preserve"> </w:t>
      </w:r>
    </w:p>
    <w:p>
      <w:pPr>
        <w:pStyle w:val="HeadSeparator"/>
      </w:pPr>
      <w:r>
        <w:t xml:space="preserve"> </w:t>
      </w:r>
    </w:p>
    <w:bookmarkStart w:id="16" w:name="_auto_toc_16"/>
    <w:bookmarkEnd w:id="16"/>
    <w:p>
      <w:pPr>
        <w:pStyle w:val="ResourceNumber"/>
      </w:pPr>
      <w:r>
        <w:t xml:space="preserve">1.13</w:t>
      </w:r>
    </w:p>
    <w:p>
      <w:pPr>
        <w:pStyle w:val="ResourceTitle"/>
      </w:pPr>
      <w:r>
        <w:t xml:space="preserve">Exclusive Federal Jurisdiction</w:t>
      </w:r>
    </w:p>
    <w:p>
      <w:pPr>
        <w:pStyle w:val="HeadEnd"/>
      </w:pPr>
      <w:r>
        <w:t xml:space="preserve"> </w:t>
      </w:r>
    </w:p>
    <w:p>
      <w:pPr>
        <w:pStyle w:val="BodyText"/>
      </w:pPr>
      <w:r>
        <w:t xml:space="preserve">As noted above, federal courts have exclusive jurisdiction over certain categories of claims:</w:t>
      </w:r>
    </w:p>
    <w:p>
      <w:pPr>
        <w:numPr>
          <w:ilvl w:val="0"/>
          <w:numId w:val="1044"/>
        </w:numPr>
      </w:pPr>
      <w:r>
        <w:t xml:space="preserve">28 U.S.C. § 77p(b)-(c) - federal securities-law class actions</w:t>
      </w:r>
    </w:p>
    <w:p>
      <w:pPr>
        <w:numPr>
          <w:ilvl w:val="0"/>
          <w:numId w:val="1044"/>
        </w:numPr>
      </w:pPr>
      <w:r>
        <w:t xml:space="preserve">28 U.S.C. § 1334 - Bankruptcy</w:t>
      </w:r>
    </w:p>
    <w:p>
      <w:pPr>
        <w:numPr>
          <w:ilvl w:val="0"/>
          <w:numId w:val="1044"/>
        </w:numPr>
      </w:pPr>
      <w:r>
        <w:t xml:space="preserve">28 U.S.C. § 1338(a) - patents and copyrights</w:t>
      </w:r>
    </w:p>
    <w:p>
      <w:pPr>
        <w:numPr>
          <w:ilvl w:val="0"/>
          <w:numId w:val="1044"/>
        </w:numPr>
      </w:pPr>
      <w:r>
        <w:t xml:space="preserve">28 U.S.C. § 1351 - actions against foreign consuls and vice-consuls</w:t>
      </w:r>
    </w:p>
    <w:p>
      <w:pPr>
        <w:numPr>
          <w:ilvl w:val="0"/>
          <w:numId w:val="1044"/>
        </w:numPr>
      </w:pPr>
      <w:r>
        <w:t xml:space="preserve">28 U.S.C. § 1355 - actions to recover a fine, penalty, or forfeiture under federal law</w:t>
      </w:r>
    </w:p>
    <w:p>
      <w:pPr>
        <w:numPr>
          <w:ilvl w:val="0"/>
          <w:numId w:val="1044"/>
        </w:numPr>
      </w:pPr>
      <w:r>
        <w:t xml:space="preserve">28 U.S.C. § 1356 - actions involving certain forfeitures</w:t>
      </w:r>
    </w:p>
    <w:p>
      <w:pPr>
        <w:pStyle w:val="FirstParagraph"/>
      </w:pPr>
      <w:r>
        <w:t xml:space="preserve">In each of these statutes, Congress specified that only federal district courts may hear the causes of action they created. Thus, we sometimes say that the state courts "lack subject matter jurisdiction" over these class of cases. It's worth remembering that the state courts lack subject matter jurisdiction over them not because state law disempowers them from doing so, but rather because Congress so specified. Why might Congress want only federal courts to hear these cases, not state courts?</w:t>
      </w:r>
    </w:p>
    <w:p>
      <w:pPr>
        <w:pStyle w:val="NodeEnd"/>
      </w:pPr>
      <w:r>
        <w:t xml:space="preserve"> </w:t>
      </w:r>
    </w:p>
    <w:p>
      <w:pPr>
        <w:pStyle w:val="NodeStart"/>
      </w:pPr>
      <w:r>
        <w:t xml:space="preserve"> </w:t>
      </w:r>
    </w:p>
    <w:p>
      <w:pPr>
        <w:pStyle w:val="HeadSeparator"/>
      </w:pPr>
      <w:r>
        <w:t xml:space="preserve"> </w:t>
      </w:r>
    </w:p>
    <w:bookmarkStart w:id="17" w:name="_auto_toc_17"/>
    <w:bookmarkEnd w:id="17"/>
    <w:p>
      <w:pPr>
        <w:pStyle w:val="ResourceNumber"/>
      </w:pPr>
      <w:r>
        <w:t xml:space="preserve">1.14</w:t>
      </w:r>
    </w:p>
    <w:p>
      <w:pPr>
        <w:pStyle w:val="ResourceTitle"/>
      </w:pPr>
      <w:r>
        <w:t xml:space="preserve">Smith v. Kansas City Title &amp; Trust Co., 255 U.S. 180 (1921)</w:t>
      </w:r>
    </w:p>
    <w:p>
      <w:pPr>
        <w:pStyle w:val="HeadFieldSeparator"/>
      </w:pPr>
      <w:r>
        <w:t xml:space="preserve"> </w:t>
      </w:r>
    </w:p>
    <w:p>
      <w:pPr>
        <w:pStyle w:val="ResourceHeadnote"/>
      </w:pPr>
      <w:r>
        <w:rPr>
          <w:iCs/>
          <w:i/>
        </w:rPr>
        <w:t xml:space="preserve">Mottley</w:t>
      </w:r>
      <w:r>
        <w:t xml:space="preserve"> </w:t>
      </w:r>
      <w:r>
        <w:t xml:space="preserve">stated the general rule regarding arising under jurisdiction: federal district court subject matter jurisdiction exists under Section 1331 only if the plaintiff asserts a federally created cause of action. That rule governs perhaps 99.9% of arising under cases in federal court. One exception to this rule is referred to as the "Smith-Grable" exception, after the two cases that gave rise to it. If you become a federal court litigator, you may never see the Smith-Grable exception used. But learning about it teaches a lot about why we have federal courts.</w:t>
      </w:r>
      <w:r>
        <w:t xml:space="preserve"> </w:t>
      </w:r>
      <w:r>
        <w:rPr>
          <w:iCs/>
          <w:i/>
        </w:rPr>
        <w:t xml:space="preserve">Smith</w:t>
      </w:r>
      <w:r>
        <w:t xml:space="preserve"> </w:t>
      </w:r>
      <w:r>
        <w:t xml:space="preserve">appears below.</w:t>
      </w:r>
    </w:p>
    <w:p>
      <w:pPr>
        <w:pStyle w:val="HeadEnd"/>
      </w:pPr>
      <w:r>
        <w:t xml:space="preserve"> </w:t>
      </w:r>
    </w:p>
    <w:p>
      <w:pPr>
        <w:pStyle w:val="BodyText"/>
      </w:pPr>
      <w:r>
        <w:t xml:space="preserve">A shareholder of a Missouri corporation sued the company's directors and officers seeking a court order enjoining them from inducing the corporation to buy bonds issued by the United States.  The plaintiff's theory was that the decision to induce the corporation to buy federal Treasury bonds violated the directors and officers' duty to make good decisions on the corporation's behalf because the federal Treasury bonds were worthless and would never be repaid.  The Treasury bonds were worthless, according to the shareholder plaintiff, because the Constitution did not authorize the United States to issue bonds, so the congressional statute purporting to authorize those bonds was unconstitutional.  State, not federal, law created the cause of action that authorized a shareholder to sue directors and officers to enjoin them from inducing a corporation to make ill-advised business decisions.  Despite the fact that state law created the cause of action, the Supreme Court held that the action arose under federal law for the purposes of 28 U.S.C. § 1331. The majority wrote:</w:t>
      </w:r>
    </w:p>
    <w:p>
      <w:pPr>
        <w:pStyle w:val="BodyText"/>
      </w:pPr>
      <w:r>
        <w:t xml:space="preserve">"The general rule is that where it appears from the [complaint] that the right to relief depends upon the construction or application of the Constitution or laws of the United States and that such federal claim is not merely colorable and rests upon a reasonable foundation, the District Court has jurisdiction</w:t>
      </w:r>
      <w:r>
        <w:t xml:space="preserve"> </w:t>
      </w:r>
      <w:r>
        <w:rPr>
          <w:rStyle w:val="Elision"/>
        </w:rPr>
        <w:t xml:space="preserve">[ … ]</w:t>
      </w:r>
      <w:r>
        <w:t xml:space="preserve">"</w:t>
      </w:r>
    </w:p>
    <w:p>
      <w:pPr>
        <w:pStyle w:val="NodeEnd"/>
      </w:pPr>
      <w:r>
        <w:t xml:space="preserve"> </w:t>
      </w:r>
    </w:p>
    <w:p>
      <w:pPr>
        <w:pStyle w:val="NodeStart"/>
      </w:pPr>
      <w:r>
        <w:t xml:space="preserve"> </w:t>
      </w:r>
    </w:p>
    <w:p>
      <w:pPr>
        <w:pStyle w:val="HeadSeparator"/>
      </w:pPr>
      <w:r>
        <w:t xml:space="preserve"> </w:t>
      </w:r>
    </w:p>
    <w:bookmarkStart w:id="18" w:name="_auto_toc_18"/>
    <w:bookmarkEnd w:id="18"/>
    <w:p>
      <w:pPr>
        <w:pStyle w:val="ResourceNumber"/>
      </w:pPr>
      <w:r>
        <w:t xml:space="preserve">1.15</w:t>
      </w:r>
    </w:p>
    <w:p>
      <w:pPr>
        <w:pStyle w:val="ResourceTitle"/>
      </w:pPr>
      <w:r>
        <w:t xml:space="preserve">Moore v. Chesapeake &amp; Ohio Railway Co., 291 U.S. 205 (1934)</w:t>
      </w:r>
    </w:p>
    <w:p>
      <w:pPr>
        <w:pStyle w:val="HeadFieldSeparator"/>
      </w:pPr>
      <w:r>
        <w:t xml:space="preserve"> </w:t>
      </w:r>
    </w:p>
    <w:p>
      <w:pPr>
        <w:pStyle w:val="ResourceHeadnote"/>
      </w:pPr>
      <w:r>
        <w:rPr>
          <w:iCs/>
          <w:i/>
        </w:rPr>
        <w:t xml:space="preserve">Smith</w:t>
      </w:r>
      <w:r>
        <w:t xml:space="preserve"> </w:t>
      </w:r>
      <w:r>
        <w:t xml:space="preserve">suggested that sometimes a federal district court had arising under jurisdiction even when the plaintiff did not assert a federally created cause of action. But it provided little guidance as to when this exception applied. The Supreme Court decided several cases in this area, and for a while, those cases made matters more, not less, confusing.</w:t>
      </w:r>
    </w:p>
    <w:p>
      <w:pPr>
        <w:pStyle w:val="ResourceHeadnote"/>
      </w:pPr>
      <w:r>
        <w:t xml:space="preserve">A summary of one case, Moore v. Chesapeake, appears below. Is</w:t>
      </w:r>
      <w:r>
        <w:t xml:space="preserve"> </w:t>
      </w:r>
      <w:r>
        <w:rPr>
          <w:iCs/>
          <w:i/>
        </w:rPr>
        <w:t xml:space="preserve">Moore</w:t>
      </w:r>
      <w:r>
        <w:t xml:space="preserve"> </w:t>
      </w:r>
      <w:r>
        <w:t xml:space="preserve">like</w:t>
      </w:r>
      <w:r>
        <w:t xml:space="preserve"> </w:t>
      </w:r>
      <w:r>
        <w:rPr>
          <w:iCs/>
          <w:i/>
        </w:rPr>
        <w:t xml:space="preserve">Smith</w:t>
      </w:r>
      <w:r>
        <w:t xml:space="preserve">? Or is it a straightforward application of</w:t>
      </w:r>
      <w:r>
        <w:t xml:space="preserve"> </w:t>
      </w:r>
      <w:r>
        <w:rPr>
          <w:iCs/>
          <w:i/>
        </w:rPr>
        <w:t xml:space="preserve">Mottley</w:t>
      </w:r>
      <w:r>
        <w:t xml:space="preserve">?</w:t>
      </w:r>
    </w:p>
    <w:p>
      <w:pPr>
        <w:pStyle w:val="HeadEnd"/>
      </w:pPr>
      <w:r>
        <w:t xml:space="preserve"> </w:t>
      </w:r>
    </w:p>
    <w:p>
      <w:pPr>
        <w:pStyle w:val="BodyText"/>
      </w:pPr>
      <w:r>
        <w:t xml:space="preserve">Moore, a railroad switchman, was injured while attempting to uncouple freight cars. Because the injury occurred while the plaintiff working on an intrastate railroad, and because the railroad was a state corporation, Moore had no federally created cause of action to assert. Instead, he used the cause of action provided by the Kentucky Employer’s Liability Act, which allowed him to sue his employer if the employer's negligence caused his injury.  Moore sued in federal district court, asserting that the court had arising under jurisdiction.  The railroad defended on multiple grounds.  First, it contested federal court subject matter jurisdiction.  Second, it argued that Moore's own negligence was partially responsible for the accident.  Third, it argued that Moore assumed the risk of this kind of accident when he took the job as a switchman. In response to the second and third defenses, Moore argued that the railroad had violated the Federal Safety Appliance Act, and that the violation of that federal statute “preclud[ed] the defense of contributory negligence as well as that of assumption of risk.” This alleged violation of a federal statute, Moore argued, also allowed a federal district court to exercise arising under jurisdiction.  The Supreme Court found that arising under jurisdiction did not exist:</w:t>
      </w:r>
    </w:p>
    <w:p>
      <w:pPr>
        <w:pStyle w:val="BodyText"/>
      </w:pPr>
      <w:r>
        <w:t xml:space="preserve">"But it does not follow that a suit brought under a state statute that defines liability to employees who are injured while engaged in intrastate commerce and brings within the purview of the statute a breach of the duty imposed by the federal statute should be regarded as a suit arising under the laws of the United States and cognizable in federal court in the absence of diversity of citizenship."</w:t>
      </w:r>
    </w:p>
    <w:p>
      <w:pPr>
        <w:pStyle w:val="BodyText"/>
      </w:pPr>
      <w:r>
        <w:t xml:space="preserve">How does the situation in </w:t>
      </w:r>
      <w:r>
        <w:rPr>
          <w:iCs/>
          <w:i/>
        </w:rPr>
        <w:t xml:space="preserve">Moore</w:t>
      </w:r>
      <w:r>
        <w:t xml:space="preserve"> </w:t>
      </w:r>
      <w:r>
        <w:t xml:space="preserve">differ from that in </w:t>
      </w:r>
      <w:r>
        <w:rPr>
          <w:iCs/>
          <w:i/>
        </w:rPr>
        <w:t xml:space="preserve">Smith</w:t>
      </w:r>
      <w:r>
        <w:t xml:space="preserve">?</w:t>
      </w:r>
    </w:p>
    <w:p>
      <w:pPr>
        <w:pStyle w:val="NodeEnd"/>
      </w:pPr>
      <w:r>
        <w:t xml:space="preserve"> </w:t>
      </w:r>
    </w:p>
    <w:p>
      <w:pPr>
        <w:pStyle w:val="NodeStart"/>
      </w:pPr>
      <w:r>
        <w:t xml:space="preserve"> </w:t>
      </w:r>
    </w:p>
    <w:p>
      <w:pPr>
        <w:pStyle w:val="HeadSeparator"/>
      </w:pPr>
      <w:r>
        <w:t xml:space="preserve"> </w:t>
      </w:r>
    </w:p>
    <w:bookmarkStart w:id="19" w:name="_auto_toc_19"/>
    <w:bookmarkEnd w:id="19"/>
    <w:p>
      <w:pPr>
        <w:pStyle w:val="ResourceNumber"/>
      </w:pPr>
      <w:r>
        <w:t xml:space="preserve">1.16</w:t>
      </w:r>
    </w:p>
    <w:p>
      <w:pPr>
        <w:pStyle w:val="ResourceTitle"/>
      </w:pPr>
      <w:r>
        <w:t xml:space="preserve">Grable &amp; Sons Metal Products, Inc. v. Darue Engineering &amp; Manufacturing</w:t>
      </w:r>
    </w:p>
    <w:p>
      <w:pPr>
        <w:pStyle w:val="HeadFieldSeparator"/>
      </w:pPr>
      <w:r>
        <w:t xml:space="preserve"> </w:t>
      </w:r>
    </w:p>
    <w:p>
      <w:pPr>
        <w:pStyle w:val="ResourceHeadnote"/>
      </w:pPr>
      <w:r>
        <w:t xml:space="preserve">After</w:t>
      </w:r>
      <w:r>
        <w:t xml:space="preserve"> </w:t>
      </w:r>
      <w:r>
        <w:rPr>
          <w:iCs/>
          <w:i/>
        </w:rPr>
        <w:t xml:space="preserve">Smith</w:t>
      </w:r>
      <w:r>
        <w:t xml:space="preserve"> </w:t>
      </w:r>
      <w:r>
        <w:t xml:space="preserve">and</w:t>
      </w:r>
      <w:r>
        <w:t xml:space="preserve"> </w:t>
      </w:r>
      <w:r>
        <w:rPr>
          <w:iCs/>
          <w:i/>
        </w:rPr>
        <w:t xml:space="preserve">Moore</w:t>
      </w:r>
      <w:r>
        <w:t xml:space="preserve">, the law of what we now call the Smith-Grable exception was unclear, and lower federal courts struggled.</w:t>
      </w:r>
    </w:p>
    <w:p>
      <w:pPr>
        <w:pStyle w:val="ResourceHeadnote"/>
      </w:pPr>
      <w:r>
        <w:t xml:space="preserve">The Supreme Court made matters worse, far worse, in a case called</w:t>
      </w:r>
      <w:r>
        <w:t xml:space="preserve"> </w:t>
      </w:r>
      <w:r>
        <w:rPr>
          <w:iCs/>
          <w:i/>
        </w:rPr>
        <w:t xml:space="preserve">Merrell Dow Pharmaceuticals, Inc. v. Thompson</w:t>
      </w:r>
      <w:r>
        <w:t xml:space="preserve">, 478 U.S. 804 (1986). In</w:t>
      </w:r>
      <w:r>
        <w:t xml:space="preserve"> </w:t>
      </w:r>
      <w:r>
        <w:rPr>
          <w:iCs/>
          <w:i/>
        </w:rPr>
        <w:t xml:space="preserve">Merrell Dow</w:t>
      </w:r>
      <w:r>
        <w:t xml:space="preserve">, the plaintiffs argued that a federal statute, although it did not say so explicitly, created an "implied" cause of action that they could use to sue the defendant, a drug company. The plaintiffs also asserted state law causes of action. The plaintiffs said that there was arising under jurisdiction because (i) the federal statute's implied cause of action was a real federal cause of action, so they could proceed under a</w:t>
      </w:r>
      <w:r>
        <w:t xml:space="preserve"> </w:t>
      </w:r>
      <w:r>
        <w:rPr>
          <w:iCs/>
          <w:i/>
        </w:rPr>
        <w:t xml:space="preserve">Mottley</w:t>
      </w:r>
      <w:r>
        <w:t xml:space="preserve"> </w:t>
      </w:r>
      <w:r>
        <w:t xml:space="preserve">theory, and, in the alternative, (ii) there was a federal issue embedded within their state causes of action, so this case was like</w:t>
      </w:r>
      <w:r>
        <w:t xml:space="preserve"> </w:t>
      </w:r>
      <w:r>
        <w:rPr>
          <w:iCs/>
          <w:i/>
        </w:rPr>
        <w:t xml:space="preserve">Smith</w:t>
      </w:r>
      <w:r>
        <w:t xml:space="preserve">. The Supreme Court spent pages upon pages rejecting the plaintiffs' first assertion, meaning that it held that the federal statute did NOT create an implied cause of action. So far, fine: the plaintiffs' theory (i) of arising under jurisdiction does not work. But then the Supreme Court wrote a lot of words that appeared to say the following: the fact that the federal statute did not create an implied cause of action meant also that the</w:t>
      </w:r>
      <w:r>
        <w:t xml:space="preserve"> </w:t>
      </w:r>
      <w:r>
        <w:rPr>
          <w:iCs/>
          <w:i/>
        </w:rPr>
        <w:t xml:space="preserve">Smith</w:t>
      </w:r>
      <w:r>
        <w:t xml:space="preserve"> </w:t>
      </w:r>
      <w:r>
        <w:t xml:space="preserve">exception (what we now call the "Smith-Grable" exception) did not apply, so the plaintiffs' theory (ii) also could not work.</w:t>
      </w:r>
    </w:p>
    <w:p>
      <w:pPr>
        <w:pStyle w:val="ResourceHeadnote"/>
      </w:pPr>
      <w:r>
        <w:t xml:space="preserve">That caused the lower courts a lot of confusion. Can you figure out why? Here's a hint: Isn't it always true when a plaintiff tries to use the Smith-Grable exception that the plaintiff lacks a federally created cause of action?</w:t>
      </w:r>
    </w:p>
    <w:p>
      <w:pPr>
        <w:pStyle w:val="ResourceHeadnote"/>
      </w:pPr>
      <w:r>
        <w:t xml:space="preserve">The result was a bit of a mess. The Supreme Court tried to clean up the mess in this case,</w:t>
      </w:r>
      <w:r>
        <w:t xml:space="preserve"> </w:t>
      </w:r>
      <w:r>
        <w:rPr>
          <w:iCs/>
          <w:i/>
        </w:rPr>
        <w:t xml:space="preserve">Grable</w:t>
      </w:r>
      <w:r>
        <w:t xml:space="preserve">. Notice that in the opinion below, the Supreme Court attempts to do a repair job on</w:t>
      </w:r>
      <w:r>
        <w:t xml:space="preserve"> </w:t>
      </w:r>
      <w:r>
        <w:rPr>
          <w:iCs/>
          <w:i/>
        </w:rPr>
        <w:t xml:space="preserve">Merrell Dow</w:t>
      </w:r>
      <w:r>
        <w:t xml:space="preserve">.</w:t>
      </w:r>
    </w:p>
    <w:p>
      <w:pPr>
        <w:pStyle w:val="HeadEnd"/>
      </w:pPr>
      <w:r>
        <w:t xml:space="preserve"> </w:t>
      </w:r>
    </w:p>
    <w:p>
      <w:pPr>
        <w:pStyle w:val="CaseHeader"/>
      </w:pPr>
      <w:r>
        <w:t xml:space="preserve">Supreme Court of the United States</w:t>
      </w:r>
    </w:p>
    <w:p>
      <w:pPr>
        <w:pStyle w:val="CaseHeader"/>
      </w:pPr>
      <w:r>
        <w:t xml:space="preserve">545 U.S. 308, 162 L. Ed. 2d 257, 125 S. Ct. 2363, 2005 U.S. LEXIS 4659, SCDB 2004-062</w:t>
      </w:r>
    </w:p>
    <w:p>
      <w:pPr>
        <w:pStyle w:val="CaseHeader"/>
      </w:pPr>
      <w:r>
        <w:t xml:space="preserve">No. 04-603</w:t>
      </w:r>
    </w:p>
    <w:p>
      <w:pPr>
        <w:pStyle w:val="CaseHeader"/>
      </w:pPr>
      <w:r>
        <w:t xml:space="preserve">2005-06-13</w:t>
      </w:r>
    </w:p>
    <w:p>
      <w:pPr>
        <w:pStyle w:val="CaseBody"/>
      </w:pPr>
      <w:r>
        <w:t xml:space="preserve">545 U.S. 308 (2005)</w:t>
      </w:r>
    </w:p>
    <w:p>
      <w:pPr>
        <w:pStyle w:val="CaseHeader"/>
      </w:pPr>
      <w:r>
        <w:t xml:space="preserve">GRABLE &amp; SONS METAL PRODUCTS, INC.</w:t>
      </w:r>
      <w:r>
        <w:br/>
      </w:r>
      <w:r>
        <w:t xml:space="preserve">v.</w:t>
      </w:r>
      <w:r>
        <w:br/>
      </w:r>
      <w:r>
        <w:t xml:space="preserve">DARUE ENGINEERING &amp; MANUFACTURING</w:t>
      </w:r>
    </w:p>
    <w:p>
      <w:pPr>
        <w:pStyle w:val="CaseBody"/>
      </w:pPr>
      <w:r>
        <w:t xml:space="preserve">No. 04-603.</w:t>
      </w:r>
    </w:p>
    <w:p>
      <w:pPr>
        <w:pStyle w:val="CaseBody"/>
      </w:pPr>
      <w:r>
        <w:t xml:space="preserve">Supreme Court of United States.</w:t>
      </w:r>
    </w:p>
    <w:p>
      <w:pPr>
        <w:pStyle w:val="CaseBody"/>
      </w:pPr>
      <w:r>
        <w:t xml:space="preserve">Argued April 18, 2005.</w:t>
      </w:r>
    </w:p>
    <w:p>
      <w:pPr>
        <w:pStyle w:val="CaseBody"/>
      </w:pPr>
      <w:r>
        <w:t xml:space="preserve">Decided June 13, 2005.</w:t>
      </w:r>
    </w:p>
    <w:p>
      <w:pPr>
        <w:pStyle w:val="CaseBody"/>
      </w:pPr>
      <w:r>
        <w:t xml:space="preserve">CERTIORARI TO THE UNITED STATES COURT OF APPEALS FOR THE SIXTH CIRCUIT</w:t>
      </w:r>
    </w:p>
    <w:p>
      <w:pPr>
        <w:pStyle w:val="CaseBody"/>
      </w:pPr>
      <w:r>
        <w:rPr>
          <w:rStyle w:val="Elision"/>
        </w:rPr>
        <w:t xml:space="preserve">[ … ]</w:t>
      </w:r>
      <w:r>
        <w:t xml:space="preserve">SOUTER, J., delivered the opinion for a unanimous Court. THOMAS, J., filed a concurring opinion,</w:t>
      </w:r>
      <w:r>
        <w:t xml:space="preserve"> </w:t>
      </w:r>
      <w:r>
        <w:rPr>
          <w:iCs/>
          <w:i/>
        </w:rPr>
        <w:t xml:space="preserve">post,</w:t>
      </w:r>
      <w:r>
        <w:t xml:space="preserve"> </w:t>
      </w:r>
      <w:r>
        <w:t xml:space="preserve">p. 320.</w:t>
      </w:r>
    </w:p>
    <w:p>
      <w:pPr>
        <w:pStyle w:val="CaseBody"/>
      </w:pPr>
      <w:r>
        <w:rPr>
          <w:rStyle w:val="Elision"/>
        </w:rPr>
        <w:t xml:space="preserve">[ … ]</w:t>
      </w:r>
    </w:p>
    <w:bookmarkStart w:id="33" w:name="X58f585e7c3e32e1ef871fdc1bd6bced6f3d4309"/>
    <w:p>
      <w:pPr>
        <w:pStyle w:val="Heading2"/>
      </w:pPr>
      <w:r>
        <w:t xml:space="preserve">JUSTICE SOUTER delivered the opinion of the Court.</w:t>
      </w:r>
    </w:p>
    <w:p>
      <w:pPr>
        <w:pStyle w:val="CaseBody"/>
      </w:pPr>
      <w:r>
        <w:t xml:space="preserve">The question is whether want of a federal cause of action to try claims of title to land obtained at a federal tax sale precludes removal to federal court of a state action with nondiverse parties raising a disputed issue of federal title law. We answer no, and hold that the national interest in providing a federal forum for federal tax litigation is sufficiently substantial to support the exercise of federal-question jurisdiction over the disputed issue on removal, which would not distort any division of labor between the state and federal courts, provided or assumed by Congress.</w:t>
      </w:r>
    </w:p>
    <w:bookmarkEnd w:id="33"/>
    <w:bookmarkStart w:id="34" w:name="i"/>
    <w:p>
      <w:pPr>
        <w:pStyle w:val="Heading2"/>
      </w:pPr>
      <w:r>
        <w:t xml:space="preserve">I</w:t>
      </w:r>
    </w:p>
    <w:p>
      <w:pPr>
        <w:pStyle w:val="CaseBody"/>
      </w:pPr>
      <w:r>
        <w:rPr>
          <w:rStyle w:val="ReplacementText"/>
        </w:rPr>
        <w:t xml:space="preserve">[T]</w:t>
      </w:r>
      <w:r>
        <w:t xml:space="preserve">he Internal Revenue Service seized Michigan real property belonging to petitioner Grable &amp; Sons Metal Products, Inc., to satisfy Grable's federal tax delinquency.</w:t>
      </w:r>
      <w:r>
        <w:t xml:space="preserve"> </w:t>
      </w:r>
      <w:r>
        <w:rPr>
          <w:rStyle w:val="ReplacementText"/>
        </w:rPr>
        <w:t xml:space="preserve">A federal statute</w:t>
      </w:r>
      <w:r>
        <w:t xml:space="preserve"> </w:t>
      </w:r>
      <w:r>
        <w:t xml:space="preserve">required the IRS to give notice of the seizure, and there is no dispute that Grable received actual notice by certified mail before the IRS sold the property to respondent Darue Engineering &amp; Manufacturing. Although Grable also received notice of the sale itself, it did not exercise its statutory right to redeem the property within 180 days of the sale,</w:t>
      </w:r>
      <w:r>
        <w:t xml:space="preserve"> </w:t>
      </w:r>
      <w:r>
        <w:rPr>
          <w:rStyle w:val="Elision"/>
        </w:rPr>
        <w:t xml:space="preserve">[ … ]</w:t>
      </w:r>
      <w:r>
        <w:t xml:space="preserve">and after that period</w:t>
      </w:r>
      <w:r>
        <w:t xml:space="preserve"> </w:t>
      </w:r>
      <w:r>
        <w:rPr>
          <w:rStyle w:val="Elision"/>
        </w:rPr>
        <w:t xml:space="preserve">[ … ]</w:t>
      </w:r>
      <w:r>
        <w:t xml:space="preserve">had passed, the Government</w:t>
      </w:r>
      <w:r>
        <w:t xml:space="preserve"> </w:t>
      </w:r>
      <w:r>
        <w:t xml:space="preserve">gave Darue a quitclaim deed</w:t>
      </w:r>
      <w:r>
        <w:rPr>
          <w:rStyle w:val="Elision"/>
        </w:rPr>
        <w:t xml:space="preserve">[ … ]</w:t>
      </w:r>
      <w:r>
        <w:rPr>
          <w:rStyle w:val="FootnoteReference"/>
        </w:rPr>
        <w:footnoteReference w:customMarkFollows="1" w:id="3"/>
        <w:t xml:space="preserve">*</w:t>
      </w:r>
      <w:r>
        <w:t xml:space="preserve">.</w:t>
      </w:r>
    </w:p>
    <w:p>
      <w:pPr>
        <w:pStyle w:val="CaseBody"/>
      </w:pPr>
      <w:r>
        <w:t xml:space="preserve">Five years later, Grable brought a quiet title action in state court, claiming that Darue's record title was invalid because the IRS had failed to notify Grable of its seizure of the property in the exact manner required by</w:t>
      </w:r>
      <w:r>
        <w:t xml:space="preserve"> </w:t>
      </w:r>
      <w:r>
        <w:rPr>
          <w:rStyle w:val="ReplacementText"/>
        </w:rPr>
        <w:t xml:space="preserve">the land seizure statute</w:t>
      </w:r>
      <w:r>
        <w:t xml:space="preserve">, which provides that written notice must be "given by the</w:t>
      </w:r>
      <w:r>
        <w:t xml:space="preserve"> </w:t>
      </w:r>
      <w:r>
        <w:rPr>
          <w:rStyle w:val="ReplacementText"/>
        </w:rPr>
        <w:t xml:space="preserve">the IRS</w:t>
      </w:r>
      <w:r>
        <w:t xml:space="preserve">to the owner of the property [or] left at his usual place of abode or business." Grable said that the statute required personal service, not service by certified mail.</w:t>
      </w:r>
    </w:p>
    <w:p>
      <w:pPr>
        <w:pStyle w:val="CaseBody"/>
      </w:pPr>
      <w:r>
        <w:t xml:space="preserve">Darue removed the case to Federal District Court as presenting a federal question, because the claim of title depended on the interpretation of the notice statute in the federal tax law. The District Court declined to remand the case at Grable's behest after finding that the "claim does pose a `significant question of federal law,"</w:t>
      </w:r>
      <w:r>
        <w:t xml:space="preserve"> </w:t>
      </w:r>
      <w:r>
        <w:rPr>
          <w:rStyle w:val="Elision"/>
        </w:rPr>
        <w:t xml:space="preserve">[ … ]</w:t>
      </w:r>
      <w:r>
        <w:t xml:space="preserve"> </w:t>
      </w:r>
      <w:r>
        <w:t xml:space="preserve">and ruling that Grable's lack of a federal right of action to enforce its claim against Darue did not bar the exercise of federal jurisdiction. On the merits, the court granted summary judgment to Darue, holding that although</w:t>
      </w:r>
      <w:r>
        <w:t xml:space="preserve"> </w:t>
      </w:r>
      <w:r>
        <w:rPr>
          <w:rStyle w:val="ReplacementText"/>
        </w:rPr>
        <w:t xml:space="preserve">federal tax law</w:t>
      </w:r>
      <w:r>
        <w:t xml:space="preserve"> </w:t>
      </w:r>
      <w:r>
        <w:t xml:space="preserve">by its terms required personal service, substantial compliance with the statute was enough. 207 F. Supp. 2d 694 (WD Mich. 2002).</w:t>
      </w:r>
    </w:p>
    <w:p>
      <w:pPr>
        <w:pStyle w:val="CaseBody"/>
      </w:pPr>
      <w:r>
        <w:t xml:space="preserve">The Court of Appeals for the Sixth Circuit affirmed. 377 F. 3d 592 (2004).</w:t>
      </w:r>
      <w:r>
        <w:rPr>
          <w:rStyle w:val="Elision"/>
        </w:rPr>
        <w:t xml:space="preserve">[ … ]</w:t>
      </w:r>
      <w:r>
        <w:t xml:space="preserve">We granted certiorari on the jurisdictional question alone,</w:t>
      </w:r>
      <w:hyperlink w:anchor="X5a310577e8d029e390a57e1b4d34b13e4dd0a92">
        <w:r>
          <w:rPr>
            <w:rStyle w:val="Hyperlink"/>
            <w:vertAlign w:val="superscript"/>
          </w:rPr>
          <w:t xml:space="preserve">[2]</w:t>
        </w:r>
      </w:hyperlink>
      <w:r>
        <w:t xml:space="preserve"> </w:t>
      </w:r>
      <w:r>
        <w:rPr>
          <w:rStyle w:val="Elision"/>
        </w:rPr>
        <w:t xml:space="preserve">[ … ]</w:t>
      </w:r>
      <w:r>
        <w:t xml:space="preserve"> </w:t>
      </w:r>
      <w:r>
        <w:t xml:space="preserve">to resolve a split within the Courts of Appeals on whether</w:t>
      </w:r>
      <w:r>
        <w:t xml:space="preserve"> </w:t>
      </w:r>
      <w:r>
        <w:rPr>
          <w:iCs/>
          <w:i/>
        </w:rPr>
        <w:t xml:space="preserve">Merrell Dow Pharmaceuticals Inc.</w:t>
      </w:r>
      <w:r>
        <w:t xml:space="preserve"> </w:t>
      </w:r>
      <w:r>
        <w:t xml:space="preserve">v.</w:t>
      </w:r>
      <w:r>
        <w:t xml:space="preserve"> </w:t>
      </w:r>
      <w:r>
        <w:rPr>
          <w:iCs/>
          <w:i/>
        </w:rPr>
        <w:t xml:space="preserve">Thompson</w:t>
      </w:r>
      <w:r>
        <w:rPr>
          <w:rStyle w:val="Elision"/>
        </w:rPr>
        <w:t xml:space="preserve">[ … ]</w:t>
      </w:r>
      <w:r>
        <w:t xml:space="preserve">, always requires</w:t>
      </w:r>
      <w:r>
        <w:rPr>
          <w:rStyle w:val="Elision"/>
        </w:rPr>
        <w:t xml:space="preserve">[ … ]</w:t>
      </w:r>
      <w:r>
        <w:t xml:space="preserve"> </w:t>
      </w:r>
      <w:r>
        <w:t xml:space="preserve">a federal cause of action as a condition for exercising federal-question jurisdiction.</w:t>
      </w:r>
      <w:hyperlink w:anchor="X2aaf41d6f30b970cf76436320df55f26971a459">
        <w:r>
          <w:rPr>
            <w:rStyle w:val="Hyperlink"/>
            <w:vertAlign w:val="superscript"/>
          </w:rPr>
          <w:t xml:space="preserve">[3]</w:t>
        </w:r>
      </w:hyperlink>
      <w:r>
        <w:t xml:space="preserve"> </w:t>
      </w:r>
      <w:r>
        <w:t xml:space="preserve">We now affirm.</w:t>
      </w:r>
    </w:p>
    <w:bookmarkEnd w:id="34"/>
    <w:bookmarkStart w:id="35" w:name="ii"/>
    <w:p>
      <w:pPr>
        <w:pStyle w:val="Heading2"/>
      </w:pPr>
      <w:r>
        <w:t xml:space="preserve">II</w:t>
      </w:r>
    </w:p>
    <w:p>
      <w:pPr>
        <w:pStyle w:val="CaseBody"/>
      </w:pPr>
      <w:r>
        <w:t xml:space="preserve">Darue was entitled to remove the quiet title action if Grable could have brought it in federal district court originally, 28 U. S. C. § 1441(a), as a civil action "arising under the Constitution, laws, or treaties of the United States," § 1331. This provision for federal-question jurisdiction is invoked by and large by plaintiffs pleading a cause of action created by federal law (</w:t>
      </w:r>
      <w:r>
        <w:rPr>
          <w:iCs/>
          <w:i/>
        </w:rPr>
        <w:t xml:space="preserve">e. g.,</w:t>
      </w:r>
      <w:r>
        <w:t xml:space="preserve"> </w:t>
      </w:r>
      <w:r>
        <w:t xml:space="preserve">claims under 42 U. S. C. § 1983). There is, however, another longstanding, if less frequently encountered, variety of federal "arising under" jurisdiction, this Court having recognized for nearly 100 years that in certain cases federal-question jurisdiction will lie over state-law claims that implicate significant federal issues.</w:t>
      </w:r>
      <w:r>
        <w:t xml:space="preserve"> </w:t>
      </w:r>
      <w:r>
        <w:rPr>
          <w:rStyle w:val="Elision"/>
        </w:rPr>
        <w:t xml:space="preserve">[ … ]</w:t>
      </w:r>
      <w:r>
        <w:t xml:space="preserve"> </w:t>
      </w:r>
      <w:r>
        <w:t xml:space="preserve">The doctrine captures the commonsense notion that a federal court ought to be able to hear claims recognized under state law that nonetheless turn on substantial questions of federal law, and thus justify resort to the experience, solicitude, and hope of uniformity that a federal forum offers on federal issues</w:t>
      </w:r>
      <w:r>
        <w:rPr>
          <w:rStyle w:val="Elision"/>
        </w:rPr>
        <w:t xml:space="preserve">[ … ]</w:t>
      </w:r>
      <w:r>
        <w:t xml:space="preserve">.</w:t>
      </w:r>
    </w:p>
    <w:p>
      <w:pPr>
        <w:pStyle w:val="CaseBody"/>
      </w:pPr>
      <w:r>
        <w:t xml:space="preserve">The classic example is</w:t>
      </w:r>
      <w:r>
        <w:t xml:space="preserve"> </w:t>
      </w:r>
      <w:r>
        <w:rPr>
          <w:iCs/>
          <w:i/>
        </w:rPr>
        <w:t xml:space="preserve">Smith</w:t>
      </w:r>
      <w:r>
        <w:t xml:space="preserve"> </w:t>
      </w:r>
      <w:r>
        <w:t xml:space="preserve">v.</w:t>
      </w:r>
      <w:r>
        <w:t xml:space="preserve"> </w:t>
      </w:r>
      <w:r>
        <w:rPr>
          <w:iCs/>
          <w:i/>
        </w:rPr>
        <w:t xml:space="preserve">Kansas City Title &amp; Trust Co.,</w:t>
      </w:r>
      <w:r>
        <w:t xml:space="preserve"> </w:t>
      </w:r>
      <w:r>
        <w:rPr>
          <w:rStyle w:val="Elision"/>
        </w:rPr>
        <w:t xml:space="preserve">[ … ]</w:t>
      </w:r>
      <w:r>
        <w:t xml:space="preserve">, a suit by a shareholder claiming that the defendant corporation could not lawfully buy certain bonds of the National Government because their issuance was unconstitutional. Although Missouri law provided the cause of action, the Court recognized federal-question jurisdiction because the principal issue in the case was the federal constitutionality of the bond issue.</w:t>
      </w:r>
      <w:r>
        <w:t xml:space="preserve"> </w:t>
      </w:r>
      <w:r>
        <w:rPr>
          <w:iCs/>
          <w:i/>
        </w:rPr>
        <w:t xml:space="preserve">Smith</w:t>
      </w:r>
      <w:r>
        <w:t xml:space="preserve"> </w:t>
      </w:r>
      <w:r>
        <w:t xml:space="preserve">thus held, in a</w:t>
      </w:r>
      <w:r>
        <w:t xml:space="preserve"> </w:t>
      </w:r>
      <w:r>
        <w:rPr>
          <w:rStyle w:val="Elision"/>
        </w:rPr>
        <w:t xml:space="preserve">[ … ]</w:t>
      </w:r>
      <w:r>
        <w:t xml:space="preserve">somewhat generous statement of the scope of the doctrine, that a state-law claim could give rise to federal-question jurisdiction so long as it "appears from the [complaint] that the right to relief depends upon the construction or application of [federal law]."</w:t>
      </w:r>
      <w:r>
        <w:t xml:space="preserve"> </w:t>
      </w:r>
      <w:r>
        <w:rPr>
          <w:rStyle w:val="Elision"/>
        </w:rPr>
        <w:t xml:space="preserve">[ … ]</w:t>
      </w:r>
    </w:p>
    <w:p>
      <w:pPr>
        <w:pStyle w:val="CaseBody"/>
      </w:pPr>
      <w:r>
        <w:t xml:space="preserve">The</w:t>
      </w:r>
      <w:r>
        <w:t xml:space="preserve"> </w:t>
      </w:r>
      <w:r>
        <w:rPr>
          <w:iCs/>
          <w:i/>
        </w:rPr>
        <w:t xml:space="preserve">Smith</w:t>
      </w:r>
      <w:r>
        <w:t xml:space="preserve"> </w:t>
      </w:r>
      <w:r>
        <w:t xml:space="preserve">statement has been subject to some trimming to fit earlier and later cases recognizing the vitality of the basic doctrine, but shying away from the expansive view that mere need to apply federal law in a state-law claim will suffice to open the "arising under" door. As early as 1912, this Court had confined federal-question jurisdiction over state-law claims to those that "really and substantially involv[e] a dispute or controversy respecting the validity, construction or effect of [federal] law."</w:t>
      </w:r>
      <w:r>
        <w:t xml:space="preserve"> </w:t>
      </w:r>
      <w:r>
        <w:rPr>
          <w:rStyle w:val="Elision"/>
        </w:rPr>
        <w:t xml:space="preserve">[ … ]</w:t>
      </w:r>
      <w:r>
        <w:t xml:space="preserve">This limitation was the ancestor of Justice Cardozo's later explanation that a request to exercise federal-question jurisdiction over a state action calls for a "common-sense accommodation of judgment to [the] kaleidoscopic situations" that present a federal issue, in "a selective process which picks the substantial causes out of the web and lays the other ones aside."</w:t>
      </w:r>
      <w:r>
        <w:t xml:space="preserve"> </w:t>
      </w:r>
      <w:r>
        <w:rPr>
          <w:rStyle w:val="Elision"/>
        </w:rPr>
        <w:t xml:space="preserve">[ … ]</w:t>
      </w:r>
      <w:r>
        <w:t xml:space="preserve"> </w:t>
      </w:r>
      <w:r>
        <w:t xml:space="preserve">It has in fact become a constant refrain in such cases that federal jurisdiction demands not only a contested federal issue, but a substantial one, indicating a serious federal interest in claiming the advantages thought to be inherent in a federal forum.</w:t>
      </w:r>
      <w:r>
        <w:t xml:space="preserve"> </w:t>
      </w:r>
      <w:r>
        <w:rPr>
          <w:rStyle w:val="Elision"/>
        </w:rPr>
        <w:t xml:space="preserve">[ … ]</w:t>
      </w:r>
    </w:p>
    <w:p>
      <w:pPr>
        <w:pStyle w:val="CaseBody"/>
      </w:pPr>
      <w:r>
        <w:t xml:space="preserve">But even when the state action discloses a contested and substantial federal question, the exercise of federal jurisdiction is subject to a possible veto. For the federal issue will ultimately qualify for a federal forum only if federal jurisdiction is consistent with congressional judgment about the sound division of labor between state and federal courts governing</w:t>
      </w:r>
      <w:r>
        <w:t xml:space="preserve"> </w:t>
      </w:r>
      <w:r>
        <w:rPr>
          <w:rStyle w:val="Elision"/>
        </w:rPr>
        <w:t xml:space="preserve">[ … ]</w:t>
      </w:r>
      <w:r>
        <w:t xml:space="preserve"> </w:t>
      </w:r>
      <w:r>
        <w:t xml:space="preserve">the application of § 1331.</w:t>
      </w:r>
      <w:r>
        <w:t xml:space="preserve"> </w:t>
      </w:r>
      <w:r>
        <w:rPr>
          <w:rStyle w:val="Elision"/>
        </w:rPr>
        <w:t xml:space="preserve">[ … ]</w:t>
      </w:r>
      <w:r>
        <w:t xml:space="preserve"> </w:t>
      </w:r>
      <w:r>
        <w:t xml:space="preserve">Because arising-under jurisdiction to hear a state-law claim always raises the possibility of upsetting the state-federal line drawn (or at least assumed) by Congress, the presence of a disputed federal issue and the ostensible importance of a federal forum are never necessarily dispositive; there must always be an assessment of any disruptive portent in exercising federal jurisdiction.</w:t>
      </w:r>
      <w:r>
        <w:t xml:space="preserve"> </w:t>
      </w:r>
      <w:r>
        <w:rPr>
          <w:rStyle w:val="Elision"/>
        </w:rPr>
        <w:t xml:space="preserve">[ … ]</w:t>
      </w:r>
    </w:p>
    <w:p>
      <w:pPr>
        <w:pStyle w:val="CaseBody"/>
      </w:pPr>
      <w:r>
        <w:t xml:space="preserve">These considerations have kept us from stating a "single, precise, all-embracing" test for jurisdiction over federal issues embedded in state-law claims between nondiverse parties.</w:t>
      </w:r>
      <w:r>
        <w:t xml:space="preserve"> </w:t>
      </w:r>
      <w:r>
        <w:rPr>
          <w:rStyle w:val="Elision"/>
        </w:rPr>
        <w:t xml:space="preserve">[ … ]</w:t>
      </w:r>
      <w:r>
        <w:t xml:space="preserve">We have not kept them out simply because they appeared in state raiment, as Justice Holmes would have done, see</w:t>
      </w:r>
      <w:r>
        <w:t xml:space="preserve"> </w:t>
      </w:r>
      <w:r>
        <w:rPr>
          <w:iCs/>
          <w:i/>
        </w:rPr>
        <w:t xml:space="preserve">Smith, supra,</w:t>
      </w:r>
      <w:r>
        <w:t xml:space="preserve"> </w:t>
      </w:r>
      <w:r>
        <w:t xml:space="preserve">at 214 (dissenting opinion), but neither have we treated "federal issue" as a password opening federal courts to any state action embracing a point of federal law. Instead, the question is, does a state-law claim necessarily raise a stated federal issue, actually disputed and substantial, which a federal forum may entertain without disturbing any congressionally approved balance of federal and state judicial responsibilities.</w:t>
      </w:r>
    </w:p>
    <w:bookmarkEnd w:id="35"/>
    <w:bookmarkStart w:id="36" w:name="iii"/>
    <w:p>
      <w:pPr>
        <w:pStyle w:val="Heading2"/>
      </w:pPr>
      <w:r>
        <w:t xml:space="preserve">III</w:t>
      </w:r>
    </w:p>
    <w:bookmarkEnd w:id="36"/>
    <w:bookmarkStart w:id="37" w:name="a"/>
    <w:p>
      <w:pPr>
        <w:pStyle w:val="Heading2"/>
      </w:pPr>
      <w:r>
        <w:t xml:space="preserve">A</w:t>
      </w:r>
    </w:p>
    <w:p>
      <w:pPr>
        <w:pStyle w:val="CaseBody"/>
      </w:pPr>
      <w:r>
        <w:t xml:space="preserve">This case warrants federal jurisdiction.</w:t>
      </w:r>
      <w:r>
        <w:t xml:space="preserve"> </w:t>
      </w:r>
      <w:r>
        <w:rPr>
          <w:rStyle w:val="Elision"/>
        </w:rPr>
        <w:t xml:space="preserve">[ … ]</w:t>
      </w:r>
      <w:r>
        <w:t xml:space="preserve">Grable has premised its superior title claim on a failure by the IRS to give it adequate notice, as defined by federal</w:t>
      </w:r>
      <w:r>
        <w:t xml:space="preserve"> </w:t>
      </w:r>
      <w:r>
        <w:rPr>
          <w:rStyle w:val="Elision"/>
        </w:rPr>
        <w:t xml:space="preserve">[ … ]</w:t>
      </w:r>
      <w:r>
        <w:t xml:space="preserve"> </w:t>
      </w:r>
      <w:r>
        <w:t xml:space="preserve">law. Whether Grable was given notice within the meaning of the federal statute is thus an essential element of its quiet title claim, and the meaning of the federal statute is actually in dispute; it appears to be the only legal or factual issue contested in the case. The meaning of the federal tax provision is an important issue of federal law that sensibly belongs in a federal court. The Government has a strong interest in the "prompt and certain collection of delinquent taxes,"</w:t>
      </w:r>
      <w:r>
        <w:t xml:space="preserve"> </w:t>
      </w:r>
      <w:r>
        <w:rPr>
          <w:rStyle w:val="Elision"/>
        </w:rPr>
        <w:t xml:space="preserve">[ … ]</w:t>
      </w:r>
      <w:r>
        <w:t xml:space="preserve"> </w:t>
      </w:r>
      <w:r>
        <w:t xml:space="preserve">and the ability of the IRS to satisfy its claims from the property of delinquents requires clear terms of notice to allow buyers like Darue to satisfy themselves that the Service has touched the bases necessary for good title. The Government thus has a direct interest in the availability of a federal forum to vindicate its own administrative action, and buyers (as well as tax delinquents) may find it valuable to come before judges used to federal tax matters. Finally, because it will be the rare state title case that raises a contested matter of federal law, federal jurisdiction to resolve genuine disagreement over federal tax title provisions will portend only a microscopic effect on the federal-state division of labor. See n. 3,</w:t>
      </w:r>
      <w:r>
        <w:t xml:space="preserve"> </w:t>
      </w:r>
      <w:r>
        <w:rPr>
          <w:iCs/>
          <w:i/>
        </w:rPr>
        <w:t xml:space="preserve">infra.</w:t>
      </w:r>
    </w:p>
    <w:p>
      <w:pPr>
        <w:pStyle w:val="CaseBody"/>
      </w:pPr>
      <w:r>
        <w:rPr>
          <w:rStyle w:val="Elision"/>
        </w:rPr>
        <w:t xml:space="preserve">[ … ]</w:t>
      </w:r>
    </w:p>
    <w:bookmarkEnd w:id="37"/>
    <w:bookmarkStart w:id="38" w:name="b"/>
    <w:p>
      <w:pPr>
        <w:pStyle w:val="Heading2"/>
      </w:pPr>
      <w:r>
        <w:t xml:space="preserve">B</w:t>
      </w:r>
    </w:p>
    <w:p>
      <w:pPr>
        <w:pStyle w:val="CaseBody"/>
      </w:pPr>
      <w:r>
        <w:rPr>
          <w:iCs/>
          <w:i/>
        </w:rPr>
        <w:t xml:space="preserve">Merrell Dow Pharmaceuticals Inc.</w:t>
      </w:r>
      <w:r>
        <w:t xml:space="preserve"> </w:t>
      </w:r>
      <w:r>
        <w:t xml:space="preserve">v.</w:t>
      </w:r>
      <w:r>
        <w:t xml:space="preserve"> </w:t>
      </w:r>
      <w:r>
        <w:rPr>
          <w:iCs/>
          <w:i/>
        </w:rPr>
        <w:t xml:space="preserve">Thompson,</w:t>
      </w:r>
      <w:r>
        <w:t xml:space="preserve"> </w:t>
      </w:r>
      <w:r>
        <w:rPr>
          <w:rStyle w:val="Elision"/>
        </w:rPr>
        <w:t xml:space="preserve">[ … ]</w:t>
      </w:r>
      <w:r>
        <w:t xml:space="preserve"> </w:t>
      </w:r>
      <w:r>
        <w:t xml:space="preserve">on which Grable rests its position, is not to the contrary.</w:t>
      </w:r>
      <w:r>
        <w:t xml:space="preserve"> </w:t>
      </w:r>
      <w:r>
        <w:rPr>
          <w:iCs/>
          <w:i/>
        </w:rPr>
        <w:t xml:space="preserve">Merrell Dow</w:t>
      </w:r>
      <w:r>
        <w:t xml:space="preserve"> </w:t>
      </w:r>
      <w:r>
        <w:t xml:space="preserve">considered a state tort claim resting in part on the allegation that the defendant drug company had violated a federal misbranding prohibition, and was thus presumptively negligent under Ohio law.</w:t>
      </w:r>
      <w:r>
        <w:t xml:space="preserve"> </w:t>
      </w:r>
      <w:r>
        <w:rPr>
          <w:iCs/>
          <w:i/>
        </w:rPr>
        <w:t xml:space="preserve">Id.,</w:t>
      </w:r>
      <w:r>
        <w:t xml:space="preserve"> </w:t>
      </w:r>
      <w:r>
        <w:t xml:space="preserve">at 806. The Court assumed that federal law would have to be applied to resolve the claim, but after closely examining the strength of the federal interest at stake and the implications of opening the federal forum, held federal jurisdiction unavailable. Congress had not provided a private federal cause of action for violation of the federal branding requirement, and the Court found "it would . . . flout, or at least undermine, congressional intent to conclude that federal courts might nevertheless exercise federal-question jurisdiction and provide remedies for violations of that federal statute solely because the violation . . . is said to be a . . . `proximate cause' under state law."</w:t>
      </w:r>
      <w:r>
        <w:t xml:space="preserve"> </w:t>
      </w:r>
      <w:r>
        <w:rPr>
          <w:rStyle w:val="Elision"/>
        </w:rPr>
        <w:t xml:space="preserve">[ … ]</w:t>
      </w:r>
    </w:p>
    <w:p>
      <w:pPr>
        <w:pStyle w:val="CaseBody"/>
      </w:pPr>
      <w:r>
        <w:rPr>
          <w:rStyle w:val="Elision"/>
        </w:rPr>
        <w:t xml:space="preserve">[ … ]</w:t>
      </w:r>
      <w:r>
        <w:t xml:space="preserve">Because federal law provides for no quiet title action that could be brought against Darue,</w:t>
      </w:r>
      <w:hyperlink w:anchor="X043b8d44358412bcb1c812359418b183adc4e7b">
        <w:r>
          <w:rPr>
            <w:rStyle w:val="Hyperlink"/>
            <w:vertAlign w:val="superscript"/>
          </w:rPr>
          <w:t xml:space="preserve">[5]</w:t>
        </w:r>
      </w:hyperlink>
      <w:r>
        <w:t xml:space="preserve"> </w:t>
      </w:r>
      <w:r>
        <w:t xml:space="preserve">Grable argues that there can be no federal jurisdiction here, stressing some broad language in</w:t>
      </w:r>
      <w:r>
        <w:t xml:space="preserve"> </w:t>
      </w:r>
      <w:r>
        <w:rPr>
          <w:iCs/>
          <w:i/>
        </w:rPr>
        <w:t xml:space="preserve">Merrell Dow</w:t>
      </w:r>
      <w:r>
        <w:t xml:space="preserve"> </w:t>
      </w:r>
      <w:r>
        <w:t xml:space="preserve">(including the passage just quoted) that on its face supports Grable's position,</w:t>
      </w:r>
      <w:r>
        <w:t xml:space="preserve"> </w:t>
      </w:r>
      <w:r>
        <w:rPr>
          <w:rStyle w:val="Elision"/>
        </w:rPr>
        <w:t xml:space="preserve">[ … ]</w:t>
      </w:r>
      <w:r>
        <w:t xml:space="preserve"> </w:t>
      </w:r>
      <w:r>
        <w:t xml:space="preserve">But an opinion is to be read as a whole, and</w:t>
      </w:r>
      <w:r>
        <w:t xml:space="preserve"> </w:t>
      </w:r>
      <w:r>
        <w:rPr>
          <w:iCs/>
          <w:i/>
        </w:rPr>
        <w:t xml:space="preserve">Merrell Dow</w:t>
      </w:r>
      <w:r>
        <w:t xml:space="preserve"> </w:t>
      </w:r>
      <w:r>
        <w:t xml:space="preserve">cannot be read whole as overturning decades of precedent, as it would have done by effectively adopting the Holmes dissent in</w:t>
      </w:r>
      <w:r>
        <w:t xml:space="preserve"> </w:t>
      </w:r>
      <w:r>
        <w:rPr>
          <w:iCs/>
          <w:i/>
        </w:rPr>
        <w:t xml:space="preserve">Smith,</w:t>
      </w:r>
      <w:r>
        <w:t xml:space="preserve"> </w:t>
      </w:r>
      <w:r>
        <w:rPr>
          <w:rStyle w:val="Elision"/>
        </w:rPr>
        <w:t xml:space="preserve">[ … ]</w:t>
      </w:r>
      <w:r>
        <w:t xml:space="preserve"> </w:t>
      </w:r>
      <w:r>
        <w:t xml:space="preserve">and converting a federal cause of action from a sufficient condition for federal-question jurisdiction</w:t>
      </w:r>
      <w:hyperlink w:anchor="Xac199fb46fc697c1cfe69269b9db27cd075eb25">
        <w:r>
          <w:rPr>
            <w:rStyle w:val="Hyperlink"/>
            <w:vertAlign w:val="superscript"/>
          </w:rPr>
          <w:t xml:space="preserve">[6]</w:t>
        </w:r>
      </w:hyperlink>
      <w:r>
        <w:t xml:space="preserve"> </w:t>
      </w:r>
      <w:r>
        <w:t xml:space="preserve">into a necessary one.</w:t>
      </w:r>
    </w:p>
    <w:p>
      <w:pPr>
        <w:pStyle w:val="CaseBody"/>
      </w:pPr>
      <w:r>
        <w:t xml:space="preserve">In the first place,</w:t>
      </w:r>
      <w:r>
        <w:t xml:space="preserve"> </w:t>
      </w:r>
      <w:r>
        <w:rPr>
          <w:iCs/>
          <w:i/>
        </w:rPr>
        <w:t xml:space="preserve">Merrell Dow</w:t>
      </w:r>
      <w:r>
        <w:t xml:space="preserve"> </w:t>
      </w:r>
      <w:r>
        <w:t xml:space="preserve">disclaimed the adoption of any bright-line rule, as when the Court reiterated that "in exploring the outer reaches of § 1331, determinations about federal jurisdiction require sensitive judgments about congressional intent, judicial power, and the federal system."</w:t>
      </w:r>
      <w:r>
        <w:t xml:space="preserve"> </w:t>
      </w:r>
      <w:r>
        <w:rPr>
          <w:rStyle w:val="Elision"/>
        </w:rPr>
        <w:t xml:space="preserve">[ … ]</w:t>
      </w:r>
      <w:r>
        <w:t xml:space="preserve"> </w:t>
      </w:r>
      <w:r>
        <w:t xml:space="preserve">The opinion included a lengthy footnote explaining that questions of jurisdiction over state-law claims require "careful judgments,"</w:t>
      </w:r>
      <w:r>
        <w:t xml:space="preserve"> </w:t>
      </w:r>
      <w:r>
        <w:rPr>
          <w:rStyle w:val="Elision"/>
        </w:rPr>
        <w:t xml:space="preserve">[ … ]</w:t>
      </w:r>
      <w:r>
        <w:t xml:space="preserve"> </w:t>
      </w:r>
      <w:r>
        <w:t xml:space="preserve">about the "nature of the federal interest at stake,"</w:t>
      </w:r>
      <w:r>
        <w:t xml:space="preserve"> </w:t>
      </w:r>
      <w:r>
        <w:rPr>
          <w:rStyle w:val="Elision"/>
        </w:rPr>
        <w:t xml:space="preserve">[ … ]</w:t>
      </w:r>
      <w:r>
        <w:t xml:space="preserve">. And as a final indication that it did not mean to make a federal right of action mandatory, it expressly approved the exercise of jurisdiction sustained in</w:t>
      </w:r>
      <w:r>
        <w:t xml:space="preserve"> </w:t>
      </w:r>
      <w:r>
        <w:rPr>
          <w:iCs/>
          <w:i/>
        </w:rPr>
        <w:t xml:space="preserve">Smith,</w:t>
      </w:r>
      <w:r>
        <w:t xml:space="preserve"> </w:t>
      </w:r>
      <w:r>
        <w:t xml:space="preserve">despite the want of any federal cause of action available to</w:t>
      </w:r>
      <w:r>
        <w:t xml:space="preserve"> </w:t>
      </w:r>
      <w:r>
        <w:rPr>
          <w:iCs/>
          <w:i/>
        </w:rPr>
        <w:t xml:space="preserve">Smith</w:t>
      </w:r>
      <w:r>
        <w:t xml:space="preserve">'s shareholder plaintiff.</w:t>
      </w:r>
      <w:r>
        <w:t xml:space="preserve"> </w:t>
      </w:r>
      <w:r>
        <w:rPr>
          <w:rStyle w:val="Elision"/>
        </w:rPr>
        <w:t xml:space="preserve">[ … ]</w:t>
      </w:r>
      <w:r>
        <w:t xml:space="preserve"> </w:t>
      </w:r>
      <w:r>
        <w:rPr>
          <w:iCs/>
          <w:i/>
        </w:rPr>
        <w:t xml:space="preserve">Merrell Dow</w:t>
      </w:r>
      <w:r>
        <w:t xml:space="preserve"> </w:t>
      </w:r>
      <w:r>
        <w:t xml:space="preserve">then, did not toss out, but specifically retained, the contextual enquiry that had been</w:t>
      </w:r>
      <w:r>
        <w:t xml:space="preserve"> </w:t>
      </w:r>
      <w:r>
        <w:rPr>
          <w:iCs/>
          <w:i/>
        </w:rPr>
        <w:t xml:space="preserve">Smith</w:t>
      </w:r>
      <w:r>
        <w:t xml:space="preserve">'s hallmark for over 60 years. At the end of</w:t>
      </w:r>
      <w:r>
        <w:t xml:space="preserve"> </w:t>
      </w:r>
      <w:r>
        <w:rPr>
          <w:iCs/>
          <w:i/>
        </w:rPr>
        <w:t xml:space="preserve">Merrell Dow,</w:t>
      </w:r>
      <w:r>
        <w:t xml:space="preserve"> </w:t>
      </w:r>
      <w:r>
        <w:t xml:space="preserve">Justice Holmes was still dissenting.</w:t>
      </w:r>
    </w:p>
    <w:p>
      <w:pPr>
        <w:pStyle w:val="CaseBody"/>
      </w:pPr>
      <w:r>
        <w:t xml:space="preserve">Accordingly,</w:t>
      </w:r>
      <w:r>
        <w:t xml:space="preserve"> </w:t>
      </w:r>
      <w:r>
        <w:rPr>
          <w:iCs/>
          <w:i/>
        </w:rPr>
        <w:t xml:space="preserve">Merrell Dow</w:t>
      </w:r>
      <w:r>
        <w:t xml:space="preserve"> </w:t>
      </w:r>
      <w:r>
        <w:t xml:space="preserve">should be read in its entirety as treating the absence of a federal private right of action as evidence relevant to, but not dispositive of, the "sensitive judgments about congressional intent" that § 1331 requires. The absence of any federal cause of action affected</w:t>
      </w:r>
      <w:r>
        <w:t xml:space="preserve"> </w:t>
      </w:r>
      <w:r>
        <w:rPr>
          <w:iCs/>
          <w:i/>
        </w:rPr>
        <w:t xml:space="preserve">Merrell Dow</w:t>
      </w:r>
      <w:r>
        <w:t xml:space="preserve">'s result two ways. The Court saw the fact as worth some consideration in the assessment of substantiality. But its primary importance emerged when the Court treated the combination of no federal cause of action and no preemption of state remedies for misbranding as an important clue to Congress's conception of the scope of jurisdiction to be exercised under § 1331. The Court saw the missing cause of action not as a missing federal door key, always required, but as a missing welcome mat, required in the circumstances, when exercising federal jurisdiction over a state misbranding action would have attracted a horde of original filings and removal cases raising other state claims with embedded federal issues. For if the federal labeling standard without a federal cause of action could get a state claim into federal court, so could any other federal standard without a federal cause of action. And that would have meant a tremendous number of cases.</w:t>
      </w:r>
    </w:p>
    <w:p>
      <w:pPr>
        <w:pStyle w:val="CaseBody"/>
      </w:pPr>
      <w:r>
        <w:rPr>
          <w:rStyle w:val="Elision"/>
        </w:rPr>
        <w:t xml:space="preserve">[ … ]</w:t>
      </w:r>
      <w:r>
        <w:t xml:space="preserve"> </w:t>
      </w:r>
      <w:r>
        <w:t xml:space="preserve">"The violation of federal statutes and regulations is commonly given negligence per se effect in state tort proceedings."</w:t>
      </w:r>
      <w:hyperlink w:anchor="Xc8cdca9ad00c7e080be7b8d2dbeee7910adc82b">
        <w:r>
          <w:rPr>
            <w:rStyle w:val="Hyperlink"/>
            <w:vertAlign w:val="superscript"/>
          </w:rPr>
          <w:t xml:space="preserve">[7]</w:t>
        </w:r>
      </w:hyperlink>
      <w:r>
        <w:t xml:space="preserve"> </w:t>
      </w:r>
      <w:r>
        <w:t xml:space="preserve">Restatement [319] (Third) of Torts § 14, Reporters' Note, Comment</w:t>
      </w:r>
      <w:r>
        <w:t xml:space="preserve"> </w:t>
      </w:r>
      <w:r>
        <w:rPr>
          <w:iCs/>
          <w:i/>
        </w:rPr>
        <w:t xml:space="preserve">a,</w:t>
      </w:r>
      <w:r>
        <w:t xml:space="preserve"> </w:t>
      </w:r>
      <w:r>
        <w:t xml:space="preserve">p. 195 (Tent. Draft No. 1, Mar. 28, 2001) (hereinafter Restatement).</w:t>
      </w:r>
      <w:r>
        <w:t xml:space="preserve"> </w:t>
      </w:r>
      <w:r>
        <w:rPr>
          <w:rStyle w:val="Elision"/>
        </w:rPr>
        <w:t xml:space="preserve">[ … ]</w:t>
      </w:r>
      <w:r>
        <w:t xml:space="preserve"> </w:t>
      </w:r>
      <w:r>
        <w:t xml:space="preserve">A general rule of exercising federal jurisdiction over state claims resting on federal mislabeling and other statutory violations would thus have heralded a potentially enormous shift of traditionally state cases into federal courts. Expressing concern over the "increased volume of federal litigation," and noting the importance of adhering to "legislative intent,"</w:t>
      </w:r>
      <w:r>
        <w:t xml:space="preserve"> </w:t>
      </w:r>
      <w:r>
        <w:rPr>
          <w:iCs/>
          <w:i/>
        </w:rPr>
        <w:t xml:space="preserve">Merrell Dow</w:t>
      </w:r>
      <w:r>
        <w:t xml:space="preserve"> </w:t>
      </w:r>
      <w:r>
        <w:t xml:space="preserve">thought it improbable that the Congress, having made no provision for a federal cause of action, would have meant to welcome any state-law tort case implicating federal law "solely because the violation of the federal statute is said to [create] a rebuttable presumption [of negligence] . . . under state law."</w:t>
      </w:r>
      <w:r>
        <w:t xml:space="preserve"> </w:t>
      </w:r>
      <w:r>
        <w:rPr>
          <w:rStyle w:val="Elision"/>
        </w:rPr>
        <w:t xml:space="preserve">[ … ]</w:t>
      </w:r>
      <w:r>
        <w:t xml:space="preserve">. In this situation, no welcome mat meant keep out.</w:t>
      </w:r>
      <w:r>
        <w:t xml:space="preserve"> </w:t>
      </w:r>
      <w:r>
        <w:rPr>
          <w:iCs/>
          <w:i/>
        </w:rPr>
        <w:t xml:space="preserve">Merrell Dow</w:t>
      </w:r>
      <w:r>
        <w:t xml:space="preserve">'s analysis thus fits within the framework of examining the importance of having a federal forum for the issue, and the consistency of such a forum with Congress's intended division of labor between state and federal courts.</w:t>
      </w:r>
    </w:p>
    <w:p>
      <w:pPr>
        <w:pStyle w:val="CaseBody"/>
      </w:pPr>
      <w:r>
        <w:t xml:space="preserve">As already indicated, however, a comparable analysis yields a different jurisdictional conclusion in this case. Although Congress also indicated ambivalence in this case by providing no private right of action to Grable, it is the rare state quiet title action that involves contested issues of federal law, see n. 3,</w:t>
      </w:r>
      <w:r>
        <w:t xml:space="preserve"> </w:t>
      </w:r>
      <w:r>
        <w:rPr>
          <w:iCs/>
          <w:i/>
        </w:rPr>
        <w:t xml:space="preserve">supra.</w:t>
      </w:r>
      <w:r>
        <w:t xml:space="preserve"> </w:t>
      </w:r>
      <w:r>
        <w:t xml:space="preserve">Consequently, jurisdiction over actions like Grable's would not materially affect, or threaten to affect, the normal currents of litigation. Given the absence of threatening structural consequences and the clear interest the Government, its buyers, and its delinquents have in the availability of a federal forum, there is no good reason to</w:t>
      </w:r>
      <w:r>
        <w:t xml:space="preserve"> </w:t>
      </w:r>
      <w:r>
        <w:rPr>
          <w:rStyle w:val="Elision"/>
        </w:rPr>
        <w:t xml:space="preserve">[ … ]</w:t>
      </w:r>
      <w:r>
        <w:t xml:space="preserve">shirk from federal jurisdiction over the dispositive and contested federal issue at the heart of the state-law title claim.</w:t>
      </w:r>
      <w:hyperlink w:anchor="X6a5998ce39a0a5ca4f0d1377491129bebc4b443">
        <w:r>
          <w:rPr>
            <w:rStyle w:val="Hyperlink"/>
            <w:vertAlign w:val="superscript"/>
          </w:rPr>
          <w:t xml:space="preserve">[8]</w:t>
        </w:r>
      </w:hyperlink>
    </w:p>
    <w:bookmarkEnd w:id="38"/>
    <w:bookmarkStart w:id="39" w:name="iv"/>
    <w:p>
      <w:pPr>
        <w:pStyle w:val="Heading2"/>
      </w:pPr>
      <w:r>
        <w:t xml:space="preserve">IV</w:t>
      </w:r>
    </w:p>
    <w:p>
      <w:pPr>
        <w:pStyle w:val="CaseBody"/>
      </w:pPr>
      <w:r>
        <w:t xml:space="preserve">The judgment of the Court of Appeals, upholding federal jurisdiction over Grable's quiet title action, is affirmed.</w:t>
      </w:r>
    </w:p>
    <w:p>
      <w:pPr>
        <w:pStyle w:val="CaseBody"/>
      </w:pPr>
      <w:r>
        <w:rPr>
          <w:iCs/>
          <w:i/>
        </w:rPr>
        <w:t xml:space="preserve">It is so ordered.</w:t>
      </w:r>
    </w:p>
    <w:bookmarkEnd w:id="39"/>
    <w:bookmarkStart w:id="40" w:name="section"/>
    <w:p>
      <w:pPr>
        <w:pStyle w:val="Heading2"/>
      </w:pPr>
      <w:r>
        <w:rPr>
          <w:rStyle w:val="Elision"/>
        </w:rPr>
        <w:t xml:space="preserve">[ … ]</w:t>
      </w:r>
    </w:p>
    <w:bookmarkEnd w:id="40"/>
    <w:p>
      <w:pPr>
        <w:pStyle w:val="NodeEnd"/>
      </w:pPr>
      <w:r>
        <w:t xml:space="preserve"> </w:t>
      </w:r>
    </w:p>
    <w:p>
      <w:pPr>
        <w:pStyle w:val="NodeStart"/>
      </w:pPr>
      <w:r>
        <w:t xml:space="preserve"> </w:t>
      </w:r>
    </w:p>
    <w:p>
      <w:pPr>
        <w:pStyle w:val="HeadSeparator"/>
      </w:pPr>
      <w:r>
        <w:t xml:space="preserve"> </w:t>
      </w:r>
    </w:p>
    <w:bookmarkStart w:id="20" w:name="_auto_toc_20"/>
    <w:bookmarkEnd w:id="20"/>
    <w:p>
      <w:pPr>
        <w:pStyle w:val="ResourceNumber"/>
      </w:pPr>
      <w:r>
        <w:t xml:space="preserve">1.17</w:t>
      </w:r>
    </w:p>
    <w:p>
      <w:pPr>
        <w:pStyle w:val="ResourceTitle"/>
      </w:pPr>
      <w:r>
        <w:t xml:space="preserve">First Federal Savings &amp; Loan Ass'n v. McReynolds</w:t>
      </w:r>
    </w:p>
    <w:p>
      <w:pPr>
        <w:pStyle w:val="HeadFieldSeparator"/>
      </w:pPr>
      <w:r>
        <w:t xml:space="preserve"> </w:t>
      </w:r>
    </w:p>
    <w:p>
      <w:pPr>
        <w:pStyle w:val="ResourceHeadnote"/>
      </w:pPr>
      <w:r>
        <w:t xml:space="preserve">The previous three cases (Smith, Moore, and Grable) concerned an exception to Mottley's well-pleaded complaint rule. This case demonstrates either another exception to that rule, or a clarification of how the federal declaratory judgment statute, 22 U.S.C.</w:t>
      </w:r>
      <w:r>
        <w:t xml:space="preserve"> </w:t>
      </w:r>
      <w:r>
        <w:t xml:space="preserve">§ 2201, works in conjunction with section 1331. Most students prefer to think of it the second way, meaning not an exception to Mottley but as a clarification of how section 2201 works. Either way works, so long as you get the right answer in the future.</w:t>
      </w:r>
    </w:p>
    <w:p>
      <w:pPr>
        <w:pStyle w:val="ResourceHeadnote"/>
      </w:pPr>
      <w:r>
        <w:t xml:space="preserve">The following opinion has virtually no facts in it. So, time to make some up. Imagine that a federal statute exists stating that big banks are really important, and that an agency called the “Federal Home Loan Bank Board” should make sure that only qualified people work in high positions in banks. To implement this statutory directive, the agency promulgates regulations saying that anyone of the position of bank vice-president or above who deals with accounting issues must be a CPA. Neither the statute nor the regulation purports to create a federal cause of action to anyone.</w:t>
      </w:r>
    </w:p>
    <w:p>
      <w:pPr>
        <w:pStyle w:val="ResourceHeadnote"/>
      </w:pPr>
      <w:r>
        <w:t xml:space="preserve">A Kentucky bank called First Federal Savings has a vacancy in a position called Vice President of Loan Portfolios. Jane Schmoe, a Kentucky citizen, submits a resume stating, among other things, that she is a CPA. First Federal hires Jane Schmoe. The written and signed employment contract provides that the employment will last for five years, and that First Federal can discharge Schmoe only for “good cause.” The contract further has a “golden parachute” provision stating that if First Federal fires Schmoe without good cause, it must immediately place $1,000,000 in an account of her choosing.</w:t>
      </w:r>
    </w:p>
    <w:p>
      <w:pPr>
        <w:pStyle w:val="ResourceHeadnote"/>
      </w:pPr>
      <w:r>
        <w:t xml:space="preserve">After a year, First Federal discovers that Schmoe is not, in fact, a CPA. The bank wants to get rid of Schmoe without paying the $1M golden parachute. The bank believes that if it simply fires Schmoe for resume fraud, she will sue it in state court for breach of the employment contract, arguing that being a CPA is not a material requirement for her job. Unfortunately for the bank, Schmoe plays golf every weekend with the chief judge of the local state court, so the bank wants to get into federal court. It sues Schmoe in the United States District Court for the Western District of Kentucky seeking a declaratory judgment under 28 U.S.C. §2201(a) to the effect that the Federal Home Loan Bank Board regulation requiring that persons of Schmoe’s level be CPAs renders its employment contract with Schmoe void. The bank argues that there is arising under jurisdiction under Section 1331 because it is invoking the the federal declaratory judgment statute (i.e., section 2201). Schmoe moves to dismiss for lack of subject matter jurisdiction.</w:t>
      </w:r>
    </w:p>
    <w:p>
      <w:pPr>
        <w:pStyle w:val="ResourceHeadnote"/>
      </w:pPr>
      <w:r>
        <w:t xml:space="preserve">To reiterate: the above discussion is 100% fictional. The Federal Home Loan Bank Board does exist, but I have no clue whether it could or has promulgated a CPA-type regulation.</w:t>
      </w:r>
    </w:p>
    <w:p>
      <w:pPr>
        <w:pStyle w:val="HeadEnd"/>
      </w:pPr>
      <w:r>
        <w:t xml:space="preserve"> </w:t>
      </w:r>
    </w:p>
    <w:p>
      <w:pPr>
        <w:pStyle w:val="CaseHeader"/>
      </w:pPr>
      <w:r>
        <w:t xml:space="preserve">United States District Court for the Western District of Kentucky</w:t>
      </w:r>
    </w:p>
    <w:p>
      <w:pPr>
        <w:pStyle w:val="CaseHeader"/>
      </w:pPr>
      <w:r>
        <w:t xml:space="preserve">297 F. Supp. 1159</w:t>
      </w:r>
    </w:p>
    <w:p>
      <w:pPr>
        <w:pStyle w:val="CaseHeader"/>
      </w:pPr>
      <w:r>
        <w:t xml:space="preserve">No. 1326</w:t>
      </w:r>
    </w:p>
    <w:p>
      <w:pPr>
        <w:pStyle w:val="CaseHeader"/>
      </w:pPr>
      <w:r>
        <w:t xml:space="preserve">1969-04-17</w:t>
      </w:r>
    </w:p>
    <w:p>
      <w:pPr>
        <w:pStyle w:val="CaseBody"/>
      </w:pPr>
      <w:r>
        <w:rPr>
          <w:rStyle w:val="Elision"/>
        </w:rPr>
        <w:t xml:space="preserve">[ … ]</w:t>
      </w:r>
    </w:p>
    <w:p>
      <w:pPr>
        <w:pStyle w:val="CaseBody"/>
      </w:pPr>
      <w:r>
        <w:t xml:space="preserve">MEMORANDUM</w:t>
      </w:r>
    </w:p>
    <w:p>
      <w:pPr>
        <w:pStyle w:val="CaseBody"/>
      </w:pPr>
      <w:r>
        <w:t xml:space="preserve">SWINFORD, District Judge.</w:t>
      </w:r>
    </w:p>
    <w:p>
      <w:pPr>
        <w:pStyle w:val="CaseBody"/>
      </w:pPr>
      <w:r>
        <w:t xml:space="preserve">Plaintiff seeks a declaration that its employment contract with defendant is void under the regulations promulgated by the Federal Home Loan Bank Board</w:t>
      </w:r>
      <w:r>
        <w:t xml:space="preserve"> </w:t>
      </w:r>
      <w:r>
        <w:rPr>
          <w:rStyle w:val="Elision"/>
        </w:rPr>
        <w:t xml:space="preserve">[ … ]</w:t>
      </w:r>
      <w:r>
        <w:t xml:space="preserve">and alleges that this court has jurisdiction under section 1331 of Title 28. Defendant has moved to dismiss for lack of jurisdiction over the subject matter and has counterclaimed for damages for breach of the employment contract which plaintiff alleges in its Complaint to be void under federal law.</w:t>
      </w:r>
    </w:p>
    <w:p>
      <w:pPr>
        <w:pStyle w:val="CaseBody"/>
      </w:pPr>
      <w:r>
        <w:t xml:space="preserve">This court is presented with a situation where a plaintiff seeks a declaration that he is immune, because of a federal right, from a non-federal cause of action which the defendant may have (and which he has asserted by Counterclaim). In such a situation, there are two possible views.</w:t>
      </w:r>
      <w:r>
        <w:t xml:space="preserve"> </w:t>
      </w:r>
      <w:r>
        <w:rPr>
          <w:rStyle w:val="Elision"/>
        </w:rPr>
        <w:t xml:space="preserve">[ … ]</w:t>
      </w:r>
      <w:r>
        <w:t xml:space="preserve">These two views stem from the well-established rule that the existence of a federal question must appear on the face of the plaintiff’s well-pleaded complaint, and that it cannot be dependent on anticipation of defenses which the defendant .may later assert. The two views are stated in Barron &amp; Holtzoff</w:t>
      </w:r>
      <w:r>
        <w:rPr>
          <w:rStyle w:val="Elision"/>
        </w:rPr>
        <w:t xml:space="preserve">[ … ]</w:t>
      </w:r>
      <w:r>
        <w:t xml:space="preserve">:</w:t>
      </w:r>
    </w:p>
    <w:p>
      <w:pPr>
        <w:pStyle w:val="BlockText"/>
      </w:pPr>
      <w:r>
        <w:t xml:space="preserve">“There are two possible applications of this rule to declaratory judgment actions. The complaint in such an action may be judged on its own merits; if it reveals a federal</w:t>
      </w:r>
      <w:r>
        <w:t xml:space="preserve"> </w:t>
      </w:r>
      <w:r>
        <w:rPr>
          <w:rStyle w:val="ReplacementText"/>
        </w:rPr>
        <w:t xml:space="preserve">[issue]</w:t>
      </w:r>
      <w:r>
        <w:t xml:space="preserve">, then jurisdiction will exist. But this, as will be seen, would permit some cases to be brought in federal court which could not be so brought absent the Declaratory Judgment Act.</w:t>
      </w:r>
      <w:r>
        <w:t xml:space="preserve"> </w:t>
      </w:r>
      <w:r>
        <w:t xml:space="preserve">The alternative is to say that the declaratory action may be entertained in federal court only if the coercive action which would have been brought, absent declaratory judgment procedure, might have been so brought.”</w:t>
      </w:r>
      <w:r>
        <w:rPr>
          <w:rStyle w:val="FootnoteReference"/>
        </w:rPr>
        <w:footnoteReference w:customMarkFollows="1" w:id="4"/>
        <w:t xml:space="preserve">*</w:t>
      </w:r>
    </w:p>
    <w:p>
      <w:pPr>
        <w:pStyle w:val="CaseBody"/>
      </w:pPr>
      <w:r>
        <w:t xml:space="preserve">Under the first view, this court would have subject matter jurisdiction in the instant case. But under the second view, this court would have no jurisdiction.</w:t>
      </w:r>
    </w:p>
    <w:p>
      <w:pPr>
        <w:pStyle w:val="CaseBody"/>
      </w:pPr>
      <w:r>
        <w:t xml:space="preserve">It is axiomatic that the Declaratory Judgment Act cannot be used to give relief indirectly which cannot be given directly. The statute is procedural and does not supply an independent ground of jurisdiction. Skelly Oil Co. v. Phillips Co.,</w:t>
      </w:r>
      <w:r>
        <w:t xml:space="preserve"> </w:t>
      </w:r>
      <w:r>
        <w:t xml:space="preserve">339 U.S. 667</w:t>
      </w:r>
      <w:r>
        <w:t xml:space="preserve">,</w:t>
      </w:r>
      <w:r>
        <w:t xml:space="preserve"> </w:t>
      </w:r>
      <w:r>
        <w:rPr>
          <w:rStyle w:val="Elision"/>
        </w:rPr>
        <w:t xml:space="preserve">[ … ]</w:t>
      </w:r>
      <w:r>
        <w:rPr>
          <w:rStyle w:val="Elision"/>
        </w:rPr>
        <w:t xml:space="preserve">[ … ]</w:t>
      </w:r>
      <w:r>
        <w:t xml:space="preserve">. Although the “broad view” may have the merit of simplicity, this court is persuaded by the dicta in Skelly Oil Co.</w:t>
      </w:r>
      <w:r>
        <w:rPr>
          <w:rStyle w:val="Elision"/>
        </w:rPr>
        <w:t xml:space="preserve">[ … ]</w:t>
      </w:r>
      <w:r>
        <w:t xml:space="preserve"> </w:t>
      </w:r>
      <w:r>
        <w:t xml:space="preserve">In that case the Court, after noting the legislative trend to contract the jurisdiction of the federal courts, said:</w:t>
      </w:r>
    </w:p>
    <w:p>
      <w:pPr>
        <w:pStyle w:val="BlockText"/>
      </w:pPr>
      <w:r>
        <w:t xml:space="preserve">“To be observant of these (jurisdictional) restrictions is not to indulge in formalism or sterile technicality. * * * To sanction suits for declaratory relief as within the jurisdiction of the District Courts merely because, as in this case, artful pleading anticipates a defense based on federal law would contravene the whole trend of jurisdictional legislation by Congress, disregard the effective functioning of the federal judicial system and distort the limited procedural purpose of the Declaratory Judgment Act.”</w:t>
      </w:r>
      <w:r>
        <w:rPr>
          <w:rStyle w:val="Elision"/>
        </w:rPr>
        <w:t xml:space="preserve">[ … ]</w:t>
      </w:r>
    </w:p>
    <w:p>
      <w:pPr>
        <w:pStyle w:val="CaseBody"/>
      </w:pPr>
      <w:r>
        <w:t xml:space="preserve">This court does not believe that Congress, in enacting the Declaratory Judgment Act, intended to permit a person to invoke the jurisdiction of the federal courts merely because he commenced a declaratory judgment action before the other party was able to commence his nonremovable coercive action in state court. To permit him to do so would be to permit him to do indirectly that which he cannot do directly.</w:t>
      </w:r>
    </w:p>
    <w:p>
      <w:pPr>
        <w:pStyle w:val="CaseBody"/>
      </w:pPr>
      <w:r>
        <w:rPr>
          <w:rStyle w:val="Elision"/>
        </w:rPr>
        <w:t xml:space="preserve">[ … ]</w:t>
      </w:r>
    </w:p>
    <w:p>
      <w:pPr>
        <w:pStyle w:val="CaseBody"/>
      </w:pPr>
      <w:r>
        <w:t xml:space="preserve">This is a court of limited jurisdiction and those limitations must be strictly observed.</w:t>
      </w:r>
      <w:r>
        <w:t xml:space="preserve"> </w:t>
      </w:r>
      <w:r>
        <w:rPr>
          <w:rStyle w:val="Elision"/>
        </w:rPr>
        <w:t xml:space="preserve">[ … ]</w:t>
      </w:r>
      <w:r>
        <w:t xml:space="preserve">Defendant’s motion to dismiss for lack of jurisdiction over the subject matter should be sustained.</w:t>
      </w:r>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21" w:name="_auto_toc_21"/>
    <w:bookmarkEnd w:id="21"/>
    <w:p>
      <w:pPr>
        <w:pStyle w:val="ChapterNumber"/>
      </w:pPr>
      <w:r>
        <w:t xml:space="preserve">2</w:t>
      </w:r>
    </w:p>
    <w:p>
      <w:pPr>
        <w:pStyle w:val="ChapterTitle"/>
      </w:pPr>
      <w:r>
        <w:t xml:space="preserve">Day 2</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22" w:name="_auto_toc_22"/>
    <w:bookmarkEnd w:id="22"/>
    <w:p>
      <w:pPr>
        <w:pStyle w:val="ResourceNumber"/>
      </w:pPr>
      <w:r>
        <w:t xml:space="preserve">2.1</w:t>
      </w:r>
    </w:p>
    <w:p>
      <w:pPr>
        <w:pStyle w:val="ResourceTitle"/>
      </w:pPr>
      <w:r>
        <w:t xml:space="preserve">Statutes and Constitutional Provisions</w:t>
      </w:r>
    </w:p>
    <w:p>
      <w:pPr>
        <w:pStyle w:val="HeadFieldSeparator"/>
      </w:pPr>
      <w:r>
        <w:t xml:space="preserve"> </w:t>
      </w:r>
    </w:p>
    <w:p>
      <w:pPr>
        <w:pStyle w:val="ResourceHeadnote"/>
      </w:pPr>
      <w:r>
        <w:t xml:space="preserve">Read the following statutes and constitutional provisions. You can access them via the internet, or the supplemental handout provided on Canvas.</w:t>
      </w:r>
    </w:p>
    <w:p>
      <w:pPr>
        <w:pStyle w:val="HeadEnd"/>
      </w:pPr>
      <w:r>
        <w:t xml:space="preserve"> </w:t>
      </w:r>
    </w:p>
    <w:p>
      <w:pPr>
        <w:numPr>
          <w:ilvl w:val="0"/>
          <w:numId w:val="1045"/>
        </w:numPr>
      </w:pPr>
      <w:r>
        <w:t xml:space="preserve">28 U.S.C.</w:t>
      </w:r>
      <w:r>
        <w:t xml:space="preserve"> </w:t>
      </w:r>
      <w:r>
        <w:t xml:space="preserve">§</w:t>
      </w:r>
      <w:r>
        <w:t xml:space="preserve"> </w:t>
      </w:r>
      <w:r>
        <w:t xml:space="preserve">1332(a-c), plus short explanation in "Explanation of Statutes" in the "Course Materials" Folder on Canvas</w:t>
      </w:r>
    </w:p>
    <w:p>
      <w:pPr>
        <w:numPr>
          <w:ilvl w:val="0"/>
          <w:numId w:val="1045"/>
        </w:numPr>
      </w:pPr>
      <w:r>
        <w:t xml:space="preserve">U.S. Const. Art. III, § 2, cl. 1</w:t>
      </w:r>
    </w:p>
    <w:p>
      <w:pPr>
        <w:numPr>
          <w:ilvl w:val="0"/>
          <w:numId w:val="1045"/>
        </w:numPr>
      </w:pPr>
      <w:r>
        <w:t xml:space="preserve">28 U.S.C. § 1367, plus short explanation in "Explanation of Statutes" in the "Course Materials" Folder on Canvas</w:t>
      </w:r>
    </w:p>
    <w:p>
      <w:pPr>
        <w:pStyle w:val="NodeEnd"/>
      </w:pPr>
      <w:r>
        <w:t xml:space="preserve"> </w:t>
      </w:r>
    </w:p>
    <w:p>
      <w:pPr>
        <w:pStyle w:val="NodeStart"/>
      </w:pPr>
      <w:r>
        <w:t xml:space="preserve"> </w:t>
      </w:r>
    </w:p>
    <w:p>
      <w:pPr>
        <w:pStyle w:val="HeadSeparator"/>
      </w:pPr>
      <w:r>
        <w:t xml:space="preserve"> </w:t>
      </w:r>
    </w:p>
    <w:bookmarkStart w:id="23" w:name="_auto_toc_23"/>
    <w:bookmarkEnd w:id="23"/>
    <w:p>
      <w:pPr>
        <w:pStyle w:val="ResourceNumber"/>
      </w:pPr>
      <w:r>
        <w:t xml:space="preserve">2.2</w:t>
      </w:r>
    </w:p>
    <w:p>
      <w:pPr>
        <w:pStyle w:val="ResourceTitle"/>
      </w:pPr>
      <w:r>
        <w:t xml:space="preserve">Diversity Jurisdiction</w:t>
      </w:r>
    </w:p>
    <w:p>
      <w:pPr>
        <w:pStyle w:val="HeadEnd"/>
      </w:pPr>
      <w:r>
        <w:t xml:space="preserve"> </w:t>
      </w:r>
    </w:p>
    <w:p>
      <w:pPr>
        <w:pStyle w:val="BodyText"/>
      </w:pPr>
      <w:r>
        <w:t xml:space="preserve">Here is some vocabulary that you'll need.</w:t>
      </w:r>
    </w:p>
    <w:p>
      <w:pPr>
        <w:pStyle w:val="BodyText"/>
      </w:pPr>
      <w:r>
        <w:t xml:space="preserve">Minimal diversity:  At least one plaintiff is a citizen of a state that is different from that of at least one defendant.</w:t>
      </w:r>
    </w:p>
    <w:p>
      <w:pPr>
        <w:pStyle w:val="BodyText"/>
      </w:pPr>
      <w:r>
        <w:t xml:space="preserve">Complete diversity:  No plaintiff is a citizen of a state in which any defendant is also a citizen.</w:t>
      </w:r>
    </w:p>
    <w:p>
      <w:pPr>
        <w:pStyle w:val="BodyText"/>
      </w:pPr>
      <w:r>
        <w:t xml:space="preserve">Example:  There are three plaintiffs. They are citizens of Georgia, Georgia, and South Carolina.  There are two defendants, both from South Carolina.  There is minimal but not complete diversity.</w:t>
      </w:r>
    </w:p>
    <w:p>
      <w:pPr>
        <w:pStyle w:val="BodyText"/>
      </w:pPr>
      <w:r>
        <w:t xml:space="preserve"> </w:t>
      </w:r>
    </w:p>
    <w:p>
      <w:pPr>
        <w:pStyle w:val="BodyText"/>
      </w:pPr>
      <w:r>
        <w:t xml:space="preserve">Diversity jurisdiction refers to the jurisdiction granted to federal courts over cases and controversies "between Citizens of different States...and between a State, or the Citizens thereof, and foreign States, Citizens or Subjects."  We will refer to lawsuits between citizens of different states, although, as you can see, diversity jurisdiction also extends to cases between a citizen of a state and a foreign national.</w:t>
      </w:r>
    </w:p>
    <w:p>
      <w:pPr>
        <w:pStyle w:val="BodyText"/>
      </w:pPr>
      <w:r>
        <w:t xml:space="preserve">Here are some things that you can take as given. We will not read case law about them.</w:t>
      </w:r>
    </w:p>
    <w:p>
      <w:pPr>
        <w:numPr>
          <w:ilvl w:val="0"/>
          <w:numId w:val="1046"/>
        </w:numPr>
      </w:pPr>
      <w:r>
        <w:t xml:space="preserve">Diversity jurisdiction is authorized by Article III,</w:t>
      </w:r>
      <w:r>
        <w:t xml:space="preserve"> </w:t>
      </w:r>
      <w:r>
        <w:t xml:space="preserve">§</w:t>
      </w:r>
      <w:r>
        <w:t xml:space="preserve"> </w:t>
      </w:r>
      <w:r>
        <w:t xml:space="preserve">2, cl. 1 of the United States Constitution and codified in 28 U.S.C. § 1332.</w:t>
      </w:r>
    </w:p>
    <w:p>
      <w:pPr>
        <w:numPr>
          <w:ilvl w:val="0"/>
          <w:numId w:val="1046"/>
        </w:numPr>
      </w:pPr>
      <w:r>
        <w:t xml:space="preserve">Article III extends federal court diversity jurisdition to cases "between citizens of different states."</w:t>
      </w:r>
    </w:p>
    <w:p>
      <w:pPr>
        <w:numPr>
          <w:ilvl w:val="0"/>
          <w:numId w:val="1046"/>
        </w:numPr>
      </w:pPr>
      <w:r>
        <w:t xml:space="preserve">Section 1332 allows a federal court to exercise diversity jurisdiction in a case "between citizens of different states" (so long as the amount in controversy exceeds $75,000).</w:t>
      </w:r>
    </w:p>
    <w:p>
      <w:pPr>
        <w:pStyle w:val="FirstParagraph"/>
      </w:pPr>
      <w:r>
        <w:t xml:space="preserve">Question:  Both Article III and Section 1332 refer to cases or controversies "between Citizens of different States."  Does Article III require complete or only minimal diversity?  Does Section 1332 require complete or only minimal diversity?  Does the fact that Section 1332's language is identical to that of Article III on this score give you an inkling as to anything?  Is your inkling correct?</w:t>
      </w:r>
    </w:p>
    <w:p>
      <w:pPr>
        <w:pStyle w:val="BodyText"/>
      </w:pPr>
      <w:r>
        <w:t xml:space="preserve"> </w:t>
      </w:r>
    </w:p>
    <w:p>
      <w:pPr>
        <w:pStyle w:val="BodyText"/>
      </w:pPr>
      <w:r>
        <w:rPr>
          <w:bCs/>
          <w:b/>
        </w:rPr>
        <w:t xml:space="preserve">Justifications for diversity jurisdiction</w:t>
      </w:r>
    </w:p>
    <w:p>
      <w:pPr>
        <w:numPr>
          <w:ilvl w:val="0"/>
          <w:numId w:val="1047"/>
        </w:numPr>
      </w:pPr>
      <w:r>
        <w:t xml:space="preserve">Prevents against bias against out-of-state litigants, particularly out-of-state plaintiffs</w:t>
      </w:r>
    </w:p>
    <w:p>
      <w:pPr>
        <w:numPr>
          <w:ilvl w:val="1"/>
          <w:numId w:val="1048"/>
        </w:numPr>
      </w:pPr>
      <w:r>
        <w:t xml:space="preserve">Chief Justice Marshall in</w:t>
      </w:r>
      <w:r>
        <w:t xml:space="preserve"> </w:t>
      </w:r>
      <w:r>
        <w:rPr>
          <w:iCs/>
          <w:i/>
        </w:rPr>
        <w:t xml:space="preserve">Bank of the United States v. Deveaux</w:t>
      </w:r>
      <w:r>
        <w:t xml:space="preserve"> </w:t>
      </w:r>
      <w:r>
        <w:t xml:space="preserve">(1809):</w:t>
      </w:r>
      <w:r>
        <w:rPr>
          <w:iCs/>
          <w:i/>
        </w:rPr>
        <w:t xml:space="preserve"> "</w:t>
      </w:r>
      <w:r>
        <w:t xml:space="preserve">However true the fact may be that the tribunals of the states will administer justice as impartially as those of the nation, * * * it is not less true that the constitution itself either entertains apprehension on this subject, or views with such indulgence the possible fears and apprehensions of suitors, that it has established national tribunals for the decision of controversies * * * between citizens of different states."</w:t>
      </w:r>
    </w:p>
    <w:p>
      <w:pPr>
        <w:numPr>
          <w:ilvl w:val="0"/>
          <w:numId w:val="1047"/>
        </w:numPr>
      </w:pPr>
      <w:r>
        <w:t xml:space="preserve">Secured financial environment for investors and creditors during the nation's formative years. </w:t>
      </w:r>
    </w:p>
    <w:p>
      <w:pPr>
        <w:numPr>
          <w:ilvl w:val="0"/>
          <w:numId w:val="1047"/>
        </w:numPr>
      </w:pPr>
      <w:r>
        <w:t xml:space="preserve">Promotes competition between state and federal court systems, which induces constructive judicial reform</w:t>
      </w:r>
    </w:p>
    <w:p>
      <w:pPr>
        <w:numPr>
          <w:ilvl w:val="1"/>
          <w:numId w:val="1049"/>
        </w:numPr>
      </w:pPr>
      <w:r>
        <w:t xml:space="preserve">Historically, federal courts were thought to be superior, given the judicial independence of federal judges. Some states now provide judicial independence, leading to criticisms of the continued existence of diversity jurisdiction.</w:t>
      </w:r>
    </w:p>
    <w:p>
      <w:pPr>
        <w:numPr>
          <w:ilvl w:val="0"/>
          <w:numId w:val="1047"/>
        </w:numPr>
      </w:pPr>
      <w:r>
        <w:t xml:space="preserve">Encourages substantive legal improvement within the federal court system</w:t>
      </w:r>
    </w:p>
    <w:p>
      <w:pPr>
        <w:numPr>
          <w:ilvl w:val="1"/>
          <w:numId w:val="1050"/>
        </w:numPr>
      </w:pPr>
      <w:r>
        <w:t xml:space="preserve">Cross-pollination of ideas so that each court system becomes alert to issues across jurisdictional boundaries. Redish, Reassessing the Allocation of Judicial Business Between State and Federal Courts: Federal Jurisdiction and "The Martian Chronicles," 78 Va. L.Rev. 1769, 1785 (1992)</w:t>
      </w:r>
    </w:p>
    <w:p>
      <w:pPr>
        <w:pStyle w:val="FirstParagraph"/>
      </w:pPr>
      <w:r>
        <w:rPr>
          <w:bCs/>
          <w:b/>
        </w:rPr>
        <w:t xml:space="preserve">Criticisms of diversity</w:t>
      </w:r>
      <w:r>
        <w:t xml:space="preserve"> </w:t>
      </w:r>
      <w:r>
        <w:rPr>
          <w:bCs/>
          <w:b/>
        </w:rPr>
        <w:t xml:space="preserve">jurisdiction</w:t>
      </w:r>
    </w:p>
    <w:p>
      <w:pPr>
        <w:numPr>
          <w:ilvl w:val="0"/>
          <w:numId w:val="1051"/>
        </w:numPr>
      </w:pPr>
      <w:r>
        <w:t xml:space="preserve">Contributes to docket congestion by channeling purely state issues to federal forums</w:t>
      </w:r>
    </w:p>
    <w:p>
      <w:pPr>
        <w:numPr>
          <w:ilvl w:val="0"/>
          <w:numId w:val="1051"/>
        </w:numPr>
      </w:pPr>
      <w:r>
        <w:t xml:space="preserve">Because</w:t>
      </w:r>
      <w:r>
        <w:t xml:space="preserve"> </w:t>
      </w:r>
      <w:r>
        <w:rPr>
          <w:iCs/>
          <w:i/>
        </w:rPr>
        <w:t xml:space="preserve">Erie RR v. Tompkins</w:t>
      </w:r>
      <w:r>
        <w:t xml:space="preserve"> </w:t>
      </w:r>
      <w:r>
        <w:t xml:space="preserve">(you will learn A LOT about Erie later) requires federal courts to apply state substantive law in diversity cases, the use of federal forums is wasteful, inappropriate, and unnecessary because only state courts are authoritative on matters of state substantive law.</w:t>
      </w:r>
    </w:p>
    <w:p>
      <w:pPr>
        <w:numPr>
          <w:ilvl w:val="0"/>
          <w:numId w:val="1051"/>
        </w:numPr>
      </w:pPr>
      <w:r>
        <w:t xml:space="preserve">Risks nationalizing local concerns and federalizing state law</w:t>
      </w:r>
    </w:p>
    <w:p>
      <w:pPr>
        <w:numPr>
          <w:ilvl w:val="0"/>
          <w:numId w:val="1051"/>
        </w:numPr>
      </w:pPr>
      <w:r>
        <w:t xml:space="preserve">Prevents the development of state law by encouraging influential professional groups to exit the state judicial systems</w:t>
      </w:r>
    </w:p>
    <w:p>
      <w:pPr>
        <w:numPr>
          <w:ilvl w:val="0"/>
          <w:numId w:val="1051"/>
        </w:numPr>
      </w:pPr>
      <w:r>
        <w:t xml:space="preserve">Encourages gamesmanship</w:t>
      </w:r>
    </w:p>
    <w:p>
      <w:pPr>
        <w:pStyle w:val="FirstParagraph"/>
      </w:pPr>
      <w:r>
        <w:t xml:space="preserve"> </w:t>
      </w:r>
    </w:p>
    <w:p>
      <w:pPr>
        <w:pStyle w:val="BodyText"/>
      </w:pPr>
      <w:r>
        <w:rPr>
          <w:bCs/>
          <w:b/>
        </w:rPr>
        <w:t xml:space="preserve">Proposals to curtail/abolish diversity jurisdiction</w:t>
      </w:r>
    </w:p>
    <w:p>
      <w:pPr>
        <w:numPr>
          <w:ilvl w:val="0"/>
          <w:numId w:val="1052"/>
        </w:numPr>
      </w:pPr>
      <w:r>
        <w:t xml:space="preserve">Prohibit plaintiffs from invoking diversity jurisdiction in federal courts in their home states.  In other words, under current law, a South Carolina plaintiff can sue a North Carolina defendant in a United States federal district court located in South Carolina, even though a South Carolina plaintiff should not fear that a South Carolina state court will be biased against them.  Does that make any sense?</w:t>
      </w:r>
    </w:p>
    <w:p>
      <w:pPr>
        <w:numPr>
          <w:ilvl w:val="0"/>
          <w:numId w:val="1052"/>
        </w:numPr>
      </w:pPr>
      <w:r>
        <w:t xml:space="preserve">Treat corporations as citizens of every state in which they are licensed to do business (under</w:t>
      </w:r>
      <w:r>
        <w:t xml:space="preserve"> </w:t>
      </w:r>
      <w:r>
        <w:t xml:space="preserve">§ 1332</w:t>
      </w:r>
      <w:r>
        <w:t xml:space="preserve">, a corporation is a citizen only of two states: its state of incorporation and the state of its principal place of business)</w:t>
      </w:r>
    </w:p>
    <w:p>
      <w:pPr>
        <w:numPr>
          <w:ilvl w:val="0"/>
          <w:numId w:val="1052"/>
        </w:numPr>
      </w:pPr>
      <w:r>
        <w:t xml:space="preserve">Exclude non-economic damages from calculating the amount-in-controversy (AIC) requirement</w:t>
      </w:r>
    </w:p>
    <w:p>
      <w:pPr>
        <w:numPr>
          <w:ilvl w:val="0"/>
          <w:numId w:val="1052"/>
        </w:numPr>
      </w:pPr>
      <w:r>
        <w:t xml:space="preserve">Raise the amount-in-controversy requirement and indexing it for inflation</w:t>
      </w:r>
    </w:p>
    <w:p>
      <w:pPr>
        <w:pStyle w:val="FirstParagraph"/>
      </w:pPr>
      <w:r>
        <w:rPr>
          <w:bCs/>
          <w:b/>
        </w:rPr>
        <w:t xml:space="preserve">Proposals to expand the scope of diversity jurisdiction</w:t>
      </w:r>
    </w:p>
    <w:p>
      <w:pPr>
        <w:numPr>
          <w:ilvl w:val="0"/>
          <w:numId w:val="1053"/>
        </w:numPr>
      </w:pPr>
      <w:r>
        <w:t xml:space="preserve">Extend diversity jurisdiction in cases of minimal diversity, i.e., when all plaintiffs and defendants are not completely diverse from each other, as Congress has done in some settings, e.g., (you do not have to know any of these for this class):</w:t>
      </w:r>
    </w:p>
    <w:p>
      <w:pPr>
        <w:numPr>
          <w:ilvl w:val="1"/>
          <w:numId w:val="1054"/>
        </w:numPr>
      </w:pPr>
      <w:r>
        <w:rPr>
          <w:bCs/>
          <w:b/>
        </w:rPr>
        <w:t xml:space="preserve">28 U.S.C. § 1335</w:t>
      </w:r>
      <w:r>
        <w:t xml:space="preserve"> </w:t>
      </w:r>
      <w:r>
        <w:t xml:space="preserve">- Interpleader statute: Courts may exercise diversity jurisdiction in an interpleader action if the AIC is over $500 and at least one claimant is a citizen of a different state than those of the other claimants.</w:t>
      </w:r>
    </w:p>
    <w:p>
      <w:pPr>
        <w:numPr>
          <w:ilvl w:val="1"/>
          <w:numId w:val="1054"/>
        </w:numPr>
      </w:pPr>
      <w:r>
        <w:rPr>
          <w:bCs/>
          <w:b/>
        </w:rPr>
        <w:t xml:space="preserve">28 U.S.C. § 1369</w:t>
      </w:r>
      <w:r>
        <w:t xml:space="preserve"> </w:t>
      </w:r>
      <w:r>
        <w:t xml:space="preserve">- Multiparty, Multiforum Trial Jurisdiction Act: Minimal diversity is sufficient to confer diversity jurisdiction where "at least 75 natural persons have died" from a "single accident" at "a discrete location."</w:t>
      </w:r>
    </w:p>
    <w:p>
      <w:pPr>
        <w:numPr>
          <w:ilvl w:val="1"/>
          <w:numId w:val="1054"/>
        </w:numPr>
      </w:pPr>
      <w:r>
        <w:rPr>
          <w:bCs/>
          <w:b/>
        </w:rPr>
        <w:t xml:space="preserve">28 U.S.C. § 1332(d), § 1453</w:t>
      </w:r>
      <w:r>
        <w:t xml:space="preserve"> </w:t>
      </w:r>
      <w:r>
        <w:t xml:space="preserve">- Class Action Fairness Act: Authorizes a federal forum for a class action where the aggregate AIC exceeds $5 million and the class contains at least 100 members</w:t>
      </w:r>
    </w:p>
    <w:p>
      <w:pPr>
        <w:pStyle w:val="NodeEnd"/>
      </w:pPr>
      <w:r>
        <w:t xml:space="preserve"> </w:t>
      </w:r>
    </w:p>
    <w:p>
      <w:pPr>
        <w:pStyle w:val="NodeStart"/>
      </w:pPr>
      <w:r>
        <w:t xml:space="preserve"> </w:t>
      </w:r>
    </w:p>
    <w:p>
      <w:pPr>
        <w:pStyle w:val="HeadSeparator"/>
      </w:pPr>
      <w:r>
        <w:t xml:space="preserve"> </w:t>
      </w:r>
    </w:p>
    <w:bookmarkStart w:id="24" w:name="_auto_toc_24"/>
    <w:bookmarkEnd w:id="24"/>
    <w:p>
      <w:pPr>
        <w:pStyle w:val="ResourceNumber"/>
      </w:pPr>
      <w:r>
        <w:t xml:space="preserve">2.3</w:t>
      </w:r>
    </w:p>
    <w:p>
      <w:pPr>
        <w:pStyle w:val="ResourceTitle"/>
      </w:pPr>
      <w:r>
        <w:t xml:space="preserve">Strawbridge v. Curtiss</w:t>
      </w:r>
    </w:p>
    <w:p>
      <w:pPr>
        <w:pStyle w:val="HeadFieldSeparator"/>
      </w:pPr>
      <w:r>
        <w:t xml:space="preserve"> </w:t>
      </w:r>
    </w:p>
    <w:p>
      <w:pPr>
        <w:pStyle w:val="ResourceHeadnote"/>
      </w:pPr>
      <w:r>
        <w:t xml:space="preserve">This case decided whether Section 1332 requires complete or only minimal diversity.</w:t>
      </w:r>
    </w:p>
    <w:p>
      <w:pPr>
        <w:pStyle w:val="ResourceHeadnote"/>
      </w:pPr>
      <w:r>
        <w:t xml:space="preserve">Several Massachusetts plaintiffs sued several defendants. All but one of the defendants were citizens of Massachusetts; the exception was a defendant from Vermont. The federal trial court dismissed the suit for lack of subject matter jurisdiction, and the plaintiffs sought review in the United States Supreme Court.</w:t>
      </w:r>
      <w:r>
        <w:t xml:space="preserve"> </w:t>
      </w:r>
    </w:p>
    <w:p>
      <w:pPr>
        <w:pStyle w:val="HeadEnd"/>
      </w:pPr>
      <w:r>
        <w:t xml:space="preserve"> </w:t>
      </w:r>
    </w:p>
    <w:p>
      <w:pPr>
        <w:pStyle w:val="CaseHeader"/>
      </w:pPr>
      <w:r>
        <w:t xml:space="preserve">Supreme Court of the United States</w:t>
      </w:r>
    </w:p>
    <w:p>
      <w:pPr>
        <w:pStyle w:val="CaseHeader"/>
      </w:pPr>
      <w:r>
        <w:t xml:space="preserve">3 Cranch 267, 7 U.S. 267, 2 L. Ed. 435, SCDB 1806-005, 1806 U.S. LEXIS 331</w:t>
      </w:r>
    </w:p>
    <w:p>
      <w:pPr>
        <w:pStyle w:val="CaseHeader"/>
      </w:pPr>
      <w:r>
        <w:t xml:space="preserve">1806-02</w:t>
      </w:r>
    </w:p>
    <w:p>
      <w:pPr>
        <w:pStyle w:val="CaseBody"/>
      </w:pPr>
      <w:r>
        <w:t xml:space="preserve">7 U.S. 267 (____)</w:t>
      </w:r>
    </w:p>
    <w:p>
      <w:pPr>
        <w:pStyle w:val="CaseBody"/>
      </w:pPr>
      <w:r>
        <w:t xml:space="preserve">3 Cranch 267</w:t>
      </w:r>
    </w:p>
    <w:p>
      <w:pPr>
        <w:pStyle w:val="CaseHeader"/>
      </w:pPr>
      <w:r>
        <w:t xml:space="preserve">STRAWBRIDGE ET AL.</w:t>
      </w:r>
      <w:r>
        <w:br/>
      </w:r>
      <w:r>
        <w:t xml:space="preserve">v.</w:t>
      </w:r>
      <w:r>
        <w:br/>
      </w:r>
      <w:r>
        <w:t xml:space="preserve">CURTISS ET AL.</w:t>
      </w:r>
    </w:p>
    <w:p>
      <w:pPr>
        <w:pStyle w:val="CaseBody"/>
      </w:pPr>
      <w:r>
        <w:t xml:space="preserve">Supreme Court of United States.</w:t>
      </w:r>
    </w:p>
    <w:p>
      <w:pPr>
        <w:pStyle w:val="CaseBody"/>
      </w:pPr>
      <w:r>
        <w:t xml:space="preserve">The question of jurisdiction was submitted to the court without argument</w:t>
      </w:r>
      <w:r>
        <w:rPr>
          <w:rStyle w:val="Elision"/>
        </w:rPr>
        <w:t xml:space="preserve">[ … ]</w:t>
      </w:r>
    </w:p>
    <w:p>
      <w:pPr>
        <w:pStyle w:val="CaseBody"/>
      </w:pPr>
      <w:r>
        <w:t xml:space="preserve">On a subsequent day,</w:t>
      </w:r>
    </w:p>
    <w:bookmarkStart w:id="41" w:name="Xea8e3c4ee7fe93ce4ed977463e58912745c78b1"/>
    <w:p>
      <w:pPr>
        <w:pStyle w:val="Heading2"/>
      </w:pPr>
      <w:r>
        <w:t xml:space="preserve">MARSHALL, Ch. J. delivered the opinion of the court.</w:t>
      </w:r>
    </w:p>
    <w:p>
      <w:pPr>
        <w:pStyle w:val="CaseBody"/>
      </w:pPr>
      <w:r>
        <w:t xml:space="preserve">The court has considered this case, and is of opinion that the jurisdiction cannot be supported.</w:t>
      </w:r>
    </w:p>
    <w:p>
      <w:pPr>
        <w:pStyle w:val="CaseBody"/>
      </w:pPr>
      <w:r>
        <w:t xml:space="preserve">The words of the act of congress are, "where an alien is a party; or the suit is between a citizen of a state where the suit is brought, and a citizen of another state."</w:t>
      </w:r>
    </w:p>
    <w:p>
      <w:pPr>
        <w:pStyle w:val="CaseBody"/>
      </w:pPr>
      <w:r>
        <w:t xml:space="preserve">The court understands these expressions to meant that each distinct interest should be represented by persons, all of whom are entitled to sue, or may be sued, in the federal courts. That is, that where the interest is joint, each of the persons concerned in that interest must be competent to sue, or liable to be sued, in those courts.</w:t>
      </w:r>
    </w:p>
    <w:p>
      <w:pPr>
        <w:pStyle w:val="CaseBody"/>
      </w:pPr>
      <w:r>
        <w:rPr>
          <w:rStyle w:val="Elision"/>
        </w:rPr>
        <w:t xml:space="preserve">[ … ]</w:t>
      </w:r>
      <w:r>
        <w:rPr>
          <w:rStyle w:val="Elision"/>
        </w:rPr>
        <w:t xml:space="preserve">[ … ]</w:t>
      </w:r>
    </w:p>
    <w:p>
      <w:pPr>
        <w:pStyle w:val="CaseBody"/>
      </w:pPr>
      <w:r>
        <w:rPr>
          <w:rStyle w:val="ReplacementText"/>
        </w:rPr>
        <w:t xml:space="preserve">The trial court's order dismissing the case for lack of subject matter jurisdiction is</w:t>
      </w:r>
      <w:r>
        <w:t xml:space="preserve">a</w:t>
      </w:r>
      <w:r>
        <w:t xml:space="preserve">ffirmed.</w:t>
      </w:r>
      <w:r>
        <w:rPr>
          <w:rStyle w:val="FootnoteReference"/>
        </w:rPr>
        <w:footnoteReference w:customMarkFollows="1" w:id="5"/>
        <w:t xml:space="preserve">*</w:t>
      </w:r>
    </w:p>
    <w:bookmarkEnd w:id="41"/>
    <w:p>
      <w:pPr>
        <w:pStyle w:val="NodeEnd"/>
      </w:pPr>
      <w:r>
        <w:t xml:space="preserve"> </w:t>
      </w:r>
    </w:p>
    <w:p>
      <w:pPr>
        <w:pStyle w:val="NodeStart"/>
      </w:pPr>
      <w:r>
        <w:t xml:space="preserve"> </w:t>
      </w:r>
    </w:p>
    <w:p>
      <w:pPr>
        <w:pStyle w:val="HeadSeparator"/>
      </w:pPr>
      <w:r>
        <w:t xml:space="preserve"> </w:t>
      </w:r>
    </w:p>
    <w:bookmarkStart w:id="25" w:name="_auto_toc_25"/>
    <w:bookmarkEnd w:id="25"/>
    <w:p>
      <w:pPr>
        <w:pStyle w:val="ResourceNumber"/>
      </w:pPr>
      <w:r>
        <w:t xml:space="preserve">2.4</w:t>
      </w:r>
    </w:p>
    <w:p>
      <w:pPr>
        <w:pStyle w:val="ResourceTitle"/>
      </w:pPr>
      <w:r>
        <w:t xml:space="preserve">Mas v. Perry</w:t>
      </w:r>
    </w:p>
    <w:p>
      <w:pPr>
        <w:pStyle w:val="HeadFieldSeparator"/>
      </w:pPr>
      <w:r>
        <w:t xml:space="preserve"> </w:t>
      </w:r>
    </w:p>
    <w:p>
      <w:pPr>
        <w:pStyle w:val="ResourceHeadnote"/>
      </w:pPr>
      <w:r>
        <w:t xml:space="preserve">Section 1332 speaks of diversity of "citizenship." To decide whether parties to a case are diverse, we need to know in which states they are citizens. The rules for citizenship depend on the type of litigant. This case articulates the results for human beings. Different rules govern citizenship of corporations. Still other rules govern citizenship of unincorporated associations (e.g,. labor unions, charities, business partnerships).</w:t>
      </w:r>
    </w:p>
    <w:p>
      <w:pPr>
        <w:pStyle w:val="HeadEnd"/>
      </w:pPr>
      <w:r>
        <w:t xml:space="preserve"> </w:t>
      </w:r>
    </w:p>
    <w:p>
      <w:pPr>
        <w:pStyle w:val="CaseHeader"/>
      </w:pPr>
      <w:r>
        <w:t xml:space="preserve">United States Court of Appeals for the Fifth Circuit</w:t>
      </w:r>
    </w:p>
    <w:p>
      <w:pPr>
        <w:pStyle w:val="CaseHeader"/>
      </w:pPr>
      <w:r>
        <w:t xml:space="preserve">489 F.2d 1396</w:t>
      </w:r>
    </w:p>
    <w:p>
      <w:pPr>
        <w:pStyle w:val="CaseHeader"/>
      </w:pPr>
      <w:r>
        <w:t xml:space="preserve">No. 73-3008</w:t>
      </w:r>
    </w:p>
    <w:p>
      <w:pPr>
        <w:pStyle w:val="CaseHeader"/>
      </w:pPr>
      <w:r>
        <w:t xml:space="preserve">1974-02-22</w:t>
      </w:r>
    </w:p>
    <w:p>
      <w:pPr>
        <w:pStyle w:val="CaseBody"/>
      </w:pPr>
      <w:r>
        <w:rPr>
          <w:rStyle w:val="Elision"/>
        </w:rPr>
        <w:t xml:space="preserve">[ … ]</w:t>
      </w:r>
    </w:p>
    <w:p>
      <w:pPr>
        <w:pStyle w:val="CaseBody"/>
      </w:pPr>
      <w:r>
        <w:rPr>
          <w:rStyle w:val="Elision"/>
        </w:rPr>
        <w:t xml:space="preserve">[ … ]</w:t>
      </w:r>
    </w:p>
    <w:p>
      <w:pPr>
        <w:pStyle w:val="CaseBody"/>
      </w:pPr>
      <w:r>
        <w:t xml:space="preserve">AINSWORTH, Circuit Judge:</w:t>
      </w:r>
    </w:p>
    <w:p>
      <w:pPr>
        <w:pStyle w:val="CaseBody"/>
      </w:pPr>
      <w:r>
        <w:t xml:space="preserve">This case presents questions pertaining to federal diversity jurisdiction under</w:t>
      </w:r>
      <w:r>
        <w:t xml:space="preserve"> </w:t>
      </w:r>
      <w:r>
        <w:t xml:space="preserve">28 U.S.C. § 1332</w:t>
      </w:r>
      <w:r>
        <w:t xml:space="preserve">, which, pursuant to article III, section II of the Constitution, provides for original jurisdiction in federal district courts of all civil actions that are between,</w:t>
      </w:r>
      <w:r>
        <w:t xml:space="preserve"> </w:t>
      </w:r>
      <w:r>
        <w:rPr>
          <w:iCs/>
          <w:i/>
        </w:rPr>
        <w:t xml:space="preserve">inter alia,</w:t>
      </w:r>
      <w:r>
        <w:t xml:space="preserve"> </w:t>
      </w:r>
      <w:r>
        <w:t xml:space="preserve">citizens of different States or citizens of a State and citizens of foreign states and in which the amount in controversy is more than</w:t>
      </w:r>
      <w:r>
        <w:rPr>
          <w:rStyle w:val="ReplacementText"/>
        </w:rPr>
        <w:t xml:space="preserve">, currently, $75,000</w:t>
      </w:r>
      <w:r>
        <w:t xml:space="preserve">.</w:t>
      </w:r>
    </w:p>
    <w:p>
      <w:pPr>
        <w:pStyle w:val="CaseBody"/>
      </w:pPr>
      <w:r>
        <w:t xml:space="preserve">Appellees Jean Paul Mas, a citizen of France, and Judy Mas were married at her home in Jackson, Mississippi. Prior to their marriage, Mr. and Mrs. Mas were graduate assistants, pursuing coursework as well as performing teaching duties, for approximately nine months and one year, respectively, at Louisiana State University in Baton Rouge, Louisiana. Shortly after their marriage, they returned to Baton Rouge to resume their duties as graduate assistants at LSU. They remained in Baton Rouge for approximately two more years, after which they moved to Park Ridge, Illinois. At the time of the trial in this case, it was their intention to return to Baton Rouge while Mr. Mas finished his studies for the degree of Doctor of Philosophy. Mr. and Mrs. Mas were undecided as to where they would reside after that.</w:t>
      </w:r>
    </w:p>
    <w:p>
      <w:pPr>
        <w:pStyle w:val="CaseBody"/>
      </w:pPr>
      <w:r>
        <w:t xml:space="preserve">Upon their return to Baton Rouge after their marriage, appellees rented an apartment from appellant Oliver H. Perry, a citizen of Louisiana. This appeal arises from a final judgment entered on a jury verdict awarding $5,000 to Mr. Mas and $15,000 to Mrs. Mas for damages incurred by them as a result of the discovery that their bedroom and bathroom contained “two-way” mirrors and that they had been watched through them by the appellant during three of the first four months of their marriage.</w:t>
      </w:r>
    </w:p>
    <w:p>
      <w:pPr>
        <w:pStyle w:val="CaseBody"/>
      </w:pPr>
      <w:r>
        <w:t xml:space="preserve">At the close of the appellees’ case at trial, appellant made an oral motion to dismiss for lack of jurisdiction.</w:t>
      </w:r>
      <w:r>
        <w:rPr>
          <w:rStyle w:val="FootnoteReference"/>
        </w:rPr>
        <w:footnoteReference w:customMarkFollows="1" w:id="164"/>
        <w:t xml:space="preserve">1</w:t>
      </w:r>
      <w:r>
        <w:t xml:space="preserve"> </w:t>
      </w:r>
      <w:r>
        <w:t xml:space="preserve">The motion was denied by the district court. Before this Court, appellant challenges the final judgment below solely on jurisdictional grounds, contending that appel-lees failed to prove diversity of citizenship among the parties and that the requisite jurisdictional amount is lacking with respect to Mr. Mas. Finding no merit to these contentions, we affirm. Under section 1332(a)(2), the federal judicial power extends to the claim of Mr. Mas, a citizen of France, against the appellant, a citizen of Louisiana. Since we conclude that Mrs. Mas is a citizen of Mississippi for diversity purposes, the district court also properly had jurisdiction under section 1332(a) (1) of her claim.</w:t>
      </w:r>
    </w:p>
    <w:p>
      <w:pPr>
        <w:pStyle w:val="CaseBody"/>
      </w:pPr>
      <w:r>
        <w:t xml:space="preserve">It has long been the general rule that complete diversity of parties is required in order that diversity jurisdiction obtain; that is, no party on one side may be a citizen of the same State as any party on the other side. Strawbridge v. Curtiss,</w:t>
      </w:r>
      <w:r>
        <w:rPr>
          <w:rStyle w:val="Elision"/>
        </w:rPr>
        <w:t xml:space="preserve">[ … ]</w:t>
      </w:r>
      <w:r>
        <w:rPr>
          <w:rStyle w:val="Elision"/>
        </w:rPr>
        <w:t xml:space="preserve">[ … ]</w:t>
      </w:r>
      <w:r>
        <w:t xml:space="preserve"> </w:t>
      </w:r>
      <w:r>
        <w:t xml:space="preserve">This determination of one’s State citizenship for diversity purposes is controlled by federal law, not by the law of any State.</w:t>
      </w:r>
      <w:r>
        <w:t xml:space="preserve"> </w:t>
      </w:r>
      <w:r>
        <w:rPr>
          <w:rStyle w:val="Elision"/>
        </w:rPr>
        <w:t xml:space="preserve">[ … ]</w:t>
      </w:r>
      <w:r>
        <w:t xml:space="preserve">. As is the case in other areas of federal jurisdiction, the diverse citizenship among adverse parties must be present at the time the complaint is filed.</w:t>
      </w:r>
      <w:r>
        <w:t xml:space="preserve"> </w:t>
      </w:r>
      <w:r>
        <w:rPr>
          <w:rStyle w:val="Elision"/>
        </w:rPr>
        <w:t xml:space="preserve">[ … ]</w:t>
      </w:r>
      <w:r>
        <w:t xml:space="preserve"> </w:t>
      </w:r>
      <w:r>
        <w:t xml:space="preserve">Jurisdiction is unaffected by subsequent changes in the citizenship of the parties.</w:t>
      </w:r>
      <w:r>
        <w:t xml:space="preserve"> </w:t>
      </w:r>
      <w:r>
        <w:rPr>
          <w:rStyle w:val="Elision"/>
        </w:rPr>
        <w:t xml:space="preserve">[ … ]</w:t>
      </w:r>
      <w:r>
        <w:rPr>
          <w:rStyle w:val="Elision"/>
        </w:rPr>
        <w:t xml:space="preserve">[ … ]</w:t>
      </w:r>
      <w:r>
        <w:t xml:space="preserve">. The burden of pleading the diverse citizenship is upon the party invoking federal jurisdiction,</w:t>
      </w:r>
      <w:r>
        <w:t xml:space="preserve"> </w:t>
      </w:r>
      <w:r>
        <w:rPr>
          <w:rStyle w:val="Elision"/>
        </w:rPr>
        <w:t xml:space="preserve">[ … ]</w:t>
      </w:r>
      <w:r>
        <w:t xml:space="preserve">; and if the diversity jurisdiction is properly challenged, that party also bears the burden of proof</w:t>
      </w:r>
      <w:r>
        <w:rPr>
          <w:rStyle w:val="Elision"/>
        </w:rPr>
        <w:t xml:space="preserve">[ … ]</w:t>
      </w:r>
      <w:r>
        <w:rPr>
          <w:rStyle w:val="Elision"/>
        </w:rPr>
        <w:t xml:space="preserve">[ … ]</w:t>
      </w:r>
      <w:r>
        <w:t xml:space="preserve">.</w:t>
      </w:r>
    </w:p>
    <w:p>
      <w:pPr>
        <w:pStyle w:val="CaseBody"/>
      </w:pPr>
      <w:r>
        <w:t xml:space="preserve">To be a citizen of a State within the meaning of section 1332, a natural person must be both a citizen of the United States</w:t>
      </w:r>
      <w:r>
        <w:rPr>
          <w:rStyle w:val="Elision"/>
        </w:rPr>
        <w:t xml:space="preserve">[ … ]</w:t>
      </w:r>
      <w:r>
        <w:t xml:space="preserve"> </w:t>
      </w:r>
      <w:r>
        <w:t xml:space="preserve">and a domiciliary of that State.</w:t>
      </w:r>
      <w:r>
        <w:t xml:space="preserve"> </w:t>
      </w:r>
      <w:r>
        <w:rPr>
          <w:rStyle w:val="Elision"/>
        </w:rPr>
        <w:t xml:space="preserve">[ … ]</w:t>
      </w:r>
      <w:r>
        <w:t xml:space="preserve">For diversity purposes, citizenship means domicile; mere residence in the State is not sufficient.</w:t>
      </w:r>
      <w:r>
        <w:t xml:space="preserve"> </w:t>
      </w:r>
      <w:r>
        <w:rPr>
          <w:rStyle w:val="Elision"/>
        </w:rPr>
        <w:t xml:space="preserve">[ … ]</w:t>
      </w:r>
      <w:r>
        <w:rPr>
          <w:rStyle w:val="Elision"/>
        </w:rPr>
        <w:t xml:space="preserve">[ … ]</w:t>
      </w:r>
    </w:p>
    <w:p>
      <w:pPr>
        <w:pStyle w:val="CaseBody"/>
      </w:pPr>
      <w:r>
        <w:t xml:space="preserve">A person’s domicile is the place of “his true, fixed, permanent home and principal establishment, and to which he has the intention of returning whenever he is absent therefrom .</w:t>
      </w:r>
      <w:r>
        <w:t xml:space="preserve"> </w:t>
      </w:r>
      <w:r>
        <w:rPr>
          <w:rStyle w:val="FootnoteReference"/>
        </w:rPr>
        <w:footnoteReference w:customMarkFollows="1" w:id="6"/>
        <w:t xml:space="preserve">*</w:t>
      </w:r>
      <w:r>
        <w:t xml:space="preserve">”</w:t>
      </w:r>
      <w:r>
        <w:t xml:space="preserve"> </w:t>
      </w:r>
      <w:r>
        <w:rPr>
          <w:rStyle w:val="Elision"/>
        </w:rPr>
        <w:t xml:space="preserve">[ … ]</w:t>
      </w:r>
      <w:r>
        <w:t xml:space="preserve">A change of domicile may be effected only by a combination of two elements: (a) taking up residence in a different domicile with (b) the intention to remain there.</w:t>
      </w:r>
      <w:r>
        <w:t xml:space="preserve"> </w:t>
      </w:r>
      <w:r>
        <w:rPr>
          <w:rStyle w:val="Elision"/>
        </w:rPr>
        <w:t xml:space="preserve">[ … ]</w:t>
      </w:r>
      <w:r>
        <w:rPr>
          <w:rStyle w:val="FootnoteReference"/>
        </w:rPr>
        <w:footnoteReference w:customMarkFollows="1" w:id="59"/>
        <w:t xml:space="preserve">**</w:t>
      </w:r>
    </w:p>
    <w:p>
      <w:pPr>
        <w:pStyle w:val="CaseBody"/>
      </w:pPr>
      <w:r>
        <w:t xml:space="preserve">It is clear that at the time of her marriage, Mrs. Mas was a domiciliary of the State of Mississippi.</w:t>
      </w:r>
      <w:r>
        <w:t xml:space="preserve"> </w:t>
      </w:r>
      <w:r>
        <w:rPr>
          <w:rStyle w:val="Elision"/>
        </w:rPr>
        <w:t xml:space="preserve">[ … ]</w:t>
      </w:r>
      <w:r>
        <w:rPr>
          <w:rStyle w:val="Elision"/>
        </w:rPr>
        <w:t xml:space="preserve">[ … ]</w:t>
      </w:r>
      <w:r>
        <w:rPr>
          <w:rStyle w:val="Elision"/>
        </w:rPr>
        <w:t xml:space="preserve">[ … ]</w:t>
      </w:r>
      <w:r>
        <w:rPr>
          <w:rStyle w:val="Elision"/>
        </w:rPr>
        <w:t xml:space="preserve">[ … ]</w:t>
      </w:r>
      <w:r>
        <w:t xml:space="preserve">.</w:t>
      </w:r>
      <w:r>
        <w:rPr>
          <w:rStyle w:val="Elision"/>
        </w:rPr>
        <w:t xml:space="preserve">[ … ]</w:t>
      </w:r>
    </w:p>
    <w:p>
      <w:pPr>
        <w:pStyle w:val="CaseBody"/>
      </w:pPr>
      <w:r>
        <w:rPr>
          <w:rStyle w:val="Elision"/>
        </w:rPr>
        <w:t xml:space="preserve">[ … ]</w:t>
      </w:r>
    </w:p>
    <w:p>
      <w:pPr>
        <w:pStyle w:val="CaseBody"/>
      </w:pPr>
      <w:r>
        <w:t xml:space="preserve">Mrs. Mas’s Mississippi domicile was disturbed neither by her year in Louisiana prior to her marriage nor as a result of the time she and her husband spent at LSU after their marriage, since for both periods she was a graduate assistant at LSU.</w:t>
      </w:r>
      <w:r>
        <w:t xml:space="preserve"> </w:t>
      </w:r>
      <w:r>
        <w:rPr>
          <w:rStyle w:val="Elision"/>
        </w:rPr>
        <w:t xml:space="preserve">[ … ]</w:t>
      </w:r>
      <w:r>
        <w:t xml:space="preserve"> </w:t>
      </w:r>
      <w:r>
        <w:t xml:space="preserve">Though she testified that after her marriage she had no intention of returning to her parents' home in Mississippi, Mrs. Mas did not effect a change of domicile since she and Mr. Mas were in Louisiana only as students and lacked the requisite intention to remain there.</w:t>
      </w:r>
      <w:r>
        <w:t xml:space="preserve"> </w:t>
      </w:r>
      <w:r>
        <w:rPr>
          <w:rStyle w:val="Elision"/>
        </w:rPr>
        <w:t xml:space="preserve">[ … ]</w:t>
      </w:r>
      <w:r>
        <w:t xml:space="preserve">Until she acquires a new domicile, she remains a domiciliary, and thus a citizen, of Mississippi.</w:t>
      </w:r>
      <w:r>
        <w:t xml:space="preserve"> </w:t>
      </w:r>
      <w:r>
        <w:rPr>
          <w:rStyle w:val="Elision"/>
        </w:rPr>
        <w:t xml:space="preserve">[ … ]</w:t>
      </w:r>
    </w:p>
    <w:p>
      <w:pPr>
        <w:pStyle w:val="CaseBody"/>
      </w:pPr>
      <w:r>
        <w:rPr>
          <w:rStyle w:val="Elision"/>
        </w:rPr>
        <w:t xml:space="preserve">[ … ]</w:t>
      </w:r>
    </w:p>
    <w:p>
      <w:pPr>
        <w:pStyle w:val="CaseBody"/>
      </w:pPr>
      <w:r>
        <w:t xml:space="preserve">Thus the power of the federal district court to entertain the claims of appellees in this case stands on two separate legs of diversity jurisdiction: a claim by an alien against a State citizen; and an action between citizens of different States.</w:t>
      </w:r>
      <w:r>
        <w:t xml:space="preserve"> </w:t>
      </w:r>
      <w:r>
        <w:t xml:space="preserve">We also note, however, the propriety of having the federal district court entertain a spouse’s action against a defendant, where the district court already has jurisdiction over a claim, arising from the same transaction, by the other spouse against the same defendant.</w:t>
      </w:r>
      <w:r>
        <w:t xml:space="preserve"> </w:t>
      </w:r>
    </w:p>
    <w:p>
      <w:pPr>
        <w:pStyle w:val="CaseBody"/>
      </w:pPr>
      <w:r>
        <w:rPr>
          <w:rStyle w:val="Elision"/>
        </w:rPr>
        <w:t xml:space="preserve">[ … ]</w:t>
      </w:r>
      <w:r>
        <w:t xml:space="preserve">In the case before us, such a result is particularly desirable. The claims of Mr. and Mrs. Mas arise from the same operative facts, and there was almost complete interdependence between their claims with respect to the proof required and the issues raised at trial. Thus, since the district court had jurisdiction of Mr. Mas’s action, sound judicial administration militates strongly in favor of federal jurisdiction of Mrs. Mas’s claim.</w:t>
      </w:r>
      <w:r>
        <w:rPr>
          <w:rStyle w:val="FootnoteReference"/>
        </w:rPr>
        <w:footnoteReference w:customMarkFollows="1" w:id="95"/>
        <w:t xml:space="preserve">***</w:t>
      </w:r>
    </w:p>
    <w:p>
      <w:pPr>
        <w:pStyle w:val="CaseBody"/>
      </w:pPr>
      <w:r>
        <w:t xml:space="preserve">Affirmed.</w:t>
      </w:r>
    </w:p>
    <w:bookmarkStart w:id="26" w:name="_auto_toc_26"/>
    <w:bookmarkEnd w:id="26"/>
    <w:p>
      <w:pPr>
        <w:pStyle w:val="ResourceNumber"/>
      </w:pPr>
      <w:r>
        <w:t xml:space="preserve">2.5</w:t>
      </w:r>
    </w:p>
    <w:p>
      <w:pPr>
        <w:pStyle w:val="ResourceTitle"/>
      </w:pPr>
      <w:r>
        <w:t xml:space="preserve">Notes following Mas v. Perry</w:t>
      </w:r>
    </w:p>
    <w:p>
      <w:pPr>
        <w:pStyle w:val="HeadEnd"/>
      </w:pPr>
      <w:r>
        <w:t xml:space="preserve"> </w:t>
      </w:r>
    </w:p>
    <w:p>
      <w:pPr>
        <w:pStyle w:val="BodyText"/>
      </w:pPr>
      <w:r>
        <w:t xml:space="preserve">The rules for incorporeal entities are different from those applicable to regular, flesh and blood individuals.</w:t>
      </w:r>
    </w:p>
    <w:p>
      <w:pPr>
        <w:pStyle w:val="BodyText"/>
      </w:pPr>
      <w:r>
        <w:t xml:space="preserve">First, corporations can have multiple states of citizenship. 28 U.S.C. § 1332(c)(1) states that a corporation is a citizen both in the state (or foreign nation) in which it is incorporated (frequently Delaware) as well as the state in which it has its principal place of business (sometimes abbreviated as PPoB). In</w:t>
      </w:r>
      <w:r>
        <w:t xml:space="preserve"> </w:t>
      </w:r>
      <w:r>
        <w:rPr>
          <w:iCs/>
          <w:i/>
        </w:rPr>
        <w:t xml:space="preserve">Hertz Corp. v. Friend</w:t>
      </w:r>
      <w:r>
        <w:t xml:space="preserve">, 559 U.S. 77 (2010), the Supreme Court held that the "nerve center" test determines the location of the principal place of business for reasons including that a clear rule would discourage gamesmanship. Under the nerve center test, the relevant state is the one in which corporate decision-making and overall control take place.</w:t>
      </w:r>
    </w:p>
    <w:p>
      <w:pPr>
        <w:pStyle w:val="BodyText"/>
      </w:pPr>
      <w:r>
        <w:t xml:space="preserve">Further complicating factors exist with corporations:</w:t>
      </w:r>
    </w:p>
    <w:p>
      <w:pPr>
        <w:numPr>
          <w:ilvl w:val="0"/>
          <w:numId w:val="1055"/>
        </w:numPr>
      </w:pPr>
      <w:r>
        <w:t xml:space="preserve">Under </w:t>
      </w:r>
      <w:r>
        <w:rPr>
          <w:iCs/>
          <w:i/>
        </w:rPr>
        <w:t xml:space="preserve">Hertz</w:t>
      </w:r>
      <w:r>
        <w:t xml:space="preserve">, what should the Court do with a dissolved corporation?</w:t>
      </w:r>
    </w:p>
    <w:p>
      <w:pPr>
        <w:numPr>
          <w:ilvl w:val="0"/>
          <w:numId w:val="1055"/>
        </w:numPr>
      </w:pPr>
      <w:r>
        <w:t xml:space="preserve">There are many different types of corporations and many businesses that function as de facto corporations, but the Supreme Court has held that a group counts as a corporation if and only if it is incorporated under state law.  (We will not discuss federally chartered corporations in this class.)</w:t>
      </w:r>
    </w:p>
    <w:p>
      <w:pPr>
        <w:pStyle w:val="FirstParagraph"/>
      </w:pPr>
      <w:r>
        <w:t xml:space="preserve">Second, an unincorporated association (such as a trade union, business partnership, charity or real estate trust) takes on the citizenship of each and every one of its members. This rule makes it more difficult for large associations, such as national or international unions, to sue or be sued in federal court.</w:t>
      </w:r>
    </w:p>
    <w:p>
      <w:pPr>
        <w:pStyle w:val="NodeEnd"/>
      </w:pPr>
      <w:r>
        <w:t xml:space="preserve"> </w:t>
      </w:r>
    </w:p>
    <w:p>
      <w:pPr>
        <w:pStyle w:val="NodeStart"/>
      </w:pPr>
      <w:r>
        <w:t xml:space="preserve"> </w:t>
      </w:r>
    </w:p>
    <w:p>
      <w:pPr>
        <w:pStyle w:val="HeadSeparator"/>
      </w:pPr>
      <w:r>
        <w:t xml:space="preserve"> </w:t>
      </w:r>
    </w:p>
    <w:bookmarkStart w:id="27" w:name="_auto_toc_27"/>
    <w:bookmarkEnd w:id="27"/>
    <w:p>
      <w:pPr>
        <w:pStyle w:val="ResourceNumber"/>
      </w:pPr>
      <w:r>
        <w:t xml:space="preserve">2.6</w:t>
      </w:r>
    </w:p>
    <w:p>
      <w:pPr>
        <w:pStyle w:val="ResourceTitle"/>
      </w:pPr>
      <w:r>
        <w:t xml:space="preserve">Professor Greiner's Life</w:t>
      </w:r>
    </w:p>
    <w:p>
      <w:pPr>
        <w:pStyle w:val="HeadFieldSeparator"/>
      </w:pPr>
      <w:r>
        <w:t xml:space="preserve"> </w:t>
      </w:r>
    </w:p>
    <w:p>
      <w:pPr>
        <w:pStyle w:val="ResourceHeadnote"/>
      </w:pPr>
      <w:r>
        <w:t xml:space="preserve">We will use this as an example for determining domicile status.</w:t>
      </w:r>
    </w:p>
    <w:p>
      <w:pPr>
        <w:pStyle w:val="HeadEnd"/>
      </w:pPr>
      <w:r>
        <w:t xml:space="preserve"> </w:t>
      </w:r>
    </w:p>
    <w:p>
      <w:pPr>
        <w:pStyle w:val="BodyText"/>
      </w:pPr>
      <w:r>
        <w:rPr>
          <w:u w:val="single"/>
        </w:rPr>
        <w:t xml:space="preserve">Professor Greiner’s Life</w:t>
      </w:r>
    </w:p>
    <w:p>
      <w:pPr>
        <w:pStyle w:val="BodyText"/>
      </w:pPr>
      <w:r>
        <w:t xml:space="preserve"> </w:t>
      </w:r>
    </w:p>
    <w:p>
      <w:pPr>
        <w:numPr>
          <w:ilvl w:val="0"/>
          <w:numId w:val="1056"/>
        </w:numPr>
      </w:pPr>
      <w:r>
        <w:t xml:space="preserve"> </w:t>
      </w:r>
      <w:r>
        <w:t xml:space="preserve">1969:</w:t>
      </w:r>
      <w:r>
        <w:t xml:space="preserve"> </w:t>
      </w:r>
      <w:r>
        <w:t xml:space="preserve">Born in South Carolina, lived in parents’ house</w:t>
      </w:r>
    </w:p>
    <w:p>
      <w:pPr>
        <w:pStyle w:val="FirstParagraph"/>
      </w:pPr>
      <w:r>
        <w:t xml:space="preserve"> </w:t>
      </w:r>
    </w:p>
    <w:p>
      <w:pPr>
        <w:numPr>
          <w:ilvl w:val="0"/>
          <w:numId w:val="1057"/>
        </w:numPr>
      </w:pPr>
      <w:r>
        <w:t xml:space="preserve"> </w:t>
      </w:r>
      <w:r>
        <w:t xml:space="preserve">1987 - 1991:</w:t>
      </w:r>
      <w:r>
        <w:t xml:space="preserve"> </w:t>
      </w:r>
      <w:r>
        <w:t xml:space="preserve">College, University of Virginia, Charlottesville, VA; lived in dorms</w:t>
      </w:r>
    </w:p>
    <w:p>
      <w:pPr>
        <w:pStyle w:val="FirstParagraph"/>
      </w:pPr>
      <w:r>
        <w:t xml:space="preserve"> </w:t>
      </w:r>
    </w:p>
    <w:p>
      <w:pPr>
        <w:numPr>
          <w:ilvl w:val="0"/>
          <w:numId w:val="1058"/>
        </w:numPr>
      </w:pPr>
      <w:r>
        <w:t xml:space="preserve"> </w:t>
      </w:r>
      <w:r>
        <w:t xml:space="preserve">1991 - 92:</w:t>
      </w:r>
      <w:r>
        <w:t xml:space="preserve"> </w:t>
      </w:r>
      <w:r>
        <w:t xml:space="preserve">1-year scholarship in Dominican Republic; rented room from a family</w:t>
      </w:r>
    </w:p>
    <w:p>
      <w:pPr>
        <w:pStyle w:val="FirstParagraph"/>
      </w:pPr>
      <w:r>
        <w:t xml:space="preserve"> </w:t>
      </w:r>
    </w:p>
    <w:p>
      <w:pPr>
        <w:numPr>
          <w:ilvl w:val="0"/>
          <w:numId w:val="1059"/>
        </w:numPr>
      </w:pPr>
      <w:r>
        <w:t xml:space="preserve"> </w:t>
      </w:r>
      <w:r>
        <w:t xml:space="preserve">1992 - 1995:</w:t>
      </w:r>
      <w:r>
        <w:t xml:space="preserve"> </w:t>
      </w:r>
      <w:r>
        <w:t xml:space="preserve">Law school, University of Michigan, Ann Arbor, MI; lived in dorms and rented house</w:t>
      </w:r>
    </w:p>
    <w:p>
      <w:pPr>
        <w:pStyle w:val="FirstParagraph"/>
      </w:pPr>
      <w:r>
        <w:t xml:space="preserve"> </w:t>
      </w:r>
    </w:p>
    <w:p>
      <w:pPr>
        <w:numPr>
          <w:ilvl w:val="0"/>
          <w:numId w:val="1060"/>
        </w:numPr>
      </w:pPr>
      <w:r>
        <w:t xml:space="preserve"> </w:t>
      </w:r>
      <w:r>
        <w:t xml:space="preserve">1995 - 1996:</w:t>
      </w:r>
      <w:r>
        <w:t xml:space="preserve"> </w:t>
      </w:r>
      <w:r>
        <w:t xml:space="preserve">Law Clerk, Judge Patrick E. Higginbotham, Dallas, TX; lived in rented apartment</w:t>
      </w:r>
    </w:p>
    <w:p>
      <w:pPr>
        <w:pStyle w:val="FirstParagraph"/>
      </w:pPr>
      <w:r>
        <w:t xml:space="preserve"> </w:t>
      </w:r>
    </w:p>
    <w:p>
      <w:pPr>
        <w:numPr>
          <w:ilvl w:val="0"/>
          <w:numId w:val="1061"/>
        </w:numPr>
      </w:pPr>
      <w:r>
        <w:t xml:space="preserve"> </w:t>
      </w:r>
      <w:r>
        <w:t xml:space="preserve">1996 - 1999:</w:t>
      </w:r>
      <w:r>
        <w:t xml:space="preserve"> </w:t>
      </w:r>
      <w:r>
        <w:t xml:space="preserve">USDOJ (Washington, DC) trial attorney; lived in Arlington, VA in rented apartment</w:t>
      </w:r>
    </w:p>
    <w:p>
      <w:pPr>
        <w:pStyle w:val="FirstParagraph"/>
      </w:pPr>
      <w:r>
        <w:t xml:space="preserve"> </w:t>
      </w:r>
    </w:p>
    <w:p>
      <w:pPr>
        <w:numPr>
          <w:ilvl w:val="0"/>
          <w:numId w:val="1062"/>
        </w:numPr>
      </w:pPr>
      <w:r>
        <w:t xml:space="preserve"> </w:t>
      </w:r>
      <w:r>
        <w:t xml:space="preserve">1999 - 2002:</w:t>
      </w:r>
      <w:r>
        <w:t xml:space="preserve"> </w:t>
      </w:r>
      <w:r>
        <w:t xml:space="preserve">Law firm (Washington, DC) associate; lived in same Arlington rented apartment</w:t>
      </w:r>
    </w:p>
    <w:p>
      <w:pPr>
        <w:pStyle w:val="FirstParagraph"/>
      </w:pPr>
      <w:r>
        <w:t xml:space="preserve"> </w:t>
      </w:r>
    </w:p>
    <w:p>
      <w:pPr>
        <w:numPr>
          <w:ilvl w:val="0"/>
          <w:numId w:val="1063"/>
        </w:numPr>
      </w:pPr>
      <w:r>
        <w:t xml:space="preserve"> </w:t>
      </w:r>
      <w:r>
        <w:t xml:space="preserve">2002 - 2007:</w:t>
      </w:r>
      <w:r>
        <w:t xml:space="preserve"> </w:t>
      </w:r>
      <w:r>
        <w:t xml:space="preserve">Statistics PhD program, Harvard University (Massachusetts); lived in condo purchased in August, 2002</w:t>
      </w:r>
    </w:p>
    <w:p>
      <w:pPr>
        <w:pStyle w:val="FirstParagraph"/>
      </w:pPr>
      <w:r>
        <w:t xml:space="preserve"> </w:t>
      </w:r>
    </w:p>
    <w:p>
      <w:pPr>
        <w:numPr>
          <w:ilvl w:val="0"/>
          <w:numId w:val="1064"/>
        </w:numPr>
      </w:pPr>
      <w:r>
        <w:t xml:space="preserve"> </w:t>
      </w:r>
      <w:r>
        <w:t xml:space="preserve">June 2007 - August 2012:</w:t>
      </w:r>
      <w:r>
        <w:t xml:space="preserve"> </w:t>
      </w:r>
      <w:r>
        <w:t xml:space="preserve">Assistant professor, HLS, continued living in condo (later moved to house)</w:t>
      </w:r>
    </w:p>
    <w:p>
      <w:pPr>
        <w:pStyle w:val="FirstParagraph"/>
      </w:pPr>
      <w:r>
        <w:t xml:space="preserve"> </w:t>
      </w:r>
    </w:p>
    <w:p>
      <w:pPr>
        <w:numPr>
          <w:ilvl w:val="0"/>
          <w:numId w:val="1065"/>
        </w:numPr>
      </w:pPr>
      <w:r>
        <w:t xml:space="preserve"> </w:t>
      </w:r>
      <w:r>
        <w:t xml:space="preserve">August 2012:</w:t>
      </w:r>
      <w:r>
        <w:t xml:space="preserve"> </w:t>
      </w:r>
      <w:r>
        <w:t xml:space="preserve">Received letter of appointment from the Harvard Board of Overseers to Professor of Law with tenure</w:t>
      </w:r>
    </w:p>
    <w:p>
      <w:pPr>
        <w:pStyle w:val="FirstParagraph"/>
      </w:pPr>
      <w:r>
        <w:t xml:space="preserve"> </w:t>
      </w:r>
    </w:p>
    <w:p>
      <w:pPr>
        <w:numPr>
          <w:ilvl w:val="0"/>
          <w:numId w:val="1066"/>
        </w:numPr>
      </w:pPr>
      <w:r>
        <w:t xml:space="preserve"> </w:t>
      </w:r>
      <w:r>
        <w:t xml:space="preserve">August 2012 – present:</w:t>
      </w:r>
      <w:r>
        <w:t xml:space="preserve"> </w:t>
      </w:r>
      <w:r>
        <w:t xml:space="preserve">Professor of Law, HLS</w:t>
      </w:r>
    </w:p>
    <w:p>
      <w:pPr>
        <w:pStyle w:val="NodeEnd"/>
      </w:pPr>
      <w:r>
        <w:t xml:space="preserve"> </w:t>
      </w:r>
    </w:p>
    <w:p>
      <w:pPr>
        <w:pStyle w:val="NodeStart"/>
      </w:pPr>
      <w:r>
        <w:t xml:space="preserve"> </w:t>
      </w:r>
    </w:p>
    <w:p>
      <w:pPr>
        <w:pStyle w:val="HeadSeparator"/>
      </w:pPr>
      <w:r>
        <w:t xml:space="preserve"> </w:t>
      </w:r>
    </w:p>
    <w:bookmarkStart w:id="28" w:name="_auto_toc_28"/>
    <w:bookmarkEnd w:id="28"/>
    <w:p>
      <w:pPr>
        <w:pStyle w:val="ResourceNumber"/>
      </w:pPr>
      <w:r>
        <w:t xml:space="preserve">2.7</w:t>
      </w:r>
    </w:p>
    <w:p>
      <w:pPr>
        <w:pStyle w:val="ResourceTitle"/>
      </w:pPr>
      <w:r>
        <w:t xml:space="preserve">Amount in Controversy (AIC) Requirement</w:t>
      </w:r>
    </w:p>
    <w:p>
      <w:pPr>
        <w:pStyle w:val="HeadEnd"/>
      </w:pPr>
      <w:r>
        <w:t xml:space="preserve"> </w:t>
      </w:r>
    </w:p>
    <w:p>
      <w:pPr>
        <w:pStyle w:val="BodyText"/>
      </w:pPr>
      <w:r>
        <w:t xml:space="preserve">The AIC requirement is just as important as the citizenship requirement - lack of either means no diversity jurisdiction. There are a few ways plaintiffs can meet this requirement:</w:t>
      </w:r>
    </w:p>
    <w:p>
      <w:pPr>
        <w:numPr>
          <w:ilvl w:val="0"/>
          <w:numId w:val="1067"/>
        </w:numPr>
      </w:pPr>
      <w:r>
        <w:t xml:space="preserve">Easiest: single plaintiff, suing single defendant, one claim &gt;$75K</w:t>
      </w:r>
    </w:p>
    <w:p>
      <w:pPr>
        <w:numPr>
          <w:ilvl w:val="0"/>
          <w:numId w:val="1067"/>
        </w:numPr>
      </w:pPr>
      <w:r>
        <w:rPr>
          <w:bCs/>
          <w:b/>
        </w:rPr>
        <w:t xml:space="preserve">Stacking allowed if the same plaintiff sues the same defendant: </w:t>
      </w:r>
      <w:r>
        <w:t xml:space="preserve"> </w:t>
      </w:r>
      <w:r>
        <w:t xml:space="preserve">Generally, when the same plaintiff sues the same defendant, the plaintiff may aggregate all of their claims against the defendant to meet the AIC requirement. Aggregation is permitted "even when those claims share nothing in common besides the identity of the parties."</w:t>
      </w:r>
      <w:r>
        <w:t xml:space="preserve"> </w:t>
      </w:r>
      <w:r>
        <w:rPr>
          <w:iCs/>
          <w:i/>
        </w:rPr>
        <w:t xml:space="preserve">Everett v. Verizon Wireless, Inc (6th Cir. 2006)</w:t>
      </w:r>
      <w:r>
        <w:t xml:space="preserve">.</w:t>
      </w:r>
    </w:p>
    <w:p>
      <w:pPr>
        <w:numPr>
          <w:ilvl w:val="0"/>
          <w:numId w:val="1067"/>
        </w:numPr>
      </w:pPr>
      <w:r>
        <w:rPr>
          <w:bCs/>
          <w:b/>
        </w:rPr>
        <w:t xml:space="preserve">Otherwise, for the purposes of this class, no stacking allowed:</w:t>
      </w:r>
      <w:r>
        <w:t xml:space="preserve">  The Federal Rules of Civil Procedure authorize the joinder of multiple parties and claims in a single lawsuit (we will study these rules about two-thirds of the way through the semester). When multiple plaintiffs sue the same defendant, aggregation is only allowed to meet the AIC requirement if their claims are</w:t>
      </w:r>
      <w:r>
        <w:t xml:space="preserve"> </w:t>
      </w:r>
      <w:r>
        <w:t xml:space="preserve"> </w:t>
      </w:r>
      <w:r>
        <w:t xml:space="preserve">common and indivisible.  We will not consider this "common and indivisible" exception in this class. For the purposes of this class, multiple plaintiffs may not aggregate claims to reach the AIC requirement in diversity cases.</w:t>
      </w:r>
    </w:p>
    <w:p>
      <w:pPr>
        <w:pStyle w:val="FirstParagraph"/>
      </w:pPr>
      <w:r>
        <w:t xml:space="preserve">A bit of history: In its first ever session, the Congress passed the first Judiciary Act and took advantage of its Article III power to create a system of lower federal courts. It conferred on those courts a general power to hear diversity cases, and this first diversity statute had no AIC requirement (meaning that subject matter jurisdiction was present in a suit for $.01 so long as complete diversity existed). The first Judiciary Act did not confer a general power to hear arising under cases. In fact, no such statute existed until the late 1800s, and when Congress did pass an analog to what is now 1331, it imposed an AIC requirement. Over time, Congress imposed, and then increased on several occasions (but not since 1996), an AIC requirement for diversity cases. It reduced, and then eliminated, the AIC requirement for arising under cases.</w:t>
      </w:r>
    </w:p>
    <w:p>
      <w:pPr>
        <w:pStyle w:val="BodyText"/>
      </w:pPr>
      <w:r>
        <w:t xml:space="preserve">For you to consider:  Why might Congress have imposed an AIC requirement in diversity cases? What purpose does it serve?  In addition, why has the numerical amount not been updated in decades? Why has Congress eliminated the AIC requirement in arising under cases, which existed for decades?</w:t>
      </w:r>
    </w:p>
    <w:p>
      <w:pPr>
        <w:pStyle w:val="NodeEnd"/>
      </w:pPr>
      <w:r>
        <w:t xml:space="preserve"> </w:t>
      </w:r>
    </w:p>
    <w:p>
      <w:pPr>
        <w:pStyle w:val="NodeStart"/>
      </w:pPr>
      <w:r>
        <w:t xml:space="preserve"> </w:t>
      </w:r>
    </w:p>
    <w:p>
      <w:pPr>
        <w:pStyle w:val="HeadSeparator"/>
      </w:pPr>
      <w:r>
        <w:t xml:space="preserve"> </w:t>
      </w:r>
    </w:p>
    <w:bookmarkStart w:id="29" w:name="_auto_toc_29"/>
    <w:bookmarkEnd w:id="29"/>
    <w:p>
      <w:pPr>
        <w:pStyle w:val="ResourceNumber"/>
      </w:pPr>
      <w:r>
        <w:t xml:space="preserve">2.8</w:t>
      </w:r>
    </w:p>
    <w:p>
      <w:pPr>
        <w:pStyle w:val="ResourceTitle"/>
      </w:pPr>
      <w:r>
        <w:t xml:space="preserve">United Mine Workers of America v. Gibbs</w:t>
      </w:r>
    </w:p>
    <w:p>
      <w:pPr>
        <w:pStyle w:val="HeadFieldSeparator"/>
      </w:pPr>
      <w:r>
        <w:t xml:space="preserve"> </w:t>
      </w:r>
    </w:p>
    <w:p>
      <w:pPr>
        <w:pStyle w:val="ResourceHeadnote"/>
      </w:pPr>
      <w:r>
        <w:t xml:space="preserve">We are now done with arising under jurisdiction and diversity jurisdition. The next case concerns the following question: Suppose that at least one plaintiff asserts a theory of relief over which a federal district court has "original" jurisdiction, meaning either arising under or diversity. Suppose further that this plaintiff, or some other plaintiffs, want to assert in the same case theories of relief over which the federal district court does not have original jurisdiction. Under what circumstances may a district court exercise what we will call "supplemental" jurisdiction over these latter theories of relief?</w:t>
      </w:r>
    </w:p>
    <w:p>
      <w:pPr>
        <w:pStyle w:val="ResourceHeadnote"/>
      </w:pPr>
      <w:r>
        <w:t xml:space="preserve">Note that the case below refers to "pendant" and "ancillary" jurisdiction. We will not use these terms. The modern doctrine is called "supplemental" jurisdiction.</w:t>
      </w:r>
    </w:p>
    <w:p>
      <w:pPr>
        <w:pStyle w:val="HeadEnd"/>
      </w:pPr>
      <w:r>
        <w:t xml:space="preserve"> </w:t>
      </w:r>
    </w:p>
    <w:p>
      <w:pPr>
        <w:pStyle w:val="CaseHeader"/>
      </w:pPr>
      <w:r>
        <w:t xml:space="preserve">Supreme Court of the United States</w:t>
      </w:r>
    </w:p>
    <w:p>
      <w:pPr>
        <w:pStyle w:val="CaseHeader"/>
      </w:pPr>
      <w:r>
        <w:t xml:space="preserve">383 U.S. 715, 16 L. Ed. 2d 218, 86 S. Ct. 1130, 1966 U.S. LEXIS 2837, SCDB 1965-082</w:t>
      </w:r>
    </w:p>
    <w:p>
      <w:pPr>
        <w:pStyle w:val="CaseHeader"/>
      </w:pPr>
      <w:r>
        <w:t xml:space="preserve">No. 243</w:t>
      </w:r>
    </w:p>
    <w:p>
      <w:pPr>
        <w:pStyle w:val="CaseHeader"/>
      </w:pPr>
      <w:r>
        <w:t xml:space="preserve">1966-03-28</w:t>
      </w:r>
    </w:p>
    <w:p>
      <w:pPr>
        <w:pStyle w:val="CaseBody"/>
      </w:pPr>
      <w:r>
        <w:t xml:space="preserve">383 U.S. 715 (1966)</w:t>
      </w:r>
    </w:p>
    <w:p>
      <w:pPr>
        <w:pStyle w:val="CaseHeader"/>
      </w:pPr>
      <w:r>
        <w:t xml:space="preserve">UNITED MINE WORKERS OF AMERICA</w:t>
      </w:r>
      <w:r>
        <w:br/>
      </w:r>
      <w:r>
        <w:t xml:space="preserve">v.</w:t>
      </w:r>
      <w:r>
        <w:br/>
      </w:r>
      <w:r>
        <w:t xml:space="preserve">GIBBS.</w:t>
      </w:r>
    </w:p>
    <w:p>
      <w:pPr>
        <w:pStyle w:val="CaseBody"/>
      </w:pPr>
      <w:r>
        <w:t xml:space="preserve">No. 243.</w:t>
      </w:r>
    </w:p>
    <w:p>
      <w:pPr>
        <w:pStyle w:val="CaseBody"/>
      </w:pPr>
      <w:r>
        <w:t xml:space="preserve">Supreme Court of United States.</w:t>
      </w:r>
    </w:p>
    <w:p>
      <w:pPr>
        <w:pStyle w:val="CaseBody"/>
      </w:pPr>
      <w:r>
        <w:t xml:space="preserve">Argued January 20, 1966.</w:t>
      </w:r>
    </w:p>
    <w:p>
      <w:pPr>
        <w:pStyle w:val="CaseBody"/>
      </w:pPr>
      <w:r>
        <w:t xml:space="preserve">Decided March 28, 1966.</w:t>
      </w:r>
    </w:p>
    <w:p>
      <w:pPr>
        <w:pStyle w:val="CaseBody"/>
      </w:pPr>
      <w:r>
        <w:rPr>
          <w:rStyle w:val="Elision"/>
        </w:rPr>
        <w:t xml:space="preserve">[ … ]</w:t>
      </w:r>
    </w:p>
    <w:bookmarkStart w:id="42" w:name="X3a129e9fcbf32ef23333664d3a469524beb5e70"/>
    <w:p>
      <w:pPr>
        <w:pStyle w:val="Heading2"/>
      </w:pPr>
      <w:r>
        <w:t xml:space="preserve">MR. JUSTICE BRENNAN delivered the opinion of the Court.</w:t>
      </w:r>
    </w:p>
    <w:p>
      <w:pPr>
        <w:pStyle w:val="CaseBody"/>
      </w:pPr>
      <w:r>
        <w:t xml:space="preserve">Respondent Paul Gibbs was awarded compensatory and punitive damages in this action against petitioner United Mine Workers of America (UMW) for alleged violations of § 303 of the Labor Management Relations Act, 1947, 61 Stat. 158, as amended,</w:t>
      </w:r>
      <w:hyperlink w:anchor="Xc57711f7e9f3de982ba2cb2b88b9e4e414bb77e">
        <w:r>
          <w:rPr>
            <w:rStyle w:val="Hyperlink"/>
            <w:vertAlign w:val="superscript"/>
          </w:rPr>
          <w:t xml:space="preserve">[1]</w:t>
        </w:r>
      </w:hyperlink>
      <w:r>
        <w:t xml:space="preserve"> </w:t>
      </w:r>
      <w:r>
        <w:t xml:space="preserve">and of the common law of</w:t>
      </w:r>
      <w:r>
        <w:t xml:space="preserve"> </w:t>
      </w:r>
      <w:r>
        <w:rPr>
          <w:rStyle w:val="Elision"/>
        </w:rPr>
        <w:t xml:space="preserve">[ … ]</w:t>
      </w:r>
      <w:r>
        <w:t xml:space="preserve">Tennessee. The case grew out of the rivalry between the United Mine Workers and the Southern Labor Union over representation of workers in the southern Appalachian coal fields. Tennessee Consolidated Coal Company, not a party here, laid off 100 miners of the UMW's Local 5881 when it closed one of its mines in southern Tennessee during the spring of 1960. Late that summer, Grundy Company, a wholly owned subsidiary of Consolidated, hired respondent as mine superintendent to attempt to open a new mine on Consolidated's property at nearby Gray's Creek through use of members of the Southern Labor Union. As part of the arrangement, Grundy also gave respondent a contract to haul the mine's coal to the nearest railroad loading point.</w:t>
      </w:r>
    </w:p>
    <w:p>
      <w:pPr>
        <w:pStyle w:val="CaseBody"/>
      </w:pPr>
      <w:r>
        <w:t xml:space="preserve">On August 15 and 16, 1960, armed members of Local 5881 forcibly prevented the opening of the mine, threatening respondent and beating an organizer for the rival union.</w:t>
      </w:r>
      <w:hyperlink w:anchor="Xa34d4b73e2f0a61f68059d3fd3677a51289fd21">
        <w:r>
          <w:rPr>
            <w:rStyle w:val="Hyperlink"/>
            <w:vertAlign w:val="superscript"/>
          </w:rPr>
          <w:t xml:space="preserve">[2]</w:t>
        </w:r>
      </w:hyperlink>
      <w:r>
        <w:t xml:space="preserve"> </w:t>
      </w:r>
      <w:r>
        <w:t xml:space="preserve">The members of the local believed Consolidated</w:t>
      </w:r>
      <w:r>
        <w:t xml:space="preserve"> </w:t>
      </w:r>
      <w:r>
        <w:rPr>
          <w:rStyle w:val="Elision"/>
        </w:rPr>
        <w:t xml:space="preserve">[ … ]</w:t>
      </w:r>
      <w:r>
        <w:t xml:space="preserve"> </w:t>
      </w:r>
      <w:r>
        <w:t xml:space="preserve">had promised them the jobs at the new mine; they insisted that if anyone would do the work, they would.</w:t>
      </w:r>
      <w:r>
        <w:t xml:space="preserve"> </w:t>
      </w:r>
      <w:r>
        <w:rPr>
          <w:rStyle w:val="ReplacementText"/>
        </w:rPr>
        <w:t xml:space="preserve">Subsequently, a UMW supervisor</w:t>
      </w:r>
      <w:r>
        <w:t xml:space="preserve"> </w:t>
      </w:r>
      <w:r>
        <w:t xml:space="preserve">returned</w:t>
      </w:r>
      <w:r>
        <w:rPr>
          <w:rStyle w:val="ReplacementText"/>
        </w:rPr>
        <w:t xml:space="preserve">to the area</w:t>
      </w:r>
      <w:r>
        <w:t xml:space="preserve">with explicit instructions from his international union superiors to establish a limited picket line, to prevent any further violence, and to see to it that the strike did not spread to neighboring mines. There was no further violence at the mine site; a picket line was maintained there for nine months; and no further attempts were made to open the mine during that period.</w:t>
      </w:r>
      <w:hyperlink w:anchor="Xcc6d639d99eef6a866fd290838de59ff4c973ae">
        <w:r>
          <w:rPr>
            <w:rStyle w:val="Hyperlink"/>
            <w:vertAlign w:val="superscript"/>
          </w:rPr>
          <w:t xml:space="preserve">[4]</w:t>
        </w:r>
      </w:hyperlink>
    </w:p>
    <w:p>
      <w:pPr>
        <w:pStyle w:val="CaseBody"/>
      </w:pPr>
      <w:r>
        <w:rPr>
          <w:rStyle w:val="Elision"/>
        </w:rPr>
        <w:t xml:space="preserve">[ … ]</w:t>
      </w:r>
      <w:r>
        <w:t xml:space="preserve">Respondent lost his job as superintendent, and never entered into performance of his haulage contract. He testified that he soon began to lose other trucking contracts and mine leases he held in nearby areas. Claiming these effects to be the result of a concerted union plan against him, he sought recovery not against Local 5881 or its members, but only against petitioner, the international union. The suit was brought in the United States District Court for the Eastern District of Tennessee, and jurisdiction was premised on allegations of secondary boycotts under § 303. The state law claim, for which jurisdiction was based upon the doctrine of supplemental jurisdiction, asserted "an unlawful conspiracy and an unlawful boycott aimed at him and [Grundy] to maliciously, wantonly and willfully interfere with his contract of employment and with his contract of haulage."</w:t>
      </w:r>
      <w:hyperlink w:anchor="X9b39ff100bae407bce18783ebb80d5e9a04785b">
        <w:r>
          <w:rPr>
            <w:rStyle w:val="Hyperlink"/>
            <w:vertAlign w:val="superscript"/>
          </w:rPr>
          <w:t xml:space="preserve">[5]</w:t>
        </w:r>
      </w:hyperlink>
    </w:p>
    <w:p>
      <w:pPr>
        <w:pStyle w:val="CaseBody"/>
      </w:pPr>
      <w:r>
        <w:rPr>
          <w:rStyle w:val="Elision"/>
        </w:rPr>
        <w:t xml:space="preserve">[ … ]</w:t>
      </w:r>
      <w:r>
        <w:t xml:space="preserve"> </w:t>
      </w:r>
      <w:r>
        <w:t xml:space="preserve">The jury's verdict was that the UMW had violated both § 303 and state law. Gibbs was awarded $60,000 as damages under the employment contract and $14,500 under the haulage contract; he was also awarded $100,000 punitive damages. On motion, the trial court</w:t>
      </w:r>
      <w:r>
        <w:t xml:space="preserve"> </w:t>
      </w:r>
      <w:r>
        <w:rPr>
          <w:rStyle w:val="ReplacementText"/>
        </w:rPr>
        <w:t xml:space="preserve">held that under the facts as proved at trial, the plaintiff's theory of relief</w:t>
      </w:r>
      <w:r>
        <w:t xml:space="preserve"> </w:t>
      </w:r>
      <w:r>
        <w:t xml:space="preserve">was not cognizable as a claim under § 303</w:t>
      </w:r>
      <w:r>
        <w:rPr>
          <w:rStyle w:val="ReplacementText"/>
        </w:rPr>
        <w:t xml:space="preserve">, the federal law. Thus, the district court dismissed the federal law theory of relief, the only theory over which it had original jurisdiction.</w:t>
      </w:r>
      <w:r>
        <w:t xml:space="preserve"> </w:t>
      </w:r>
      <w:r>
        <w:t xml:space="preserve">Interference with the</w:t>
      </w:r>
      <w:r>
        <w:t xml:space="preserve"> </w:t>
      </w:r>
      <w:r>
        <w:rPr>
          <w:rStyle w:val="Elision"/>
        </w:rPr>
        <w:t xml:space="preserve">[ … ]</w:t>
      </w:r>
      <w:r>
        <w:t xml:space="preserve">employment relationship was cognizable as a state claim, however, and a remitted award was sustained on the state law claim.</w:t>
      </w:r>
      <w:hyperlink w:anchor="X91b9eaf17a9ead0f0c1ffce10f7e4a2d39bebe1">
        <w:r>
          <w:rPr>
            <w:rStyle w:val="Hyperlink"/>
            <w:vertAlign w:val="superscript"/>
          </w:rPr>
          <w:t xml:space="preserve">[6]</w:t>
        </w:r>
      </w:hyperlink>
      <w:r>
        <w:rPr>
          <w:rStyle w:val="Elision"/>
        </w:rPr>
        <w:t xml:space="preserve">[ … ]</w:t>
      </w:r>
      <w:r>
        <w:t xml:space="preserve">The Court of Appeals for the Sixth Circuit affirmed.</w:t>
      </w:r>
      <w:r>
        <w:t xml:space="preserve"> </w:t>
      </w:r>
      <w:r>
        <w:rPr>
          <w:rStyle w:val="Elision"/>
        </w:rPr>
        <w:t xml:space="preserve">[ … ]</w:t>
      </w:r>
      <w:r>
        <w:t xml:space="preserve"> </w:t>
      </w:r>
      <w:r>
        <w:t xml:space="preserve">We granted certiorari.</w:t>
      </w:r>
      <w:r>
        <w:t xml:space="preserve"> </w:t>
      </w:r>
      <w:r>
        <w:rPr>
          <w:rStyle w:val="Elision"/>
        </w:rPr>
        <w:t xml:space="preserve">[ … ]</w:t>
      </w:r>
      <w:r>
        <w:t xml:space="preserve"> </w:t>
      </w:r>
      <w:r>
        <w:rPr>
          <w:rStyle w:val="Elision"/>
        </w:rPr>
        <w:t xml:space="preserve">[ … ]</w:t>
      </w:r>
    </w:p>
    <w:bookmarkEnd w:id="42"/>
    <w:bookmarkStart w:id="43" w:name="i."/>
    <w:p>
      <w:pPr>
        <w:pStyle w:val="Heading2"/>
      </w:pPr>
      <w:r>
        <w:t xml:space="preserve">I.</w:t>
      </w:r>
    </w:p>
    <w:p>
      <w:pPr>
        <w:pStyle w:val="CaseBody"/>
      </w:pPr>
      <w:r>
        <w:t xml:space="preserve">A threshold question is whether the District Court properly entertained jurisdiction of the claim based on Tennessee law.</w:t>
      </w:r>
      <w:r>
        <w:t xml:space="preserve"> </w:t>
      </w:r>
      <w:r>
        <w:rPr>
          <w:rStyle w:val="ReplacementText"/>
        </w:rPr>
        <w:t xml:space="preserve">[We must . . .]</w:t>
      </w:r>
    </w:p>
    <w:p>
      <w:pPr>
        <w:pStyle w:val="CaseBody"/>
      </w:pPr>
      <w:r>
        <w:t xml:space="preserve">answer the question whether the state claim was properly adjudicated in the District Court absent diversity jurisdiction.</w:t>
      </w:r>
      <w:r>
        <w:t xml:space="preserve"> </w:t>
      </w:r>
      <w:r>
        <w:rPr>
          <w:rStyle w:val="ReplacementText"/>
        </w:rPr>
        <w:t xml:space="preserve">Several decades earlier, the Supreme</w:t>
      </w:r>
      <w:r>
        <w:t xml:space="preserve">Court held in</w:t>
      </w:r>
      <w:r>
        <w:t xml:space="preserve"> </w:t>
      </w:r>
      <w:r>
        <w:rPr>
          <w:iCs/>
          <w:i/>
        </w:rPr>
        <w:t xml:space="preserve">Hurn</w:t>
      </w:r>
      <w:r>
        <w:t xml:space="preserve"> </w:t>
      </w:r>
      <w:r>
        <w:t xml:space="preserve">v.</w:t>
      </w:r>
      <w:r>
        <w:t xml:space="preserve"> </w:t>
      </w:r>
      <w:r>
        <w:rPr>
          <w:iCs/>
          <w:i/>
        </w:rPr>
        <w:t xml:space="preserve">Oursler,</w:t>
      </w:r>
      <w:r>
        <w:t xml:space="preserve"> </w:t>
      </w:r>
      <w:r>
        <w:t xml:space="preserve">289 U. S. 238, that state law claims are appropriate for federal court determination if they form a separate but parallel ground for relief also sought in a substantial claim based on federal law. The Court distinguished permissible from nonpermissible exercises of federal judicial power over state law claims by contrasting "a case where two distinct grounds in support of a single cause of action are alleged, one only of which presents a federal question, and a case where two separate and distinct causes of action are alleged, one only of which is federal in character. In the former, where the federal question averred is not plainly wanting in substance, the federal court, even though the federal ground be not established, may nevertheless retain and dispose of the case upon the non-federal</w:t>
      </w:r>
      <w:r>
        <w:t xml:space="preserve"> </w:t>
      </w:r>
      <w:r>
        <w:rPr>
          <w:iCs/>
          <w:i/>
        </w:rPr>
        <w:t xml:space="preserve">ground;</w:t>
      </w:r>
      <w:r>
        <w:t xml:space="preserve"> </w:t>
      </w:r>
      <w:r>
        <w:t xml:space="preserve">in the latter it may not do so upon the non-federal</w:t>
      </w:r>
      <w:r>
        <w:t xml:space="preserve"> </w:t>
      </w:r>
      <w:r>
        <w:rPr>
          <w:iCs/>
          <w:i/>
        </w:rPr>
        <w:t xml:space="preserve">cause of action.</w:t>
      </w:r>
      <w:r>
        <w:t xml:space="preserve">"</w:t>
      </w:r>
      <w:r>
        <w:t xml:space="preserve"> </w:t>
      </w:r>
      <w:r>
        <w:rPr>
          <w:rStyle w:val="Elision"/>
        </w:rPr>
        <w:t xml:space="preserve">[ … ]</w:t>
      </w:r>
      <w:r>
        <w:t xml:space="preserve">The question is into which category the present action fell.</w:t>
      </w:r>
    </w:p>
    <w:p>
      <w:pPr>
        <w:pStyle w:val="CaseBody"/>
      </w:pPr>
      <w:r>
        <w:rPr>
          <w:iCs/>
          <w:i/>
        </w:rPr>
        <w:t xml:space="preserve">Hurn</w:t>
      </w:r>
      <w:r>
        <w:t xml:space="preserve"> </w:t>
      </w:r>
      <w:r>
        <w:t xml:space="preserve">was decided in 1933, before the unification of law and equity by the Federal Rules of Civil Procedure. At the time, the meaning of "cause of action" was a subject of serious dispute;</w:t>
      </w:r>
      <w:hyperlink w:anchor="X2f93469142b1c569626132f73c2bb2d76c53266">
        <w:r>
          <w:rPr>
            <w:rStyle w:val="Hyperlink"/>
            <w:vertAlign w:val="superscript"/>
          </w:rPr>
          <w:t xml:space="preserve">[7]</w:t>
        </w:r>
      </w:hyperlink>
      <w:r>
        <w:t xml:space="preserve"> </w:t>
      </w:r>
      <w:r>
        <w:t xml:space="preserve">the phrase might "mean one thing for one purpose and something different for another."</w:t>
      </w:r>
      <w:r>
        <w:t xml:space="preserve"> </w:t>
      </w:r>
      <w:r>
        <w:rPr>
          <w:rStyle w:val="Elision"/>
        </w:rPr>
        <w:t xml:space="preserve">[ … ]</w:t>
      </w:r>
      <w:r>
        <w:t xml:space="preserve">The Court in</w:t>
      </w:r>
      <w:r>
        <w:t xml:space="preserve"> </w:t>
      </w:r>
      <w:r>
        <w:rPr>
          <w:iCs/>
          <w:i/>
        </w:rPr>
        <w:t xml:space="preserve">Hurn</w:t>
      </w:r>
      <w:r>
        <w:t xml:space="preserve"> </w:t>
      </w:r>
      <w:r>
        <w:t xml:space="preserve">identified what it meant by the term by citation of</w:t>
      </w:r>
      <w:r>
        <w:t xml:space="preserve"> </w:t>
      </w:r>
      <w:r>
        <w:rPr>
          <w:iCs/>
          <w:i/>
        </w:rPr>
        <w:t xml:space="preserve">Baltimore S. S. Co.</w:t>
      </w:r>
      <w:r>
        <w:t xml:space="preserve"> </w:t>
      </w:r>
      <w:r>
        <w:t xml:space="preserve">v.</w:t>
      </w:r>
      <w:r>
        <w:t xml:space="preserve"> </w:t>
      </w:r>
      <w:r>
        <w:rPr>
          <w:iCs/>
          <w:i/>
        </w:rPr>
        <w:t xml:space="preserve">Phillips,</w:t>
      </w:r>
      <w:r>
        <w:t xml:space="preserve"> </w:t>
      </w:r>
      <w:r>
        <w:rPr>
          <w:rStyle w:val="Elision"/>
        </w:rPr>
        <w:t xml:space="preserve">[ … ]</w:t>
      </w:r>
      <w:r>
        <w:t xml:space="preserve"> </w:t>
      </w:r>
      <w:r>
        <w:t xml:space="preserve">a case in which "cause of action" had been used to identify the operative scope of the doctrine of</w:t>
      </w:r>
      <w:r>
        <w:t xml:space="preserve"> </w:t>
      </w:r>
      <w:r>
        <w:rPr>
          <w:iCs/>
          <w:i/>
        </w:rPr>
        <w:t xml:space="preserve">res judicata.</w:t>
      </w:r>
      <w:r>
        <w:t xml:space="preserve"> </w:t>
      </w:r>
      <w:r>
        <w:t xml:space="preserve">I</w:t>
      </w:r>
      <w:r>
        <w:rPr>
          <w:rStyle w:val="FootnoteReference"/>
        </w:rPr>
        <w:footnoteReference w:customMarkFollows="1" w:id="7"/>
        <w:t xml:space="preserve">*</w:t>
      </w:r>
      <w:r>
        <w:t xml:space="preserve">n that case the Court had noted that " `the whole tendency of our decisions is to require a plaintiff to try his whole cause of action and his whole case at one time.' "</w:t>
      </w:r>
      <w:r>
        <w:t xml:space="preserve"> </w:t>
      </w:r>
      <w:r>
        <w:rPr>
          <w:rStyle w:val="Elision"/>
        </w:rPr>
        <w:t xml:space="preserve">[ … ]</w:t>
      </w:r>
      <w:r>
        <w:t xml:space="preserve"> </w:t>
      </w:r>
      <w:r>
        <w:t xml:space="preserve">It stated its holding in the following language, quoted in part in the</w:t>
      </w:r>
      <w:r>
        <w:t xml:space="preserve"> </w:t>
      </w:r>
      <w:r>
        <w:rPr>
          <w:iCs/>
          <w:i/>
        </w:rPr>
        <w:t xml:space="preserve">Hurn</w:t>
      </w:r>
      <w:r>
        <w:t xml:space="preserve"> </w:t>
      </w:r>
      <w:r>
        <w:t xml:space="preserve">opinion:</w:t>
      </w:r>
    </w:p>
    <w:p>
      <w:pPr>
        <w:pStyle w:val="BlockText"/>
      </w:pPr>
      <w:r>
        <w:t xml:space="preserve">"Upon principle, it is perfectly plain that the respondent [a seaman suing for an injury sustained while working aboard ship] suffered but one actionable wrong and was entitled to but one recovery, whether his injury was due to one or the other of several distinct acts of alleged negligence or to a combination of some or all of them. In either view, there would be but a single wrongful invasion of a single primary right of the plaintiff, namely, the right of bodily safety, whether the acts constituting such invasion were one or many, simple or complex.</w:t>
      </w:r>
    </w:p>
    <w:p>
      <w:pPr>
        <w:pStyle w:val="BlockText"/>
      </w:pPr>
      <w:r>
        <w:t xml:space="preserve">"A cause of action does not consist of facts, but of the unlawful violation of a right which the facts show. The number and variety of the facts alleged do not establish more than one cause of action so long as their result, whether they be considered severally or in combination, is the violation of but one right by a single legal wrong. The mere multiplication of grounds of negligence alleged as causing the same injury does not result in multiplying the causes of action. `The facts are merely the means,</w:t>
      </w:r>
      <w:r>
        <w:t xml:space="preserve"> </w:t>
      </w:r>
      <w:r>
        <w:rPr>
          <w:rStyle w:val="Elision"/>
        </w:rPr>
        <w:t xml:space="preserve">[ … ]</w:t>
      </w:r>
      <w:r>
        <w:t xml:space="preserve"> </w:t>
      </w:r>
      <w:r>
        <w:t xml:space="preserve">and not the end. They do not constitute the cause of action, but they show its existence by making the wrong appear.' "</w:t>
      </w:r>
      <w:r>
        <w:t xml:space="preserve"> </w:t>
      </w:r>
      <w:r>
        <w:rPr>
          <w:rStyle w:val="Elision"/>
        </w:rPr>
        <w:t xml:space="preserve">[ … ]</w:t>
      </w:r>
    </w:p>
    <w:p>
      <w:pPr>
        <w:pStyle w:val="CaseBody"/>
      </w:pPr>
      <w:r>
        <w:t xml:space="preserve">Had the Court found a jurisdictional bar to reaching the state claim in</w:t>
      </w:r>
      <w:r>
        <w:t xml:space="preserve"> </w:t>
      </w:r>
      <w:r>
        <w:rPr>
          <w:iCs/>
          <w:i/>
        </w:rPr>
        <w:t xml:space="preserve">Hurn,</w:t>
      </w:r>
      <w:r>
        <w:t xml:space="preserve"> </w:t>
      </w:r>
      <w:r>
        <w:t xml:space="preserve">we assume that the doctrine of</w:t>
      </w:r>
      <w:r>
        <w:t xml:space="preserve"> </w:t>
      </w:r>
      <w:r>
        <w:rPr>
          <w:iCs/>
          <w:i/>
        </w:rPr>
        <w:t xml:space="preserve">res judicata</w:t>
      </w:r>
      <w:r>
        <w:t xml:space="preserve"> </w:t>
      </w:r>
      <w:r>
        <w:t xml:space="preserve">would not have been applicable in any subsequent state suit. But the citation of</w:t>
      </w:r>
      <w:r>
        <w:t xml:space="preserve"> </w:t>
      </w:r>
      <w:r>
        <w:rPr>
          <w:iCs/>
          <w:i/>
        </w:rPr>
        <w:t xml:space="preserve">Baltimore S. S. Co.</w:t>
      </w:r>
      <w:r>
        <w:t xml:space="preserve"> </w:t>
      </w:r>
      <w:r>
        <w:t xml:space="preserve">shows that the Court found that the weighty policies of judicial economy and fairness to parties reflected in</w:t>
      </w:r>
      <w:r>
        <w:t xml:space="preserve"> </w:t>
      </w:r>
      <w:r>
        <w:rPr>
          <w:iCs/>
          <w:i/>
        </w:rPr>
        <w:t xml:space="preserve">res judicata</w:t>
      </w:r>
      <w:r>
        <w:t xml:space="preserve"> </w:t>
      </w:r>
      <w:r>
        <w:t xml:space="preserve">doctrine were in themselves strong counsel for the adoption of a rule which would permit federal courts to dispose of the state as well as the federal claims.</w:t>
      </w:r>
    </w:p>
    <w:p>
      <w:pPr>
        <w:pStyle w:val="CaseBody"/>
      </w:pPr>
      <w:r>
        <w:t xml:space="preserve">With the adoption of the Federal Rules of Civil Procedure and the unified form of action, Fed. Rule Civ. Proc. 2, much of the controversy over "cause of action" abated. The phrase remained as the keystone of the</w:t>
      </w:r>
      <w:r>
        <w:t xml:space="preserve"> </w:t>
      </w:r>
      <w:r>
        <w:rPr>
          <w:iCs/>
          <w:i/>
        </w:rPr>
        <w:t xml:space="preserve">Hurn</w:t>
      </w:r>
      <w:r>
        <w:t xml:space="preserve"> </w:t>
      </w:r>
      <w:r>
        <w:t xml:space="preserve">test, however, and, as commentators have noted,</w:t>
      </w:r>
      <w:hyperlink w:anchor="X45db48ad913387e028ccaacf9d91252cf820a6d">
        <w:r>
          <w:rPr>
            <w:rStyle w:val="Hyperlink"/>
            <w:vertAlign w:val="superscript"/>
          </w:rPr>
          <w:t xml:space="preserve">[9]</w:t>
        </w:r>
      </w:hyperlink>
      <w:r>
        <w:t xml:space="preserve"> </w:t>
      </w:r>
      <w:r>
        <w:t xml:space="preserve">has been the source of considerable confusion. Under the Rules, the impulse is toward entertaining the broadest possible scope of action consistent with fairness to the parties; joinder of claims, parties and remedies is strongly encouraged.</w:t>
      </w:r>
      <w:hyperlink w:anchor="X9b767de5132b837b673ccc865ea1853713dd0d6">
        <w:r>
          <w:rPr>
            <w:rStyle w:val="Hyperlink"/>
            <w:vertAlign w:val="superscript"/>
          </w:rPr>
          <w:t xml:space="preserve">[10]</w:t>
        </w:r>
      </w:hyperlink>
      <w:r>
        <w:t xml:space="preserve"> </w:t>
      </w:r>
      <w:r>
        <w:t xml:space="preserve">Yet because the</w:t>
      </w:r>
      <w:r>
        <w:t xml:space="preserve"> </w:t>
      </w:r>
      <w:r>
        <w:rPr>
          <w:iCs/>
          <w:i/>
        </w:rPr>
        <w:t xml:space="preserve">Hurn</w:t>
      </w:r>
      <w:r>
        <w:t xml:space="preserve"> </w:t>
      </w:r>
      <w:r>
        <w:t xml:space="preserve">question involves issues of jurisdiction as well as convenience, there has been some tendency to limit its application to cases in which the state and federal claims are, as in</w:t>
      </w:r>
      <w:r>
        <w:t xml:space="preserve"> </w:t>
      </w:r>
      <w:r>
        <w:rPr>
          <w:iCs/>
          <w:i/>
        </w:rPr>
        <w:t xml:space="preserve">Hurn,</w:t>
      </w:r>
      <w:r>
        <w:t xml:space="preserve"> </w:t>
      </w:r>
      <w:r>
        <w:t xml:space="preserve">"little more than the equivalent of different epithets to characterize the same group of circumstances."</w:t>
      </w:r>
      <w:r>
        <w:t xml:space="preserve"> </w:t>
      </w:r>
      <w:r>
        <w:rPr>
          <w:rStyle w:val="Elision"/>
        </w:rPr>
        <w:t xml:space="preserve">[ … ]</w:t>
      </w:r>
    </w:p>
    <w:p>
      <w:pPr>
        <w:pStyle w:val="CaseBody"/>
      </w:pPr>
      <w:r>
        <w:t xml:space="preserve">[725] This limited approach is unnecessarily grudging</w:t>
      </w:r>
      <w:r>
        <w:t xml:space="preserve"> </w:t>
      </w:r>
      <w:r>
        <w:rPr>
          <w:rStyle w:val="ReplacementText"/>
        </w:rPr>
        <w:t xml:space="preserve">Supplemental</w:t>
      </w:r>
      <w:r>
        <w:t xml:space="preserve">jurisdiction, in the sense of judicial</w:t>
      </w:r>
      <w:r>
        <w:t xml:space="preserve"> </w:t>
      </w:r>
      <w:r>
        <w:rPr>
          <w:iCs/>
          <w:i/>
        </w:rPr>
        <w:t xml:space="preserve">power,</w:t>
      </w:r>
      <w:r>
        <w:t xml:space="preserve"> </w:t>
      </w:r>
      <w:r>
        <w:t xml:space="preserve">exists whenever there is a claim "arising under [the] Constitution, the Laws of the United States, and Treaties made, or which shall be made, under their Authority . . . ," U. S. Const., Art. III, § 2, and the relationship between that claim and the state claim permits the conclusion that the entire action before the court comprises but one constitutional "case."</w:t>
      </w:r>
      <w:hyperlink w:anchor="X9741e8bd228e338cf1f881e905437d2efeceac7">
        <w:r>
          <w:rPr>
            <w:rStyle w:val="Hyperlink"/>
            <w:vertAlign w:val="superscript"/>
          </w:rPr>
          <w:t xml:space="preserve">[12]</w:t>
        </w:r>
      </w:hyperlink>
      <w:r>
        <w:t xml:space="preserve"> </w:t>
      </w:r>
      <w:r>
        <w:t xml:space="preserve">The federal claim must have substance sufficient to confer subject matter jurisdiction on the court.</w:t>
      </w:r>
      <w:r>
        <w:t xml:space="preserve"> </w:t>
      </w:r>
      <w:r>
        <w:rPr>
          <w:rStyle w:val="Elision"/>
        </w:rPr>
        <w:t xml:space="preserve">[ … ]</w:t>
      </w:r>
      <w:r>
        <w:t xml:space="preserve">The state and federal claims must derive from a common nucleus of operative fact. But if, considered without regard to their federal or state character, a plaintiff's claims are such that he would ordinarily be expected to try them all in one judicial proceeding, then, assuming substantiality of the federal issues, there is</w:t>
      </w:r>
      <w:r>
        <w:t xml:space="preserve"> </w:t>
      </w:r>
      <w:r>
        <w:rPr>
          <w:iCs/>
          <w:i/>
        </w:rPr>
        <w:t xml:space="preserve">power</w:t>
      </w:r>
      <w:r>
        <w:t xml:space="preserve"> </w:t>
      </w:r>
      <w:r>
        <w:t xml:space="preserve">in federal courts to hear the whole.</w:t>
      </w:r>
      <w:hyperlink w:anchor="X1d5af3609e4b4e7548c7d881a7c6999e637c062">
        <w:r>
          <w:rPr>
            <w:rStyle w:val="Hyperlink"/>
            <w:vertAlign w:val="superscript"/>
          </w:rPr>
          <w:t xml:space="preserve">[13]</w:t>
        </w:r>
      </w:hyperlink>
    </w:p>
    <w:p>
      <w:pPr>
        <w:pStyle w:val="CaseBody"/>
      </w:pPr>
      <w:r>
        <w:rPr>
          <w:rStyle w:val="Elision"/>
        </w:rPr>
        <w:t xml:space="preserve">[ … ]</w:t>
      </w:r>
      <w:r>
        <w:t xml:space="preserve">That power need not be exercised in every case in which it is found to exist. It has consistently been recognized that pendent jurisdiction is a doctrine of discretion, not of plaintiff's right.</w:t>
      </w:r>
      <w:hyperlink w:anchor="Xf230e79e2d2f09b5033e1c5aa8dadf468d68824">
        <w:r>
          <w:rPr>
            <w:rStyle w:val="Hyperlink"/>
            <w:vertAlign w:val="superscript"/>
          </w:rPr>
          <w:t xml:space="preserve">[14]</w:t>
        </w:r>
      </w:hyperlink>
      <w:r>
        <w:t xml:space="preserve"> </w:t>
      </w:r>
      <w:r>
        <w:t xml:space="preserve">Its justification lies in considerations of judicial economy, convenience and fairness to litigants; if these are not present a federal court should hesitate to exercise jurisdiction over state claims, even though bound to apply state law to them,</w:t>
      </w:r>
      <w:r>
        <w:t xml:space="preserve"> </w:t>
      </w:r>
      <w:r>
        <w:rPr>
          <w:iCs/>
          <w:i/>
        </w:rPr>
        <w:t xml:space="preserve">Erie R. Co.</w:t>
      </w:r>
      <w:r>
        <w:t xml:space="preserve"> </w:t>
      </w:r>
      <w:r>
        <w:t xml:space="preserve">v.</w:t>
      </w:r>
      <w:r>
        <w:t xml:space="preserve"> </w:t>
      </w:r>
      <w:r>
        <w:rPr>
          <w:iCs/>
          <w:i/>
        </w:rPr>
        <w:t xml:space="preserve">Tompkins,</w:t>
      </w:r>
      <w:r>
        <w:t xml:space="preserve"> </w:t>
      </w:r>
      <w:r>
        <w:rPr>
          <w:rStyle w:val="Elision"/>
        </w:rPr>
        <w:t xml:space="preserve">[ … ]</w:t>
      </w:r>
      <w:r>
        <w:t xml:space="preserve"> </w:t>
      </w:r>
      <w:r>
        <w:t xml:space="preserve">Needless decisions of state law should be avoided both as a matter of comity and to promote justice between the parties, by procuring for them a surer-footed reading of applicable law.</w:t>
      </w:r>
      <w:hyperlink w:anchor="Xb8095f972b8758a67c24e4fa8d5e6b1135fd68c">
        <w:r>
          <w:rPr>
            <w:rStyle w:val="Hyperlink"/>
            <w:vertAlign w:val="superscript"/>
          </w:rPr>
          <w:t xml:space="preserve">[15]</w:t>
        </w:r>
      </w:hyperlink>
      <w:r>
        <w:t xml:space="preserve"> </w:t>
      </w:r>
      <w:r>
        <w:t xml:space="preserve">Certainly, if the federal claims are dismissed before trial, even though not insubstantial in a jurisdictional sense, the state claims should be dismissed as well.</w:t>
      </w:r>
      <w:hyperlink w:anchor="X2e2dbed4b247b301c4d6b65d0612ada673f8d3a">
        <w:r>
          <w:rPr>
            <w:rStyle w:val="Hyperlink"/>
            <w:vertAlign w:val="superscript"/>
          </w:rPr>
          <w:t xml:space="preserve">[16]</w:t>
        </w:r>
      </w:hyperlink>
      <w:r>
        <w:t xml:space="preserve"> </w:t>
      </w:r>
      <w:r>
        <w:t xml:space="preserve">Similarly, if it appears that the state issues substantially predominate, whether in terms of proof, of the scope of the issues raised, or of the comprehensiveness of the remedy sought, the state claims may be dismissed without prejudice and</w:t>
      </w:r>
      <w:r>
        <w:t xml:space="preserve"> </w:t>
      </w:r>
      <w:r>
        <w:rPr>
          <w:rStyle w:val="Elision"/>
        </w:rPr>
        <w:t xml:space="preserve">[ … ]</w:t>
      </w:r>
      <w:r>
        <w:t xml:space="preserve"> </w:t>
      </w:r>
      <w:r>
        <w:t xml:space="preserve">left for resolution to state tribunals. There may, on the other hand, be situations in which the state claim is so closely tied to questions of federal policy that the argument for exercise of pendent jurisdiction is particularly strong. In the present case, for example, the allowable scope of the state claim implicates t</w:t>
      </w:r>
      <w:r>
        <w:t xml:space="preserve">he federal doctrine of pre-emption</w:t>
      </w:r>
      <w:r>
        <w:rPr>
          <w:rStyle w:val="FootnoteReference"/>
        </w:rPr>
        <w:footnoteReference w:customMarkFollows="1" w:id="60"/>
        <w:t xml:space="preserve">**</w:t>
      </w:r>
      <w:r>
        <w:t xml:space="preserve">; while this interrelationship does not create statutory federal question jurisdiction,</w:t>
      </w:r>
      <w:r>
        <w:t xml:space="preserve"> </w:t>
      </w:r>
      <w:r>
        <w:rPr>
          <w:iCs/>
          <w:i/>
        </w:rPr>
        <w:t xml:space="preserve">Louisville &amp; N. R. Co.</w:t>
      </w:r>
      <w:r>
        <w:t xml:space="preserve"> </w:t>
      </w:r>
      <w:r>
        <w:t xml:space="preserve">v.</w:t>
      </w:r>
      <w:r>
        <w:t xml:space="preserve"> </w:t>
      </w:r>
      <w:r>
        <w:rPr>
          <w:iCs/>
          <w:i/>
        </w:rPr>
        <w:t xml:space="preserve">Mottley,</w:t>
      </w:r>
      <w:r>
        <w:t xml:space="preserve"> </w:t>
      </w:r>
      <w:r>
        <w:rPr>
          <w:rStyle w:val="Elision"/>
        </w:rPr>
        <w:t xml:space="preserve">[ … ]</w:t>
      </w:r>
      <w:r>
        <w:t xml:space="preserve"> </w:t>
      </w:r>
      <w:r>
        <w:t xml:space="preserve">its existence is relevant to the exercise of discretion. Finally, there may be reasons independent of jurisdictional considerations, such as the likelihood of jury confusion in treating divergent legal theories of relief, that would justify separating state and federal claims for trial, Fed. Rule Civ. Proc. 42 (b). If so, jurisdiction should ordinarily be refused.</w:t>
      </w:r>
    </w:p>
    <w:p>
      <w:pPr>
        <w:pStyle w:val="CaseBody"/>
      </w:pPr>
      <w:r>
        <w:t xml:space="preserve">The question of power will ordinarily be resolved on the pleadings. But the issue whether pendent jurisdiction has been properly assumed is one which remains open throughout the litigation. Pretrial procedures or even the trial itself may reveal a substantial hegemony of state law claims, or likelihood of jury confusion, which could not have been anticipated at the pleading stage. Although it will of course be appropriate to take account in this circumstance of the already completed course of the litigation, dismissal of the state claim might even then be merited. For example, it may appear that the plaintiff was well aware of the nature of his proofs and the relative importance of his claims; recognition of a federal court's wide latitude to decide ancillary questions of state law does not imply that it must tolerate a litigant's effort to impose upon it what is in effect only a state law case. Once it appears that a state claim constitutes the real body of a case, to which the federal claim is only an appendage, the state claim may fairly be dismissed.</w:t>
      </w:r>
    </w:p>
    <w:p>
      <w:pPr>
        <w:pStyle w:val="CaseBody"/>
      </w:pPr>
      <w:r>
        <w:rPr>
          <w:rStyle w:val="Elision"/>
        </w:rPr>
        <w:t xml:space="preserve">[ … ]</w:t>
      </w:r>
      <w:r>
        <w:t xml:space="preserve">We are not prepared to say that in the present case the District Court exceeded its discretion in proceeding to judgment on the state claim. We may assume for purposes of decision that the District Court was correct in its holding that the claim of pressure on Grundy to terminate the employment contract was outside the purview of § 303. Even so, the § 303 claims based on secondary pressures on Grundy relative to the haulage contract and on other coal operators generally were substantial. Although § 303 limited recovery to compensatory damages based on secondary pressures,</w:t>
      </w:r>
      <w:r>
        <w:t xml:space="preserve"> </w:t>
      </w:r>
      <w:r>
        <w:rPr>
          <w:iCs/>
          <w:i/>
        </w:rPr>
        <w:t xml:space="preserve">Teamsters Union</w:t>
      </w:r>
      <w:r>
        <w:t xml:space="preserve"> </w:t>
      </w:r>
      <w:r>
        <w:t xml:space="preserve">v.</w:t>
      </w:r>
      <w:r>
        <w:t xml:space="preserve"> </w:t>
      </w:r>
      <w:r>
        <w:rPr>
          <w:iCs/>
          <w:i/>
        </w:rPr>
        <w:t xml:space="preserve">Morton, supra,</w:t>
      </w:r>
      <w:r>
        <w:t xml:space="preserve"> </w:t>
      </w:r>
      <w:r>
        <w:t xml:space="preserve">and state law allowed both compensatory and punitive damages, and allowed such damages as to both secondary and primary activity, the state and federal claims arose from the same nucleus of operative fact and reflected alternative remedies. Indeed, the verdict sheet sent in to the jury authorized only one award of damages, so that recovery could not be given separately on the federal and state claims.</w:t>
      </w:r>
    </w:p>
    <w:p>
      <w:pPr>
        <w:pStyle w:val="CaseBody"/>
      </w:pPr>
      <w:r>
        <w:t xml:space="preserve">It is true that the</w:t>
      </w:r>
      <w:r>
        <w:t xml:space="preserve"> </w:t>
      </w:r>
      <w:r>
        <w:rPr>
          <w:rStyle w:val="ReplacementText"/>
        </w:rPr>
        <w:t xml:space="preserve">federal law</w:t>
      </w:r>
      <w:r>
        <w:t xml:space="preserve"> </w:t>
      </w:r>
      <w:r>
        <w:t xml:space="preserve">claims ultimately failed and that the only recovery allowed respondent was on the state claim. We cannot confidently say, however, that the federal issues were so remote or played such a minor role at the trial that in effect the state claim only was tried. Although the District Court dismissed as unproved the § 303 claims that petitioner's secondary activities included attempts to induce coal operators other than Grundy to cease doing business with respondent, the court submitted the § 303 claims relating to Grundy to the jury. The jury returned verdicts against petitioner on those § 303 claims, and it was only on petitioner's motion for a directed verdict and a judgment</w:t>
      </w:r>
      <w:r>
        <w:t xml:space="preserve"> </w:t>
      </w:r>
      <w:r>
        <w:rPr>
          <w:iCs/>
          <w:i/>
        </w:rPr>
        <w:t xml:space="preserve">n. o. v.</w:t>
      </w:r>
      <w:r>
        <w:t xml:space="preserve"> </w:t>
      </w:r>
      <w:r>
        <w:t xml:space="preserve">that the verdicts on those claims were set aside. The District Judge considered the claim as to the haulage</w:t>
      </w:r>
      <w:r>
        <w:t xml:space="preserve"> </w:t>
      </w:r>
      <w:r>
        <w:rPr>
          <w:rStyle w:val="Elision"/>
        </w:rPr>
        <w:t xml:space="preserve">[ … ]</w:t>
      </w:r>
      <w:r>
        <w:t xml:space="preserve">contract proved as to liability, and held it failed only for lack of proof of damages. Although there was some risk of confusing the jury in joining the state and federal claims—especially since, as will be developed, differing standards of proof of UMW involvement applied— the possibility of confusion could be lessened by employing a special verdict form, as the District Court did.</w:t>
      </w:r>
      <w:r>
        <w:t xml:space="preserve"> </w:t>
      </w:r>
      <w:r>
        <w:rPr>
          <w:rStyle w:val="Elision"/>
        </w:rPr>
        <w:t xml:space="preserve">[ … ]</w:t>
      </w:r>
      <w:r>
        <w:t xml:space="preserve"> </w:t>
      </w:r>
      <w:r>
        <w:t xml:space="preserve">We thus conclude that although it may be that the District Court might, in its sound discretion, have dismissed the state claim, the circumstances show no error in refusing to do so.</w:t>
      </w:r>
    </w:p>
    <w:bookmarkEnd w:id="43"/>
    <w:bookmarkStart w:id="44" w:name="section-1"/>
    <w:p>
      <w:pPr>
        <w:pStyle w:val="Heading2"/>
      </w:pPr>
      <w:r>
        <w:rPr>
          <w:rStyle w:val="Elision"/>
        </w:rPr>
        <w:t xml:space="preserve">[ … ]</w:t>
      </w:r>
    </w:p>
    <w:bookmarkEnd w:id="44"/>
    <w:p>
      <w:pPr>
        <w:pStyle w:val="NodeEnd"/>
      </w:pPr>
      <w:r>
        <w:t xml:space="preserve"> </w:t>
      </w:r>
    </w:p>
    <w:p>
      <w:pPr>
        <w:pStyle w:val="NodeStart"/>
      </w:pPr>
      <w:r>
        <w:t xml:space="preserve"> </w:t>
      </w:r>
    </w:p>
    <w:p>
      <w:pPr>
        <w:pStyle w:val="HeadSeparator"/>
      </w:pPr>
      <w:r>
        <w:t xml:space="preserve"> </w:t>
      </w:r>
    </w:p>
    <w:bookmarkStart w:id="30" w:name="_auto_toc_30"/>
    <w:bookmarkEnd w:id="30"/>
    <w:p>
      <w:pPr>
        <w:pStyle w:val="ResourceNumber"/>
      </w:pPr>
      <w:r>
        <w:t xml:space="preserve">2.9</w:t>
      </w:r>
    </w:p>
    <w:p>
      <w:pPr>
        <w:pStyle w:val="ResourceTitle"/>
      </w:pPr>
      <w:r>
        <w:t xml:space="preserve">Notes following Gibbs</w:t>
      </w:r>
    </w:p>
    <w:p>
      <w:pPr>
        <w:pStyle w:val="HeadEnd"/>
      </w:pPr>
      <w:r>
        <w:t xml:space="preserve"> </w:t>
      </w:r>
    </w:p>
    <w:p>
      <w:pPr>
        <w:numPr>
          <w:ilvl w:val="0"/>
          <w:numId w:val="1068"/>
        </w:numPr>
      </w:pPr>
      <w:r>
        <w:t xml:space="preserve">In the</w:t>
      </w:r>
      <w:r>
        <w:t xml:space="preserve"> </w:t>
      </w:r>
      <w:r>
        <w:rPr>
          <w:iCs/>
          <w:i/>
        </w:rPr>
        <w:t xml:space="preserve">Hurn</w:t>
      </w:r>
      <w:r>
        <w:t xml:space="preserve"> </w:t>
      </w:r>
      <w:r>
        <w:t xml:space="preserve">case discussed in</w:t>
      </w:r>
      <w:r>
        <w:t xml:space="preserve"> </w:t>
      </w:r>
      <w:r>
        <w:rPr>
          <w:iCs/>
          <w:i/>
        </w:rPr>
        <w:t xml:space="preserve">Gibbs</w:t>
      </w:r>
      <w:r>
        <w:t xml:space="preserve">, the Supreme Court allowed a district court adjudicating a federal law claim to exercise supplemental jurisdiction over a nondiverse state law claim when both claims presented a "single cause of action" but not when they were "separate and distinct causes of action." At this time, whether a case concerned a "single cause of action" depended on whether the separate federal and state law claims concerned a deprivation of the same "rights" of the plaintiff.  It was unclear how to define such "rights."  How did</w:t>
      </w:r>
      <w:r>
        <w:t xml:space="preserve"> </w:t>
      </w:r>
      <w:r>
        <w:rPr>
          <w:iCs/>
          <w:i/>
        </w:rPr>
        <w:t xml:space="preserve">Gibbs</w:t>
      </w:r>
      <w:r>
        <w:t xml:space="preserve"> </w:t>
      </w:r>
      <w:r>
        <w:t xml:space="preserve">change the test for supplemental jurisdiction?</w:t>
      </w:r>
    </w:p>
    <w:p>
      <w:pPr>
        <w:numPr>
          <w:ilvl w:val="0"/>
          <w:numId w:val="1068"/>
        </w:numPr>
      </w:pPr>
      <w:r>
        <w:t xml:space="preserve">Didn't we just spend a lot of time, when considering arising under and diversity jurisdiction, insisting that a federal district court could not exercise subject matter jurisdiction until Congress so authorized?  When</w:t>
      </w:r>
      <w:r>
        <w:t xml:space="preserve"> </w:t>
      </w:r>
      <w:r>
        <w:rPr>
          <w:iCs/>
          <w:i/>
        </w:rPr>
        <w:t xml:space="preserve">Gibbs</w:t>
      </w:r>
      <w:r>
        <w:t xml:space="preserve"> </w:t>
      </w:r>
      <w:r>
        <w:t xml:space="preserve">was decided, Section 1367 did not yet exist.  What was the statutory basis for Gibbs' assertion of supplemental jurisdiction?</w:t>
      </w:r>
    </w:p>
    <w:p>
      <w:pPr>
        <w:numPr>
          <w:ilvl w:val="0"/>
          <w:numId w:val="1068"/>
        </w:numPr>
      </w:pPr>
      <w:r>
        <w:t xml:space="preserve">The following are justifications for supplemental jurisdiction. What do you think of them?</w:t>
      </w:r>
    </w:p>
    <w:p>
      <w:pPr>
        <w:numPr>
          <w:ilvl w:val="1"/>
          <w:numId w:val="1069"/>
        </w:numPr>
      </w:pPr>
      <w:r>
        <w:t xml:space="preserve">Maintains accessibility of federal forums by ensuring that litigants are not dissuaded from maintaining their federal rights in federal court because they can only dispose of all claims in single proceeding in state court</w:t>
      </w:r>
    </w:p>
    <w:p>
      <w:pPr>
        <w:numPr>
          <w:ilvl w:val="1"/>
          <w:numId w:val="1069"/>
        </w:numPr>
      </w:pPr>
      <w:r>
        <w:t xml:space="preserve">Promotes judicial economy by avoiding piecemeal litigation </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31" w:name="_auto_toc_31"/>
    <w:bookmarkEnd w:id="31"/>
    <w:p>
      <w:pPr>
        <w:pStyle w:val="ChapterNumber"/>
      </w:pPr>
      <w:r>
        <w:t xml:space="preserve">3</w:t>
      </w:r>
    </w:p>
    <w:p>
      <w:pPr>
        <w:pStyle w:val="ChapterTitle"/>
      </w:pPr>
      <w:r>
        <w:t xml:space="preserve">Day 3</w:t>
      </w:r>
    </w:p>
    <w:p>
      <w:pPr>
        <w:pStyle w:val="HeadFieldSeparator"/>
      </w:pPr>
      <w:r>
        <w:t xml:space="preserve"> </w:t>
      </w:r>
    </w:p>
    <w:p>
      <w:pPr>
        <w:pStyle w:val="ChapterHeadnote"/>
      </w:pPr>
      <w:r>
        <w:t xml:space="preserve">You may wish to review the Section 1983 portion of the Utterly Oversimplified Summary of Three Causes of Action portion of Day 2.</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32" w:name="_auto_toc_32"/>
    <w:bookmarkEnd w:id="32"/>
    <w:p>
      <w:pPr>
        <w:pStyle w:val="ResourceNumber"/>
      </w:pPr>
      <w:r>
        <w:t xml:space="preserve">3.1</w:t>
      </w:r>
    </w:p>
    <w:p>
      <w:pPr>
        <w:pStyle w:val="ResourceTitle"/>
      </w:pPr>
      <w:r>
        <w:t xml:space="preserve">Statutes and Constitutional Provisions</w:t>
      </w:r>
    </w:p>
    <w:p>
      <w:pPr>
        <w:pStyle w:val="HeadFieldSeparator"/>
      </w:pPr>
      <w:r>
        <w:t xml:space="preserve"> </w:t>
      </w:r>
    </w:p>
    <w:p>
      <w:pPr>
        <w:pStyle w:val="ResourceHeadnote"/>
      </w:pPr>
      <w:r>
        <w:t xml:space="preserve">Read the following statutes and constitutional provisions. You can access them via the internet or the supplemental handout provided on Canvas.</w:t>
      </w:r>
    </w:p>
    <w:p>
      <w:pPr>
        <w:pStyle w:val="HeadEnd"/>
      </w:pPr>
      <w:r>
        <w:t xml:space="preserve"> </w:t>
      </w:r>
    </w:p>
    <w:p>
      <w:pPr>
        <w:numPr>
          <w:ilvl w:val="0"/>
          <w:numId w:val="1070"/>
        </w:numPr>
      </w:pPr>
      <w:r>
        <w:t xml:space="preserve">U.S. Const. Art. III,</w:t>
      </w:r>
      <w:r>
        <w:t xml:space="preserve"> </w:t>
      </w:r>
      <w:r>
        <w:t xml:space="preserve">§</w:t>
      </w:r>
      <w:r>
        <w:t xml:space="preserve"> </w:t>
      </w:r>
      <w:r>
        <w:t xml:space="preserve">2, cl. 1</w:t>
      </w:r>
    </w:p>
    <w:p>
      <w:pPr>
        <w:numPr>
          <w:ilvl w:val="0"/>
          <w:numId w:val="1070"/>
        </w:numPr>
      </w:pPr>
      <w:r>
        <w:t xml:space="preserve">28 U.S.C. § 1367 (explanation available on Canvas). Note that Congress did not pass this statute until 1990, AFTER</w:t>
      </w:r>
      <w:r>
        <w:t xml:space="preserve"> </w:t>
      </w:r>
      <w:r>
        <w:rPr>
          <w:iCs/>
          <w:i/>
        </w:rPr>
        <w:t xml:space="preserve">Gibbs</w:t>
      </w:r>
      <w:r>
        <w:t xml:space="preserve"> </w:t>
      </w:r>
      <w:r>
        <w:t xml:space="preserve">(assigned for class class),</w:t>
      </w:r>
      <w:r>
        <w:t xml:space="preserve"> </w:t>
      </w:r>
      <w:r>
        <w:rPr>
          <w:iCs/>
          <w:i/>
        </w:rPr>
        <w:t xml:space="preserve">Aldinger, Owen</w:t>
      </w:r>
      <w:r>
        <w:t xml:space="preserve">, and</w:t>
      </w:r>
      <w:r>
        <w:t xml:space="preserve"> </w:t>
      </w:r>
      <w:r>
        <w:rPr>
          <w:iCs/>
          <w:i/>
        </w:rPr>
        <w:t xml:space="preserve">Finley</w:t>
      </w:r>
      <w:r>
        <w:t xml:space="preserve"> </w:t>
      </w:r>
      <w:r>
        <w:t xml:space="preserve">(each discussed in the next piece of reading) had been decided</w:t>
      </w:r>
    </w:p>
    <w:p>
      <w:pPr>
        <w:numPr>
          <w:ilvl w:val="0"/>
          <w:numId w:val="1070"/>
        </w:numPr>
      </w:pPr>
      <w:r>
        <w:t xml:space="preserve">28 U.S.C. §§ 1441(a-c), 1446-47 (</w:t>
      </w:r>
      <w:r>
        <w:t xml:space="preserve">explanation available on Canvas)</w:t>
      </w:r>
    </w:p>
    <w:p>
      <w:pPr>
        <w:pStyle w:val="NodeEnd"/>
      </w:pPr>
      <w:r>
        <w:t xml:space="preserve"> </w:t>
      </w:r>
    </w:p>
    <w:p>
      <w:pPr>
        <w:pStyle w:val="NodeStart"/>
      </w:pPr>
      <w:r>
        <w:t xml:space="preserve"> </w:t>
      </w:r>
    </w:p>
    <w:p>
      <w:pPr>
        <w:pStyle w:val="HeadSeparator"/>
      </w:pPr>
      <w:r>
        <w:t xml:space="preserve"> </w:t>
      </w:r>
    </w:p>
    <w:bookmarkStart w:id="33" w:name="_auto_toc_33"/>
    <w:bookmarkEnd w:id="33"/>
    <w:p>
      <w:pPr>
        <w:pStyle w:val="ResourceNumber"/>
      </w:pPr>
      <w:r>
        <w:t xml:space="preserve">3.2</w:t>
      </w:r>
    </w:p>
    <w:p>
      <w:pPr>
        <w:pStyle w:val="ResourceTitle"/>
      </w:pPr>
      <w:r>
        <w:t xml:space="preserve">Causes of Action Review</w:t>
      </w:r>
    </w:p>
    <w:p>
      <w:pPr>
        <w:pStyle w:val="HeadFieldSeparator"/>
      </w:pPr>
      <w:r>
        <w:t xml:space="preserve"> </w:t>
      </w:r>
    </w:p>
    <w:p>
      <w:pPr>
        <w:pStyle w:val="ResourceHeadnote"/>
      </w:pPr>
      <w:r>
        <w:t xml:space="preserve">You may wish to review the discussion of Section 1983 in the "Utterly Oversimplified Causes of Action" handout from Day 1. It will be useful for the</w:t>
      </w:r>
      <w:r>
        <w:t xml:space="preserve"> </w:t>
      </w:r>
      <w:r>
        <w:rPr>
          <w:iCs/>
          <w:i/>
        </w:rPr>
        <w:t xml:space="preserve">Aldinger</w:t>
      </w:r>
      <w:r>
        <w:t xml:space="preserve"> </w:t>
      </w:r>
      <w:r>
        <w:t xml:space="preserve">case.</w:t>
      </w:r>
      <w:r>
        <w:t xml:space="preserve"> </w:t>
      </w:r>
      <w:r>
        <w:t xml:space="preserve">A copy available for download can be found</w:t>
      </w:r>
      <w:r>
        <w:t xml:space="preserve"> </w:t>
      </w:r>
      <w:hyperlink r:id="rId29">
        <w:r>
          <w:rPr>
            <w:rStyle w:val="Hyperlink"/>
          </w:rPr>
          <w:t xml:space="preserve">here</w:t>
        </w:r>
      </w:hyperlink>
      <w:r>
        <w:t xml:space="preserve"> </w:t>
      </w:r>
      <w:r>
        <w:t xml:space="preserve">(pdf)</w:t>
      </w:r>
      <w:r>
        <w:t xml:space="preserve">.</w:t>
      </w:r>
    </w:p>
    <w:p>
      <w:pPr>
        <w:pStyle w:val="HeadEnd"/>
      </w:pPr>
      <w:r>
        <w:t xml:space="preserve"> </w:t>
      </w:r>
    </w:p>
    <w:p>
      <w:pPr>
        <w:pStyle w:val="NodeEnd"/>
      </w:pPr>
      <w:r>
        <w:t xml:space="preserve"> </w:t>
      </w:r>
    </w:p>
    <w:p>
      <w:pPr>
        <w:pStyle w:val="NodeStart"/>
      </w:pPr>
      <w:r>
        <w:t xml:space="preserve"> </w:t>
      </w:r>
    </w:p>
    <w:p>
      <w:pPr>
        <w:pStyle w:val="HeadSeparator"/>
      </w:pPr>
      <w:r>
        <w:t xml:space="preserve"> </w:t>
      </w:r>
    </w:p>
    <w:bookmarkStart w:id="34" w:name="_auto_toc_34"/>
    <w:bookmarkEnd w:id="34"/>
    <w:p>
      <w:pPr>
        <w:pStyle w:val="ResourceNumber"/>
      </w:pPr>
      <w:r>
        <w:t xml:space="preserve">3.3</w:t>
      </w:r>
    </w:p>
    <w:p>
      <w:pPr>
        <w:pStyle w:val="ResourceTitle"/>
      </w:pPr>
      <w:r>
        <w:t xml:space="preserve">Cases on Supplemental Jurisdiction</w:t>
      </w:r>
    </w:p>
    <w:p>
      <w:pPr>
        <w:pStyle w:val="HeadFieldSeparator"/>
      </w:pPr>
      <w:r>
        <w:t xml:space="preserve"> </w:t>
      </w:r>
    </w:p>
    <w:p>
      <w:pPr>
        <w:pStyle w:val="ResourceHeadnote"/>
      </w:pPr>
      <w:r>
        <w:t xml:space="preserve">This section summarizes three Supreme Court decisions handed down after</w:t>
      </w:r>
      <w:r>
        <w:t xml:space="preserve"> </w:t>
      </w:r>
      <w:r>
        <w:rPr>
          <w:iCs/>
          <w:i/>
        </w:rPr>
        <w:t xml:space="preserve">Gibbs</w:t>
      </w:r>
      <w:r>
        <w:t xml:space="preserve"> </w:t>
      </w:r>
      <w:r>
        <w:t xml:space="preserve">but before the passage of 28 U.S.C. § 1367.</w:t>
      </w:r>
    </w:p>
    <w:p>
      <w:pPr>
        <w:pStyle w:val="ResourceHeadnote"/>
      </w:pPr>
      <w:r>
        <w:t xml:space="preserve">When you encounter a supplemental jurisdiction situation, you should begin with § 1367, not with Gibbs or these cases. So, you might ask, why do I make you read them. § 1367, like many statutes, uses terminology and phrasing that is hard to understand. Congress had Gibbs and the following three cases in mind when it wrote the statute, so knowing them will help you understand the statute. Second, courts interpret § 1367 in light of these cases, so knowing them will help you predict what courts will do.</w:t>
      </w:r>
    </w:p>
    <w:p>
      <w:pPr>
        <w:pStyle w:val="ResourceHeadnote"/>
      </w:pPr>
      <w:r>
        <w:t xml:space="preserve">To understand these three cases, ask yourself the following question about each one, as you read it:</w:t>
      </w:r>
    </w:p>
    <w:p>
      <w:pPr>
        <w:pStyle w:val="ResourceHeadnote"/>
      </w:pPr>
      <w:r>
        <w:t xml:space="preserve">1) What is the basis of subject matter jurisdiction for the theory of relief over which the district court unquestionably has jurisdiction?</w:t>
      </w:r>
    </w:p>
    <w:p>
      <w:pPr>
        <w:pStyle w:val="ResourceHeadnote"/>
      </w:pPr>
      <w:r>
        <w:t xml:space="preserve">a) I will refer to that theory of relief as the "anchoring claims." Courts and commentators often call it the "original jurisdiction" claim.</w:t>
      </w:r>
    </w:p>
    <w:p>
      <w:pPr>
        <w:pStyle w:val="ResourceHeadnote"/>
      </w:pPr>
      <w:r>
        <w:t xml:space="preserve">b) There may be more than one anchoring claim.</w:t>
      </w:r>
    </w:p>
    <w:p>
      <w:pPr>
        <w:pStyle w:val="ResourceHeadnote"/>
      </w:pPr>
      <w:r>
        <w:t xml:space="preserve">2) Did the plaintiff in each case seek to add "only" a new claim against a party already subject to an anchoring claim, or to add a party as to which there was no anchoring claim?</w:t>
      </w:r>
    </w:p>
    <w:p>
      <w:pPr>
        <w:pStyle w:val="ResourceHeadnote"/>
      </w:pPr>
      <w:r>
        <w:t xml:space="preserve">3) What was the reason why the Court allowed, or denied, the plaintiff's attempt to exercise what we now call supplemental jurisdiction?</w:t>
      </w:r>
    </w:p>
    <w:p>
      <w:pPr>
        <w:pStyle w:val="ResourceHeadnote"/>
      </w:pPr>
      <w:r>
        <w:t xml:space="preserve">4) Analyze each fact pattern according to § 1367. Had § 1367 been in existence at the time of each case, would the result have been the same or different?</w:t>
      </w:r>
    </w:p>
    <w:p>
      <w:pPr>
        <w:pStyle w:val="ResourceHeadnote"/>
      </w:pPr>
      <w:r>
        <w:t xml:space="preserve">To understand</w:t>
      </w:r>
      <w:r>
        <w:t xml:space="preserve"> </w:t>
      </w:r>
      <w:r>
        <w:rPr>
          <w:iCs/>
          <w:i/>
        </w:rPr>
        <w:t xml:space="preserve">Aldinger</w:t>
      </w:r>
      <w:r>
        <w:t xml:space="preserve">, you'll want to review the summary of 42 U.S.C. § 1983 from the "Utterly Oversimplified Summary of Three Causes of Action" document from Day 1.</w:t>
      </w:r>
    </w:p>
    <w:p>
      <w:pPr>
        <w:pStyle w:val="HeadEnd"/>
      </w:pPr>
      <w:r>
        <w:t xml:space="preserve"> </w:t>
      </w:r>
    </w:p>
    <w:p>
      <w:pPr>
        <w:pStyle w:val="BodyText"/>
      </w:pPr>
      <w:r>
        <w:rPr>
          <w:bCs/>
          <w:b/>
        </w:rPr>
        <w:t xml:space="preserve">Aldinger v. Howard, 427 U.S. 1 (1976)</w:t>
      </w:r>
    </w:p>
    <w:p>
      <w:pPr>
        <w:pStyle w:val="BodyText"/>
      </w:pPr>
      <w:r>
        <w:t xml:space="preserve">The plaintiff, a Washington domiciliary, was fired from her job with the government of the County of Spokane, Washington.  She sued two defendants:</w:t>
      </w:r>
    </w:p>
    <w:p>
      <w:pPr>
        <w:pStyle w:val="BodyText"/>
      </w:pPr>
      <w:r>
        <w:t xml:space="preserve">(i) her boss, a County employee (and thus clearly a "person" acting "under color" or state law), personally, alleging that her discharge violated her federal civil rights and thus triggered liability under 42 U.S.C.</w:t>
      </w:r>
      <w:r>
        <w:t xml:space="preserve"> </w:t>
      </w:r>
      <w:r>
        <w:t xml:space="preserve"> </w:t>
      </w:r>
      <w:r>
        <w:t xml:space="preserve">§1983, as well as under certain state law theories, and</w:t>
      </w:r>
    </w:p>
    <w:p>
      <w:pPr>
        <w:pStyle w:val="BodyText"/>
      </w:pPr>
      <w:r>
        <w:t xml:space="preserve">(ii) Spokane County under state law only, alleging that it was responsible in part for her firing (you do not need to know why here, but you can think of it as a negligent failure to train adequately her supervisor).</w:t>
      </w:r>
    </w:p>
    <w:p>
      <w:pPr>
        <w:pStyle w:val="BodyText"/>
      </w:pPr>
      <w:r>
        <w:t xml:space="preserve">The plaintiff likely wanted to sue Spokane County under Section 1983 as well, but at the time, has she done so, she would have lost on the merits. At the time, Supreme Court precedent established that a county was not a "person" for purposes of Section 1983, and thus no cause of action under Section 1983 was available against a county.  (Several years after</w:t>
      </w:r>
      <w:r>
        <w:t xml:space="preserve"> </w:t>
      </w:r>
      <w:r>
        <w:rPr>
          <w:iCs/>
          <w:i/>
        </w:rPr>
        <w:t xml:space="preserve">Aldinger</w:t>
      </w:r>
      <w:r>
        <w:t xml:space="preserve">, the Supreme Court overruled its own precedent and held that a county actually was a "person" under Section 1983, but that ruling came too late to help this plaintiff.)</w:t>
      </w:r>
    </w:p>
    <w:p>
      <w:pPr>
        <w:pStyle w:val="BodyText"/>
      </w:pPr>
      <w:r>
        <w:t xml:space="preserve">Back to the case we actually have: Spokane County moved to dismiss the state law claims against it, arguing that the federal district court lacked subject matter jurisdiction over it.  The plaintiff argued in response that the district court could exercise what we now call supplemental jurisdiction under</w:t>
      </w:r>
      <w:r>
        <w:t xml:space="preserve"> </w:t>
      </w:r>
      <w:r>
        <w:rPr>
          <w:iCs/>
          <w:i/>
        </w:rPr>
        <w:t xml:space="preserve">Gibbs</w:t>
      </w:r>
      <w:r>
        <w:t xml:space="preserve"> </w:t>
      </w:r>
      <w:r>
        <w:t xml:space="preserve">because her claim against her supervisor and her claims against Spokane shared a "common nucleus of operative fact." The Supreme Court held that supplemental jurisdiction could not be exercised.</w:t>
      </w:r>
    </w:p>
    <w:p>
      <w:pPr>
        <w:pStyle w:val="BodyText"/>
      </w:pPr>
      <w:r>
        <w:t xml:space="preserve">* * *</w:t>
      </w:r>
      <w:r>
        <w:t xml:space="preserve"> </w:t>
      </w:r>
      <w:r>
        <w:t xml:space="preserve">From a purely factual point of view, it is one thing to authorize two parties, already present in federal court by virtue of a case over which the court has jurisdiction, to litigate in addition to their federal claim a state law claim over which there is no independent basis of federal jurisdiction. But it is quite another thing to permit a plaintiff, who has asserted a claim against one defendant with respect to which there is federal jurisdiction, to join an entirely different defendant on the basis of a state law claim over which there is no independent basis of federal jurisdiction, simply because his claim against the first defendant and his claim against the second defendant "derive from a common nucleus of operative fact." . . .</w:t>
      </w:r>
      <w:r>
        <w:t xml:space="preserve"> </w:t>
      </w:r>
      <w:r>
        <w:t xml:space="preserve">True, the same considerations of judicial economy would be served insofar as plaintiff's claims "are such that he would ordinarily be expected to try them all in one judicial proceeding. . . ." . . . But the addition of a completely new party would run counter to the well established principle that federal courts, as opposed to state trial courts of general jurisdiction, are courts of limited jurisdiction marked out by Congress.</w:t>
      </w:r>
    </w:p>
    <w:p>
      <w:pPr>
        <w:pStyle w:val="BodyText"/>
      </w:pPr>
      <w:r>
        <w:t xml:space="preserve">There is also a significant legal difference. In . . .Gibbs</w:t>
      </w:r>
      <w:r>
        <w:rPr>
          <w:iCs/>
          <w:i/>
        </w:rPr>
        <w:t xml:space="preserve">,</w:t>
      </w:r>
      <w:r>
        <w:t xml:space="preserve"> </w:t>
      </w:r>
      <w:r>
        <w:t xml:space="preserve">Congress was silent on the extent to which the defendant, already properly in federal court under a statute, might be called upon to answer nonfederal questions or claims; the way was thus left open for the Court to fashion its own rules under the general language of Art. III. But the extension of Gibbs to this kind of "pendent party" jurisdiction -- bringing in an additional defendant at the behest of the plaintiff -- presents rather different statutory jurisdictional considerations. Petitioner's contention that she should be entitled to sue Spokane County as a new third party, and then to try a wholly state law claim against the county, all of which would be "pendent" to her federal claim against respondent county treasurer, must be decided not in the context of congressional silence or tacit encouragement, but in quite the opposite context. The question here, which it was not necessary to address in Gibbs . . .,</w:t>
      </w:r>
      <w:r>
        <w:t xml:space="preserve"> is whether, by virtue of the statutory grant of subject matter jurisdiction, upon which petitioner's principal claim against the treasurer rests, Congress has addressed itself to the party as to whom jurisdiction pendent to the principal claim is sought. And it undoubtedly has done so.</w:t>
      </w:r>
    </w:p>
    <w:p>
      <w:pPr>
        <w:pStyle w:val="BodyText"/>
      </w:pPr>
      <w:r>
        <w:t xml:space="preserve">Resolution of a claim of pendent party jurisdiction, therefore, calls for careful attention to the relevant statutory language. As we have indicated, we think a fair reading of the language used in [another jurisdictional statute we do not consider, but that for our purposes is the same as 28 U.S.C. § 1331], together with the scope of § 1983, requires a holding that the joinder of a municipal corporation, like the county here, for purposes of asserting a state law claim not within federal diversity jurisdiction, is without the statutory jurisdiction of the district court.</w:t>
      </w:r>
    </w:p>
    <w:p>
      <w:pPr>
        <w:pStyle w:val="BodyText"/>
      </w:pPr>
      <w:r>
        <w:t xml:space="preserve">Other statutory grants and other alignments of parties and claims might call for a different result. When the grant of jurisdiction to a federal court is exclusive, for example, as in the prosecution of tort claims against the United States under [a statute called the Federal Tort Claims Act], the argument of judicial economy and convenience can be coupled with the additional argument that only in a federal court may all of the claims be tried together.</w:t>
      </w:r>
    </w:p>
    <w:p>
      <w:pPr>
        <w:pStyle w:val="BodyText"/>
      </w:pPr>
      <w:r>
        <w:t xml:space="preserve">Two observations suffice for the disposition of the type of case before us. If the new party sought to be joined is not otherwise subject to federal jurisdiction, there is a more serious obstacle to the exercise of pendent jurisdiction than if parties already before the court are required to litigate a state law claim. Before it can be concluded that such jurisdiction exists, a federal court must satisfy itself not only that Art. III permits it, but that Congress in the statutes conferring jurisdiction has not expressly or by implication negated its existence.</w:t>
      </w:r>
    </w:p>
    <w:p>
      <w:pPr>
        <w:pStyle w:val="BodyText"/>
      </w:pPr>
      <w:r>
        <w:t xml:space="preserve"> </w:t>
      </w:r>
    </w:p>
    <w:p>
      <w:pPr>
        <w:pStyle w:val="BodyText"/>
      </w:pPr>
      <w:r>
        <w:rPr>
          <w:bCs/>
          <w:b/>
        </w:rPr>
        <w:t xml:space="preserve">Owen Equipment &amp; Erection Co. v. Kroger, 437 U.S. 365 (1978)</w:t>
      </w:r>
    </w:p>
    <w:p>
      <w:pPr>
        <w:pStyle w:val="BodyText"/>
      </w:pPr>
      <w:r>
        <w:t xml:space="preserve">Following the death of her husband, who was electrocuted when a beam of a steel crane came too close to a high-tension electric line, the plaintiff, an Iowa citizen,</w:t>
      </w:r>
      <w:r>
        <w:t xml:space="preserve"> </w:t>
      </w:r>
      <w:r>
        <w:t xml:space="preserve">sued Omaha Public Power District (OPPD), a Nebraska corporation with its principal place of business in Nebraska, in federal court, asserting diversity jurisdiction. OPPD filed a third-party complaint against Owen Equipment &amp; Erection Co. (Owen), alleging that Owen was also a Nebraska corporation with its principal place of business in Nebraska; that it owned and operated the equipment involved in the industrial accident; and that its negligence was the proximate cause of the death. The court permitted the plaintiff to amend her complaint to include Owen as a co-defendant. The federal district court granted OPPD's motion for summary judgment, leaving the plaintiff and Owen as the only parties to the suit. The parties then discovered that Owen's primary place of business was not in Nebraska but rather in Iowa, so, for purposes of diversity jurisdiction, Owen was an Iowa citizen, as was the plaintiff.  (The confusion had arisen because a river that demarcated the border between Iowa and Nebraska had recently changed position. That is not a joke.) Owen moved to dismiss the complaint for lack of subject matter jurisdiction. The district court denied the motion. The court of appeals affirmed, but the United States Supreme Court reversed, holding that the district court could not exercise what we now call supplemental jurisdiction over the plaintiff-Owen suit:</w:t>
      </w:r>
    </w:p>
    <w:p>
      <w:pPr>
        <w:pStyle w:val="BodyText"/>
      </w:pPr>
      <w:r>
        <w:t xml:space="preserve">The relevant statute in this case, 28 U.S.C. § 1332(a)(1), confers upon federal courts jurisdiction over "civil actions where the matter in controversy exceeds the sum or value of [the amount required at that time, which is now $75,000] . . . and is between . . . citizens of different States." This statute and its predecessors have consistently been held to require complete diversity of citizenship. [Strawbridge] That is, diversity jurisdiction does not exist unless</w:t>
      </w:r>
      <w:r>
        <w:t xml:space="preserve"> </w:t>
      </w:r>
      <w:r>
        <w:rPr>
          <w:iCs/>
          <w:i/>
        </w:rPr>
        <w:t xml:space="preserve">each</w:t>
      </w:r>
      <w:r>
        <w:t xml:space="preserve"> defendant is a citizen of a different State from </w:t>
      </w:r>
      <w:r>
        <w:rPr>
          <w:iCs/>
          <w:i/>
        </w:rPr>
        <w:t xml:space="preserve">each</w:t>
      </w:r>
      <w:r>
        <w:t xml:space="preserve"> plaintiff. Over the years, Congress has repeatedly reenacted or amended the statute conferring diversity jurisdiction, leaving intact this rule of complete diversity. Whatever may have been the original purposes of diversity of citizenship jurisdiction, this subsequent history clearly demonstrates a congressional mandate that diversity jurisdiction is not to be available when any plaintiff is a citizen of the same State as any defendant.</w:t>
      </w:r>
    </w:p>
    <w:p>
      <w:pPr>
        <w:pStyle w:val="BodyText"/>
      </w:pPr>
      <w:r>
        <w:t xml:space="preserve">Thus, it is clear that the [plaintiff here] could not originally have brought suit in federal court naming Owen and OPPD as codefendants, since citizens of Iowa would have been on both sides of the litigation. Yet the identical lawsuit resulted when she amended her complaint. Complete diversity was destroyed just as surely as if she had sued Owen initially. In either situation, in the plain language of the statute, the "matter in controversy" could not be "between . . . citizens of different States."</w:t>
      </w:r>
    </w:p>
    <w:p>
      <w:pPr>
        <w:pStyle w:val="BodyText"/>
      </w:pPr>
      <w:r>
        <w:t xml:space="preserve">It is not unreasonable to assume that, in generally requiring complete diversity, Congress did not intend to confine the jurisdiction of federal courts so inflexibly that they are unable to protect legal rights or effectively to resolve an entire, logically entwined lawsuit. Those practical needs are the basis of [what the Court did in Gibbs]. But neither the convenience of litigants nor considerations of judicial economy can suffice to justify extension of the [Gibbs] doctrine . . . to a plaintiff's cause of action against a citizen of the same State in a diversity case. Congress has established the basic rule that diversity jurisdiction exists under 28 U.S.C. § 1332 only when there is complete diversity of citizenship. "The policy of the statute calls for its strict construction." Healy v. Ratta, 292 U.S. 263. To allow the requirement of complete diversity to be circumvented as it was in this case would simply flout the congressional command.</w:t>
      </w:r>
    </w:p>
    <w:p>
      <w:pPr>
        <w:pStyle w:val="BodyText"/>
      </w:pPr>
      <w:r>
        <w:t xml:space="preserve"> </w:t>
      </w:r>
    </w:p>
    <w:p>
      <w:pPr>
        <w:pStyle w:val="BodyText"/>
      </w:pPr>
      <w:r>
        <w:rPr>
          <w:bCs/>
          <w:b/>
        </w:rPr>
        <w:t xml:space="preserve">Finley v. United States, 490 U.S. 545 (1989)</w:t>
      </w:r>
    </w:p>
    <w:p>
      <w:pPr>
        <w:pStyle w:val="BodyText"/>
      </w:pPr>
      <w:r>
        <w:t xml:space="preserve">The plaintiff's husband and two of her children died when their plane struck electric power lines on</w:t>
      </w:r>
      <w:r>
        <w:t xml:space="preserve"> </w:t>
      </w:r>
      <w:r>
        <w:t xml:space="preserve">its approach to a city-run airfield in San Diego, California. The plaintiff, a California domiciliary, sued</w:t>
      </w:r>
    </w:p>
    <w:p>
      <w:pPr>
        <w:pStyle w:val="BodyText"/>
      </w:pPr>
      <w:r>
        <w:t xml:space="preserve">(i) a gas company, a California corporation, for negligently positioning the transmission lines, a state law claim</w:t>
      </w:r>
    </w:p>
    <w:p>
      <w:pPr>
        <w:pStyle w:val="BodyText"/>
      </w:pPr>
      <w:r>
        <w:t xml:space="preserve">(ii) the City of San Diego (a California citizen for diversity purposes) for negligently maintaining airport runway lights in state court, another state law claim</w:t>
      </w:r>
    </w:p>
    <w:p>
      <w:pPr>
        <w:pStyle w:val="BodyText"/>
      </w:pPr>
      <w:r>
        <w:t xml:space="preserve">(iii) the Federal Aviation Administration (FAA), a United States agency, under a statute called the Federal Tort Claims Act (FTCA) for improperly maintaining the runway lights. The FTCA creates a federal cause of action against the United States when one of its agencies does something negligent. When passing the FTCA, Congress provided that suits based on it could occur only in federal court, i.e., the federal district courts have exclusive jurisdiction over FTCA claims.  The plaintiff could not have sued the FAA under the FTCA in state court.</w:t>
      </w:r>
    </w:p>
    <w:p>
      <w:pPr>
        <w:pStyle w:val="BodyText"/>
      </w:pPr>
      <w:r>
        <w:t xml:space="preserve">The Supreme Court held that the federal court lacked subject matter jurisdiction over the plaintiff's claims against the gas company and the City of San Diego:</w:t>
      </w:r>
    </w:p>
    <w:p>
      <w:pPr>
        <w:pStyle w:val="BodyText"/>
      </w:pPr>
      <w:r>
        <w:t xml:space="preserve">It remains rudimentary law that "[a]s regards all courts of the United States inferior to this tribunal, two things are necessary to create jurisdiction, whether original or appellate. The Constitution must have given to the court the capacity to take it, </w:t>
      </w:r>
      <w:r>
        <w:rPr>
          <w:iCs/>
          <w:i/>
        </w:rPr>
        <w:t xml:space="preserve">and an act of Congress must have supplied it.</w:t>
      </w:r>
      <w:r>
        <w:t xml:space="preserve"> </w:t>
      </w:r>
      <w:r>
        <w:t xml:space="preserve">. . . To the extent that such action is not taken, the power lies dormant." The Mayor v. Cooper, 6 Wall. 247, 73 U. S. 252 (1868).</w:t>
      </w:r>
    </w:p>
    <w:p>
      <w:pPr>
        <w:pStyle w:val="BodyText"/>
      </w:pPr>
      <w:r>
        <w:t xml:space="preserve">Despite this principle, in a line of cases by now no less well established, we have held, without specific examination of jurisdictional statutes, that federal courts have [what we now call supplemental jurisdiction, but the courts then called] pendant claim jurisdiction -- that is, jurisdiction over nonfederal claims between parties litigating other matters properly before the court -- to the full extent permitted by the Constitution. Gibbs</w:t>
      </w:r>
      <w:r>
        <w:rPr>
          <w:iCs/>
          <w:i/>
        </w:rPr>
        <w:t xml:space="preserve">,</w:t>
      </w:r>
      <w:r>
        <w:t xml:space="preserve"> which has come to stand for the principle in question, held that "[p]endent jurisdiction, in the sense of judicial </w:t>
      </w:r>
      <w:r>
        <w:rPr>
          <w:iCs/>
          <w:i/>
        </w:rPr>
        <w:t xml:space="preserve">power,</w:t>
      </w:r>
      <w:r>
        <w:t xml:space="preserve"> exists whenever there is a claim 'arising under [the] Constitution, the Laws of the United States, and Treaties made, or which shall be made, under their Authority . . . ,' U.S.Const., Art. III, § 2, and the relationship between that claim and the state claim permits the conclusion that the entire action before the court comprises but one constitutional 'case.'"</w:t>
      </w:r>
    </w:p>
    <w:p>
      <w:pPr>
        <w:pStyle w:val="BodyText"/>
      </w:pPr>
      <w:r>
        <w:t xml:space="preserve">Analytically, petitioner's case is fundamentally different from Gibbs in that it brings into question what has become known as pendent </w:t>
      </w:r>
      <w:r>
        <w:rPr>
          <w:iCs/>
          <w:i/>
        </w:rPr>
        <w:t xml:space="preserve">party</w:t>
      </w:r>
      <w:r>
        <w:t xml:space="preserve"> jurisdiction, that is, jurisdiction over parties not named in any claim that is independently cognizable by the federal court. We may assume, without deciding, that the constitutional criterion for pendent party jurisdiction is analogous to the constitutional criterion for pendent claim jurisdiction, and that petitioner's state law claims pass that test. Our cases show, however, that, with respect to the addition of parties, as opposed to the addition of only claims, we will not assume that the full constitutional power has been congressionally authorized, and will not read jurisdictional statutes broadly.</w:t>
      </w:r>
    </w:p>
    <w:p>
      <w:pPr>
        <w:pStyle w:val="BodyText"/>
      </w:pPr>
      <w:r>
        <w:t xml:space="preserve">The FTCA . . .  confers jurisdiction over "civil actions on claims against the United States." It does not say "civil actions on claims that include requested relief against the United States," nor "civil actions in which there is a claim against the United States" -- formulations one might expect if the presence of a claim against the United States constituted merely a minimum jurisdictional requirement, rather than a definition of the permissible scope of FTCA actions. Just as the statutory provision "between . . . citizens of different States" has been held to mean citizens of different States and no one else, see [Owen v.] Kroger, supra, so also here we conclude that "against the United States" means against the United States and no one else.</w:t>
      </w:r>
    </w:p>
    <w:p>
      <w:pPr>
        <w:pStyle w:val="BodyText"/>
      </w:pPr>
      <w:r>
        <w:t xml:space="preserve">The </w:t>
      </w:r>
      <w:r>
        <w:rPr>
          <w:iCs/>
          <w:i/>
        </w:rPr>
        <w:t xml:space="preserve">Gibbs</w:t>
      </w:r>
      <w:r>
        <w:t xml:space="preserve"> </w:t>
      </w:r>
      <w:r>
        <w:t xml:space="preserve">line of cases was a departure from prior practice, and a departure that we have no intent to limit or impair. But Aldinger indicated that the Gibbs approach would not be extended to the pendent party field, and we decide today to retain that line. Whatever we say regarding the scope of jurisdiction conferred by a particular statute can, of course, be changed by Congress. What is of paramount importance is that Congress be able to legislate against a background of clear interpretive rules, so that it may know the effect of the language it adopts. All our cases -- [including] Aldinger, and Kroger -- have held that a grant of jurisdiction over claims involving particular parties does not itself confer jurisdiction over additional claims by or against different parties. Our decision today reaffirms that interpretive rule; the opposite would sow confusion.</w:t>
      </w:r>
    </w:p>
    <w:p>
      <w:pPr>
        <w:pStyle w:val="BodyText"/>
      </w:pPr>
      <w:r>
        <w:t xml:space="preserve">For the foregoing reasons, the judgment of the Court of Appeals is</w:t>
      </w:r>
      <w:r>
        <w:t xml:space="preserve"> </w:t>
      </w:r>
      <w:r>
        <w:rPr>
          <w:iCs/>
          <w:i/>
        </w:rPr>
        <w:t xml:space="preserve">Affirmed.</w:t>
      </w:r>
    </w:p>
    <w:p>
      <w:pPr>
        <w:pStyle w:val="BodyText"/>
      </w:pPr>
      <w:r>
        <w:t xml:space="preserve">Justice Stevens dissented:</w:t>
      </w:r>
    </w:p>
    <w:p>
      <w:pPr>
        <w:pStyle w:val="BodyText"/>
      </w:pPr>
      <w:r>
        <w:t xml:space="preserve">In </w:t>
      </w:r>
      <w:r>
        <w:t xml:space="preserve">Aldinger</w:t>
      </w:r>
      <w:r>
        <w:rPr>
          <w:iCs/>
          <w:i/>
        </w:rPr>
        <w:t xml:space="preserve">,</w:t>
      </w:r>
      <w:r>
        <w:t xml:space="preserve"> </w:t>
      </w:r>
      <w:r>
        <w:t xml:space="preserve">we adopted a rule of construction that assumed the existence of pendent jurisdiction unless "Congress in the statutes conferring jurisdiction has . . . expressly or by implication negated its existence," 427 U.S. at 18.</w:t>
      </w:r>
      <w:r>
        <w:t xml:space="preserve"> </w:t>
      </w:r>
      <w:r>
        <w:t xml:space="preserve">We rejected the assertion of pendent party jurisdiction there because it arose "not in the context of congressional silence or tacit encouragement, but in quite the opposite context." </w:t>
      </w:r>
      <w:r>
        <w:rPr>
          <w:iCs/>
          <w:i/>
        </w:rPr>
        <w:t xml:space="preserve">Id.</w:t>
      </w:r>
      <w:r>
        <w:t xml:space="preserve"> </w:t>
      </w:r>
      <w:r>
        <w:t xml:space="preserve">at 15-</w:t>
      </w:r>
      <w:r>
        <w:t xml:space="preserve">16.</w:t>
      </w:r>
      <w:r>
        <w:t xml:space="preserve"> Congress' exclusion of municipal corporations from the definition of persons under § 1983, we concluded, evinced an intent to preclude the exercise of federal court jurisdiction over them. If congressional silence were sufficient to defeat pendent jurisdiction, the careful reasoning in our </w:t>
      </w:r>
      <w:r>
        <w:rPr>
          <w:iCs/>
          <w:i/>
        </w:rPr>
        <w:t xml:space="preserve">Aldinger</w:t>
      </w:r>
      <w:r>
        <w:t xml:space="preserve"> opinion was wholly unnecessary, for obviously the civil rights statutes do not affirmatively authorize the joinder of any state law claims.</w:t>
      </w:r>
    </w:p>
    <w:p>
      <w:pPr>
        <w:pStyle w:val="BodyText"/>
      </w:pPr>
      <w:r>
        <w:t xml:space="preserve">The Court today adopts a sharply different approach. Without even so much as acknowledging our statement in </w:t>
      </w:r>
      <w:r>
        <w:rPr>
          <w:iCs/>
          <w:i/>
        </w:rPr>
        <w:t xml:space="preserve">Aldinger</w:t>
      </w:r>
      <w:r>
        <w:t xml:space="preserve"> that, before a federal court may exercise pendent party jurisdiction, it must satisfy itself that Congress "has not expressly or by implication negated its existence," it now instructs that </w:t>
      </w:r>
      <w:r>
        <w:t xml:space="preserve">"a grant of jurisdiction over claims involving particular parties does not itself confer jurisdiction over additional claims by or against different parties."</w:t>
      </w:r>
    </w:p>
    <w:p>
      <w:pPr>
        <w:pStyle w:val="NodeEnd"/>
      </w:pPr>
      <w:r>
        <w:t xml:space="preserve"> </w:t>
      </w:r>
    </w:p>
    <w:p>
      <w:pPr>
        <w:pStyle w:val="NodeStart"/>
      </w:pPr>
      <w:r>
        <w:t xml:space="preserve"> </w:t>
      </w:r>
    </w:p>
    <w:p>
      <w:pPr>
        <w:pStyle w:val="HeadSeparator"/>
      </w:pPr>
      <w:r>
        <w:t xml:space="preserve"> </w:t>
      </w:r>
    </w:p>
    <w:bookmarkStart w:id="35" w:name="_auto_toc_35"/>
    <w:bookmarkEnd w:id="35"/>
    <w:p>
      <w:pPr>
        <w:pStyle w:val="ResourceNumber"/>
      </w:pPr>
      <w:r>
        <w:t xml:space="preserve">3.4</w:t>
      </w:r>
    </w:p>
    <w:p>
      <w:pPr>
        <w:pStyle w:val="ResourceTitle"/>
      </w:pPr>
      <w:r>
        <w:t xml:space="preserve">Guaranteed Systems, Inc. v. American National Can Co.</w:t>
      </w:r>
    </w:p>
    <w:p>
      <w:pPr>
        <w:pStyle w:val="HeadFieldSeparator"/>
      </w:pPr>
      <w:r>
        <w:t xml:space="preserve"> </w:t>
      </w:r>
    </w:p>
    <w:p>
      <w:pPr>
        <w:pStyle w:val="ResourceHeadnote"/>
      </w:pPr>
      <w:r>
        <w:t xml:space="preserve">Note which court issued this holding: the U.S. District Court for the Middle District of North Carolina. The federal court’s jurisdiction here is based solely on diversity. As you will read,</w:t>
      </w:r>
      <w:r>
        <w:t xml:space="preserve"> </w:t>
      </w:r>
      <w:r>
        <w:rPr>
          <w:iCs/>
          <w:i/>
        </w:rPr>
        <w:t xml:space="preserve">Guaranteed Systems</w:t>
      </w:r>
      <w:r>
        <w:t xml:space="preserve"> </w:t>
      </w:r>
      <w:r>
        <w:t xml:space="preserve">interprets § 1367(b) to mean that federal courts cannot exercise supplemental jurisdiction over claims against nondiverse parties that the plaintiff impleads in response to a counterclaim. (Note: “Plaintiff” in § 1367(b) signifies the party that initiated the lawsuit or those who later intervened as plaintiffs. A defendant who counterclaims is not "Plaintiff" within the meaning of § 1367(b).) In other words, imagine a defendant removes a case to federal court, then counterclaims against the plaintiff, and the plaintiff impleads a new party not diverse from the plaintiff, let’s say to reimburse it (the plaintiff) for damages it might have to pay the defendant. The court would not have supplemental jurisdiction over this impleader, because to do so otherwise would ostensibly violate § 1332. Does this rule make sense? What are the public policy or analytical justifications for this rule? What are the practical consequences that follow?</w:t>
      </w:r>
    </w:p>
    <w:p>
      <w:pPr>
        <w:pStyle w:val="ResourceHeadnote"/>
      </w:pPr>
      <w:r>
        <w:t xml:space="preserve">Finally, what if Guaranteed Systems had sued American National Can Co. in</w:t>
      </w:r>
      <w:r>
        <w:t xml:space="preserve"> </w:t>
      </w:r>
      <w:r>
        <w:rPr>
          <w:iCs/>
          <w:i/>
        </w:rPr>
        <w:t xml:space="preserve">Delaware</w:t>
      </w:r>
      <w:r>
        <w:t xml:space="preserve"> </w:t>
      </w:r>
      <w:r>
        <w:t xml:space="preserve">state court, rather than North Carolina state court? Note that under the rules of personal jurisdiction, which you will learn in class days 5-7, Guaranteed Systems could have initiated the case in Delaware. Would the result be different? How?</w:t>
      </w:r>
    </w:p>
    <w:p>
      <w:pPr>
        <w:pStyle w:val="HeadEnd"/>
      </w:pPr>
      <w:r>
        <w:t xml:space="preserve"> </w:t>
      </w:r>
    </w:p>
    <w:p>
      <w:pPr>
        <w:pStyle w:val="CaseHeader"/>
      </w:pPr>
      <w:r>
        <w:t xml:space="preserve">United States District Court for the Middle District of North Carolina</w:t>
      </w:r>
    </w:p>
    <w:p>
      <w:pPr>
        <w:pStyle w:val="CaseHeader"/>
      </w:pPr>
      <w:r>
        <w:t xml:space="preserve">842 F. Supp. 855</w:t>
      </w:r>
    </w:p>
    <w:p>
      <w:pPr>
        <w:pStyle w:val="CaseHeader"/>
      </w:pPr>
      <w:r>
        <w:t xml:space="preserve">Civ. No. 2:93CV00233</w:t>
      </w:r>
    </w:p>
    <w:p>
      <w:pPr>
        <w:pStyle w:val="CaseHeader"/>
      </w:pPr>
      <w:r>
        <w:t xml:space="preserve">1994-01-27</w:t>
      </w:r>
    </w:p>
    <w:p>
      <w:pPr>
        <w:pStyle w:val="CaseBody"/>
      </w:pPr>
      <w:r>
        <w:rPr>
          <w:rStyle w:val="Elision"/>
        </w:rPr>
        <w:t xml:space="preserve">[ … ]</w:t>
      </w:r>
    </w:p>
    <w:p>
      <w:pPr>
        <w:pStyle w:val="CaseBody"/>
      </w:pPr>
      <w:r>
        <w:rPr>
          <w:iCs/>
          <w:i/>
        </w:rPr>
        <w:t xml:space="preserve">MEMORANDUM OPINION</w:t>
      </w:r>
    </w:p>
    <w:p>
      <w:pPr>
        <w:pStyle w:val="CaseBody"/>
      </w:pPr>
      <w:r>
        <w:t xml:space="preserve">FRANK W. BULLOCK, Jr., Chief Judge.</w:t>
      </w:r>
    </w:p>
    <w:p>
      <w:pPr>
        <w:pStyle w:val="CaseBody"/>
      </w:pPr>
      <w:r>
        <w:t xml:space="preserve">This civil action is before the court on Third-Party Defendant’s motion to dismiss the third-party action for lack of supplemental jurisdiction pursuant to</w:t>
      </w:r>
      <w:r>
        <w:t xml:space="preserve"> </w:t>
      </w:r>
      <w:r>
        <w:t xml:space="preserve">28 U.S.C. § 1367</w:t>
      </w:r>
      <w:r>
        <w:t xml:space="preserve">(b)</w:t>
      </w:r>
      <w:r>
        <w:rPr>
          <w:rStyle w:val="Elision"/>
        </w:rPr>
        <w:t xml:space="preserve">[ … ]</w:t>
      </w:r>
      <w:r>
        <w:t xml:space="preserve">.</w:t>
      </w:r>
    </w:p>
    <w:p>
      <w:pPr>
        <w:pStyle w:val="CaseBody"/>
      </w:pPr>
      <w:r>
        <w:t xml:space="preserve">FACTS</w:t>
      </w:r>
    </w:p>
    <w:p>
      <w:pPr>
        <w:pStyle w:val="CaseBody"/>
      </w:pPr>
      <w:r>
        <w:t xml:space="preserve">On March 17, 1993, contractor Guaranteed Systems, Inc., a North Carolina corporation, filed a state court action (“original action”) in the Superior Court Division of the General Court of Justice, Rockingham County, North Carolina, against American National Can Company (“National Can”), a Delaware corporation, alleging that National Can had failed to pay Guaranteed Systems for construction work on a National Can facility in</w:t>
      </w:r>
      <w:r>
        <w:t xml:space="preserve"> </w:t>
      </w:r>
      <w:r>
        <w:rPr>
          <w:rStyle w:val="Elision"/>
        </w:rPr>
        <w:t xml:space="preserve">[ … ]</w:t>
      </w:r>
      <w:r>
        <w:t xml:space="preserve"> </w:t>
      </w:r>
      <w:r>
        <w:t xml:space="preserve">Georgia. National Can removed the original action to federal court pursuant to</w:t>
      </w:r>
      <w:r>
        <w:t xml:space="preserve"> </w:t>
      </w:r>
      <w:r>
        <w:t xml:space="preserve">28 U.S.C. §§ 1441</w:t>
      </w:r>
      <w:r>
        <w:t xml:space="preserve">(a) and 1446 because the federal court had original jurisdiction over the original action under</w:t>
      </w:r>
      <w:r>
        <w:t xml:space="preserve"> </w:t>
      </w:r>
      <w:r>
        <w:t xml:space="preserve">28 U.S.C. § 1332</w:t>
      </w:r>
      <w:r>
        <w:t xml:space="preserve">(a). National Can then answered and filed a counterclaim against Guaranteed Systems alleging,</w:t>
      </w:r>
      <w:r>
        <w:t xml:space="preserve"> </w:t>
      </w:r>
      <w:r>
        <w:rPr>
          <w:iCs/>
          <w:i/>
        </w:rPr>
        <w:t xml:space="preserve">inter alia,</w:t>
      </w:r>
      <w:r>
        <w:t xml:space="preserve"> </w:t>
      </w:r>
      <w:r>
        <w:t xml:space="preserve">that Guaranteed Systems had been negligent in the performance of its construction work on the National Can facility. On June 30, 1993, Guaranteed Systems, defending against National Can’s counterclaim, answered and, pursuant to Rule 14(b) of the Federal Rules of Civil Procedure, filed a third-party action against sub-contractor R.K. Elite-HydroVac Services, Inc. (“HydroVac”), alleging claims for indemnity and contribution for any amount that may be determined to be owed to National Can by Guaranteed Systems as a result of the counterclaim initiated by National Can.</w:t>
      </w:r>
    </w:p>
    <w:p>
      <w:pPr>
        <w:pStyle w:val="CaseBody"/>
      </w:pPr>
      <w:r>
        <w:t xml:space="preserve">DISCUSSION</w:t>
      </w:r>
    </w:p>
    <w:p>
      <w:pPr>
        <w:pStyle w:val="CaseBody"/>
      </w:pPr>
      <w:r>
        <w:t xml:space="preserve">Federal courts may exercise original jurisdiction pursuant to</w:t>
      </w:r>
      <w:r>
        <w:t xml:space="preserve"> </w:t>
      </w:r>
      <w:r>
        <w:t xml:space="preserve">28 U.S.C. § 1331</w:t>
      </w:r>
      <w:r>
        <w:t xml:space="preserve"> </w:t>
      </w:r>
      <w:r>
        <w:t xml:space="preserve">over cases involving a federal question or pursuant to</w:t>
      </w:r>
      <w:r>
        <w:t xml:space="preserve"> </w:t>
      </w:r>
      <w:r>
        <w:t xml:space="preserve">28 U.S.C. § 1332</w:t>
      </w:r>
      <w:r>
        <w:t xml:space="preserve"> </w:t>
      </w:r>
      <w:r>
        <w:t xml:space="preserve">(“the diversity statute”) over cases involving citizens of different states, that is, those cases in which the parties are “diverse.” They may also exercise supplemental jurisdiction pursuant to</w:t>
      </w:r>
      <w:r>
        <w:t xml:space="preserve"> </w:t>
      </w:r>
      <w:r>
        <w:t xml:space="preserve">28 U.S.C. § 1367</w:t>
      </w:r>
      <w:r>
        <w:t xml:space="preserve"> </w:t>
      </w:r>
      <w:r>
        <w:t xml:space="preserve">over all other claims that form part of the same case or controversy as the action within their original jurisdiction, unless that action is within their jurisdiction solely on the basis of the diversity statute. If that action is within their jurisdiction solely on the basis of diversity, federal courts may not exercise supplemental jurisdiction over certain claims, including claims by plaintiffs against persons made parties under Rule 14 of the Federal Rules of Civil Procedure, when so doing would be inconsistent with the jurisdictional requirements of</w:t>
      </w:r>
      <w:r>
        <w:t xml:space="preserve"> </w:t>
      </w:r>
      <w:r>
        <w:t xml:space="preserve">28 U.S.C. § 1332</w:t>
      </w:r>
      <w:r>
        <w:t xml:space="preserve">, for instance, when the plaintiff and the other party are non-diverse.</w:t>
      </w:r>
    </w:p>
    <w:p>
      <w:pPr>
        <w:pStyle w:val="CaseBody"/>
      </w:pPr>
      <w:r>
        <w:t xml:space="preserve">In the</w:t>
      </w:r>
      <w:r>
        <w:t xml:space="preserve"> </w:t>
      </w:r>
      <w:r>
        <w:rPr>
          <w:rStyle w:val="ReplacementText"/>
        </w:rPr>
        <w:t xml:space="preserve">case</w:t>
      </w:r>
      <w:r>
        <w:t xml:space="preserve">before the court, it is undisputed that the court’s jurisdiction over the original action is founded solely on the diversity statute. It is also undisputed that the third-party action involves a claim that is so related to the original action that it forms “part of the same case or controversy.”</w:t>
      </w:r>
      <w:r>
        <w:t xml:space="preserve"> </w:t>
      </w:r>
      <w:r>
        <w:t xml:space="preserve">28 U.S.C. § 1367</w:t>
      </w:r>
      <w:r>
        <w:t xml:space="preserve">(a). The disputed issue is whether the court may exercise supplemental jurisdiction over the third-party state law claim between Plaintiff and Third-Party Defendant, whom Plaintiff, defending the counterclaim, has impleaded for indemnity or contribution in accordance with Rule 14(b) of the Federal Rules of Civil Procedure, when Plaintiff and Third-Party Defendant are non-diverse parties.</w:t>
      </w:r>
    </w:p>
    <w:p>
      <w:pPr>
        <w:pStyle w:val="CaseBody"/>
      </w:pPr>
      <w:r>
        <w:t xml:space="preserve">The terms of</w:t>
      </w:r>
      <w:r>
        <w:t xml:space="preserve"> </w:t>
      </w:r>
      <w:r>
        <w:t xml:space="preserve">28 U.S.C. § 1367</w:t>
      </w:r>
      <w:r>
        <w:t xml:space="preserve">(b) prohibit the court from exercising jurisdiction over Plaintiff’s third-party claim. Guaranteed Systems is clearly a plaintiff in a diversity suit asserting a claim against a non-diverse third-party defendant made a party under Rule 14.</w:t>
      </w:r>
    </w:p>
    <w:p>
      <w:pPr>
        <w:pStyle w:val="CaseBody"/>
      </w:pPr>
      <w:r>
        <w:t xml:space="preserve">Were it not for the enactment of Section 1367, however, the rationale of the decision in</w:t>
      </w:r>
      <w:r>
        <w:t xml:space="preserve"> </w:t>
      </w:r>
      <w:r>
        <w:rPr>
          <w:iCs/>
          <w:i/>
        </w:rPr>
        <w:t xml:space="preserve">Owen Equip. &amp; Erection Co. v. Kroger,</w:t>
      </w:r>
      <w:r>
        <w:t xml:space="preserve"> </w:t>
      </w:r>
      <w:r>
        <w:t xml:space="preserve">437 U.S. 365</w:t>
      </w:r>
      <w:r>
        <w:t xml:space="preserve">,</w:t>
      </w:r>
      <w:r>
        <w:t xml:space="preserve"> </w:t>
      </w:r>
      <w:r>
        <w:t xml:space="preserve">98 S.Ct. 2396</w:t>
      </w:r>
      <w:r>
        <w:t xml:space="preserve">,</w:t>
      </w:r>
      <w:r>
        <w:t xml:space="preserve"> </w:t>
      </w:r>
      <w:r>
        <w:t xml:space="preserve">57 L.Ed.2d 274</w:t>
      </w:r>
      <w:r>
        <w:t xml:space="preserve"> </w:t>
      </w:r>
      <w:r>
        <w:t xml:space="preserve">(1978), could allow the court to exercise jurisdiction under these circumstances.</w:t>
      </w:r>
      <w:r>
        <w:t xml:space="preserve"> </w:t>
      </w:r>
      <w:r>
        <w:rPr>
          <w:iCs/>
          <w:i/>
        </w:rPr>
        <w:t xml:space="preserve">Owen</w:t>
      </w:r>
      <w:r>
        <w:t xml:space="preserve"> </w:t>
      </w:r>
      <w:r>
        <w:t xml:space="preserve">prohibits the court only from exercising jurisdiction over a state law claim by a plaintiff against a non-diverse third-party defendant impleaded for indemnity purposes by a</w:t>
      </w:r>
      <w:r>
        <w:t xml:space="preserve"> </w:t>
      </w:r>
      <w:r>
        <w:rPr>
          <w:iCs/>
          <w:i/>
        </w:rPr>
        <w:t xml:space="preserve">defendant.</w:t>
      </w:r>
      <w:r>
        <w:t xml:space="preserve"> </w:t>
      </w:r>
      <w:r>
        <w:t xml:space="preserve">The principal rationale of both</w:t>
      </w:r>
      <w:r>
        <w:t xml:space="preserve"> </w:t>
      </w:r>
      <w:r>
        <w:rPr>
          <w:iCs/>
          <w:i/>
        </w:rPr>
        <w:t xml:space="preserve">Owen</w:t>
      </w:r>
      <w:r>
        <w:t xml:space="preserve"> </w:t>
      </w:r>
      <w:r>
        <w:t xml:space="preserve">and Section 1367(b) is to prevent a plaintiff from “evad[ing] the jurisdictional requirements of</w:t>
      </w:r>
      <w:r>
        <w:t xml:space="preserve"> </w:t>
      </w:r>
      <w:r>
        <w:t xml:space="preserve">28 U.S.C. § 1332</w:t>
      </w:r>
      <w:r>
        <w:t xml:space="preserve"> </w:t>
      </w:r>
      <w:r>
        <w:t xml:space="preserve">by the simple expedient of naming initially only those defendants whose joinder satisfies section 1332’s requirements and later adding claims not within original federal jurisdiction against other defendants who have intervened or been joined on a supplemental basis.” H.R.Rep. No. 101-734, 101st Cong., 2d Sess. (1990),</w:t>
      </w:r>
      <w:r>
        <w:t xml:space="preserve"> </w:t>
      </w:r>
      <w:r>
        <w:rPr>
          <w:iCs/>
          <w:i/>
        </w:rPr>
        <w:t xml:space="preserve">reprinted in</w:t>
      </w:r>
      <w:r>
        <w:t xml:space="preserve"> </w:t>
      </w:r>
      <w:r>
        <w:t xml:space="preserve">1990 U.S.C.C.A.N. 6802, 6860, 6875. That rationale is inapplicable to the third-party action in this case.</w:t>
      </w:r>
    </w:p>
    <w:p>
      <w:pPr>
        <w:pStyle w:val="CaseBody"/>
      </w:pPr>
      <w:r>
        <w:t xml:space="preserve">The third-party action in this ease corresponds most closely to the typical ancillary impleader claim the Supreme Court used as a benchmark to distinguish the claim the</w:t>
      </w:r>
      <w:r>
        <w:t xml:space="preserve"> </w:t>
      </w:r>
      <w:r>
        <w:rPr>
          <w:iCs/>
          <w:i/>
        </w:rPr>
        <w:t xml:space="preserve">Owen</w:t>
      </w:r>
      <w:r>
        <w:t xml:space="preserve"> </w:t>
      </w:r>
      <w:r>
        <w:t xml:space="preserve">plaintiff attempted to assert. In</w:t>
      </w:r>
      <w:r>
        <w:t xml:space="preserve"> </w:t>
      </w:r>
      <w:r>
        <w:rPr>
          <w:iCs/>
          <w:i/>
        </w:rPr>
        <w:t xml:space="preserve">Owen,</w:t>
      </w:r>
      <w:r>
        <w:t xml:space="preserve"> </w:t>
      </w:r>
      <w:r>
        <w:t xml:space="preserve">the Supreme Court noted that “in determining whether jurisdiction over a non-federal claim exists, the context in which the nonfederal claim is asserted is crucial.”</w:t>
      </w:r>
      <w:r>
        <w:t xml:space="preserve"> </w:t>
      </w:r>
      <w:r>
        <w:rPr>
          <w:rStyle w:val="Elision"/>
        </w:rPr>
        <w:t xml:space="preserve">[ … ]</w:t>
      </w:r>
      <w:r>
        <w:t xml:space="preserve">Plaintiff here did</w:t>
      </w:r>
      <w:r>
        <w:t xml:space="preserve"> </w:t>
      </w:r>
      <w:r>
        <w:rPr>
          <w:iCs/>
          <w:i/>
        </w:rPr>
        <w:t xml:space="preserve">not</w:t>
      </w:r>
      <w:r>
        <w:t xml:space="preserve"> </w:t>
      </w:r>
      <w:r>
        <w:t xml:space="preserve">“voluntarily cho[o]se to bring suit upon a state-law claim in a federal court,” as did the plaintiff in</w:t>
      </w:r>
      <w:r>
        <w:t xml:space="preserve"> </w:t>
      </w:r>
      <w:r>
        <w:rPr>
          <w:iCs/>
          <w:i/>
        </w:rPr>
        <w:t xml:space="preserve">Owen.</w:t>
      </w:r>
      <w:r>
        <w:rPr>
          <w:rStyle w:val="Elision"/>
        </w:rPr>
        <w:t xml:space="preserve">[ … ]</w:t>
      </w:r>
      <w:r>
        <w:t xml:space="preserve">Rather, Plaintiffs</w:t>
      </w:r>
      <w:r>
        <w:t xml:space="preserve"> </w:t>
      </w:r>
      <w:r>
        <w:rPr>
          <w:rStyle w:val="ReplacementText"/>
        </w:rPr>
        <w:t xml:space="preserve">case</w:t>
      </w:r>
      <w:r>
        <w:t xml:space="preserve">was removed to federal court in contravention of Plaintiffs original forum choice.</w:t>
      </w:r>
    </w:p>
    <w:p>
      <w:pPr>
        <w:pStyle w:val="CaseBody"/>
      </w:pPr>
      <w:r>
        <w:t xml:space="preserve">Essentially, Plaintiff acts as a defendant to National Can’s claim when it impleads HydroVac for indemnity. Plaintiff had no logical reason to join HydroVac in the original action because HydroVac’s alleged liability to Plaintiff is contingent on Plaintiffs liability to National Can on their counterclaim. Plaintiff cannot be said to have tried to evade the requirements of the diversity statute when it first filed in state court and then impleaded HydroVac only in response to National Can’s counterclaim. Plaintiff desires simply and sensibly to avoid the piecemeal and potentially adverse resolution of the liabilities in question.</w:t>
      </w:r>
    </w:p>
    <w:p>
      <w:pPr>
        <w:pStyle w:val="CaseBody"/>
      </w:pPr>
      <w:r>
        <w:t xml:space="preserve">Before the enactment of Section 1367’s supplemental jurisdiction provisions, when cases like the one before the court arose, a court’s “decision ultimately [was] based on a weighing of the desire to preserve the integrity of constitutionally based jurisdictional limitations against the desire to dispose of all disputes arising from one set of facts in one action.” 6 Charles A. Wright</w:t>
      </w:r>
      <w:r>
        <w:t xml:space="preserve"> </w:t>
      </w:r>
      <w:r>
        <w:rPr>
          <w:iCs/>
          <w:i/>
        </w:rPr>
        <w:t xml:space="preserve">et al., Federal Practice and Procedure</w:t>
      </w:r>
      <w:r>
        <w:t xml:space="preserve"> </w:t>
      </w:r>
      <w:r>
        <w:t xml:space="preserve">§ 1444 at 319 (2d ed. 1990). If it were not bound by the plain terms of the statute, the court would be swayed by the interests of justice and efficiency to construe Plaintiffs claim as a claim by a</w:t>
      </w:r>
      <w:r>
        <w:t xml:space="preserve"> </w:t>
      </w:r>
      <w:r>
        <w:rPr>
          <w:iCs/>
          <w:i/>
        </w:rPr>
        <w:t xml:space="preserve">defendant</w:t>
      </w:r>
      <w:r>
        <w:t xml:space="preserve"> </w:t>
      </w:r>
      <w:r>
        <w:t xml:space="preserve">against a person made party under Rule 14 rather than a claim by a plaintiff, and thus to allow it to proceed under</w:t>
      </w:r>
      <w:r>
        <w:t xml:space="preserve"> </w:t>
      </w:r>
      <w:r>
        <w:t xml:space="preserve">28 U.S.C. § 1367</w:t>
      </w:r>
      <w:r>
        <w:t xml:space="preserve">(b). The court believes, however, that such a construction would reach beyond the limits of Section 1367(b). The jurisdiction of the federal courts is limited not only by Article III of the Constitution, but also by Acts of Congress.</w:t>
      </w:r>
      <w:r>
        <w:t xml:space="preserve"> </w:t>
      </w:r>
      <w:r>
        <w:rPr>
          <w:rStyle w:val="Elision"/>
        </w:rPr>
        <w:t xml:space="preserve">[ … ]</w:t>
      </w:r>
      <w:r>
        <w:t xml:space="preserve">The court therefore will grant Third-Party Defendant’s motion to dismiss.</w:t>
      </w:r>
    </w:p>
    <w:p>
      <w:pPr>
        <w:pStyle w:val="CaseBody"/>
      </w:pPr>
      <w:r>
        <w:rPr>
          <w:rStyle w:val="ReplacementText"/>
        </w:rPr>
        <w:t xml:space="preserve">IT IS ORDERED that Third-Party Defendant's motion to dismiss the third-party action for lack of supplemental jurisdiction is GRANTED, and the third-party action is hereby DISMISSED.</w:t>
      </w:r>
    </w:p>
    <w:p>
      <w:pPr>
        <w:pStyle w:val="NodeEnd"/>
      </w:pPr>
      <w:r>
        <w:t xml:space="preserve"> </w:t>
      </w:r>
    </w:p>
    <w:p>
      <w:pPr>
        <w:pStyle w:val="NodeStart"/>
      </w:pPr>
      <w:r>
        <w:t xml:space="preserve"> </w:t>
      </w:r>
    </w:p>
    <w:p>
      <w:pPr>
        <w:pStyle w:val="HeadSeparator"/>
      </w:pPr>
      <w:r>
        <w:t xml:space="preserve"> </w:t>
      </w:r>
    </w:p>
    <w:bookmarkStart w:id="36" w:name="_auto_toc_36"/>
    <w:bookmarkEnd w:id="36"/>
    <w:p>
      <w:pPr>
        <w:pStyle w:val="ResourceNumber"/>
      </w:pPr>
      <w:r>
        <w:t xml:space="preserve">3.5</w:t>
      </w:r>
    </w:p>
    <w:p>
      <w:pPr>
        <w:pStyle w:val="ResourceTitle"/>
      </w:pPr>
      <w:r>
        <w:t xml:space="preserve">Shamrock Oil and Removal Jurisdiction</w:t>
      </w:r>
    </w:p>
    <w:p>
      <w:pPr>
        <w:pStyle w:val="HeadFieldSeparator"/>
      </w:pPr>
      <w:r>
        <w:t xml:space="preserve"> </w:t>
      </w:r>
    </w:p>
    <w:p>
      <w:pPr>
        <w:pStyle w:val="ResourceHeadnote"/>
      </w:pPr>
      <w:r>
        <w:t xml:space="preserve">Please read the following statutes (a reminder that expanatory notes on these and all other statutes are available in one of the documents you can download on the Canvas website).</w:t>
      </w:r>
    </w:p>
    <w:p>
      <w:pPr>
        <w:pStyle w:val="ResourceHeadnote"/>
      </w:pPr>
      <w:r>
        <w:t xml:space="preserve">28 U.S.C. § 1441</w:t>
      </w:r>
    </w:p>
    <w:p>
      <w:pPr>
        <w:pStyle w:val="ResourceHeadnote"/>
      </w:pPr>
      <w:r>
        <w:t xml:space="preserve">28 U.S.C. § 1446</w:t>
      </w:r>
    </w:p>
    <w:p>
      <w:pPr>
        <w:pStyle w:val="ResourceHeadnote"/>
      </w:pPr>
      <w:r>
        <w:t xml:space="preserve">28 U.S.C. § 1447</w:t>
      </w:r>
    </w:p>
    <w:p>
      <w:pPr>
        <w:pStyle w:val="HeadEnd"/>
      </w:pPr>
      <w:r>
        <w:t xml:space="preserve"> </w:t>
      </w:r>
    </w:p>
    <w:p>
      <w:pPr>
        <w:pStyle w:val="BodyText"/>
      </w:pPr>
      <w:r>
        <w:t xml:space="preserve">Removal allows a party (almost always a defendant) to a civil action to transfer it from a state court to an appropriate federal court.  While the Constitution does not mention removal, Congress, in the First Judiciary Act of 1789, granted jurisdiction to courts to hear removed cases. The current general removal statute is 28 U.S.C. § 1441.</w:t>
      </w:r>
    </w:p>
    <w:p>
      <w:pPr>
        <w:pStyle w:val="BodyText"/>
      </w:pPr>
      <w:r>
        <w:t xml:space="preserve">Removal jurisdiction offers defendants a significant level of control over the plaintiff's forum choice. Justifications for removal jurisdiction include:</w:t>
      </w:r>
    </w:p>
    <w:p>
      <w:pPr>
        <w:numPr>
          <w:ilvl w:val="0"/>
          <w:numId w:val="1071"/>
        </w:numPr>
      </w:pPr>
      <w:r>
        <w:t xml:space="preserve">Litigant equality - allows defendants as much control as plaintiffs in deciding which cases federal courts hear</w:t>
      </w:r>
    </w:p>
    <w:p>
      <w:pPr>
        <w:numPr>
          <w:ilvl w:val="0"/>
          <w:numId w:val="1071"/>
        </w:numPr>
      </w:pPr>
      <w:r>
        <w:t xml:space="preserve">Bias - protects out-of-state defendants from local bias</w:t>
      </w:r>
    </w:p>
    <w:p>
      <w:pPr>
        <w:pStyle w:val="FirstParagraph"/>
      </w:pPr>
      <w:r>
        <w:t xml:space="preserve">Defendants remove cases to federal court for the same reasons that plaintiffs consider when deciding where to initiate a case, e.g., jury pools, trial rules, court procedures, caseloads, etc.  Some courts and commentators have labeled the search for a more favorable court in which to file (or remove) "forum shopping."  When courts and commentators use the phrase "forum shopping," they intend to imply that such behavior is bad.  Is it bad?  If so, what is bad about it?</w:t>
      </w:r>
    </w:p>
    <w:p>
      <w:pPr>
        <w:pStyle w:val="BodyText"/>
      </w:pPr>
      <w:r>
        <w:rPr>
          <w:bCs/>
          <w:b/>
        </w:rPr>
        <w:t xml:space="preserve">Shamrock Oil &amp; Gas Corp. v. Sheets, 313 U.S. 100 (1941)</w:t>
      </w:r>
    </w:p>
    <w:p>
      <w:pPr>
        <w:pStyle w:val="BodyText"/>
      </w:pPr>
      <w:r>
        <w:t xml:space="preserve">The plaintiff sued the defendant in state court on a state-law cause of action. The parties were not diverse.  The defendant filed a counterclaim that asserted a federal cause of action.  The plaintiff removed the case to federal court, citing the federal law counterclaim.  The Supreme Court held that no federal statute authorized a plaintiff (as opposed to a defendant or defendants) to remove a case from state to federal court.  Justice Stone, writing for a unanimous court, explained:</w:t>
      </w:r>
    </w:p>
    <w:p>
      <w:pPr>
        <w:pStyle w:val="BodyText"/>
      </w:pPr>
      <w:r>
        <w:t xml:space="preserve">Section 12 of the Judiciary Act of 1789,</w:t>
      </w:r>
      <w:r>
        <w:t xml:space="preserve"> </w:t>
      </w:r>
      <w:r>
        <w:t xml:space="preserve">declared that 'if a suit be commenced in any state court against an alien * * * or * * * against a citizen of another state, and the matter in dispute exceeds' the jurisdictional amount 'and the defendant shall, at the time of entering his appearance in such state court, file a petition for the removal of the cause,' it shall be removable to the circuit court. In West v. Aurora City, 6 Wall. 139, this Court held that removal of a cause from a state to a federal court could be effected under § 12 only by a defendant against whom the suit is brought . . . . Consequently a non-citizen plaintiff in the state court, against whom the citizen-defendant had asserted in the suit a claim by way of counterclaim which, under state law, had the character of an original suit, was not entitled to remove the cause. The Court ruled that the plaintiff, having submitted himself to the jurisdiction of the state court, was not entitled to avail himself of a right of removal conferred only on a defendant who has not submitted himself to the jurisdiction.</w:t>
      </w:r>
    </w:p>
    <w:p>
      <w:pPr>
        <w:pStyle w:val="BodyText"/>
      </w:pPr>
      <w:r>
        <w:t xml:space="preserve">[In 1875, Congress passed another statute by which] the practice on removal was greatly liberalized. It authorized 'either party, or any one or more of the plaintiffs or defendants entitled to remove any suit' from the state court to do so upon petition in such suit to the state court 'before or at the term at which said cause could be first tried and before the trial thereof'. These provisions were continued until the adoption of the provisions of the present statute so far as now material by the Act of 1887.</w:t>
      </w:r>
    </w:p>
    <w:p>
      <w:pPr>
        <w:pStyle w:val="BodyText"/>
      </w:pPr>
      <w:r>
        <w:t xml:space="preserve">We cannot assume that Congress, in thus revising the statute, was unaware of the history which we have just detailed, or certainly that it regarded as without significance the omission from the earlier act of the phrase 'either party', and the substitution for it of the phrase authorizing removal by the 'defendant or defendants' in the suit, or the like omission of the provision for removal at any time before the trial, and the substitution for it of the requirement that the removal petition be filed by the 'defendant' at or before the time he is required to plead in the state court.</w:t>
      </w:r>
    </w:p>
    <w:p>
      <w:pPr>
        <w:pStyle w:val="BodyText"/>
      </w:pPr>
      <w:r>
        <w:t xml:space="preserve">Not only does the language of the Act of 1887 evidence the Congressional purpose to restrict the jurisdiction of the federal courts on removal, but the policy of the successive acts of Congress regulating the jurisdiction of federal courts is one calling for the strict construction of such legislation. The power reserved to the states under the Constitution to provide for the determination of controversies in their courts, may be restricted only by the action of Congress in conformity to the Judiciary Articles of the Constitution.</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37" w:name="_auto_toc_37"/>
    <w:bookmarkEnd w:id="37"/>
    <w:p>
      <w:pPr>
        <w:pStyle w:val="ChapterNumber"/>
      </w:pPr>
      <w:r>
        <w:t xml:space="preserve">4</w:t>
      </w:r>
    </w:p>
    <w:p>
      <w:pPr>
        <w:pStyle w:val="ChapterTitle"/>
      </w:pPr>
      <w:r>
        <w:t xml:space="preserve">Day 4</w:t>
      </w:r>
    </w:p>
    <w:p>
      <w:pPr>
        <w:pStyle w:val="HeadFieldSeparator"/>
      </w:pPr>
      <w:r>
        <w:t xml:space="preserve"> </w:t>
      </w:r>
    </w:p>
    <w:p>
      <w:pPr>
        <w:pStyle w:val="ChapterHeadnote"/>
      </w:pPr>
      <w:r>
        <w:t xml:space="preserve">Consider the following fact:</w:t>
      </w:r>
    </w:p>
    <w:p>
      <w:pPr>
        <w:pStyle w:val="ChapterHeadnote"/>
      </w:pPr>
      <w:r>
        <w:t xml:space="preserve">Even if the requirements of diversity jurisdiction are met, a federal court will not hear a suit for a divorce (and to distribute marital assets) nor a suit to probate a will (which can involve an estate of substantial size). In refusing to exercise diversity jurisdiction, the fed- eral courts have stated that state courts have special competency in such cases. These are called the marital and probate exceptions to diversity jurisdiction.</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38" w:name="_auto_toc_38"/>
    <w:bookmarkEnd w:id="38"/>
    <w:p>
      <w:pPr>
        <w:pStyle w:val="ResourceNumber"/>
      </w:pPr>
      <w:r>
        <w:t xml:space="preserve">4.1</w:t>
      </w:r>
    </w:p>
    <w:p>
      <w:pPr>
        <w:pStyle w:val="ResourceTitle"/>
      </w:pPr>
      <w:r>
        <w:t xml:space="preserve">Constitutional Provisions</w:t>
      </w:r>
    </w:p>
    <w:p>
      <w:pPr>
        <w:pStyle w:val="HeadFieldSeparator"/>
      </w:pPr>
      <w:r>
        <w:t xml:space="preserve"> </w:t>
      </w:r>
    </w:p>
    <w:p>
      <w:pPr>
        <w:pStyle w:val="ResourceHeadnote"/>
      </w:pPr>
      <w:r>
        <w:t xml:space="preserve">Read the following constitutional provisions. You can access them via the internet, or the supplemental handout provided on Canvas.</w:t>
      </w:r>
    </w:p>
    <w:p>
      <w:pPr>
        <w:pStyle w:val="HeadEnd"/>
      </w:pPr>
      <w:r>
        <w:t xml:space="preserve"> </w:t>
      </w:r>
    </w:p>
    <w:p>
      <w:pPr>
        <w:numPr>
          <w:ilvl w:val="0"/>
          <w:numId w:val="1072"/>
        </w:numPr>
      </w:pPr>
      <w:r>
        <w:t xml:space="preserve">U.S. Const. Art. III,</w:t>
      </w:r>
      <w:r>
        <w:t xml:space="preserve"> </w:t>
      </w:r>
      <w:r>
        <w:t xml:space="preserve">§</w:t>
      </w:r>
      <w:r>
        <w:t xml:space="preserve"> </w:t>
      </w:r>
      <w:r>
        <w:t xml:space="preserve">2, cl. 1</w:t>
      </w:r>
    </w:p>
    <w:p>
      <w:pPr>
        <w:pStyle w:val="NodeEnd"/>
      </w:pPr>
      <w:r>
        <w:t xml:space="preserve"> </w:t>
      </w:r>
    </w:p>
    <w:p>
      <w:pPr>
        <w:pStyle w:val="NodeStart"/>
      </w:pPr>
      <w:r>
        <w:t xml:space="preserve"> </w:t>
      </w:r>
    </w:p>
    <w:p>
      <w:pPr>
        <w:pStyle w:val="HeadSeparator"/>
      </w:pPr>
      <w:r>
        <w:t xml:space="preserve"> </w:t>
      </w:r>
    </w:p>
    <w:bookmarkStart w:id="39" w:name="_auto_toc_39"/>
    <w:bookmarkEnd w:id="39"/>
    <w:p>
      <w:pPr>
        <w:pStyle w:val="ResourceNumber"/>
      </w:pPr>
      <w:r>
        <w:t xml:space="preserve">4.2</w:t>
      </w:r>
    </w:p>
    <w:p>
      <w:pPr>
        <w:pStyle w:val="ResourceTitle"/>
      </w:pPr>
      <w:r>
        <w:t xml:space="preserve">The Marital and Probate Exceptions</w:t>
      </w:r>
    </w:p>
    <w:p>
      <w:pPr>
        <w:pStyle w:val="HeadEnd"/>
      </w:pPr>
      <w:r>
        <w:t xml:space="preserve"> </w:t>
      </w:r>
    </w:p>
    <w:p>
      <w:pPr>
        <w:pStyle w:val="BodyText"/>
      </w:pPr>
      <w:r>
        <w:t xml:space="preserve">In this class period, we will discuss what kinds of cases belong in federal court, given that the state courts are available to hear cases of any subject matter, and that state courts regularly hear cases turning on all types of federal law (unless Congress has, by lodging exclusive jurisdiction over some subject matter in the federal courts, prohibited state courts from hearing such cases).</w:t>
      </w:r>
    </w:p>
    <w:p>
      <w:pPr>
        <w:pStyle w:val="BodyText"/>
      </w:pPr>
      <w:r>
        <w:t xml:space="preserve">To assist in framing that discussion, consider the following fact:  e</w:t>
      </w:r>
      <w:r>
        <w:t xml:space="preserve">ven if the requirements of diversity jurisdiction are met, a federal court will not hear a suit for a divorce (and to distribute marital assets, which can sometimes involve millions of dollars) nor a suit to probate a will (which can involve an estate of substantial size). In refusing to exercise diversity jurisdiction, the federal courts have stated that state courts have special competency in such cases. These are called the marital and probate exceptions to diversity jurisdiction.</w:t>
      </w:r>
    </w:p>
    <w:p>
      <w:pPr>
        <w:pStyle w:val="NodeEnd"/>
      </w:pPr>
      <w:r>
        <w:t xml:space="preserve"> </w:t>
      </w:r>
    </w:p>
    <w:p>
      <w:pPr>
        <w:pStyle w:val="NodeStart"/>
      </w:pPr>
      <w:r>
        <w:t xml:space="preserve"> </w:t>
      </w:r>
    </w:p>
    <w:p>
      <w:pPr>
        <w:pStyle w:val="HeadSeparator"/>
      </w:pPr>
      <w:r>
        <w:t xml:space="preserve"> </w:t>
      </w:r>
    </w:p>
    <w:bookmarkStart w:id="40" w:name="_auto_toc_40"/>
    <w:bookmarkEnd w:id="40"/>
    <w:p>
      <w:pPr>
        <w:pStyle w:val="ResourceNumber"/>
      </w:pPr>
      <w:r>
        <w:t xml:space="preserve">4.3</w:t>
      </w:r>
    </w:p>
    <w:p>
      <w:pPr>
        <w:pStyle w:val="ResourceTitle"/>
      </w:pPr>
      <w:r>
        <w:t xml:space="preserve">Colorado River Water Conservation District v. United States</w:t>
      </w:r>
    </w:p>
    <w:p>
      <w:pPr>
        <w:pStyle w:val="HeadFieldSeparator"/>
      </w:pPr>
      <w:r>
        <w:t xml:space="preserve"> </w:t>
      </w:r>
    </w:p>
    <w:p>
      <w:pPr>
        <w:pStyle w:val="ResourceHeadnote"/>
      </w:pPr>
      <w:r>
        <w:t xml:space="preserve">In reading this case, it helps to know four things. First, there is a statute that provides federal district courts with subject matter jurisdiction over any lawsuit in which the United States is a party. You are not responsible for this statute; for your purposes, it operates just like § 1331, for which you are responsible. Second, the doctrine of sovereign immunity precludes suits against the United States (there are certain exceptions, including one allowing suits for injunctions against allegedly unconstitutional federal action); Congress has the power to waive sovereign immunity by statute, but ordinarily, unless it has done so, no suit against the United States will lie. Third, the federal government often acts on behalf of Indian tribes, either formally as a “trustee” or informally as a protector or asserter of their rights. The federal government is seen as less hostile to Native American interests than state governments. Fourth, the federal government at one time owned a great deal of the land that now constitutes the western portion of the United States. It sold or granted most of this land to people or entities that would use it in accordance with the government’s wishes, usually by living on it or otherwise developing it. In these grants, the federal government would sometimes “reserve” rights corresponding to the land, including some water rights.</w:t>
      </w:r>
    </w:p>
    <w:p>
      <w:pPr>
        <w:pStyle w:val="HeadEnd"/>
      </w:pPr>
      <w:r>
        <w:t xml:space="preserve"> </w:t>
      </w:r>
    </w:p>
    <w:p>
      <w:pPr>
        <w:pStyle w:val="CaseHeader"/>
      </w:pPr>
      <w:r>
        <w:t xml:space="preserve">Supreme Court of the United States</w:t>
      </w:r>
    </w:p>
    <w:p>
      <w:pPr>
        <w:pStyle w:val="CaseHeader"/>
      </w:pPr>
      <w:r>
        <w:t xml:space="preserve">424 U.S. 800, 47 L. Ed. 2d 483, 96 S. Ct. 1236, 1976 U.S. LEXIS 22, SCDB 1975-059</w:t>
      </w:r>
    </w:p>
    <w:p>
      <w:pPr>
        <w:pStyle w:val="CaseHeader"/>
      </w:pPr>
      <w:r>
        <w:t xml:space="preserve">No. 74-940</w:t>
      </w:r>
    </w:p>
    <w:p>
      <w:pPr>
        <w:pStyle w:val="CaseHeader"/>
      </w:pPr>
      <w:r>
        <w:t xml:space="preserve">1976-03-24</w:t>
      </w:r>
    </w:p>
    <w:p>
      <w:pPr>
        <w:pStyle w:val="CaseBody"/>
      </w:pPr>
      <w:r>
        <w:rPr>
          <w:rStyle w:val="Elision"/>
        </w:rPr>
        <w:t xml:space="preserve">[ … ]</w:t>
      </w:r>
    </w:p>
    <w:p>
      <w:pPr>
        <w:pStyle w:val="CaseBody"/>
      </w:pPr>
      <w:r>
        <w:t xml:space="preserve">Mr. Justice Brennan</w:t>
      </w:r>
    </w:p>
    <w:p>
      <w:pPr>
        <w:pStyle w:val="CaseBody"/>
      </w:pPr>
      <w:r>
        <w:t xml:space="preserve">delivered the opinion of the Court.</w:t>
      </w:r>
    </w:p>
    <w:p>
      <w:pPr>
        <w:pStyle w:val="CaseBody"/>
      </w:pPr>
      <w:r>
        <w:t xml:space="preserve">The McCarran Amendment,</w:t>
      </w:r>
      <w:r>
        <w:t xml:space="preserve"> </w:t>
      </w:r>
      <w:r>
        <w:rPr>
          <w:rStyle w:val="Elision"/>
        </w:rPr>
        <w:t xml:space="preserve">[ … ]</w:t>
      </w:r>
      <w:r>
        <w:t xml:space="preserve"> </w:t>
      </w:r>
      <w:r>
        <w:t xml:space="preserve">43 U. S. C. § 666</w:t>
      </w:r>
      <w:r>
        <w:t xml:space="preserve">, provides that “consent is hereby given to join the United States as a defendant in any suit (1) for the adjudication of rights to the use of water of a river system or other source, or (2) for the administration of such rights, where it appears that the United States is the owner of or is in the process of acquiring water rights by appropriation under State law, by purchase, by exchange, or otherwise, and the United States is a necessary party to such suit.” The questions presented by this case concern the effect of the McCarran Amendment upon the jurisdiction of the federal district courts under</w:t>
      </w:r>
      <w:r>
        <w:rPr>
          <w:rStyle w:val="ReplacementText"/>
        </w:rPr>
        <w:t xml:space="preserve">a statute that provides federal court subject matter jurisdiction any time the United States or one of its agencies is a party</w:t>
      </w:r>
      <w:r>
        <w:t xml:space="preserve"> </w:t>
      </w:r>
      <w:r>
        <w:t xml:space="preserve">over suits for determination of water rights brought by the United States as trustee for certain Indian tribes and as owner of various non-Indian Government claims.</w:t>
      </w:r>
      <w:r>
        <w:rPr>
          <w:rStyle w:val="FootnoteReference"/>
        </w:rPr>
        <w:footnoteReference w:customMarkFollows="1" w:id="165"/>
        <w:t xml:space="preserve">1</w:t>
      </w:r>
    </w:p>
    <w:p>
      <w:pPr>
        <w:pStyle w:val="CaseBody"/>
      </w:pPr>
      <w:r>
        <w:t xml:space="preserve">I</w:t>
      </w:r>
    </w:p>
    <w:p>
      <w:pPr>
        <w:pStyle w:val="CaseBody"/>
      </w:pPr>
      <w:r>
        <w:t xml:space="preserve">It is probable that no problem of the Southwest section of the Nation is more critical than that of scarcity of water. As southwestern populations have grown, conflicting claims to this scarce resource have increased. To meet these claims, several Southwestern States have established elaborate procedures for allocation of water and adjudication of conflicting claims to that resource.</w:t>
      </w:r>
      <w:r>
        <w:rPr>
          <w:rStyle w:val="FootnoteReference"/>
        </w:rPr>
        <w:footnoteReference w:customMarkFollows="1" w:id="178"/>
        <w:t xml:space="preserve">2</w:t>
      </w:r>
      <w:r>
        <w:t xml:space="preserve"> </w:t>
      </w:r>
      <w:r>
        <w:rPr>
          <w:rStyle w:val="Elision"/>
        </w:rPr>
        <w:t xml:space="preserve">[ … ]</w:t>
      </w:r>
    </w:p>
    <w:p>
      <w:pPr>
        <w:pStyle w:val="CaseBody"/>
      </w:pPr>
      <w:r>
        <w:t xml:space="preserve">Under</w:t>
      </w:r>
      <w:r>
        <w:rPr>
          <w:rStyle w:val="ReplacementText"/>
        </w:rPr>
        <w:t xml:space="preserve">[Colorado law]</w:t>
      </w:r>
      <w:r>
        <w:t xml:space="preserve">, the State is divided into seven Water Divisions, each Division encompassing one or more entire drainage basins for the larger rivers in Colorado.</w:t>
      </w:r>
      <w:r>
        <w:rPr>
          <w:rStyle w:val="FootnoteReference"/>
        </w:rPr>
        <w:footnoteReference w:customMarkFollows="1" w:id="187"/>
        <w:t xml:space="preserve">4</w:t>
      </w:r>
      <w:r>
        <w:t xml:space="preserve"> </w:t>
      </w:r>
      <w:r>
        <w:t xml:space="preserve">Adjudication of water claims within each Division occurs on a continuous basis.</w:t>
      </w:r>
      <w:hyperlink w:anchor="X783fb6cfad1cca226b6457a39c1c3c5f9e89601">
        <w:r>
          <w:rPr>
            <w:rStyle w:val="Elision"/>
          </w:rPr>
          <w:t xml:space="preserve">[ … ]</w:t>
        </w:r>
      </w:hyperlink>
    </w:p>
    <w:p>
      <w:pPr>
        <w:pStyle w:val="CaseBody"/>
      </w:pPr>
      <w:r>
        <w:t xml:space="preserve">In periods of shortage, priority among confirmed rights is determined according to</w:t>
      </w:r>
      <w:r>
        <w:t xml:space="preserve"> </w:t>
      </w:r>
      <w:r>
        <w:rPr>
          <w:rStyle w:val="ReplacementText"/>
        </w:rPr>
        <w:t xml:space="preserve">[an established system]</w:t>
      </w:r>
      <w:r>
        <w:t xml:space="preserve">.</w:t>
      </w:r>
      <w:r>
        <w:rPr>
          <w:rStyle w:val="FootnoteReference"/>
        </w:rPr>
        <w:footnoteReference w:customMarkFollows="1" w:id="192"/>
        <w:t xml:space="preserve">10</w:t>
      </w:r>
    </w:p>
    <w:p>
      <w:pPr>
        <w:pStyle w:val="CaseBody"/>
      </w:pPr>
      <w:r>
        <w:t xml:space="preserve">The reserved rights</w:t>
      </w:r>
      <w:r>
        <w:t xml:space="preserve"> </w:t>
      </w:r>
      <w:r>
        <w:rPr>
          <w:rStyle w:val="ReplacementText"/>
        </w:rPr>
        <w:t xml:space="preserve">[to water] of</w:t>
      </w:r>
      <w:r>
        <w:t xml:space="preserve"> </w:t>
      </w:r>
      <w:r>
        <w:t xml:space="preserve">the United States extend to Indian reservations</w:t>
      </w:r>
      <w:r>
        <w:rPr>
          <w:rStyle w:val="Elision"/>
        </w:rPr>
        <w:t xml:space="preserve">[ … ]</w:t>
      </w:r>
      <w:r>
        <w:t xml:space="preserve"> </w:t>
      </w:r>
      <w:r>
        <w:t xml:space="preserve">and other federal lands, such as national parks and forests</w:t>
      </w:r>
      <w:r>
        <w:rPr>
          <w:rStyle w:val="Elision"/>
        </w:rPr>
        <w:t xml:space="preserve">[ … ]</w:t>
      </w:r>
      <w:r>
        <w:t xml:space="preserve">. The reserved rights claimed by the United States in this case affect waters within Colorado Water Division No. 7. On November 14, 1972, the Government instituted this suit in the United States District Court for the District of Colorado, invoking the court’s jurisdiction under</w:t>
      </w:r>
      <w:r>
        <w:t xml:space="preserve"> </w:t>
      </w:r>
      <w:r>
        <w:rPr>
          <w:rStyle w:val="ReplacementText"/>
        </w:rPr>
        <w:t xml:space="preserve">the federal statute providing subject matter jurisdiction whenever the United States is a party</w:t>
      </w:r>
      <w:r>
        <w:t xml:space="preserve">. The District Court is located in Denver, some 300 miles from Division 7. The suit, against some 1,000 water users, sought declaration of the Government’s rights to waters in certain rivers and their tributaries located in Division 7. In the suit, the Government asserted reserved rights on its own behalf and on behalf of certain Indian tribes, as well as rights based on state law. It sought appointment of a water master to administer any waters decreed to the United States. Prior to institution of this suit, the Government had pursued adjudication of non-Indian reserved rights and other water claims based on state law in Water Divisions 4, 5, and 6, and the Government continues to participate fully in those Divisions.</w:t>
      </w:r>
    </w:p>
    <w:p>
      <w:pPr>
        <w:pStyle w:val="CaseBody"/>
      </w:pPr>
      <w:r>
        <w:t xml:space="preserve">Shortly after the federal suit was commenced, one of the defendants in that suit filed an application in the state court for Division 7, seeking an order directing service of process on the United States in order to make it a party to proceedings in Division 7 for the purpose of adjudicating all of the Government’s claims, both state and federal. On January 3, 1973, the United States was served pursuant to authority of thé McCarran Amendment. Several defendants and intervenors in the federal proceeding then filed a motion in the District Court to dismiss on the ground that under the Amendment, the court was without jurisdiction to determine federal water rights. Without deciding the jurisdictional question, the District Court, on June 21, 1973, granted the motion in an unreported oral opinion stating that the doctrine of abstention required deference to the proceedings in Division 7. On appeal, the Court of Appeals for the Tenth Circuit reversed</w:t>
      </w:r>
      <w:r>
        <w:rPr>
          <w:rStyle w:val="ReplacementText"/>
        </w:rPr>
        <w:t xml:space="preserve">[and w]</w:t>
      </w:r>
      <w:r>
        <w:t xml:space="preserve">e granted certiorari</w:t>
      </w:r>
      <w:r>
        <w:t xml:space="preserve"> </w:t>
      </w:r>
      <w:r>
        <w:rPr>
          <w:rStyle w:val="Elision"/>
        </w:rPr>
        <w:t xml:space="preserve">[ … ]</w:t>
      </w:r>
    </w:p>
    <w:p>
      <w:pPr>
        <w:pStyle w:val="CaseBody"/>
      </w:pPr>
      <w:r>
        <w:t xml:space="preserve">II</w:t>
      </w:r>
    </w:p>
    <w:p>
      <w:pPr>
        <w:pStyle w:val="CaseBody"/>
      </w:pPr>
      <w:r>
        <w:t xml:space="preserve">We first consider the question of district-court jurisdiction under</w:t>
      </w:r>
      <w:r>
        <w:rPr>
          <w:rStyle w:val="ReplacementText"/>
        </w:rPr>
        <w:t xml:space="preserve">the above-referenced jurisdiction statute relating to the United States as a party</w:t>
      </w:r>
      <w:r>
        <w:t xml:space="preserve">. That section provides that the district courts shall have original jurisdiction over all civil actions brought by the Federal Government “[ejxcept as otherwise provided by Act of Congress.” It is thus necessary to examine whether the McCarran Amendment is such an Act of Congress excepting jurisdiction</w:t>
      </w:r>
      <w:r>
        <w:t xml:space="preserve"> </w:t>
      </w:r>
      <w:r>
        <w:rPr>
          <w:rStyle w:val="ReplacementText"/>
        </w:rPr>
        <w:t xml:space="preserve">the federal statute providing subject matter jurisdiction relating to the United States as a party.</w:t>
      </w:r>
    </w:p>
    <w:p>
      <w:pPr>
        <w:pStyle w:val="CaseBody"/>
      </w:pPr>
      <w:r>
        <w:rPr>
          <w:rStyle w:val="ReplacementText"/>
        </w:rPr>
        <w:t xml:space="preserve">[The court went on to hold that the McCarren amendment did not divest the district courts of jurisdiction they would otherwise have under that federal statute.]</w:t>
      </w:r>
    </w:p>
    <w:p>
      <w:pPr>
        <w:pStyle w:val="CaseBody"/>
      </w:pPr>
      <w:r>
        <w:t xml:space="preserve">The immediate effect of the Amendment is to give consent to jurisdiction in the state courts concurrent with jurisdiction in the federal courts over controversies involving federal rights to the use of water. There is no irreconcilability in the existence of concurrent state and federal jurisdiction. Such concurrency has, for example, long existed under federal diversity jurisdiction. Accordingly, we hold that the Mc-Carran Amendment in no way diminished federal-district-court jurisdiction under</w:t>
      </w:r>
      <w:r>
        <w:rPr>
          <w:rStyle w:val="ReplacementText"/>
        </w:rPr>
        <w:t xml:space="preserve">the above referenced-statute</w:t>
      </w:r>
      <w:r>
        <w:t xml:space="preserve">and that the District Court had jurisdiction to hear this case.</w:t>
      </w:r>
      <w:r>
        <w:rPr>
          <w:rStyle w:val="FootnoteReference"/>
        </w:rPr>
        <w:footnoteReference w:customMarkFollows="1" w:id="195"/>
        <w:t xml:space="preserve">15</w:t>
      </w:r>
    </w:p>
    <w:p>
      <w:pPr>
        <w:pStyle w:val="CaseBody"/>
      </w:pPr>
      <w:r>
        <w:t xml:space="preserve">Ill</w:t>
      </w:r>
    </w:p>
    <w:p>
      <w:pPr>
        <w:pStyle w:val="CaseBody"/>
      </w:pPr>
      <w:r>
        <w:t xml:space="preserve">We turn next to the question whether this suit nevertheless was properly dismissed in view of the concurrent state proceedings in Division 7.</w:t>
      </w:r>
    </w:p>
    <w:p>
      <w:pPr>
        <w:pStyle w:val="CaseBody"/>
      </w:pPr>
      <w:r>
        <w:rPr>
          <w:rStyle w:val="Elision"/>
        </w:rPr>
        <w:t xml:space="preserve">[ … ]</w:t>
      </w:r>
    </w:p>
    <w:p>
      <w:pPr>
        <w:pStyle w:val="CaseBody"/>
      </w:pPr>
      <w:r>
        <w:t xml:space="preserve">B</w:t>
      </w:r>
    </w:p>
    <w:p>
      <w:pPr>
        <w:pStyle w:val="CaseBody"/>
      </w:pPr>
      <w:r>
        <w:t xml:space="preserve">Next, we consider whether the District Court’s dismissal was appropriate under the doctrine of abstention. We hold that the dismissal cannot be supported under that doctrine in any of its forms.</w:t>
      </w:r>
    </w:p>
    <w:p>
      <w:pPr>
        <w:pStyle w:val="CaseBody"/>
      </w:pPr>
      <w:r>
        <w:t xml:space="preserve">Abstention from the exercise of federal jurisdiction is the exception, not the rule. “The doctrine of abstention, under which a District Court may decline to exercise or postpone the exercise of its jurisdiction, is an extraordinary and narrow exception to the duty of a District Court to adjudicate a controversy properly before it. Abdication of the obligation to decide cases can be justified under this doctrine only in the exceptional circumstances where the order to the parties to repair to the State court would clearly serve an important countervailing interest.”</w:t>
      </w:r>
      <w:r>
        <w:t xml:space="preserve"> </w:t>
      </w:r>
      <w:r>
        <w:rPr>
          <w:rStyle w:val="Elision"/>
        </w:rPr>
        <w:t xml:space="preserve">[ … ]</w:t>
      </w:r>
      <w:r>
        <w:t xml:space="preserve">. “[I]t was never a doctrine of equity that a federal court should exercise its judicial discretion to dismiss a suit merely because a State court could entertain it.”</w:t>
      </w:r>
      <w:r>
        <w:t xml:space="preserve"> </w:t>
      </w:r>
      <w:r>
        <w:rPr>
          <w:rStyle w:val="Elision"/>
        </w:rPr>
        <w:t xml:space="preserve">[ … ]</w:t>
      </w:r>
      <w:r>
        <w:t xml:space="preserve">. Our decisions have confined the circumstances appropriate for abstention to three general categories.</w:t>
      </w:r>
    </w:p>
    <w:p>
      <w:pPr>
        <w:pStyle w:val="CaseBody"/>
      </w:pPr>
      <w:r>
        <w:t xml:space="preserve">(a) Abstention is appropriate “in cases presenting a federal constitutional issue which might be mooted or presented in a different posture by a state court determination of pertinent state law.”</w:t>
      </w:r>
      <w:r>
        <w:t xml:space="preserve"> </w:t>
      </w:r>
      <w:r>
        <w:rPr>
          <w:rStyle w:val="Elision"/>
        </w:rPr>
        <w:t xml:space="preserve">[ … ]</w:t>
      </w:r>
      <w:r>
        <w:t xml:space="preserve"> </w:t>
      </w:r>
      <w:r>
        <w:t xml:space="preserve">This case, however, presents no federal constitutional issue for decision.</w:t>
      </w:r>
      <w:r>
        <w:rPr>
          <w:rStyle w:val="FootnoteReference"/>
        </w:rPr>
        <w:footnoteReference w:customMarkFollows="1" w:id="8"/>
        <w:t xml:space="preserve">*</w:t>
      </w:r>
    </w:p>
    <w:p>
      <w:pPr>
        <w:pStyle w:val="CaseBody"/>
      </w:pPr>
      <w:r>
        <w:t xml:space="preserve">(b) Abstention is also appropriate where there have been presented difficult questions of state law bearing on policy problems of substantial public import whose importance transcends the result in the case then at bar.</w:t>
      </w:r>
      <w:r>
        <w:t xml:space="preserve"> </w:t>
      </w:r>
      <w:r>
        <w:rPr>
          <w:rStyle w:val="Elision"/>
        </w:rPr>
        <w:t xml:space="preserve">[ … ]</w:t>
      </w:r>
      <w:r>
        <w:t xml:space="preserve">In some cases, however, the state question itself need not be determinative of state policy. It is enough that exercise of federal review of the question in a case and in similar cases would be disruptive of state efforts to establish a coherent policy with respect to a matter of substantial public concern. In</w:t>
      </w:r>
      <w:r>
        <w:t xml:space="preserve"> </w:t>
      </w:r>
      <w:r>
        <w:rPr>
          <w:iCs/>
          <w:i/>
        </w:rPr>
        <w:t xml:space="preserve">Burford</w:t>
      </w:r>
      <w:r>
        <w:t xml:space="preserve"> </w:t>
      </w:r>
      <w:r>
        <w:t xml:space="preserve">v.</w:t>
      </w:r>
      <w:r>
        <w:t xml:space="preserve"> </w:t>
      </w:r>
      <w:r>
        <w:rPr>
          <w:iCs/>
          <w:i/>
        </w:rPr>
        <w:t xml:space="preserve">Sun Oil Co.,</w:t>
      </w:r>
      <w:r>
        <w:t xml:space="preserve"> </w:t>
      </w:r>
      <w:r>
        <w:t xml:space="preserve">319 U. S. 315</w:t>
      </w:r>
      <w:r>
        <w:t xml:space="preserve"> </w:t>
      </w:r>
      <w:r>
        <w:t xml:space="preserve">(1943), for example, the Court held that a suit seeking review of the reasonableness under Texas state law of a state commission’s permit to drill oil wells should have been dismissed by the District Court. The reasonableness of the permit in that case was not of transcendent importance, but review of reasonableness by the federal courts in that and future cases, where the State had established its own elaborate review system for dealing with the geological complexities of oil and gas fields, would have had an impermissibly disruptive effect on state policy for the management of those fields.</w:t>
      </w:r>
      <w:r>
        <w:t xml:space="preserve"> </w:t>
      </w:r>
      <w:r>
        <w:rPr>
          <w:rStyle w:val="Elision"/>
        </w:rPr>
        <w:t xml:space="preserve">[ … ]</w:t>
      </w:r>
      <w:r>
        <w:t xml:space="preserve"> </w:t>
      </w:r>
    </w:p>
    <w:p>
      <w:pPr>
        <w:pStyle w:val="CaseBody"/>
      </w:pPr>
      <w:r>
        <w:t xml:space="preserve">The present case clearly does not fall within this second category of abstention. While state claims are involved in the case, the state law to be applied appears to be settled. No questions bearing on state policy are presented for decision. Nor will decision of the state claims impair efforts to implement state policy as in</w:t>
      </w:r>
      <w:r>
        <w:t xml:space="preserve"> </w:t>
      </w:r>
      <w:r>
        <w:rPr>
          <w:iCs/>
          <w:i/>
        </w:rPr>
        <w:t xml:space="preserve">Burford.</w:t>
      </w:r>
      <w:r>
        <w:t xml:space="preserve"> </w:t>
      </w:r>
      <w:r>
        <w:t xml:space="preserve">To be sure, the federal claims that are involved in the case go to the establishment of water rights which may conflict with similar rights based on state law. But the mere potential for conflict in the results of adjudications, does not, without more, warrant staying exercise of federal jurisdiction.</w:t>
      </w:r>
      <w:r>
        <w:t xml:space="preserve"> </w:t>
      </w:r>
      <w:r>
        <w:rPr>
          <w:rStyle w:val="Elision"/>
        </w:rPr>
        <w:t xml:space="preserve">[ … ]</w:t>
      </w:r>
      <w:r>
        <w:t xml:space="preserve">The potential conflict here, involving state claims and federal claims, would not be such as to impair impermissibly the State’s effort to effect its policy respecting the allocation of state waters.</w:t>
      </w:r>
      <w:r>
        <w:t xml:space="preserve"> </w:t>
      </w:r>
      <w:r>
        <w:t xml:space="preserve">Nor would exercise of federal jurisdiction here interrupt any such efforts by restraining the exercise of authority vested in state officers</w:t>
      </w:r>
      <w:r>
        <w:rPr>
          <w:rStyle w:val="FootnoteReference"/>
        </w:rPr>
        <w:footnoteReference w:customMarkFollows="1" w:id="96"/>
        <w:t xml:space="preserve">***</w:t>
      </w:r>
      <w:r>
        <w:t xml:space="preserve">.</w:t>
      </w:r>
      <w:r>
        <w:rPr>
          <w:rStyle w:val="Elision"/>
        </w:rPr>
        <w:t xml:space="preserve">[ … ]</w:t>
      </w:r>
    </w:p>
    <w:p>
      <w:pPr>
        <w:pStyle w:val="CaseBody"/>
      </w:pPr>
      <w:r>
        <w:t xml:space="preserve">(c) Finally, abstention is appropriate where, absent bad faith, harassment, or a patently invalid state statute, federal jurisdiction has been invoked for the purpose of restraining state criminal proceedings,</w:t>
      </w:r>
      <w:r>
        <w:t xml:space="preserve"> </w:t>
      </w:r>
      <w:r>
        <w:rPr>
          <w:rStyle w:val="Elision"/>
        </w:rPr>
        <w:t xml:space="preserve">[ … ]</w:t>
      </w:r>
      <w:r>
        <w:t xml:space="preserve">state nuisance proceedings antecedent to a criminal prosecution, which are directed at obtaining the closure of places exhibiting obscene films,</w:t>
      </w:r>
      <w:r>
        <w:t xml:space="preserve"> </w:t>
      </w:r>
      <w:r>
        <w:rPr>
          <w:rStyle w:val="Elision"/>
        </w:rPr>
        <w:t xml:space="preserve">[ … ]</w:t>
      </w:r>
      <w:r>
        <w:t xml:space="preserve"> </w:t>
      </w:r>
      <w:r>
        <w:t xml:space="preserve">or collection of state taxes,</w:t>
      </w:r>
      <w:r>
        <w:t xml:space="preserve"> </w:t>
      </w:r>
      <w:r>
        <w:rPr>
          <w:rStyle w:val="Elision"/>
        </w:rPr>
        <w:t xml:space="preserve">[ … ]</w:t>
      </w:r>
      <w:r>
        <w:t xml:space="preserve">.</w:t>
      </w:r>
      <w:r>
        <w:t xml:space="preserve"> </w:t>
      </w:r>
      <w:r>
        <w:t xml:space="preserve">Like the previous two categories, this category also does not include this case</w:t>
      </w:r>
      <w:r>
        <w:rPr>
          <w:rStyle w:val="FootnoteReference"/>
        </w:rPr>
        <w:footnoteReference w:customMarkFollows="1" w:id="119"/>
        <w:t xml:space="preserve">****</w:t>
      </w:r>
      <w:r>
        <w:t xml:space="preserve">.</w:t>
      </w:r>
      <w:r>
        <w:t xml:space="preserve"> </w:t>
      </w:r>
      <w:r>
        <w:rPr>
          <w:rStyle w:val="Elision"/>
        </w:rPr>
        <w:t xml:space="preserve">[ … ]</w:t>
      </w:r>
    </w:p>
    <w:p>
      <w:pPr>
        <w:pStyle w:val="CaseBody"/>
      </w:pPr>
      <w:r>
        <w:t xml:space="preserve">C</w:t>
      </w:r>
    </w:p>
    <w:p>
      <w:pPr>
        <w:pStyle w:val="CaseBody"/>
      </w:pPr>
      <w:r>
        <w:t xml:space="preserve">Although this case falls within none of the abstention categories, there are principles unrelated to considerations of proper constitutional adjudication and regard for federal-state relations which govern in situations involving the contemporaneous exercise of concurrent jurisdictions, either by federal courts or by state and federal courts. These principles rest on considerations of “[w]ise judicial administration, giving regard to conservation of judicial resources and comprehensive disposition of litigation.”</w:t>
      </w:r>
      <w:r>
        <w:t xml:space="preserve"> </w:t>
      </w:r>
      <w:r>
        <w:rPr>
          <w:rStyle w:val="Elision"/>
        </w:rPr>
        <w:t xml:space="preserve">[ … ]</w:t>
      </w:r>
      <w:r>
        <w:t xml:space="preserve">Generally, as between state and federal courts, the rule is that “the pendency of an action in the state court is no bar to proceedings concerning the same matter in the Federal court having jurisdiction . . . .”</w:t>
      </w:r>
      <w:r>
        <w:rPr>
          <w:rStyle w:val="Elision"/>
        </w:rPr>
        <w:t xml:space="preserve">[ … ]</w:t>
      </w:r>
      <w:r>
        <w:t xml:space="preserve"> </w:t>
      </w:r>
      <w:r>
        <w:t xml:space="preserve">As between federal district courts, however, though no precise rule has evolved, the general principle is to avoid duplicative litigation.</w:t>
      </w:r>
      <w:r>
        <w:rPr>
          <w:rStyle w:val="Elision"/>
        </w:rPr>
        <w:t xml:space="preserve">[ … ]</w:t>
      </w:r>
      <w:r>
        <w:t xml:space="preserve"> </w:t>
      </w:r>
      <w:r>
        <w:t xml:space="preserve">This difference in general approach between state-federal concurrent jurisdiction and wholly federal concurrent jurisdiction stems from the virtually unflagging obligation of the federal courts to exercise the jurisdiction given them.</w:t>
      </w:r>
      <w:r>
        <w:t xml:space="preserve"> </w:t>
      </w:r>
      <w:r>
        <w:rPr>
          <w:rStyle w:val="Elision"/>
        </w:rPr>
        <w:t xml:space="preserve">[ … ]</w:t>
      </w:r>
      <w:r>
        <w:t xml:space="preserve"> </w:t>
      </w:r>
      <w:r>
        <w:t xml:space="preserve">Given this obligation, and the absence of weightier considerations of constitutional adjudication and state-federal relations, the circumstances permitting the dismissal of a federal suit due to the presence of a concurrent state proceeding for reasons of wise judicial administration are considerably more limited than the circumstances appropriate for abstention. The former circumstances, though exceptional, do nevertheless exist.</w:t>
      </w:r>
    </w:p>
    <w:p>
      <w:pPr>
        <w:pStyle w:val="CaseBody"/>
      </w:pPr>
      <w:r>
        <w:t xml:space="preserve">It has been held, for example, that the court first assuming jurisdiction over property may exercise that jurisdiction to the exclusion of other courts.</w:t>
      </w:r>
      <w:r>
        <w:t xml:space="preserve"> </w:t>
      </w:r>
      <w:r>
        <w:rPr>
          <w:rStyle w:val="Elision"/>
        </w:rPr>
        <w:t xml:space="preserve">[ … ]</w:t>
      </w:r>
      <w:r>
        <w:t xml:space="preserve"> </w:t>
      </w:r>
      <w:r>
        <w:t xml:space="preserve">This has been true even where the Government was a claimant in existing state proceedings and then sought to invoke district-court jurisdiction under the</w:t>
      </w:r>
      <w:r>
        <w:t xml:space="preserve"> </w:t>
      </w:r>
      <w:r>
        <w:rPr>
          <w:rStyle w:val="ReplacementText"/>
        </w:rPr>
        <w:t xml:space="preserve">above-referenced statute regarding the United States as a party</w:t>
      </w:r>
      <w:r>
        <w:t xml:space="preserve">.</w:t>
      </w:r>
      <w:r>
        <w:t xml:space="preserve"> </w:t>
      </w:r>
      <w:r>
        <w:rPr>
          <w:rStyle w:val="Elision"/>
        </w:rPr>
        <w:t xml:space="preserve">[ … ]</w:t>
      </w:r>
      <w:r>
        <w:t xml:space="preserve"> </w:t>
      </w:r>
      <w:r>
        <w:t xml:space="preserve">In assessing the appropriateness of dismissal in the event of an exercise of concurrent jurisdiction, a federal court may also consider such factors as the inconvenience of the federal forum,</w:t>
      </w:r>
      <w:r>
        <w:t xml:space="preserve"> </w:t>
      </w:r>
      <w:r>
        <w:rPr>
          <w:rStyle w:val="Elision"/>
        </w:rPr>
        <w:t xml:space="preserve">[ … ]</w:t>
      </w:r>
      <w:r>
        <w:t xml:space="preserve"> </w:t>
      </w:r>
      <w:r>
        <w:t xml:space="preserve">the desirability of avoiding piecemeal litigation,</w:t>
      </w:r>
      <w:r>
        <w:t xml:space="preserve"> </w:t>
      </w:r>
      <w:r>
        <w:rPr>
          <w:rStyle w:val="Elision"/>
        </w:rPr>
        <w:t xml:space="preserve">[ … ]</w:t>
      </w:r>
      <w:r>
        <w:t xml:space="preserve"> </w:t>
      </w:r>
      <w:r>
        <w:t xml:space="preserve">and the order in which jurisdiction was obtained by the concurrent forums,</w:t>
      </w:r>
      <w:r>
        <w:t xml:space="preserve"> </w:t>
      </w:r>
      <w:r>
        <w:rPr>
          <w:rStyle w:val="Elision"/>
        </w:rPr>
        <w:t xml:space="preserve">[ … ]</w:t>
      </w:r>
      <w:r>
        <w:t xml:space="preserve"> </w:t>
      </w:r>
      <w:r>
        <w:t xml:space="preserve">No one factor is necessarily determinative; a carefully considered judgment taking into account both the obligation to exercise jurisdiction and the combination of factors counselling against that exercise is required.</w:t>
      </w:r>
      <w:r>
        <w:t xml:space="preserve"> </w:t>
      </w:r>
      <w:r>
        <w:rPr>
          <w:rStyle w:val="Elision"/>
        </w:rPr>
        <w:t xml:space="preserve">[ … ]</w:t>
      </w:r>
      <w:r>
        <w:t xml:space="preserve">. Only the clearest of justifications will warrant dismissal.</w:t>
      </w:r>
    </w:p>
    <w:p>
      <w:pPr>
        <w:pStyle w:val="CaseBody"/>
      </w:pPr>
      <w:r>
        <w:t xml:space="preserve">Turning to the present case, a number of factors clearly counsel against concurrent federal proceedings. The most important of these is the McCarran Amendment itself. The clear federal policy evinced by that legislation is the avoidance of piecemeal adjudication of water rights in a river system. This policy is akin to that underlying the rule requiring that jurisdiction be yielded to the court first acquiring control of property, for the concern in such instances is with avoiding the generation of additional litigation through permitting inconsistent dispositions of property. This concern is heightened with respect to water rights, the relationships among which are highly interdependent. Indeed, we have recognized that actions seeking the allocation of water essentially involve the disposition of property and are best conducted in unified proceedings.</w:t>
      </w:r>
      <w:r>
        <w:t xml:space="preserve"> </w:t>
      </w:r>
      <w:r>
        <w:rPr>
          <w:rStyle w:val="Elision"/>
        </w:rPr>
        <w:t xml:space="preserve">[ … ]</w:t>
      </w:r>
      <w:r>
        <w:t xml:space="preserve"> </w:t>
      </w:r>
      <w:r>
        <w:t xml:space="preserve">The consent to jurisdiction given by the McCarran Amendment bespeaks a policy that recognizes the availability of comprehensive state systems for adjudication of water rights as the means for achieving these goals.</w:t>
      </w:r>
    </w:p>
    <w:p>
      <w:pPr>
        <w:pStyle w:val="CaseBody"/>
      </w:pPr>
      <w:r>
        <w:t xml:space="preserve">As has already been observed, the Colorado Water Rights Determination and Administration Act established such a system for the adjudication and management of rights to the use of the State’s waters. As the Government concedes</w:t>
      </w:r>
      <w:r>
        <w:rPr>
          <w:rStyle w:val="FootnoteReference"/>
        </w:rPr>
        <w:footnoteReference w:customMarkFollows="1" w:id="209"/>
        <w:t xml:space="preserve">24</w:t>
      </w:r>
      <w:r>
        <w:t xml:space="preserve"> </w:t>
      </w:r>
      <w:r>
        <w:t xml:space="preserve">and as this Court recognized in</w:t>
      </w:r>
      <w:r>
        <w:t xml:space="preserve"> </w:t>
      </w:r>
      <w:r>
        <w:rPr>
          <w:iCs/>
          <w:i/>
        </w:rPr>
        <w:t xml:space="preserve">Eagle County</w:t>
      </w:r>
      <w:r>
        <w:t xml:space="preserve"> </w:t>
      </w:r>
      <w:r>
        <w:t xml:space="preserve">and</w:t>
      </w:r>
      <w:r>
        <w:t xml:space="preserve"> </w:t>
      </w:r>
      <w:r>
        <w:rPr>
          <w:iCs/>
          <w:i/>
        </w:rPr>
        <w:t xml:space="preserve">Water Div. 5,</w:t>
      </w:r>
      <w:r>
        <w:t xml:space="preserve"> </w:t>
      </w:r>
      <w:r>
        <w:t xml:space="preserve">the Act established a single continuous proceeding for water rights adjudication which antedated the suit in District Court.</w:t>
      </w:r>
      <w:r>
        <w:t xml:space="preserve"> </w:t>
      </w:r>
      <w:r>
        <w:rPr>
          <w:rStyle w:val="Elision"/>
        </w:rPr>
        <w:t xml:space="preserve">[ … ]</w:t>
      </w:r>
      <w:r>
        <w:t xml:space="preserve"> </w:t>
      </w:r>
      <w:r>
        <w:t xml:space="preserve">That proceeding “reaches all claims, perhaps month by month but inclusively in the totality.”</w:t>
      </w:r>
    </w:p>
    <w:p>
      <w:pPr>
        <w:pStyle w:val="CaseBody"/>
      </w:pPr>
      <w:r>
        <w:rPr>
          <w:rStyle w:val="Elision"/>
        </w:rPr>
        <w:t xml:space="preserve">[ … ]</w:t>
      </w:r>
    </w:p>
    <w:p>
      <w:pPr>
        <w:pStyle w:val="CaseBody"/>
      </w:pPr>
      <w:r>
        <w:t xml:space="preserve">Beyond the congressional policy expressed by the Mc-Carran Amendment and consistent with furtherance of that policy, we also find significant (a) the apparent absence of any proceedings in the District Court, other than the filing of the complaint, prior to the motion to dismiss,</w:t>
      </w:r>
      <w:r>
        <w:rPr>
          <w:rStyle w:val="FootnoteReference"/>
        </w:rPr>
        <w:footnoteReference w:customMarkFollows="1" w:id="212"/>
        <w:t xml:space="preserve">25</w:t>
      </w:r>
      <w:r>
        <w:t xml:space="preserve"> </w:t>
      </w:r>
      <w:r>
        <w:t xml:space="preserve">(b) the extensive involvement of state water rights occasioned by this suit naming 1,000 defendants, (c) the 300-mile distance between the District Court in Denver and the court in Division 7, and (d) the existing participation by the Government in Division 4, 5, and 6 proceedings. We emphasize, however, that we do not overlook the heavy obligation to exercise jurisdiction. We need not decide, for example, whether, despite the McCarran Amendment, dismissal would be warranted if more extensive proceedings had occurred in the District Court prior to dismissal, if the involvement of state water rights were less extensive than it is here, or if the state proceeding were in some respect inadequate to resolve the federal claims. But the opposing factors here, particularly the policy underlying the McCarran Amendment, justify the District Court’s dismissal in this particular case.</w:t>
      </w:r>
      <w:r>
        <w:rPr>
          <w:rStyle w:val="FootnoteReference"/>
        </w:rPr>
        <w:footnoteReference w:customMarkFollows="1" w:id="214"/>
        <w:t xml:space="preserve">26</w:t>
      </w:r>
    </w:p>
    <w:p>
      <w:pPr>
        <w:pStyle w:val="CaseBody"/>
      </w:pPr>
      <w:r>
        <w:t xml:space="preserve">The judgment of the Court of Appeals is reversed and the judgment of the District Court dismissing the complaint is affirmed for the reasons here stated.</w:t>
      </w:r>
    </w:p>
    <w:p>
      <w:pPr>
        <w:pStyle w:val="CaseBody"/>
      </w:pPr>
      <w:r>
        <w:rPr>
          <w:iCs/>
          <w:i/>
        </w:rPr>
        <w:t xml:space="preserve">It is so ordered.</w:t>
      </w:r>
    </w:p>
    <w:p>
      <w:pPr>
        <w:pStyle w:val="CaseBody"/>
      </w:pPr>
      <w:hyperlink w:anchor="X90cac2d1f5b99cf7357d2c64e5dcf2c28b90809">
        <w:r>
          <w:rPr>
            <w:rStyle w:val="Elision"/>
          </w:rPr>
          <w:t xml:space="preserve">[ … ]</w:t>
        </w:r>
      </w:hyperlink>
    </w:p>
    <w:p>
      <w:pPr>
        <w:pStyle w:val="CaseBody"/>
      </w:pPr>
      <w:r>
        <w:t xml:space="preserve">Mr. Justice Stewart,</w:t>
      </w:r>
    </w:p>
    <w:p>
      <w:pPr>
        <w:pStyle w:val="CaseBody"/>
      </w:pPr>
      <w:r>
        <w:t xml:space="preserve">with whom Mr. Justice Black-mun and Mr. Justice Stevens concur, dissenting.</w:t>
      </w:r>
      <w:r>
        <w:rPr>
          <w:rStyle w:val="FootnoteReference"/>
        </w:rPr>
        <w:footnoteReference w:customMarkFollows="1" w:id="131"/>
        <w:t xml:space="preserve">*****</w:t>
      </w:r>
    </w:p>
    <w:p>
      <w:pPr>
        <w:pStyle w:val="CaseBody"/>
      </w:pPr>
      <w:r>
        <w:t xml:space="preserve">The Court says that the United States District Court for the District of Colorado clearly had jurisdiction over this lawsuit. I agree.</w:t>
      </w:r>
      <w:r>
        <w:rPr>
          <w:rStyle w:val="FootnoteReference"/>
        </w:rPr>
        <w:footnoteReference w:customMarkFollows="1" w:id="166"/>
        <w:t xml:space="preserve">1</w:t>
      </w:r>
      <w:r>
        <w:t xml:space="preserve"> </w:t>
      </w:r>
      <w:r>
        <w:t xml:space="preserve">The Court further says that the McCarran Amendment “in no way diminished” the District Court’s jurisdiction. I agree.</w:t>
      </w:r>
      <w:r>
        <w:rPr>
          <w:rStyle w:val="FootnoteReference"/>
        </w:rPr>
        <w:footnoteReference w:customMarkFollows="1" w:id="179"/>
        <w:t xml:space="preserve">2</w:t>
      </w:r>
      <w:r>
        <w:t xml:space="preserve"> </w:t>
      </w:r>
      <w:r>
        <w:t xml:space="preserve">The Court also says that federal courts have a “virtually unflagging obligation ... to exercise the jurisdiction given them.” I agree.</w:t>
      </w:r>
      <w:r>
        <w:rPr>
          <w:rStyle w:val="FootnoteReference"/>
        </w:rPr>
        <w:footnoteReference w:customMarkFollows="1" w:id="216"/>
        <w:t xml:space="preserve">3</w:t>
      </w:r>
      <w:r>
        <w:t xml:space="preserve"> </w:t>
      </w:r>
      <w:r>
        <w:t xml:space="preserve">And finally, the Court says that nothing in the abstention doctrine “in any of its forms” justified the District Court’s dismissal of the Government’s complaint. I agree.</w:t>
      </w:r>
      <w:r>
        <w:rPr>
          <w:rStyle w:val="FootnoteReference"/>
        </w:rPr>
        <w:footnoteReference w:customMarkFollows="1" w:id="188"/>
        <w:t xml:space="preserve">4</w:t>
      </w:r>
      <w:r>
        <w:t xml:space="preserve"> </w:t>
      </w:r>
      <w:r>
        <w:t xml:space="preserve">These views would seem to lead ineluctably to the conclusion that the District Court was wrong in dismissing the complaint. Yet the Court holds that the order of dismissal was “appropriate.” With that conclusion I must respectfully disagree.</w:t>
      </w:r>
    </w:p>
    <w:p>
      <w:pPr>
        <w:pStyle w:val="CaseBody"/>
      </w:pPr>
      <w:r>
        <w:t xml:space="preserve">In holding that the United States shall not be allowed to proceed with its lawsuit, the Court relies principally on cases reflecting the rule that where “control of the property which is the subject of the suit [is necessary] in order to proceed with the cause and to grant the relief sought, the jurisdiction of one court must of necessity yield to that of the other.”</w:t>
      </w:r>
      <w:r>
        <w:t xml:space="preserve"> </w:t>
      </w:r>
      <w:r>
        <w:rPr>
          <w:rStyle w:val="Elision"/>
        </w:rPr>
        <w:t xml:space="preserve">[ … ]</w:t>
      </w:r>
      <w:r>
        <w:t xml:space="preserve"> </w:t>
      </w:r>
      <w:r>
        <w:t xml:space="preserve">But, as those cases make clear, this rule applies only when exclusive control over the subject matter is necessary to effectuate a court’s judgment.</w:t>
      </w:r>
      <w:r>
        <w:t xml:space="preserve"> </w:t>
      </w:r>
      <w:r>
        <w:rPr>
          <w:rStyle w:val="Elision"/>
        </w:rPr>
        <w:t xml:space="preserve">[ … ]</w:t>
      </w:r>
      <w:r>
        <w:t xml:space="preserve">. Here the federal court did not need to obtain</w:t>
      </w:r>
      <w:r>
        <w:t xml:space="preserve"> </w:t>
      </w:r>
      <w:r>
        <w:rPr>
          <w:iCs/>
          <w:i/>
        </w:rPr>
        <w:t xml:space="preserve">in rem</w:t>
      </w:r>
      <w:r>
        <w:t xml:space="preserve"> </w:t>
      </w:r>
      <w:r>
        <w:t xml:space="preserve">or.</w:t>
      </w:r>
      <w:r>
        <w:t xml:space="preserve"> </w:t>
      </w:r>
      <w:r>
        <w:rPr>
          <w:iCs/>
          <w:i/>
        </w:rPr>
        <w:t xml:space="preserve">quasi in rem</w:t>
      </w:r>
      <w:r>
        <w:t xml:space="preserve"> </w:t>
      </w:r>
      <w:r>
        <w:t xml:space="preserve">jurisdiction in order to decide the issues before it. The court was asked simply to determine as a matter of federal law whether federal reservations of water rights had occurred, and, if so, the date and scope of the reservations. The District Court could make such a determination without having control of the river.</w:t>
      </w:r>
    </w:p>
    <w:p>
      <w:pPr>
        <w:pStyle w:val="CaseBody"/>
      </w:pPr>
      <w:r>
        <w:rPr>
          <w:rStyle w:val="Elision"/>
        </w:rPr>
        <w:t xml:space="preserve">[ … ]</w:t>
      </w:r>
    </w:p>
    <w:p>
      <w:pPr>
        <w:pStyle w:val="CaseBody"/>
      </w:pPr>
      <w:r>
        <w:t xml:space="preserve">The Court’s principal reason for deciding to close the doors of the federal courthouse to the United States in this case seems to stem from the view that its decision will avoid piecemeal adjudication of water rights.</w:t>
      </w:r>
      <w:r>
        <w:rPr>
          <w:rStyle w:val="FootnoteReference"/>
        </w:rPr>
        <w:footnoteReference w:customMarkFollows="1" w:id="222"/>
        <w:t xml:space="preserve">6</w:t>
      </w:r>
      <w:r>
        <w:t xml:space="preserve"> </w:t>
      </w:r>
      <w:r>
        <w:t xml:space="preserve">To the extent that this view is based on the special considerations governing</w:t>
      </w:r>
      <w:r>
        <w:t xml:space="preserve"> </w:t>
      </w:r>
      <w:r>
        <w:rPr>
          <w:iCs/>
          <w:i/>
        </w:rPr>
        <w:t xml:space="preserve">in rem</w:t>
      </w:r>
      <w:r>
        <w:t xml:space="preserve"> </w:t>
      </w:r>
      <w:r>
        <w:t xml:space="preserve">proceedings, it is without precedential basis,</w:t>
      </w:r>
      <w:r>
        <w:t xml:space="preserve"> </w:t>
      </w:r>
      <w:r>
        <w:rPr>
          <w:rStyle w:val="Elision"/>
        </w:rPr>
        <w:t xml:space="preserve">[ … ]</w:t>
      </w:r>
      <w:r>
        <w:t xml:space="preserve">. To the extent that the Court’s view is based on the realistic practicalities of this, case, it is simply wrong, because the relegation of the Government to the state courts will not avoid piecemeal litigation.</w:t>
      </w:r>
    </w:p>
    <w:p>
      <w:pPr>
        <w:pStyle w:val="CaseBody"/>
      </w:pPr>
      <w:r>
        <w:rPr>
          <w:rStyle w:val="Elision"/>
        </w:rPr>
        <w:t xml:space="preserve">[ … ]</w:t>
      </w:r>
    </w:p>
    <w:p>
      <w:pPr>
        <w:pStyle w:val="CaseBody"/>
      </w:pPr>
      <w:r>
        <w:t xml:space="preserve">As the Court says, it is the virtual “unflagging obligation” of a federal court to exercise the jurisdiction that has been conferred upon it. Obedience to that obligation is particularly “appropriate” in this case, for at least two reasons.</w:t>
      </w:r>
    </w:p>
    <w:p>
      <w:pPr>
        <w:pStyle w:val="CaseBody"/>
      </w:pPr>
      <w:r>
        <w:t xml:space="preserve">First, the issues involved are issues of federal law. A federal court is more likely than a state court to be familiar with federal water law and to have had experience in interpreting the relevant federal statutes, regulations, and Indian treaties. Moreover, if tried in a federal court, these issues of federal law will be reviewable in a federal appellate court, whereas federal judicial review of the state courts’ resolution of issues of federal law will be possible only on review by this Court in the exercise of its certiorari jurisdiction.</w:t>
      </w:r>
    </w:p>
    <w:p>
      <w:pPr>
        <w:pStyle w:val="CaseBody"/>
      </w:pPr>
      <w:r>
        <w:t xml:space="preserve">Second, some of the federal claims in this lawsuit relate to water reserved for Indian reservations. It is not necessary to determine that there is no state-court jurisdiction of these claims to support the proposition that a federal court is a more appropriate forum than a state court for determination of questions of life-and-death importance to Indians. This Court has long recognized that “ '[t]he policy of leaving Indians free from state jurisdiction and control is deeply rooted in the Nation’s history.’ ”</w:t>
      </w:r>
      <w:r>
        <w:t xml:space="preserve"> </w:t>
      </w:r>
      <w:r>
        <w:rPr>
          <w:rStyle w:val="Elision"/>
        </w:rPr>
        <w:t xml:space="preserve">[ … ]</w:t>
      </w:r>
    </w:p>
    <w:p>
      <w:pPr>
        <w:pStyle w:val="CaseBody"/>
      </w:pPr>
      <w:r>
        <w:t xml:space="preserve">The Court says that “[o]nly the clearest of justifications will warrant dismissal” of a lawsuit within the jurisdiction of a federal court. In my opinion there was no justification at all for the District Court’s order of dismissal in this case.</w:t>
      </w:r>
    </w:p>
    <w:p>
      <w:pPr>
        <w:pStyle w:val="CaseBody"/>
      </w:pPr>
      <w:r>
        <w:t xml:space="preserve">I would affirm the judgment of the Court of Appeals.</w:t>
      </w:r>
    </w:p>
    <w:p>
      <w:pPr>
        <w:pStyle w:val="CaseBody"/>
      </w:pPr>
      <w:r>
        <w:rPr>
          <w:rStyle w:val="ReplacementText"/>
        </w:rPr>
        <w:t xml:space="preserve">[An additional dissent by Justice Stevens is omitted.]</w:t>
      </w:r>
    </w:p>
    <w:p>
      <w:pPr>
        <w:pStyle w:val="NodeEnd"/>
      </w:pPr>
      <w:r>
        <w:t xml:space="preserve"> </w:t>
      </w:r>
    </w:p>
    <w:p>
      <w:pPr>
        <w:pStyle w:val="NodeStart"/>
      </w:pPr>
      <w:r>
        <w:t xml:space="preserve"> </w:t>
      </w:r>
    </w:p>
    <w:p>
      <w:pPr>
        <w:pStyle w:val="HeadSeparator"/>
      </w:pPr>
      <w:r>
        <w:t xml:space="preserve"> </w:t>
      </w:r>
    </w:p>
    <w:bookmarkStart w:id="41" w:name="_auto_toc_41"/>
    <w:bookmarkEnd w:id="41"/>
    <w:p>
      <w:pPr>
        <w:pStyle w:val="ResourceNumber"/>
      </w:pPr>
      <w:r>
        <w:t xml:space="preserve">4.4</w:t>
      </w:r>
    </w:p>
    <w:p>
      <w:pPr>
        <w:pStyle w:val="ResourceTitle"/>
      </w:pPr>
      <w:r>
        <w:t xml:space="preserve">Notes following Colorado River</w:t>
      </w:r>
    </w:p>
    <w:p>
      <w:pPr>
        <w:pStyle w:val="HeadEnd"/>
      </w:pPr>
      <w:r>
        <w:t xml:space="preserve"> </w:t>
      </w:r>
    </w:p>
    <w:p>
      <w:pPr>
        <w:numPr>
          <w:ilvl w:val="0"/>
          <w:numId w:val="1073"/>
        </w:numPr>
      </w:pPr>
      <w:r>
        <w:rPr>
          <w:iCs/>
          <w:i/>
        </w:rPr>
        <w:t xml:space="preserve">Policy goals</w:t>
      </w:r>
      <w:r>
        <w:t xml:space="preserve">. What are the main public policy reasons against concurrent litigation among substantially the same parties over substantially the same subject matter?  Although few would be in favor of promoting such concurrent litigation, there may be reasons to tolerate it, at least when it occurs between state and federal courts. What might be some such reason? Doesn’t the “unflagging obligation” to exercise federal court jurisdiction, if conferred by the Constitution or an act of Congress, play in favor of one side over the other? Also, do we trust judges to balance these goals and reach principled conclusions?</w:t>
      </w:r>
    </w:p>
    <w:p>
      <w:pPr>
        <w:numPr>
          <w:ilvl w:val="0"/>
          <w:numId w:val="1073"/>
        </w:numPr>
      </w:pPr>
      <w:r>
        <w:rPr>
          <w:iCs/>
          <w:i/>
        </w:rPr>
        <w:t xml:space="preserve">Federal courts</w:t>
      </w:r>
      <w:r>
        <w:t xml:space="preserve">. In general, how does</w:t>
      </w:r>
      <w:r>
        <w:t xml:space="preserve"> </w:t>
      </w:r>
      <w:r>
        <w:rPr>
          <w:iCs/>
          <w:i/>
        </w:rPr>
        <w:t xml:space="preserve">Colorado River</w:t>
      </w:r>
      <w:r>
        <w:t xml:space="preserve"> </w:t>
      </w:r>
      <w:r>
        <w:t xml:space="preserve">relate to the federal courts’ power to refuse to exercise supplemental jurisdiction under § 1367(c)? Is there a benefit to allowing state courts to handle, or to refuse to handle, difficult and important questions of state law?</w:t>
      </w:r>
      <w:r>
        <w:t xml:space="preserve"> </w:t>
      </w:r>
      <w:r>
        <w:t xml:space="preserve">Is there a benefit to allowing federal courts to handle, or to refuse to handle, difficult and important questions of federal law?</w:t>
      </w:r>
      <w:r>
        <w:t xml:space="preserve"> </w:t>
      </w:r>
      <w:r>
        <w:t xml:space="preserve"> </w:t>
      </w:r>
      <w:r>
        <w:t xml:space="preserve">On the other hand, doesn’t the fact that we have geographically overlapping state and federal courts mean that, quite often, federal courts will decide state law issues, and that state courts will decide federal law issues?  Is there anything surprising or unusual about such mixing of courts and source of law?</w:t>
      </w:r>
    </w:p>
    <w:p>
      <w:pPr>
        <w:pStyle w:val="NodeEnd"/>
      </w:pPr>
      <w:r>
        <w:t xml:space="preserve"> </w:t>
      </w:r>
    </w:p>
    <w:p>
      <w:pPr>
        <w:pStyle w:val="NodeStart"/>
      </w:pPr>
      <w:r>
        <w:t xml:space="preserve"> </w:t>
      </w:r>
    </w:p>
    <w:p>
      <w:pPr>
        <w:pStyle w:val="HeadSeparator"/>
      </w:pPr>
      <w:r>
        <w:t xml:space="preserve"> </w:t>
      </w:r>
    </w:p>
    <w:bookmarkStart w:id="42" w:name="_auto_toc_42"/>
    <w:bookmarkEnd w:id="42"/>
    <w:p>
      <w:pPr>
        <w:pStyle w:val="ResourceNumber"/>
      </w:pPr>
      <w:r>
        <w:t xml:space="preserve">4.5</w:t>
      </w:r>
    </w:p>
    <w:p>
      <w:pPr>
        <w:pStyle w:val="ResourceTitle"/>
      </w:pPr>
      <w:r>
        <w:t xml:space="preserve">Clark ex rel. Sears v. Lacy</w:t>
      </w:r>
    </w:p>
    <w:p>
      <w:pPr>
        <w:pStyle w:val="HeadFieldSeparator"/>
      </w:pPr>
      <w:r>
        <w:t xml:space="preserve"> </w:t>
      </w:r>
    </w:p>
    <w:p>
      <w:pPr>
        <w:pStyle w:val="ResourceHeadnote"/>
      </w:pPr>
      <w:r>
        <w:t xml:space="preserve">Federal abstention doctrines can be thought of in two ways: they may be interpretations of jurisdictional statutes, or they may be examples of federal common law (something we will learn more about later in the course). Either way, there may be splits among lower courts - in this case, federal circuit courts. Keep this in mind as you read</w:t>
      </w:r>
      <w:r>
        <w:t xml:space="preserve"> </w:t>
      </w:r>
      <w:r>
        <w:rPr>
          <w:iCs/>
          <w:i/>
        </w:rPr>
        <w:t xml:space="preserve">Clark v. Lacy</w:t>
      </w:r>
      <w:r>
        <w:t xml:space="preserve"> </w:t>
      </w:r>
      <w:r>
        <w:t xml:space="preserve">to determine if it is an accurate or faithful application of the</w:t>
      </w:r>
      <w:r>
        <w:t xml:space="preserve"> </w:t>
      </w:r>
      <w:r>
        <w:rPr>
          <w:iCs/>
          <w:i/>
        </w:rPr>
        <w:t xml:space="preserve">Colorado River</w:t>
      </w:r>
      <w:r>
        <w:t xml:space="preserve"> </w:t>
      </w:r>
      <w:r>
        <w:t xml:space="preserve">abstention doctrine.</w:t>
      </w:r>
    </w:p>
    <w:p>
      <w:pPr>
        <w:pStyle w:val="ResourceHeadnote"/>
      </w:pPr>
      <w:r>
        <w:t xml:space="preserve">Also keep in mind the fact pattern and how it differs from the situation in</w:t>
      </w:r>
      <w:r>
        <w:t xml:space="preserve"> </w:t>
      </w:r>
      <w:r>
        <w:rPr>
          <w:iCs/>
          <w:i/>
        </w:rPr>
        <w:t xml:space="preserve">Colorado River</w:t>
      </w:r>
      <w:r>
        <w:t xml:space="preserve">. What was it about the facts and procedural posture led the</w:t>
      </w:r>
      <w:r>
        <w:t xml:space="preserve"> </w:t>
      </w:r>
      <w:r>
        <w:rPr>
          <w:iCs/>
          <w:i/>
        </w:rPr>
        <w:t xml:space="preserve">Colorado River</w:t>
      </w:r>
      <w:r>
        <w:t xml:space="preserve"> </w:t>
      </w:r>
      <w:r>
        <w:t xml:space="preserve">court to conclude that there were “exceptional circumstances” there? Are there any “exceptional,” or even unusual, circumstances present in</w:t>
      </w:r>
      <w:r>
        <w:t xml:space="preserve"> </w:t>
      </w:r>
      <w:r>
        <w:rPr>
          <w:iCs/>
          <w:i/>
        </w:rPr>
        <w:t xml:space="preserve">Clark v. Lacy</w:t>
      </w:r>
      <w:r>
        <w:t xml:space="preserve">, below, other than the presence of overlapping/parallel state and federal court litigation (which must always be present even to begin a conversation about</w:t>
      </w:r>
      <w:r>
        <w:t xml:space="preserve"> </w:t>
      </w:r>
      <w:r>
        <w:rPr>
          <w:iCs/>
          <w:i/>
        </w:rPr>
        <w:t xml:space="preserve">Colorado River</w:t>
      </w:r>
      <w:r>
        <w:t xml:space="preserve"> </w:t>
      </w:r>
      <w:r>
        <w:t xml:space="preserve">abstention)?</w:t>
      </w:r>
    </w:p>
    <w:p>
      <w:pPr>
        <w:pStyle w:val="ResourceHeadnote"/>
      </w:pPr>
      <w:r>
        <w:t xml:space="preserve">How does the following strike you: The court in</w:t>
      </w:r>
      <w:r>
        <w:t xml:space="preserve"> </w:t>
      </w:r>
      <w:r>
        <w:rPr>
          <w:iCs/>
          <w:i/>
        </w:rPr>
        <w:t xml:space="preserve">Clark v. Lacy</w:t>
      </w:r>
      <w:r>
        <w:t xml:space="preserve"> </w:t>
      </w:r>
      <w:r>
        <w:t xml:space="preserve">says that if parallel litigation in state and federal courts is "duplicative," that is a factor weighing in favor of issuing a</w:t>
      </w:r>
      <w:r>
        <w:t xml:space="preserve"> </w:t>
      </w:r>
      <w:r>
        <w:rPr>
          <w:iCs/>
          <w:i/>
        </w:rPr>
        <w:t xml:space="preserve">Colorado River</w:t>
      </w:r>
      <w:r>
        <w:t xml:space="preserve"> </w:t>
      </w:r>
      <w:r>
        <w:t xml:space="preserve">stay. It also says that if the parallel litigation in state and federal courts is "piecemeal," that is a factor in favor of issuing a</w:t>
      </w:r>
      <w:r>
        <w:t xml:space="preserve"> </w:t>
      </w:r>
      <w:r>
        <w:rPr>
          <w:iCs/>
          <w:i/>
        </w:rPr>
        <w:t xml:space="preserve">Colorado River</w:t>
      </w:r>
      <w:r>
        <w:t xml:space="preserve"> </w:t>
      </w:r>
      <w:r>
        <w:t xml:space="preserve">stay. Do you see any problem with this reasoning?</w:t>
      </w:r>
    </w:p>
    <w:p>
      <w:pPr>
        <w:pStyle w:val="ResourceHeadnote"/>
      </w:pPr>
      <w:r>
        <w:t xml:space="preserve">Finally, the</w:t>
      </w:r>
      <w:r>
        <w:t xml:space="preserve"> </w:t>
      </w:r>
      <w:r>
        <w:rPr>
          <w:iCs/>
          <w:i/>
        </w:rPr>
        <w:t xml:space="preserve">Clark</w:t>
      </w:r>
      <w:r>
        <w:t xml:space="preserve"> </w:t>
      </w:r>
      <w:r>
        <w:t xml:space="preserve">court articulates a two-part test, and the second part has ten factors.</w:t>
      </w:r>
      <w:r>
        <w:t xml:space="preserve"> </w:t>
      </w:r>
      <w:r>
        <w:t xml:space="preserve">How many factors do you think an average federal judge can consider at one time?</w:t>
      </w:r>
      <w:r>
        <w:t xml:space="preserve"> </w:t>
      </w:r>
      <w:r>
        <w:t xml:space="preserve">How many factors can you consider at one time? What does that tell you about the court's reasoning?</w:t>
      </w:r>
    </w:p>
    <w:p>
      <w:pPr>
        <w:pStyle w:val="ResourceHeadnote"/>
      </w:pPr>
      <w:r>
        <w:t xml:space="preserve">At the end of this case, do you smell a rat? Or, alternatively, do you smell a rose?</w:t>
      </w:r>
    </w:p>
    <w:p>
      <w:pPr>
        <w:pStyle w:val="HeadEnd"/>
      </w:pPr>
      <w:r>
        <w:t xml:space="preserve"> </w:t>
      </w:r>
    </w:p>
    <w:p>
      <w:pPr>
        <w:pStyle w:val="CaseHeader"/>
      </w:pPr>
      <w:r>
        <w:t xml:space="preserve">United States Court of Appeals for the Seventh Circuit</w:t>
      </w:r>
    </w:p>
    <w:p>
      <w:pPr>
        <w:pStyle w:val="CaseHeader"/>
      </w:pPr>
      <w:r>
        <w:t xml:space="preserve">376 F.3d 682</w:t>
      </w:r>
    </w:p>
    <w:p>
      <w:pPr>
        <w:pStyle w:val="CaseHeader"/>
      </w:pPr>
      <w:r>
        <w:t xml:space="preserve">No. 03-3891</w:t>
      </w:r>
    </w:p>
    <w:p>
      <w:pPr>
        <w:pStyle w:val="CaseHeader"/>
      </w:pPr>
      <w:r>
        <w:t xml:space="preserve">2004-07-19</w:t>
      </w:r>
    </w:p>
    <w:p>
      <w:pPr>
        <w:pStyle w:val="CaseBody"/>
      </w:pPr>
      <w:r>
        <w:rPr>
          <w:rStyle w:val="Elision"/>
        </w:rPr>
        <w:t xml:space="preserve">[ … ]</w:t>
      </w:r>
    </w:p>
    <w:p>
      <w:pPr>
        <w:pStyle w:val="CaseBody"/>
      </w:pPr>
      <w:r>
        <w:t xml:space="preserve">Before FLAUM, Chief Judge, and DIANE P. WOOD and WILLIAMS, Circuit Judges.</w:t>
      </w:r>
    </w:p>
    <w:p>
      <w:pPr>
        <w:pStyle w:val="CaseBody"/>
      </w:pPr>
      <w:r>
        <w:t xml:space="preserve">FLAUM, Chief Judge.</w:t>
      </w:r>
    </w:p>
    <w:p>
      <w:pPr>
        <w:pStyle w:val="CaseBody"/>
      </w:pPr>
      <w:r>
        <w:t xml:space="preserve">In this case we are asked to consider how the</w:t>
      </w:r>
      <w:r>
        <w:t xml:space="preserve"> </w:t>
      </w:r>
      <w:r>
        <w:rPr>
          <w:iCs/>
          <w:i/>
        </w:rPr>
        <w:t xml:space="preserve">Colorado River</w:t>
      </w:r>
      <w:r>
        <w:t xml:space="preserve"> </w:t>
      </w:r>
      <w:r>
        <w:t xml:space="preserve">abstention doctrine applies to a derivative shareholder suit brought in federal court that involves the same factual predicate, most of the same defendants, and fundamentally the same legal issues as a derivative shareholder suit brought by a different plaintiff shareholder in New York state court. Pursuant to</w:t>
      </w:r>
      <w:r>
        <w:t xml:space="preserve"> </w:t>
      </w:r>
      <w:r>
        <w:rPr>
          <w:iCs/>
          <w:i/>
        </w:rPr>
        <w:t xml:space="preserve">Colorado River,</w:t>
      </w:r>
      <w:r>
        <w:t xml:space="preserve"> </w:t>
      </w:r>
      <w:r>
        <w:t xml:space="preserve">the district court stayed this action in favor of the state proceeding. For the reasons stated in this opinion, we conclude that the district court did not abuse its discretion in granting the stay.</w:t>
      </w:r>
    </w:p>
    <w:p>
      <w:pPr>
        <w:pStyle w:val="CaseBody"/>
      </w:pPr>
      <w:r>
        <w:t xml:space="preserve">I. Background</w:t>
      </w:r>
    </w:p>
    <w:p>
      <w:pPr>
        <w:pStyle w:val="CaseBody"/>
      </w:pPr>
      <w:r>
        <w:t xml:space="preserve">In 2000, Sears, one of the largest retailers of merchandise and services in the world, expanded its existing credit business by issuing MasterCards to individuals holding credit accounts with Sears. Sears’ credit operations had traditionally revolved around the “Sears Card,” issued to Sears customers for use in Sears stores. Faced with declining sales and an increasingly crowded retail market, Sears entered the MasterCard market to help increase revenue and earnings growth. After experiencing some initial success in the MasterCard market, in October 2002, Sears announced that its credit business was</w:t>
      </w:r>
      <w:r>
        <w:t xml:space="preserve"> </w:t>
      </w:r>
      <w:r>
        <w:t xml:space="preserve">negatively impacting the company’s financials</w:t>
      </w:r>
      <w:r>
        <w:rPr>
          <w:rStyle w:val="FootnoteReference"/>
        </w:rPr>
        <w:footnoteReference w:customMarkFollows="1" w:id="9"/>
        <w:t xml:space="preserve">*</w:t>
      </w:r>
      <w:r>
        <w:t xml:space="preserve">. Following this announcement, Sears’ stock price declined significantly.</w:t>
      </w:r>
    </w:p>
    <w:p>
      <w:pPr>
        <w:pStyle w:val="CaseBody"/>
      </w:pPr>
      <w:r>
        <w:t xml:space="preserve">A number of lawsuits ensued, including</w:t>
      </w:r>
      <w:r>
        <w:t xml:space="preserve"> </w:t>
      </w:r>
      <w:r>
        <w:t xml:space="preserve">four derivative shareholder suits</w:t>
      </w:r>
      <w:r>
        <w:rPr>
          <w:rStyle w:val="FootnoteReference"/>
        </w:rPr>
        <w:footnoteReference w:customMarkFollows="1" w:id="62"/>
        <w:t xml:space="preserve">**</w:t>
      </w:r>
      <w:r>
        <w:t xml:space="preserve"> </w:t>
      </w:r>
      <w:r>
        <w:t xml:space="preserve">filed on Sears’ behalf. The first,</w:t>
      </w:r>
      <w:r>
        <w:t xml:space="preserve"> </w:t>
      </w:r>
      <w:r>
        <w:rPr>
          <w:iCs/>
          <w:i/>
        </w:rPr>
        <w:t xml:space="preserve">Brewster v. Lacy, et al.,</w:t>
      </w:r>
      <w:r>
        <w:t xml:space="preserve"> </w:t>
      </w:r>
      <w:r>
        <w:t xml:space="preserve">02/603873, was filed October 23, 2002, in the Supreme Court of the State of New York</w:t>
      </w:r>
      <w:r>
        <w:t xml:space="preserve"> </w:t>
      </w:r>
      <w:r>
        <w:rPr>
          <w:iCs/>
          <w:i/>
        </w:rPr>
        <w:t xml:space="preserve">{“Brewster”).</w:t>
      </w:r>
      <w:r>
        <w:t xml:space="preserve"> </w:t>
      </w:r>
      <w:r>
        <w:t xml:space="preserve">This matter,</w:t>
      </w:r>
      <w:r>
        <w:t xml:space="preserve"> </w:t>
      </w:r>
      <w:r>
        <w:rPr>
          <w:iCs/>
          <w:i/>
        </w:rPr>
        <w:t xml:space="preserve">Clark v. Lacy, et al.,</w:t>
      </w:r>
      <w:r>
        <w:t xml:space="preserve"> </w:t>
      </w:r>
      <w:r>
        <w:t xml:space="preserve">was filed on November 5, 2002, in the Northern District of Illinois</w:t>
      </w:r>
      <w:r>
        <w:t xml:space="preserve"> </w:t>
      </w:r>
      <w:r>
        <w:rPr>
          <w:iCs/>
          <w:i/>
        </w:rPr>
        <w:t xml:space="preserve">{“Clark</w:t>
      </w:r>
      <w:r>
        <w:t xml:space="preserve"> </w:t>
      </w:r>
      <w:r>
        <w:t xml:space="preserve">”). Additionally, two separate derivative suits were filed in the Circuit Court of Cook County</w:t>
      </w:r>
      <w:r>
        <w:rPr>
          <w:rStyle w:val="ReplacementText"/>
        </w:rPr>
        <w:t xml:space="preserve">[, which is an Illinois state court.]</w:t>
      </w:r>
      <w:r>
        <w:t xml:space="preserve"> </w:t>
      </w:r>
      <w:r>
        <w:t xml:space="preserve">Both of those cases were consolidated before the same judge and have been stayed in favor of the New York litigation.</w:t>
      </w:r>
    </w:p>
    <w:p>
      <w:pPr>
        <w:pStyle w:val="CaseBody"/>
      </w:pPr>
      <w:r>
        <w:t xml:space="preserve">At issue in this appeal are the similarities between the</w:t>
      </w:r>
      <w:r>
        <w:t xml:space="preserve"> </w:t>
      </w:r>
      <w:r>
        <w:rPr>
          <w:iCs/>
          <w:i/>
        </w:rPr>
        <w:t xml:space="preserve">Brewster</w:t>
      </w:r>
      <w:r>
        <w:t xml:space="preserve"> </w:t>
      </w:r>
      <w:r>
        <w:t xml:space="preserve">and</w:t>
      </w:r>
      <w:r>
        <w:t xml:space="preserve"> </w:t>
      </w:r>
      <w:r>
        <w:rPr>
          <w:iCs/>
          <w:i/>
        </w:rPr>
        <w:t xml:space="preserve">Clark</w:t>
      </w:r>
      <w:r>
        <w:t xml:space="preserve"> </w:t>
      </w:r>
      <w:r>
        <w:t xml:space="preserve">actions. On behalf of Sears, the</w:t>
      </w:r>
      <w:r>
        <w:t xml:space="preserve"> </w:t>
      </w:r>
      <w:r>
        <w:rPr>
          <w:iCs/>
          <w:i/>
        </w:rPr>
        <w:t xml:space="preserve">Brewster</w:t>
      </w:r>
      <w:r>
        <w:t xml:space="preserve"> </w:t>
      </w:r>
      <w:r>
        <w:t xml:space="preserve">complaint alleges that certain officers and directors of Sears breached their fiduciary duties under New York state law in connection with Sears’ decision to enter the competitive MasterCard market. The</w:t>
      </w:r>
      <w:r>
        <w:t xml:space="preserve"> </w:t>
      </w:r>
      <w:r>
        <w:rPr>
          <w:iCs/>
          <w:i/>
        </w:rPr>
        <w:t xml:space="preserve">Brewster</w:t>
      </w:r>
      <w:r>
        <w:t xml:space="preserve"> </w:t>
      </w:r>
      <w:r>
        <w:t xml:space="preserve">complaint seeks damages on behalf of Sears from Sears officers and/or directors. Also premised on New York law, the</w:t>
      </w:r>
      <w:r>
        <w:t xml:space="preserve"> </w:t>
      </w:r>
      <w:r>
        <w:rPr>
          <w:iCs/>
          <w:i/>
        </w:rPr>
        <w:t xml:space="preserve">Clark</w:t>
      </w:r>
      <w:r>
        <w:t xml:space="preserve"> </w:t>
      </w:r>
      <w:r>
        <w:t xml:space="preserve">complaint alleges that officers and/or directors of Sears breached their fiduciary duties with respect to Sears’ MasterCard operations and seeks damages and equitable relief on behalf of Sears. The</w:t>
      </w:r>
      <w:r>
        <w:t xml:space="preserve"> </w:t>
      </w:r>
      <w:r>
        <w:rPr>
          <w:iCs/>
          <w:i/>
        </w:rPr>
        <w:t xml:space="preserve">Clark</w:t>
      </w:r>
      <w:r>
        <w:t xml:space="preserve"> </w:t>
      </w:r>
      <w:r>
        <w:t xml:space="preserve">complaint names four defendants not named in the</w:t>
      </w:r>
      <w:r>
        <w:t xml:space="preserve"> </w:t>
      </w:r>
      <w:r>
        <w:rPr>
          <w:iCs/>
          <w:i/>
        </w:rPr>
        <w:t xml:space="preserve">Brewster</w:t>
      </w:r>
      <w:r>
        <w:t xml:space="preserve"> </w:t>
      </w:r>
      <w:r>
        <w:t xml:space="preserve">lawsuit and states three additional causes of action — abuse of control, gross mismanagement, and waste of corporate assets. The defendants moved to dismiss both</w:t>
      </w:r>
      <w:r>
        <w:t xml:space="preserve"> </w:t>
      </w:r>
      <w:r>
        <w:rPr>
          <w:iCs/>
          <w:i/>
        </w:rPr>
        <w:t xml:space="preserve">Brewster</w:t>
      </w:r>
      <w:r>
        <w:t xml:space="preserve"> </w:t>
      </w:r>
      <w:r>
        <w:t xml:space="preserve">and</w:t>
      </w:r>
      <w:r>
        <w:t xml:space="preserve"> </w:t>
      </w:r>
      <w:r>
        <w:rPr>
          <w:iCs/>
          <w:i/>
        </w:rPr>
        <w:t xml:space="preserve">Clark</w:t>
      </w:r>
      <w:r>
        <w:t xml:space="preserve"> </w:t>
      </w:r>
      <w:r>
        <w:t xml:space="preserve">for failure to make demand on the board of directors as required by New York law and because the claims are barred by Sears’ charter. On June 23, 2004, the New York court issued its opinion dismissing</w:t>
      </w:r>
      <w:r>
        <w:t xml:space="preserve"> </w:t>
      </w:r>
      <w:r>
        <w:rPr>
          <w:iCs/>
          <w:i/>
        </w:rPr>
        <w:t xml:space="preserve">Brewster</w:t>
      </w:r>
      <w:r>
        <w:t xml:space="preserve"> </w:t>
      </w:r>
      <w:r>
        <w:t xml:space="preserve">on the grounds that the derivative plaintiff failed to make pre-suit demand on Sears’ board of directors. The time for appeal is thirty days.</w:t>
      </w:r>
      <w:r>
        <w:t xml:space="preserve"> </w:t>
      </w:r>
      <w:r>
        <w:rPr>
          <w:rStyle w:val="Elision"/>
        </w:rPr>
        <w:t xml:space="preserve">[ … ]</w:t>
      </w:r>
    </w:p>
    <w:p>
      <w:pPr>
        <w:pStyle w:val="CaseBody"/>
      </w:pPr>
      <w:r>
        <w:t xml:space="preserve">Additionally, the</w:t>
      </w:r>
      <w:r>
        <w:t xml:space="preserve"> </w:t>
      </w:r>
      <w:r>
        <w:rPr>
          <w:iCs/>
          <w:i/>
        </w:rPr>
        <w:t xml:space="preserve">Clark</w:t>
      </w:r>
      <w:r>
        <w:t xml:space="preserve"> </w:t>
      </w:r>
      <w:r>
        <w:t xml:space="preserve">defendants filed a motion in the district court to stay this action pursuant to the doctrine set forth in</w:t>
      </w:r>
      <w:r>
        <w:t xml:space="preserve"> </w:t>
      </w:r>
      <w:r>
        <w:rPr>
          <w:iCs/>
          <w:i/>
        </w:rPr>
        <w:t xml:space="preserve">Colorado River Water Conservation District v. United States</w:t>
      </w:r>
      <w:r>
        <w:rPr>
          <w:rStyle w:val="Elision"/>
        </w:rPr>
        <w:t xml:space="preserve">[ … ]</w:t>
      </w:r>
      <w:r>
        <w:t xml:space="preserve">or in the alternative to dismiss. Based on a review of the parties’ briefs and exhibits, the district court found that the differences between the</w:t>
      </w:r>
      <w:r>
        <w:t xml:space="preserve"> </w:t>
      </w:r>
      <w:r>
        <w:rPr>
          <w:iCs/>
          <w:i/>
        </w:rPr>
        <w:t xml:space="preserve">Brewster</w:t>
      </w:r>
      <w:r>
        <w:t xml:space="preserve"> </w:t>
      </w:r>
      <w:r>
        <w:t xml:space="preserve">and</w:t>
      </w:r>
      <w:r>
        <w:t xml:space="preserve"> </w:t>
      </w:r>
      <w:r>
        <w:rPr>
          <w:iCs/>
          <w:i/>
        </w:rPr>
        <w:t xml:space="preserve">Clark</w:t>
      </w:r>
      <w:r>
        <w:t xml:space="preserve"> </w:t>
      </w:r>
      <w:r>
        <w:t xml:space="preserve">actions were more superficial than substantive. Using the</w:t>
      </w:r>
      <w:r>
        <w:t xml:space="preserve"> </w:t>
      </w:r>
      <w:r>
        <w:rPr>
          <w:iCs/>
          <w:i/>
        </w:rPr>
        <w:t xml:space="preserve">Colorado River</w:t>
      </w:r>
      <w:r>
        <w:t xml:space="preserve"> </w:t>
      </w:r>
      <w:r>
        <w:t xml:space="preserve">factors, the district court determined that a stay was warranted in this case because it would promote judicial administration. On order of the district court, the</w:t>
      </w:r>
      <w:r>
        <w:t xml:space="preserve"> </w:t>
      </w:r>
      <w:r>
        <w:rPr>
          <w:iCs/>
          <w:i/>
        </w:rPr>
        <w:t xml:space="preserve">Clark</w:t>
      </w:r>
      <w:r>
        <w:t xml:space="preserve"> </w:t>
      </w:r>
      <w:r>
        <w:t xml:space="preserve">action is stayed until final disposition of the New York proceedings. Clark now appeals. For the reasons discussed in this opinion, we affirm the district court’s order.</w:t>
      </w:r>
    </w:p>
    <w:p>
      <w:pPr>
        <w:pStyle w:val="CaseBody"/>
      </w:pPr>
      <w:r>
        <w:t xml:space="preserve">II. Analysis</w:t>
      </w:r>
    </w:p>
    <w:p>
      <w:pPr>
        <w:pStyle w:val="CaseBody"/>
      </w:pPr>
      <w:r>
        <w:t xml:space="preserve">We review a district court’s ruling on a motion to stay under the</w:t>
      </w:r>
      <w:r>
        <w:t xml:space="preserve"> </w:t>
      </w:r>
      <w:r>
        <w:rPr>
          <w:iCs/>
          <w:i/>
        </w:rPr>
        <w:t xml:space="preserve">Colorado River</w:t>
      </w:r>
      <w:r>
        <w:t xml:space="preserve"> </w:t>
      </w:r>
      <w:r>
        <w:t xml:space="preserve">doctrine for an abuse of discretion.</w:t>
      </w:r>
      <w:r>
        <w:t xml:space="preserve"> </w:t>
      </w:r>
      <w:r>
        <w:rPr>
          <w:rStyle w:val="Elision"/>
        </w:rPr>
        <w:t xml:space="preserve">[ … ]</w:t>
      </w:r>
      <w:r>
        <w:t xml:space="preserve">. Under the</w:t>
      </w:r>
      <w:r>
        <w:t xml:space="preserve"> </w:t>
      </w:r>
      <w:r>
        <w:rPr>
          <w:iCs/>
          <w:i/>
        </w:rPr>
        <w:t xml:space="preserve">Colorado River</w:t>
      </w:r>
      <w:r>
        <w:t xml:space="preserve"> </w:t>
      </w:r>
      <w:r>
        <w:t xml:space="preserve">abstention doctrine, a federal court may stay a suit in exceptional circumstances when there is a concurrent state proceeding and the stay would promote “wise judicial administration.”</w:t>
      </w:r>
      <w:r>
        <w:t xml:space="preserve"> </w:t>
      </w:r>
      <w:r>
        <w:rPr>
          <w:iCs/>
          <w:i/>
        </w:rPr>
        <w:t xml:space="preserve">Colorado River</w:t>
      </w:r>
      <w:r>
        <w:rPr>
          <w:rStyle w:val="Elision"/>
        </w:rPr>
        <w:t xml:space="preserve">[ … ]</w:t>
      </w:r>
      <w:r>
        <w:t xml:space="preserve">. While recognizing the availability of judicial abstention in “exceptional circumstances,” the Court also cautioned that federal courts have a “virtually unflagging obligation ... to exercise the jurisdiction given to them.”</w:t>
      </w:r>
    </w:p>
    <w:p>
      <w:pPr>
        <w:pStyle w:val="CaseBody"/>
      </w:pPr>
      <w:r>
        <w:rPr>
          <w:rStyle w:val="Elision"/>
        </w:rPr>
        <w:t xml:space="preserve">[ … ]</w:t>
      </w:r>
      <w:r>
        <w:t xml:space="preserve"> </w:t>
      </w:r>
      <w:r>
        <w:t xml:space="preserve">Reiterating this admonition, the Court stated</w:t>
      </w:r>
      <w:r>
        <w:t xml:space="preserve"> </w:t>
      </w:r>
      <w:r>
        <w:rPr>
          <w:rStyle w:val="Elision"/>
        </w:rPr>
        <w:t xml:space="preserve">[ … ]</w:t>
      </w:r>
      <w:r>
        <w:t xml:space="preserve">: “[W]e emphasize that our task in cases such as this is not to find some substantial reason for the</w:t>
      </w:r>
      <w:r>
        <w:t xml:space="preserve"> </w:t>
      </w:r>
      <w:r>
        <w:rPr>
          <w:iCs/>
          <w:i/>
        </w:rPr>
        <w:t xml:space="preserve">exercise</w:t>
      </w:r>
      <w:r>
        <w:t xml:space="preserve"> </w:t>
      </w:r>
      <w:r>
        <w:t xml:space="preserve">of federal jurisdiction by the district court; rather, the task is to ascertain whether there exist ‘exceptional’ circumstances, the ‘clearest of justifications,’ that can suffice under</w:t>
      </w:r>
      <w:r>
        <w:t xml:space="preserve"> </w:t>
      </w:r>
      <w:r>
        <w:rPr>
          <w:iCs/>
          <w:i/>
        </w:rPr>
        <w:t xml:space="preserve">Colorado River</w:t>
      </w:r>
      <w:r>
        <w:t xml:space="preserve"> </w:t>
      </w:r>
      <w:r>
        <w:t xml:space="preserve">to justify the</w:t>
      </w:r>
      <w:r>
        <w:t xml:space="preserve"> </w:t>
      </w:r>
      <w:r>
        <w:rPr>
          <w:iCs/>
          <w:i/>
        </w:rPr>
        <w:t xml:space="preserve">surrender</w:t>
      </w:r>
      <w:r>
        <w:t xml:space="preserve"> </w:t>
      </w:r>
      <w:r>
        <w:t xml:space="preserve">of that jurisdiction.” (emphasis in original). Given this clear command, “we treat as paramount the overriding rule that abstention is the exception.”</w:t>
      </w:r>
      <w:r>
        <w:t xml:space="preserve"> </w:t>
      </w:r>
      <w:r>
        <w:rPr>
          <w:rStyle w:val="Elision"/>
        </w:rPr>
        <w:t xml:space="preserve">[ … ]</w:t>
      </w:r>
      <w:r>
        <w:t xml:space="preserve"> </w:t>
      </w:r>
      <w:r>
        <w:t xml:space="preserve">Indeed, “the mere fact that an action is pending in state court is ordinarily no bar to parallel federal proceedings.”</w:t>
      </w:r>
      <w:r>
        <w:t xml:space="preserve"> </w:t>
      </w:r>
      <w:r>
        <w:rPr>
          <w:rStyle w:val="Elision"/>
        </w:rPr>
        <w:t xml:space="preserve">[ … ]</w:t>
      </w:r>
    </w:p>
    <w:p>
      <w:pPr>
        <w:pStyle w:val="CaseBody"/>
      </w:pPr>
      <w:r>
        <w:t xml:space="preserve">To determine whether a stay is appropriate in a particular case, a court must conduct a two-part analysis. First, the court must consider “whether the concurrent state and federal actions are actually parallel.”</w:t>
      </w:r>
    </w:p>
    <w:p>
      <w:pPr>
        <w:pStyle w:val="CaseBody"/>
      </w:pPr>
      <w:r>
        <w:rPr>
          <w:rStyle w:val="Elision"/>
        </w:rPr>
        <w:t xml:space="preserve">[ … ]</w:t>
      </w:r>
      <w:r>
        <w:t xml:space="preserve"> </w:t>
      </w:r>
      <w:r>
        <w:t xml:space="preserve">Then, once it is established that the suits are parallel, the court must consider a number of nonexclusive factors that might demonstrate the existence of “exceptional circumstances.”</w:t>
      </w:r>
      <w:r>
        <w:t xml:space="preserve"> </w:t>
      </w:r>
      <w:r>
        <w:rPr>
          <w:rStyle w:val="Elision"/>
        </w:rPr>
        <w:t xml:space="preserve">[ … ]</w:t>
      </w:r>
      <w:r>
        <w:t xml:space="preserve"> </w:t>
      </w:r>
      <w:r>
        <w:t xml:space="preserve">These factors are: (1) whether the state has assumed jurisdiction over property; (2) the inconvenience of the federal forum; (3) the desirability of avoiding piecemeal litigation; (4) the order in which jurisdiction was obtained by the concurrent forums; (5) the source of governing law, state or federal; (6) the adequacy of state-court action to protect the federal plaintiffs rights; (7) the relative progress of state and federal proceedings; (8) the presence or absence of concurrent jurisdiction; (9) the availability of removal; and (10) the vexatious or contrived nature of the federal claim.</w:t>
      </w:r>
      <w:r>
        <w:t xml:space="preserve"> </w:t>
      </w:r>
      <w:r>
        <w:rPr>
          <w:rStyle w:val="Elision"/>
        </w:rPr>
        <w:t xml:space="preserve">[ … ]</w:t>
      </w:r>
    </w:p>
    <w:p>
      <w:pPr>
        <w:pStyle w:val="CaseBody"/>
      </w:pPr>
      <w:r>
        <w:t xml:space="preserve">A. Parallel Actions</w:t>
      </w:r>
    </w:p>
    <w:p>
      <w:pPr>
        <w:pStyle w:val="CaseBody"/>
      </w:pPr>
      <w:r>
        <w:t xml:space="preserve">Clark contends that the district court abused its discretion by finding that the</w:t>
      </w:r>
      <w:r>
        <w:t xml:space="preserve"> </w:t>
      </w:r>
      <w:r>
        <w:rPr>
          <w:iCs/>
          <w:i/>
        </w:rPr>
        <w:t xml:space="preserve">Brewster</w:t>
      </w:r>
      <w:r>
        <w:t xml:space="preserve"> </w:t>
      </w:r>
      <w:r>
        <w:t xml:space="preserve">and</w:t>
      </w:r>
      <w:r>
        <w:t xml:space="preserve"> </w:t>
      </w:r>
      <w:r>
        <w:rPr>
          <w:iCs/>
          <w:i/>
        </w:rPr>
        <w:t xml:space="preserve">Clark</w:t>
      </w:r>
      <w:r>
        <w:t xml:space="preserve"> </w:t>
      </w:r>
      <w:r>
        <w:t xml:space="preserve">actions are parallel. According to Clark, that finding was improper because the parties and the issues in this case are more numerous and diverse than in the</w:t>
      </w:r>
      <w:r>
        <w:t xml:space="preserve"> </w:t>
      </w:r>
      <w:r>
        <w:rPr>
          <w:iCs/>
          <w:i/>
        </w:rPr>
        <w:t xml:space="preserve">Brewster</w:t>
      </w:r>
      <w:r>
        <w:t xml:space="preserve"> </w:t>
      </w:r>
      <w:r>
        <w:t xml:space="preserve">action. Moreover, Clark argues that the relief sought in the two actions is different. The</w:t>
      </w:r>
      <w:r>
        <w:t xml:space="preserve"> </w:t>
      </w:r>
      <w:r>
        <w:rPr>
          <w:rStyle w:val="ReplacementText"/>
          <w:iCs/>
          <w:i/>
        </w:rPr>
        <w:t xml:space="preserve">Brewster</w:t>
      </w:r>
      <w:r>
        <w:t xml:space="preserve"> </w:t>
      </w:r>
      <w:r>
        <w:t xml:space="preserve">action seeks only monetary relief while the</w:t>
      </w:r>
      <w:r>
        <w:t xml:space="preserve"> </w:t>
      </w:r>
      <w:r>
        <w:rPr>
          <w:iCs/>
          <w:i/>
        </w:rPr>
        <w:t xml:space="preserve">Clark</w:t>
      </w:r>
      <w:r>
        <w:t xml:space="preserve"> </w:t>
      </w:r>
      <w:r>
        <w:t xml:space="preserve">action requests equitable relief in addition to</w:t>
      </w:r>
      <w:r>
        <w:t xml:space="preserve"> </w:t>
      </w:r>
      <w:r>
        <w:rPr>
          <w:iCs/>
          <w:i/>
        </w:rPr>
        <w:t xml:space="preserve">money</w:t>
      </w:r>
      <w:r>
        <w:t xml:space="preserve"> </w:t>
      </w:r>
      <w:r>
        <w:t xml:space="preserve">damages.</w:t>
      </w:r>
    </w:p>
    <w:p>
      <w:pPr>
        <w:pStyle w:val="CaseBody"/>
      </w:pPr>
      <w:r>
        <w:t xml:space="preserve">To meet the “parallel” requirement, suits need not be identical.</w:t>
      </w:r>
      <w:r>
        <w:rPr>
          <w:rStyle w:val="Elision"/>
        </w:rPr>
        <w:t xml:space="preserve">[ … ]</w:t>
      </w:r>
      <w:r>
        <w:t xml:space="preserve"> </w:t>
      </w:r>
      <w:r>
        <w:t xml:space="preserve">Two suits are considered “ ‘parallel’ when substantially the same parties are contemporaneously litigating substantially the same issues in another forum.”</w:t>
      </w:r>
    </w:p>
    <w:p>
      <w:pPr>
        <w:pStyle w:val="CaseBody"/>
      </w:pPr>
      <w:r>
        <w:rPr>
          <w:rStyle w:val="Elision"/>
        </w:rPr>
        <w:t xml:space="preserve">[ … ]</w:t>
      </w:r>
      <w:r>
        <w:t xml:space="preserve">To be sufficiently similar it is not necessary that there be “formal symmetry between the two actions.”</w:t>
      </w:r>
      <w:r>
        <w:t xml:space="preserve"> </w:t>
      </w:r>
      <w:r>
        <w:rPr>
          <w:rStyle w:val="Elision"/>
        </w:rPr>
        <w:t xml:space="preserve">[ … ]</w:t>
      </w:r>
      <w:r>
        <w:t xml:space="preserve"> </w:t>
      </w:r>
      <w:r>
        <w:t xml:space="preserve">Rather, there should be a “substantial likelihood that the state litigation will dispose of all claims presented in the federal case.”</w:t>
      </w:r>
    </w:p>
    <w:p>
      <w:pPr>
        <w:pStyle w:val="CaseBody"/>
      </w:pPr>
      <w:r>
        <w:rPr>
          <w:rStyle w:val="Elision"/>
        </w:rPr>
        <w:t xml:space="preserve">[ … ]</w:t>
      </w:r>
    </w:p>
    <w:p>
      <w:pPr>
        <w:pStyle w:val="CaseBody"/>
      </w:pPr>
      <w:r>
        <w:t xml:space="preserve">After reviewing the two complaints, we agree with the district court that no meaningful distinction can be made between the</w:t>
      </w:r>
      <w:r>
        <w:t xml:space="preserve"> </w:t>
      </w:r>
      <w:r>
        <w:rPr>
          <w:iCs/>
          <w:i/>
        </w:rPr>
        <w:t xml:space="preserve">Clark</w:t>
      </w:r>
      <w:r>
        <w:t xml:space="preserve"> </w:t>
      </w:r>
      <w:r>
        <w:t xml:space="preserve">and</w:t>
      </w:r>
      <w:r>
        <w:t xml:space="preserve"> </w:t>
      </w:r>
      <w:r>
        <w:rPr>
          <w:iCs/>
          <w:i/>
        </w:rPr>
        <w:t xml:space="preserve">Brewster</w:t>
      </w:r>
      <w:r>
        <w:t xml:space="preserve"> </w:t>
      </w:r>
      <w:r>
        <w:t xml:space="preserve">lawsuits. First and foremost, although some of the names appearing on the two complaints are different, the parties’ interests in the disputes are nearly identical. Parties with “nearly identical” interests are considered “substantially the same” for</w:t>
      </w:r>
      <w:r>
        <w:t xml:space="preserve"> </w:t>
      </w:r>
      <w:r>
        <w:rPr>
          <w:iCs/>
          <w:i/>
        </w:rPr>
        <w:t xml:space="preserve">Colorado River</w:t>
      </w:r>
      <w:r>
        <w:t xml:space="preserve"> </w:t>
      </w:r>
      <w:r>
        <w:t xml:space="preserve">purposes.</w:t>
      </w:r>
      <w:r>
        <w:t xml:space="preserve"> </w:t>
      </w:r>
      <w:r>
        <w:rPr>
          <w:rStyle w:val="Elision"/>
        </w:rPr>
        <w:t xml:space="preserve">[ … ]</w:t>
      </w:r>
      <w:r>
        <w:t xml:space="preserve"> </w:t>
      </w:r>
      <w:r>
        <w:t xml:space="preserve">As</w:t>
      </w:r>
      <w:r>
        <w:t xml:space="preserve"> </w:t>
      </w:r>
      <w:r>
        <w:rPr>
          <w:iCs/>
          <w:i/>
        </w:rPr>
        <w:t xml:space="preserve">Brewster</w:t>
      </w:r>
      <w:r>
        <w:t xml:space="preserve"> </w:t>
      </w:r>
      <w:r>
        <w:t xml:space="preserve">and</w:t>
      </w:r>
      <w:r>
        <w:t xml:space="preserve"> </w:t>
      </w:r>
      <w:r>
        <w:rPr>
          <w:iCs/>
          <w:i/>
        </w:rPr>
        <w:t xml:space="preserve">Clark</w:t>
      </w:r>
      <w:r>
        <w:t xml:space="preserve"> </w:t>
      </w:r>
      <w:r>
        <w:t xml:space="preserve">are derivative shareholder suits, Sears is the true party in interest in both cases. As such, we consider only Sears’ interests, not the individual interests of the plaintiffs who brought the actions on Sears’ behalf. Clark has not presented us with any reason why Sears’ own interests would diverge in these two lawsuits.</w:t>
      </w:r>
    </w:p>
    <w:p>
      <w:pPr>
        <w:pStyle w:val="CaseBody"/>
      </w:pPr>
      <w:r>
        <w:t xml:space="preserve">Nor does the presence of the four additional defendants in</w:t>
      </w:r>
      <w:r>
        <w:t xml:space="preserve"> </w:t>
      </w:r>
      <w:r>
        <w:rPr>
          <w:iCs/>
          <w:i/>
        </w:rPr>
        <w:t xml:space="preserve">Clark</w:t>
      </w:r>
      <w:r>
        <w:t xml:space="preserve"> </w:t>
      </w:r>
      <w:r>
        <w:t xml:space="preserve">render these lawsuits non-parallel. The addition of a party or parties to a proceeding, by itself, does not destroy the parallel nature of state and federal proceedings.</w:t>
      </w:r>
      <w:r>
        <w:t xml:space="preserve"> </w:t>
      </w:r>
      <w:r>
        <w:rPr>
          <w:rStyle w:val="Elision"/>
        </w:rPr>
        <w:t xml:space="preserve">[ … ]</w:t>
      </w:r>
      <w:r>
        <w:t xml:space="preserve">Again, the requirement is that the parties be</w:t>
      </w:r>
      <w:r>
        <w:t xml:space="preserve"> </w:t>
      </w:r>
      <w:r>
        <w:rPr>
          <w:iCs/>
          <w:i/>
        </w:rPr>
        <w:t xml:space="preserve">substantially</w:t>
      </w:r>
      <w:r>
        <w:t xml:space="preserve"> </w:t>
      </w:r>
      <w:r>
        <w:t xml:space="preserve">the same — not completely identical. When we focus on the parties’ litigation interests in these two lawsuits, it is clear that the addition of these four defendants has little impact on the overall similarity of the disputes. As with the other defendants, the four additional defendants have been sued collectively in their capacity as Sears officers and no individualized allegations have been made against any of them. Their inclusion in the federal proceeding does not alter the case’s central issue (the same one presented by the</w:t>
      </w:r>
      <w:r>
        <w:t xml:space="preserve"> </w:t>
      </w:r>
      <w:r>
        <w:rPr>
          <w:iCs/>
          <w:i/>
        </w:rPr>
        <w:t xml:space="preserve">Brewster</w:t>
      </w:r>
      <w:r>
        <w:t xml:space="preserve"> </w:t>
      </w:r>
      <w:r>
        <w:t xml:space="preserve">action), i.e., whether Sears officers and/or directors breached their fiduciary duties to Sears in connection with Sears’ entry into the MasterCard market.</w:t>
      </w:r>
    </w:p>
    <w:p>
      <w:pPr>
        <w:pStyle w:val="CaseBody"/>
      </w:pPr>
      <w:r>
        <w:t xml:space="preserve">Clark’s argument relating to the additional claims presented in her complaint is equally unavailing. Each “additional” claim (abuse of control, gross mismanagement, and waste of corporate assets) is premised on the defendants’ alleged breach of their fiduciary duties.</w:t>
      </w:r>
      <w:r>
        <w:t xml:space="preserve"> </w:t>
      </w:r>
      <w:r>
        <w:rPr>
          <w:rStyle w:val="Elision"/>
        </w:rPr>
        <w:t xml:space="preserve">[ … ]</w:t>
      </w:r>
      <w:r>
        <w:t xml:space="preserve"> </w:t>
      </w:r>
      <w:r>
        <w:t xml:space="preserve">Clark has not presented any authority that casts doubt on the likelihood that in resolving the fiduciary duty issue, the state litigation will dispose of all claims presented in this case. Just as the parallel nature of the actions cannot be destroyed by simply tacking on a few more defendants, neither can it be dispelled by repackaging the same issue under different causes of action.</w:t>
      </w:r>
    </w:p>
    <w:p>
      <w:pPr>
        <w:pStyle w:val="CaseBody"/>
      </w:pPr>
      <w:r>
        <w:t xml:space="preserve">The same is true for Clark’s prayer for equitable relief. Even though an additional remedy is sought in the federal action, the liability issues (which are the central legal issues) remain the same in both cases. Moreover, the relief requested in this case</w:t>
      </w:r>
      <w:r>
        <w:t xml:space="preserve"> </w:t>
      </w:r>
      <w:r>
        <w:rPr>
          <w:iCs/>
          <w:i/>
        </w:rPr>
        <w:t xml:space="preserve">is</w:t>
      </w:r>
      <w:r>
        <w:t xml:space="preserve"> </w:t>
      </w:r>
      <w:r>
        <w:t xml:space="preserve">substantially similar to that requested in the</w:t>
      </w:r>
      <w:r>
        <w:t xml:space="preserve"> </w:t>
      </w:r>
      <w:r>
        <w:rPr>
          <w:iCs/>
          <w:i/>
        </w:rPr>
        <w:t xml:space="preserve">Brewster</w:t>
      </w:r>
      <w:r>
        <w:t xml:space="preserve"> </w:t>
      </w:r>
      <w:r>
        <w:t xml:space="preserve">action. Although Clark states in her complaint that “[pjlaintiff on behalf of Sears has no adequate remedy at law,” both complaints request jury trials and seek to recover damages from the individual defendants. While we are mindful that remedies need not be plead with specificity, Clark’s vague request for equitable relief does not convince us that both lawsuits do not in the end seek substantially the same relief, i.e., damages.</w:t>
      </w:r>
    </w:p>
    <w:p>
      <w:pPr>
        <w:pStyle w:val="CaseBody"/>
      </w:pPr>
      <w:r>
        <w:t xml:space="preserve">Accordingly, the district court did not abuse its discretion in finding the</w:t>
      </w:r>
      <w:r>
        <w:t xml:space="preserve"> </w:t>
      </w:r>
      <w:r>
        <w:rPr>
          <w:iCs/>
          <w:i/>
        </w:rPr>
        <w:t xml:space="preserve">Breivster</w:t>
      </w:r>
      <w:r>
        <w:t xml:space="preserve"> </w:t>
      </w:r>
      <w:r>
        <w:t xml:space="preserve">and</w:t>
      </w:r>
      <w:r>
        <w:t xml:space="preserve"> </w:t>
      </w:r>
      <w:r>
        <w:rPr>
          <w:iCs/>
          <w:i/>
        </w:rPr>
        <w:t xml:space="preserve">Clark</w:t>
      </w:r>
      <w:r>
        <w:t xml:space="preserve"> </w:t>
      </w:r>
      <w:r>
        <w:t xml:space="preserve">actions parallel. We agree with the district court that the thrust of these lawsuits is the same — they rely on the same factual predicate to raise substantially similar legal issues against substantially similar parties. If we were to reach the opposite conclusion, future federal plaintiffs would have an incentive to tag on redundant and non-essential claims, parties, and remedies to create straw distinctions with an otherwise parallel state proceeding.</w:t>
      </w:r>
    </w:p>
    <w:p>
      <w:pPr>
        <w:pStyle w:val="CaseBody"/>
      </w:pPr>
      <w:r>
        <w:t xml:space="preserve">B. Exceptional Circumstances</w:t>
      </w:r>
    </w:p>
    <w:p>
      <w:pPr>
        <w:pStyle w:val="CaseBody"/>
      </w:pPr>
      <w:r>
        <w:t xml:space="preserve">Of course, a conclusion that federal and state proceedings are parallel only begins the inquiry into whether a stay is appropriate under</w:t>
      </w:r>
      <w:r>
        <w:t xml:space="preserve"> </w:t>
      </w:r>
      <w:r>
        <w:rPr>
          <w:iCs/>
          <w:i/>
        </w:rPr>
        <w:t xml:space="preserve">Colorado River.</w:t>
      </w:r>
      <w:r>
        <w:t xml:space="preserve"> </w:t>
      </w:r>
      <w:r>
        <w:t xml:space="preserve">We must now review the district court’s determination that abstention was warranted in this case under the 10-factor “exceptional circumstances” test. As we examine the district court’s analysis, we are guided by the Supreme Court’s instruction that “[n]o one factor is necessarily determinative; a carefully considered judgment taking into account both the obligation to exercise jurisdiction and the combination of factors counselling against that exercise is required.”</w:t>
      </w:r>
      <w:r>
        <w:t xml:space="preserve"> </w:t>
      </w:r>
      <w:r>
        <w:rPr>
          <w:rStyle w:val="Elision"/>
        </w:rPr>
        <w:t xml:space="preserve">[ … ]</w:t>
      </w:r>
      <w:r>
        <w:t xml:space="preserve"> </w:t>
      </w:r>
      <w:r>
        <w:t xml:space="preserve">“The weight to be given any one factor is determined solely by the circumstances of the particular case— there is no mechanical formula by which to determine when a stay is appropriate.”</w:t>
      </w:r>
      <w:r>
        <w:t xml:space="preserve"> </w:t>
      </w:r>
      <w:r>
        <w:rPr>
          <w:rStyle w:val="Elision"/>
        </w:rPr>
        <w:t xml:space="preserve">[ … ]</w:t>
      </w:r>
    </w:p>
    <w:p>
      <w:pPr>
        <w:pStyle w:val="CaseBody"/>
      </w:pPr>
      <w:r>
        <w:t xml:space="preserve">The district court found that a stay would eliminate piecemeal and duplicative litigation. We agree that this factor weighs in favor of a stay. As explained above, the claims in</w:t>
      </w:r>
      <w:r>
        <w:t xml:space="preserve"> </w:t>
      </w:r>
      <w:r>
        <w:rPr>
          <w:iCs/>
          <w:i/>
        </w:rPr>
        <w:t xml:space="preserve">Clark</w:t>
      </w:r>
      <w:r>
        <w:t xml:space="preserve"> </w:t>
      </w:r>
      <w:r>
        <w:t xml:space="preserve">and</w:t>
      </w:r>
      <w:r>
        <w:t xml:space="preserve"> </w:t>
      </w:r>
      <w:r>
        <w:rPr>
          <w:iCs/>
          <w:i/>
        </w:rPr>
        <w:t xml:space="preserve">Brewster</w:t>
      </w:r>
      <w:r>
        <w:t xml:space="preserve"> </w:t>
      </w:r>
      <w:r>
        <w:t xml:space="preserve">are all predicated on the same showing of a breach of fiduciary duty. Without staying the federal proceeding, the two actions would proceed simultaneously — duplicating the amount of judicial resources required to reach a resolution. If</w:t>
      </w:r>
      <w:r>
        <w:t xml:space="preserve"> </w:t>
      </w:r>
      <w:r>
        <w:rPr>
          <w:iCs/>
          <w:i/>
        </w:rPr>
        <w:t xml:space="preserve">Brewster</w:t>
      </w:r>
      <w:r>
        <w:t xml:space="preserve"> </w:t>
      </w:r>
      <w:r>
        <w:t xml:space="preserve">is reinstated, the two courts would oversee similar pre-trial motions and discovery matters and two different triers of fact would be asked to consider the same issues, evidence and witnesses. Our Court has held that this sort of redundancy counsels in favor of a stay.</w:t>
      </w:r>
      <w:r>
        <w:t xml:space="preserve"> </w:t>
      </w:r>
      <w:r>
        <w:rPr>
          <w:rStyle w:val="Elision"/>
        </w:rPr>
        <w:t xml:space="preserve">[ … ]</w:t>
      </w:r>
      <w:r>
        <w:t xml:space="preserve"> </w:t>
      </w:r>
      <w:r>
        <w:t xml:space="preserve">Not only would a stay save judicial resources,</w:t>
      </w:r>
      <w:r>
        <w:t xml:space="preserve"> </w:t>
      </w:r>
      <w:r>
        <w:t xml:space="preserve">but it would also protect against the danger of the two proceedings reaching inconsistent results, especially in light of the recent dismissal of</w:t>
      </w:r>
      <w:r>
        <w:t xml:space="preserve"> </w:t>
      </w:r>
      <w:r>
        <w:rPr>
          <w:iCs/>
          <w:i/>
        </w:rPr>
        <w:t xml:space="preserve">Brewster</w:t>
      </w:r>
      <w:r>
        <w:rPr>
          <w:iCs/>
          <w:i/>
        </w:rPr>
        <w:t xml:space="preserve"> </w:t>
      </w:r>
      <w:r>
        <w:t xml:space="preserve">by the New York Supreme Court.</w:t>
      </w:r>
      <w:r>
        <w:rPr>
          <w:rStyle w:val="FootnoteReference"/>
        </w:rPr>
        <w:footnoteReference w:customMarkFollows="1" w:id="97"/>
        <w:t xml:space="preserve">***</w:t>
      </w:r>
    </w:p>
    <w:p>
      <w:pPr>
        <w:pStyle w:val="CaseBody"/>
      </w:pPr>
      <w:r>
        <w:t xml:space="preserve">Next, we agree with the district court’s determination that because both cases are governed by New York law, it is better to defer to the New York courts to consider the issues presented.</w:t>
      </w:r>
      <w:r>
        <w:t xml:space="preserve"> </w:t>
      </w:r>
      <w:r>
        <w:t xml:space="preserve">“[A] state court’s expertise in applying its own law favors a</w:t>
      </w:r>
      <w:r>
        <w:t xml:space="preserve"> </w:t>
      </w:r>
      <w:r>
        <w:rPr>
          <w:iCs/>
          <w:i/>
        </w:rPr>
        <w:t xml:space="preserve">Colorado River</w:t>
      </w:r>
      <w:r>
        <w:rPr>
          <w:iCs/>
          <w:i/>
        </w:rPr>
        <w:t xml:space="preserve"> </w:t>
      </w:r>
      <w:r>
        <w:t xml:space="preserve">stay.”</w:t>
      </w:r>
      <w:r>
        <w:t xml:space="preserve"> </w:t>
      </w:r>
    </w:p>
    <w:p>
      <w:pPr>
        <w:pStyle w:val="CaseBody"/>
      </w:pPr>
      <w:r>
        <w:rPr>
          <w:rStyle w:val="Elision"/>
        </w:rPr>
        <w:t xml:space="preserve">[ … ]</w:t>
      </w:r>
      <w:r>
        <w:t xml:space="preserve">. In this case, it makes more sense to allow a New York state court to resolve whether under New York law pre-suit demand was excused and whether a claim for breach of fiduciary duty has been stated against the defendants.</w:t>
      </w:r>
      <w:r>
        <w:rPr>
          <w:rStyle w:val="FootnoteReference"/>
        </w:rPr>
        <w:footnoteReference w:customMarkFollows="1" w:id="120"/>
        <w:t xml:space="preserve">****</w:t>
      </w:r>
    </w:p>
    <w:p>
      <w:pPr>
        <w:pStyle w:val="CaseBody"/>
      </w:pPr>
      <w:r>
        <w:t xml:space="preserve">As the district court also noted, the</w:t>
      </w:r>
      <w:r>
        <w:t xml:space="preserve"> </w:t>
      </w:r>
      <w:r>
        <w:rPr>
          <w:iCs/>
          <w:i/>
        </w:rPr>
        <w:t xml:space="preserve">Brewster</w:t>
      </w:r>
      <w:r>
        <w:t xml:space="preserve"> </w:t>
      </w:r>
      <w:r>
        <w:t xml:space="preserve">action was filed first, albeit by only a few weeks.' At best, this factor is neutral, but it does not push us towards allowing the federal case to proceed. The district court also found that a stay was warranted because the “claims here can be adjudicated in New York, and the New York claims cannot be removed here.” Clark does not dispute that the claims in this proceeding may be brought in New York state court.</w:t>
      </w:r>
      <w:r>
        <w:t xml:space="preserve"> </w:t>
      </w:r>
      <w:r>
        <w:t xml:space="preserve">Not only does the availability of concurrent jurisdiction weigh in favor of a stay, so does the inability to remove the New York action to federal court</w:t>
      </w:r>
      <w:r>
        <w:rPr>
          <w:rStyle w:val="FootnoteReference"/>
        </w:rPr>
        <w:footnoteReference w:customMarkFollows="1" w:id="132"/>
        <w:t xml:space="preserve">*****</w:t>
      </w:r>
      <w:r>
        <w:t xml:space="preserve">.</w:t>
      </w:r>
      <w:r>
        <w:t xml:space="preserve"> </w:t>
      </w:r>
      <w:r>
        <w:rPr>
          <w:rStyle w:val="Elision"/>
        </w:rPr>
        <w:t xml:space="preserve">[ … ]</w:t>
      </w:r>
    </w:p>
    <w:p>
      <w:pPr>
        <w:pStyle w:val="CaseBody"/>
      </w:pPr>
      <w:r>
        <w:t xml:space="preserve">The district court found the remaining factors to be neutral. Of these factors, Clark most vigorously contests the district court’s determination with respect to the relative convenience of the federal forum. To support her argument that the federal forum is more convenient, Clark points out that ten of the fifteen defendants live in this district and that many of the relevant documents and witnesses are located at Sears’ Illinois headquarters. While this may be true, the district court’s finding was not improper. The</w:t>
      </w:r>
      <w:r>
        <w:t xml:space="preserve"> </w:t>
      </w:r>
      <w:r>
        <w:rPr>
          <w:iCs/>
          <w:i/>
        </w:rPr>
        <w:t xml:space="preserve">Brewster</w:t>
      </w:r>
      <w:r>
        <w:t xml:space="preserve"> </w:t>
      </w:r>
      <w:r>
        <w:t xml:space="preserve">action will continue in New York regardless of whether the</w:t>
      </w:r>
      <w:r>
        <w:t xml:space="preserve"> </w:t>
      </w:r>
      <w:r>
        <w:rPr>
          <w:iCs/>
          <w:i/>
        </w:rPr>
        <w:t xml:space="preserve">Clark</w:t>
      </w:r>
      <w:r>
        <w:t xml:space="preserve"> </w:t>
      </w:r>
      <w:r>
        <w:t xml:space="preserve">action is stayed in Illinois. Moreover, the thrust of Clark’s argument regarding convenience of the Illinois forum (as well as her arguments relating to other factors) is that the district court assigned this factor insufficient weight in the its analysis. .However, a disagreement over weight assigned to a factor by the district court does not necessarily amount to an abuse of discretion. Given the flexible nature of the ten-factor balancing test, we are reluctant to tinker with the district court’s assignment of weight to any particular factor.</w:t>
      </w:r>
    </w:p>
    <w:p>
      <w:pPr>
        <w:pStyle w:val="CaseBody"/>
      </w:pPr>
      <w:r>
        <w:t xml:space="preserve">The remaining factors can be disposed of summarily. No persuasive arguments have been presented as to why any of them would counsel against a stay in this case. Clark does not dispute that two of them — jurisdiction over property and vexatious litigation — are indeed neutral. Moreover, there is no fear that Sears’ rights will not be adequately protected in the state proceeding as the same questions of law and fact are presented as in the federal case and the state court can resolve these questions just as effectively. Lastly, as the motion to dismiss has been fully briefed, argued, and decided in</w:t>
      </w:r>
      <w:r>
        <w:t xml:space="preserve"> </w:t>
      </w:r>
      <w:r>
        <w:rPr>
          <w:iCs/>
          <w:i/>
        </w:rPr>
        <w:t xml:space="preserve">Brewster,</w:t>
      </w:r>
      <w:r>
        <w:t xml:space="preserve"> </w:t>
      </w:r>
      <w:r>
        <w:t xml:space="preserve">the progress of the state court proceeding is currently more advanced than that of the federal action.</w:t>
      </w:r>
    </w:p>
    <w:p>
      <w:pPr>
        <w:pStyle w:val="CaseBody"/>
      </w:pPr>
      <w:r>
        <w:t xml:space="preserve">Accordingly, since the state and federal proceedings at issue are parallel and a stay would promote wise judicial administration, we decline to hold that the district court abused its discretion in finding that the exceptional nature of this case justified a stay. The district court appropriately addressed the</w:t>
      </w:r>
      <w:r>
        <w:t xml:space="preserve"> </w:t>
      </w:r>
      <w:r>
        <w:rPr>
          <w:iCs/>
          <w:i/>
        </w:rPr>
        <w:t xml:space="preserve">Colorado River</w:t>
      </w:r>
      <w:r>
        <w:t xml:space="preserve"> </w:t>
      </w:r>
      <w:r>
        <w:t xml:space="preserve">factors, applying more significant analysis to those factors most relevant in this ease. Moreover, a stay is a measured approach that protects the substantial rights of the parties and allows Clark the possibility of continuing this litigation once the</w:t>
      </w:r>
      <w:r>
        <w:t xml:space="preserve"> </w:t>
      </w:r>
      <w:r>
        <w:rPr>
          <w:iCs/>
          <w:i/>
        </w:rPr>
        <w:t xml:space="preserve">Brewster</w:t>
      </w:r>
      <w:r>
        <w:t xml:space="preserve"> </w:t>
      </w:r>
      <w:r>
        <w:t xml:space="preserve">action reaches a conclusion in New York.</w:t>
      </w:r>
    </w:p>
    <w:p>
      <w:pPr>
        <w:pStyle w:val="CaseBody"/>
      </w:pPr>
      <w:r>
        <w:t xml:space="preserve">III. Conclusion</w:t>
      </w:r>
    </w:p>
    <w:p>
      <w:pPr>
        <w:pStyle w:val="CaseBody"/>
      </w:pPr>
      <w:r>
        <w:t xml:space="preserve">We</w:t>
      </w:r>
      <w:r>
        <w:t xml:space="preserve"> </w:t>
      </w:r>
      <w:r>
        <w:rPr>
          <w:rStyle w:val="ReplacementText"/>
        </w:rPr>
        <w:t xml:space="preserve">AFFIRM</w:t>
      </w:r>
      <w:r>
        <w:t xml:space="preserve"> </w:t>
      </w:r>
      <w:r>
        <w:t xml:space="preserve">the district court’s stay order.</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43" w:name="_auto_toc_43"/>
    <w:bookmarkEnd w:id="43"/>
    <w:p>
      <w:pPr>
        <w:pStyle w:val="ChapterNumber"/>
      </w:pPr>
      <w:r>
        <w:t xml:space="preserve">5</w:t>
      </w:r>
    </w:p>
    <w:p>
      <w:pPr>
        <w:pStyle w:val="ChapterTitle"/>
      </w:pPr>
      <w:r>
        <w:t xml:space="preserve">Day 5</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44" w:name="_auto_toc_44"/>
    <w:bookmarkEnd w:id="44"/>
    <w:p>
      <w:pPr>
        <w:pStyle w:val="ResourceNumber"/>
      </w:pPr>
      <w:r>
        <w:t xml:space="preserve">5.1</w:t>
      </w:r>
    </w:p>
    <w:p>
      <w:pPr>
        <w:pStyle w:val="ResourceTitle"/>
      </w:pPr>
      <w:r>
        <w:t xml:space="preserve">Horizontal Choice of Law</w:t>
      </w:r>
    </w:p>
    <w:p>
      <w:pPr>
        <w:pStyle w:val="HeadEnd"/>
      </w:pPr>
      <w:r>
        <w:t xml:space="preserve"> </w:t>
      </w:r>
    </w:p>
    <w:p>
      <w:pPr>
        <w:pStyle w:val="BodyText"/>
      </w:pPr>
      <w:r>
        <w:t xml:space="preserve">Sometimes, the transaction giving rise to a lawsuit occurs across state boundaries.  Perhaps a party in State A makes a contract in State B, and the party in State A later alleges that the other party breached.  Perhaps a set of events giving rise to a tort begins in State A and finishes in State B.</w:t>
      </w:r>
    </w:p>
    <w:p>
      <w:pPr>
        <w:pStyle w:val="BodyText"/>
      </w:pPr>
      <w:r>
        <w:t xml:space="preserve">If the laws of State A and State B are the same, there is no problem about how to decide a case.  But, if the law of State A differs from the law of State B, which governs the case?  That is the subject for Day 5.</w:t>
      </w:r>
    </w:p>
    <w:p>
      <w:pPr>
        <w:pStyle w:val="NodeEnd"/>
      </w:pPr>
      <w:r>
        <w:t xml:space="preserve"> </w:t>
      </w:r>
    </w:p>
    <w:p>
      <w:pPr>
        <w:pStyle w:val="NodeStart"/>
      </w:pPr>
      <w:r>
        <w:t xml:space="preserve"> </w:t>
      </w:r>
    </w:p>
    <w:p>
      <w:pPr>
        <w:pStyle w:val="HeadSeparator"/>
      </w:pPr>
      <w:r>
        <w:t xml:space="preserve"> </w:t>
      </w:r>
    </w:p>
    <w:bookmarkStart w:id="45" w:name="_auto_toc_45"/>
    <w:bookmarkEnd w:id="45"/>
    <w:p>
      <w:pPr>
        <w:pStyle w:val="ResourceNumber"/>
      </w:pPr>
      <w:r>
        <w:t xml:space="preserve">5.2</w:t>
      </w:r>
    </w:p>
    <w:p>
      <w:pPr>
        <w:pStyle w:val="ResourceTitle"/>
      </w:pPr>
      <w:r>
        <w:t xml:space="preserve">Excerpts from the Restatement (First) on Conflicts (1953)</w:t>
      </w:r>
    </w:p>
    <w:p>
      <w:pPr>
        <w:pStyle w:val="HeadFieldSeparator"/>
      </w:pPr>
      <w:r>
        <w:t xml:space="preserve"> </w:t>
      </w:r>
    </w:p>
    <w:p>
      <w:pPr>
        <w:pStyle w:val="ResourceHeadnote"/>
      </w:pPr>
      <w:r>
        <w:t xml:space="preserve">There are two primary approaches to horizontal (meaning between-state) choice of law, also called "conflicts" of law.</w:t>
      </w:r>
    </w:p>
    <w:p>
      <w:pPr>
        <w:pStyle w:val="ResourceHeadnote"/>
      </w:pPr>
      <w:r>
        <w:t xml:space="preserve">Until around the 1950s, all states followed the "First Restatement" approach. (We will talk briefly about what a "Restatement" is in class.) About ten or so states continue to use it today. It is also called the "vested rights" approach. The first case we read, the</w:t>
      </w:r>
      <w:r>
        <w:t xml:space="preserve"> </w:t>
      </w:r>
      <w:r>
        <w:rPr>
          <w:iCs/>
          <w:i/>
        </w:rPr>
        <w:t xml:space="preserve">Great Alabama Railroad</w:t>
      </w:r>
      <w:r>
        <w:t xml:space="preserve"> </w:t>
      </w:r>
      <w:r>
        <w:t xml:space="preserve">case, exemplifies this approach.</w:t>
      </w:r>
    </w:p>
    <w:p>
      <w:pPr>
        <w:pStyle w:val="ResourceHeadnote"/>
      </w:pPr>
      <w:r>
        <w:t xml:space="preserve">Beginning in the 1950s (roughly), many states began to transition to following the Second Restatement approach. The Second Restatement actually encapsulates several different theories. Depending on which of these theories predominates, you might hear labels such as "interests analysis" or "center of gravity." The second and third cases we read exemplify this approach.</w:t>
      </w:r>
    </w:p>
    <w:p>
      <w:pPr>
        <w:pStyle w:val="ResourceHeadnote"/>
      </w:pPr>
      <w:r>
        <w:t xml:space="preserve">Excerpts from the First and Second Restatements, dealing with torts, appear below.</w:t>
      </w:r>
    </w:p>
    <w:p>
      <w:pPr>
        <w:pStyle w:val="HeadEnd"/>
      </w:pPr>
      <w:r>
        <w:t xml:space="preserve"> </w:t>
      </w:r>
    </w:p>
    <w:p>
      <w:pPr>
        <w:pStyle w:val="BodyText"/>
      </w:pPr>
      <w:r>
        <w:rPr>
          <w:bCs/>
          <w:b/>
        </w:rPr>
        <w:t xml:space="preserve">Sections dealing with “Wrongs”</w:t>
      </w:r>
    </w:p>
    <w:p>
      <w:pPr>
        <w:pStyle w:val="BodyText"/>
      </w:pPr>
      <w:r>
        <w:t xml:space="preserve"> </w:t>
      </w:r>
    </w:p>
    <w:p>
      <w:pPr>
        <w:pStyle w:val="BodyText"/>
      </w:pPr>
      <w:r>
        <w:t xml:space="preserve">§ 377.</w:t>
      </w:r>
      <w:r>
        <w:t xml:space="preserve"> </w:t>
      </w:r>
      <w:r>
        <w:t xml:space="preserve">The Place of Wrong</w:t>
      </w:r>
    </w:p>
    <w:p>
      <w:pPr>
        <w:pStyle w:val="BodyText"/>
      </w:pPr>
      <w:r>
        <w:t xml:space="preserve">        </w:t>
      </w:r>
      <w:r>
        <w:t xml:space="preserve"> </w:t>
      </w:r>
      <w:r>
        <w:t xml:space="preserve">The place of wrong is the state where the last event necessary to make an actor liable for an alleged tort takes place . . . .</w:t>
      </w:r>
    </w:p>
    <w:p>
      <w:pPr>
        <w:pStyle w:val="BodyText"/>
      </w:pPr>
      <w:r>
        <w:t xml:space="preserve"> </w:t>
      </w:r>
    </w:p>
    <w:p>
      <w:pPr>
        <w:pStyle w:val="BodyText"/>
      </w:pPr>
      <w:r>
        <w:t xml:space="preserve"> </w:t>
      </w:r>
    </w:p>
    <w:p>
      <w:pPr>
        <w:pStyle w:val="BodyText"/>
      </w:pPr>
      <w:r>
        <w:t xml:space="preserve">The Restatement (First) then goes on to specify that the following issues are determined by the law of the place of wrong:</w:t>
      </w:r>
    </w:p>
    <w:p>
      <w:pPr>
        <w:numPr>
          <w:ilvl w:val="0"/>
          <w:numId w:val="1074"/>
        </w:numPr>
      </w:pPr>
      <w:r>
        <w:t xml:space="preserve"> </w:t>
      </w:r>
      <w:r>
        <w:t xml:space="preserve"> </w:t>
      </w:r>
      <w:r>
        <w:t xml:space="preserve">“whether a person has sustained a legal injury,” § 378;</w:t>
      </w:r>
    </w:p>
    <w:p>
      <w:pPr>
        <w:numPr>
          <w:ilvl w:val="0"/>
          <w:numId w:val="1074"/>
        </w:numPr>
      </w:pPr>
      <w:r>
        <w:t xml:space="preserve"> </w:t>
      </w:r>
      <w:r>
        <w:t xml:space="preserve"> </w:t>
      </w:r>
      <w:r>
        <w:t xml:space="preserve">the state of mind needed to impose responsibility on one committing an act or omission (</w:t>
      </w:r>
      <w:r>
        <w:rPr>
          <w:iCs/>
          <w:i/>
        </w:rPr>
        <w:t xml:space="preserve">i.e.</w:t>
      </w:r>
      <w:r>
        <w:t xml:space="preserve">, intentionality, negligence, or faultless (strict liability)), § 379;</w:t>
      </w:r>
    </w:p>
    <w:p>
      <w:pPr>
        <w:numPr>
          <w:ilvl w:val="0"/>
          <w:numId w:val="1074"/>
        </w:numPr>
      </w:pPr>
      <w:r>
        <w:t xml:space="preserve"> </w:t>
      </w:r>
      <w:r>
        <w:t xml:space="preserve"> </w:t>
      </w:r>
      <w:r>
        <w:t xml:space="preserve">“whether contributory negligence of the plaintiff precludes recovery in whole or in part,” § 385;</w:t>
      </w:r>
    </w:p>
    <w:p>
      <w:pPr>
        <w:numPr>
          <w:ilvl w:val="0"/>
          <w:numId w:val="1074"/>
        </w:numPr>
      </w:pPr>
      <w:r>
        <w:t xml:space="preserve"> </w:t>
      </w:r>
      <w:r>
        <w:t xml:space="preserve"> </w:t>
      </w:r>
      <w:r>
        <w:t xml:space="preserve">“whether a master is liable in tort to a servant for a wrong caused by a fellow servant,” §386;</w:t>
      </w:r>
    </w:p>
    <w:p>
      <w:pPr>
        <w:numPr>
          <w:ilvl w:val="0"/>
          <w:numId w:val="1074"/>
        </w:numPr>
      </w:pPr>
      <w:r>
        <w:t xml:space="preserve"> </w:t>
      </w:r>
      <w:r>
        <w:t xml:space="preserve"> </w:t>
      </w:r>
      <w:r>
        <w:t xml:space="preserve">“whether [a person who authorizes another to do an act for him] is liable for the tort of the other,” § 387;</w:t>
      </w:r>
    </w:p>
    <w:p>
      <w:pPr>
        <w:numPr>
          <w:ilvl w:val="0"/>
          <w:numId w:val="1074"/>
        </w:numPr>
      </w:pPr>
      <w:r>
        <w:t xml:space="preserve"> </w:t>
      </w:r>
      <w:r>
        <w:t xml:space="preserve"> </w:t>
      </w:r>
      <w:r>
        <w:t xml:space="preserve">“whether a claim for damages for a tort survives the death of the tortfeasor or of the injured person,” § 390;</w:t>
      </w:r>
    </w:p>
    <w:p>
      <w:pPr>
        <w:numPr>
          <w:ilvl w:val="0"/>
          <w:numId w:val="1074"/>
        </w:numPr>
      </w:pPr>
      <w:r>
        <w:t xml:space="preserve"> </w:t>
      </w:r>
      <w:r>
        <w:t xml:space="preserve"> </w:t>
      </w:r>
      <w:r>
        <w:t xml:space="preserve">the law concerning “a right of action for death,” § 391;</w:t>
      </w:r>
    </w:p>
    <w:p>
      <w:pPr>
        <w:numPr>
          <w:ilvl w:val="0"/>
          <w:numId w:val="1074"/>
        </w:numPr>
      </w:pPr>
      <w:r>
        <w:t xml:space="preserve"> </w:t>
      </w:r>
      <w:r>
        <w:t xml:space="preserve"> </w:t>
      </w:r>
      <w:r>
        <w:t xml:space="preserve">“the measure of damages for a tort,” § 412; and</w:t>
      </w:r>
    </w:p>
    <w:p>
      <w:pPr>
        <w:numPr>
          <w:ilvl w:val="0"/>
          <w:numId w:val="1074"/>
        </w:numPr>
      </w:pPr>
      <w:r>
        <w:t xml:space="preserve"> </w:t>
      </w:r>
      <w:r>
        <w:t xml:space="preserve"> </w:t>
      </w:r>
      <w:r>
        <w:t xml:space="preserve">“the right to exemplary damages,” 421.</w:t>
      </w:r>
    </w:p>
    <w:p>
      <w:pPr>
        <w:pStyle w:val="FirstParagraph"/>
      </w:pPr>
      <w:r>
        <w:t xml:space="preserve"> </w:t>
      </w:r>
    </w:p>
    <w:p>
      <w:pPr>
        <w:pStyle w:val="BodyText"/>
      </w:pPr>
      <w:r>
        <w:t xml:space="preserve"> </w:t>
      </w:r>
    </w:p>
    <w:p>
      <w:pPr>
        <w:pStyle w:val="BodyText"/>
      </w:pPr>
      <w:r>
        <w:rPr>
          <w:bCs/>
          <w:b/>
        </w:rPr>
        <w:t xml:space="preserve">Sections dealing with “Procedure”</w:t>
      </w:r>
    </w:p>
    <w:p>
      <w:pPr>
        <w:pStyle w:val="BodyText"/>
      </w:pPr>
      <w:r>
        <w:t xml:space="preserve"> </w:t>
      </w:r>
    </w:p>
    <w:p>
      <w:pPr>
        <w:pStyle w:val="BodyText"/>
      </w:pPr>
      <w:r>
        <w:t xml:space="preserve">§ 584 What Law Governs Procedure</w:t>
      </w:r>
    </w:p>
    <w:p>
      <w:pPr>
        <w:pStyle w:val="BodyText"/>
      </w:pPr>
      <w:r>
        <w:t xml:space="preserve">        </w:t>
      </w:r>
      <w:r>
        <w:t xml:space="preserve"> </w:t>
      </w:r>
      <w:r>
        <w:t xml:space="preserve">All matters of procedure are governed by the law of the forum.</w:t>
      </w:r>
    </w:p>
    <w:p>
      <w:pPr>
        <w:pStyle w:val="BodyText"/>
      </w:pPr>
      <w:r>
        <w:t xml:space="preserve"> </w:t>
      </w:r>
    </w:p>
    <w:p>
      <w:pPr>
        <w:pStyle w:val="BodyText"/>
      </w:pPr>
      <w:r>
        <w:rPr>
          <w:bCs/>
          <w:b/>
        </w:rPr>
        <w:t xml:space="preserve">Sections dealing with “Procedure,” specifically “Statutes of Limitations”</w:t>
      </w:r>
    </w:p>
    <w:p>
      <w:pPr>
        <w:pStyle w:val="BodyText"/>
      </w:pPr>
      <w:r>
        <w:t xml:space="preserve"> </w:t>
      </w:r>
    </w:p>
    <w:p>
      <w:pPr>
        <w:pStyle w:val="BodyText"/>
      </w:pPr>
      <w:r>
        <w:t xml:space="preserve">§ 603</w:t>
      </w:r>
      <w:r>
        <w:t xml:space="preserve"> </w:t>
      </w:r>
      <w:r>
        <w:t xml:space="preserve">Statute of Limitations of Forum</w:t>
      </w:r>
    </w:p>
    <w:p>
      <w:pPr>
        <w:pStyle w:val="BodyText"/>
      </w:pPr>
      <w:r>
        <w:t xml:space="preserve">        </w:t>
      </w:r>
      <w:r>
        <w:t xml:space="preserve"> </w:t>
      </w:r>
      <w:r>
        <w:t xml:space="preserve">If action is barred by the statute of limitations of the forum, no action can be maintained though action is not barred in the state where the cause of action arose.</w:t>
      </w:r>
    </w:p>
    <w:p>
      <w:pPr>
        <w:pStyle w:val="BodyText"/>
      </w:pPr>
      <w:r>
        <w:t xml:space="preserve"> </w:t>
      </w:r>
    </w:p>
    <w:p>
      <w:pPr>
        <w:pStyle w:val="BodyText"/>
      </w:pPr>
      <w:r>
        <w:t xml:space="preserve">§ 604</w:t>
      </w:r>
      <w:r>
        <w:t xml:space="preserve"> </w:t>
      </w:r>
      <w:r>
        <w:t xml:space="preserve">Foreign Statute of Limitations</w:t>
      </w:r>
    </w:p>
    <w:p>
      <w:pPr>
        <w:pStyle w:val="BodyText"/>
      </w:pPr>
      <w:r>
        <w:t xml:space="preserve">        </w:t>
      </w:r>
      <w:r>
        <w:t xml:space="preserve"> </w:t>
      </w:r>
      <w:r>
        <w:t xml:space="preserve">If action is not barred by the statute of limitations of the forum, an action can be maintained, though action is barred in the state where the cause of action arose.</w:t>
      </w:r>
    </w:p>
    <w:p>
      <w:pPr>
        <w:pStyle w:val="BodyText"/>
      </w:pPr>
      <w:r>
        <w:t xml:space="preserve"> </w:t>
      </w:r>
    </w:p>
    <w:p>
      <w:pPr>
        <w:pStyle w:val="BodyText"/>
      </w:pPr>
      <w:r>
        <w:t xml:space="preserve">[NOTE:  WE WILL NOT NOT COVER THE FOLLOWING SECTION IN CLASS, AND YOU ARE NOT RESPONSIBLE FOR IT.]</w:t>
      </w:r>
    </w:p>
    <w:p>
      <w:pPr>
        <w:pStyle w:val="BodyText"/>
      </w:pPr>
      <w:r>
        <w:t xml:space="preserve">§ 605</w:t>
      </w:r>
      <w:r>
        <w:t xml:space="preserve"> </w:t>
      </w:r>
      <w:r>
        <w:t xml:space="preserve">Time Limitations on Cause of Action</w:t>
      </w:r>
    </w:p>
    <w:p>
      <w:pPr>
        <w:pStyle w:val="BodyText"/>
      </w:pPr>
      <w:r>
        <w:t xml:space="preserve">        </w:t>
      </w:r>
      <w:r>
        <w:t xml:space="preserve"> </w:t>
      </w:r>
      <w:r>
        <w:t xml:space="preserve">If by the law of the state which has created a right of action, it is made a condition of the right that it shall expire after a certain period of limitation has elapsed, no action begun after the period has elapsed can be maintained in any state.</w:t>
      </w:r>
    </w:p>
    <w:p>
      <w:pPr>
        <w:pStyle w:val="NodeEnd"/>
      </w:pPr>
      <w:r>
        <w:t xml:space="preserve"> </w:t>
      </w:r>
    </w:p>
    <w:p>
      <w:pPr>
        <w:pStyle w:val="NodeStart"/>
      </w:pPr>
      <w:r>
        <w:t xml:space="preserve"> </w:t>
      </w:r>
    </w:p>
    <w:p>
      <w:pPr>
        <w:pStyle w:val="HeadSeparator"/>
      </w:pPr>
      <w:r>
        <w:t xml:space="preserve"> </w:t>
      </w:r>
    </w:p>
    <w:bookmarkStart w:id="46" w:name="_auto_toc_46"/>
    <w:bookmarkEnd w:id="46"/>
    <w:p>
      <w:pPr>
        <w:pStyle w:val="ResourceNumber"/>
      </w:pPr>
      <w:r>
        <w:t xml:space="preserve">5.3</w:t>
      </w:r>
    </w:p>
    <w:p>
      <w:pPr>
        <w:pStyle w:val="ResourceTitle"/>
      </w:pPr>
      <w:r>
        <w:t xml:space="preserve">Excerpts from the Restatement (Second) on Conflicts (1971)</w:t>
      </w:r>
    </w:p>
    <w:p>
      <w:pPr>
        <w:pStyle w:val="HeadEnd"/>
      </w:pPr>
      <w:r>
        <w:t xml:space="preserve"> </w:t>
      </w:r>
    </w:p>
    <w:p>
      <w:pPr>
        <w:pStyle w:val="BodyText"/>
      </w:pPr>
      <w:r>
        <w:t xml:space="preserve">§ 6.</w:t>
      </w:r>
      <w:r>
        <w:t xml:space="preserve"> </w:t>
      </w:r>
      <w:r>
        <w:t xml:space="preserve">Choice-of-Law Principles</w:t>
      </w:r>
    </w:p>
    <w:p>
      <w:pPr>
        <w:pStyle w:val="BodyText"/>
      </w:pPr>
      <w:r>
        <w:t xml:space="preserve">        </w:t>
      </w:r>
      <w:r>
        <w:t xml:space="preserve"> </w:t>
      </w:r>
      <w:r>
        <w:t xml:space="preserve">(1)</w:t>
      </w:r>
      <w:r>
        <w:t xml:space="preserve"> </w:t>
      </w:r>
      <w:r>
        <w:t xml:space="preserve"> </w:t>
      </w:r>
      <w:r>
        <w:t xml:space="preserve">A court, subject to constitutional restrictions, will follow a statutory directive of its own state on choice of law;</w:t>
      </w:r>
    </w:p>
    <w:p>
      <w:pPr>
        <w:pStyle w:val="BodyText"/>
      </w:pPr>
      <w:r>
        <w:t xml:space="preserve">        </w:t>
      </w:r>
      <w:r>
        <w:t xml:space="preserve"> </w:t>
      </w:r>
      <w:r>
        <w:t xml:space="preserve">(2)</w:t>
      </w:r>
      <w:r>
        <w:t xml:space="preserve"> </w:t>
      </w:r>
      <w:r>
        <w:t xml:space="preserve"> </w:t>
      </w:r>
      <w:r>
        <w:t xml:space="preserve">When there is no such directive, the factors relevant to the choice of the applicable rule of law include</w:t>
      </w:r>
    </w:p>
    <w:p>
      <w:pPr>
        <w:pStyle w:val="BodyText"/>
      </w:pPr>
      <w:r>
        <w:t xml:space="preserve">                 </w:t>
      </w:r>
      <w:r>
        <w:t xml:space="preserve"> </w:t>
      </w:r>
      <w:r>
        <w:t xml:space="preserve">(a) the needs of the interstate and international systems,</w:t>
      </w:r>
    </w:p>
    <w:p>
      <w:pPr>
        <w:pStyle w:val="BodyText"/>
      </w:pPr>
      <w:r>
        <w:t xml:space="preserve">                 </w:t>
      </w:r>
      <w:r>
        <w:t xml:space="preserve"> </w:t>
      </w:r>
      <w:r>
        <w:t xml:space="preserve">(b) the relevant policies of the forum,</w:t>
      </w:r>
    </w:p>
    <w:p>
      <w:pPr>
        <w:pStyle w:val="BodyText"/>
      </w:pPr>
      <w:r>
        <w:t xml:space="preserve">                 </w:t>
      </w:r>
      <w:r>
        <w:t xml:space="preserve"> </w:t>
      </w:r>
      <w:r>
        <w:t xml:space="preserve">(c) the relevant policies of other interested states and the relative interests of those states in the determination of the particular issue,</w:t>
      </w:r>
    </w:p>
    <w:p>
      <w:pPr>
        <w:pStyle w:val="BodyText"/>
      </w:pPr>
      <w:r>
        <w:t xml:space="preserve">                 </w:t>
      </w:r>
      <w:r>
        <w:t xml:space="preserve"> </w:t>
      </w:r>
      <w:r>
        <w:t xml:space="preserve">(d) the protection of justified expectations,</w:t>
      </w:r>
    </w:p>
    <w:p>
      <w:pPr>
        <w:pStyle w:val="BodyText"/>
      </w:pPr>
      <w:r>
        <w:t xml:space="preserve">                 </w:t>
      </w:r>
      <w:r>
        <w:t xml:space="preserve"> </w:t>
      </w:r>
      <w:r>
        <w:t xml:space="preserve">(e) the basic policies underlying the particular field of law,</w:t>
      </w:r>
    </w:p>
    <w:p>
      <w:pPr>
        <w:pStyle w:val="BodyText"/>
      </w:pPr>
      <w:r>
        <w:t xml:space="preserve">                 </w:t>
      </w:r>
      <w:r>
        <w:t xml:space="preserve"> </w:t>
      </w:r>
      <w:r>
        <w:t xml:space="preserve">(f) certainty, predictability and uniformity of result, and</w:t>
      </w:r>
    </w:p>
    <w:p>
      <w:pPr>
        <w:pStyle w:val="BodyText"/>
      </w:pPr>
      <w:r>
        <w:t xml:space="preserve">                 </w:t>
      </w:r>
      <w:r>
        <w:t xml:space="preserve"> </w:t>
      </w:r>
      <w:r>
        <w:t xml:space="preserve">(g) ease in the determination and application of the law to be applied.</w:t>
      </w:r>
    </w:p>
    <w:p>
      <w:pPr>
        <w:pStyle w:val="BodyText"/>
      </w:pPr>
      <w:r>
        <w:t xml:space="preserve"> </w:t>
      </w:r>
    </w:p>
    <w:p>
      <w:pPr>
        <w:pStyle w:val="BodyText"/>
      </w:pPr>
      <w:r>
        <w:rPr>
          <w:bCs/>
          <w:b/>
        </w:rPr>
        <w:t xml:space="preserve">From the sections on “Wrongs,” specifically “Torts”</w:t>
      </w:r>
    </w:p>
    <w:p>
      <w:pPr>
        <w:pStyle w:val="BodyText"/>
      </w:pPr>
      <w:r>
        <w:t xml:space="preserve"> </w:t>
      </w:r>
    </w:p>
    <w:p>
      <w:pPr>
        <w:pStyle w:val="BodyText"/>
      </w:pPr>
      <w:r>
        <w:t xml:space="preserve">§ 145</w:t>
      </w:r>
      <w:r>
        <w:t xml:space="preserve"> </w:t>
      </w:r>
      <w:r>
        <w:t xml:space="preserve">The General Principle</w:t>
      </w:r>
    </w:p>
    <w:p>
      <w:pPr>
        <w:pStyle w:val="BodyText"/>
      </w:pPr>
      <w:r>
        <w:t xml:space="preserve">        </w:t>
      </w:r>
      <w:r>
        <w:t xml:space="preserve"> </w:t>
      </w:r>
      <w:r>
        <w:t xml:space="preserve">(1)</w:t>
      </w:r>
      <w:r>
        <w:t xml:space="preserve"> </w:t>
      </w:r>
      <w:r>
        <w:t xml:space="preserve"> </w:t>
      </w:r>
      <w:r>
        <w:t xml:space="preserve">The rights and liabilities of the parties with respect to an issue in tort are determined by the local law of that state which, with respect to that issue, has the most significant relationship to the occurrence and the parties under the principles stated in § 6.</w:t>
      </w:r>
    </w:p>
    <w:p>
      <w:pPr>
        <w:pStyle w:val="BodyText"/>
      </w:pPr>
      <w:r>
        <w:t xml:space="preserve">        </w:t>
      </w:r>
      <w:r>
        <w:t xml:space="preserve"> </w:t>
      </w:r>
      <w:r>
        <w:t xml:space="preserve">(2)</w:t>
      </w:r>
      <w:r>
        <w:t xml:space="preserve"> </w:t>
      </w:r>
      <w:r>
        <w:t xml:space="preserve"> </w:t>
      </w:r>
      <w:r>
        <w:t xml:space="preserve">Contacts to be taken into account in applying the principles of § 6 to determine the law applicable to an issue include:</w:t>
      </w:r>
    </w:p>
    <w:p>
      <w:pPr>
        <w:pStyle w:val="BodyText"/>
      </w:pPr>
      <w:r>
        <w:t xml:space="preserve">                 </w:t>
      </w:r>
      <w:r>
        <w:t xml:space="preserve"> </w:t>
      </w:r>
      <w:r>
        <w:t xml:space="preserve">(a) the place where the injury occurred,</w:t>
      </w:r>
    </w:p>
    <w:p>
      <w:pPr>
        <w:pStyle w:val="BodyText"/>
      </w:pPr>
      <w:r>
        <w:t xml:space="preserve">                 </w:t>
      </w:r>
      <w:r>
        <w:t xml:space="preserve"> </w:t>
      </w:r>
      <w:r>
        <w:t xml:space="preserve">(b) the place where the conduct causing the injury occurred,</w:t>
      </w:r>
    </w:p>
    <w:p>
      <w:pPr>
        <w:pStyle w:val="BodyText"/>
      </w:pPr>
      <w:r>
        <w:t xml:space="preserve">                 </w:t>
      </w:r>
      <w:r>
        <w:t xml:space="preserve"> </w:t>
      </w:r>
      <w:r>
        <w:t xml:space="preserve">(c) the domicile, residence, nationality, place of incorporation and place of business of the parties, and</w:t>
      </w:r>
    </w:p>
    <w:p>
      <w:pPr>
        <w:pStyle w:val="BodyText"/>
      </w:pPr>
      <w:r>
        <w:t xml:space="preserve">                 </w:t>
      </w:r>
      <w:r>
        <w:t xml:space="preserve"> </w:t>
      </w:r>
      <w:r>
        <w:t xml:space="preserve">(d) the place where the relationship, if any, between the parties is centered.</w:t>
      </w:r>
    </w:p>
    <w:p>
      <w:pPr>
        <w:pStyle w:val="BodyText"/>
      </w:pPr>
      <w:r>
        <w:t xml:space="preserve">These contacts are to be evaluated according to their relative importance with respect to the particular issue.</w:t>
      </w:r>
    </w:p>
    <w:p>
      <w:pPr>
        <w:pStyle w:val="BodyText"/>
      </w:pPr>
      <w:r>
        <w:t xml:space="preserve"> </w:t>
      </w:r>
    </w:p>
    <w:p>
      <w:pPr>
        <w:pStyle w:val="BodyText"/>
      </w:pPr>
      <w:r>
        <w:t xml:space="preserve">§ 146 Personal Injuries</w:t>
      </w:r>
    </w:p>
    <w:p>
      <w:pPr>
        <w:pStyle w:val="BodyText"/>
      </w:pPr>
      <w:r>
        <w:t xml:space="preserve">        </w:t>
      </w:r>
      <w:r>
        <w:t xml:space="preserve"> </w:t>
      </w:r>
      <w:r>
        <w:t xml:space="preserve">In an action for a personal injury, the local law of the state where the injury occurred determines the rights and liabilities of the parties, unless, with regard to the particular issue, some other state has a more significant relationship under the principles stated in § 6 to the occurrence and the parties, in which event the local law of the other state will be applied.</w:t>
      </w:r>
    </w:p>
    <w:p>
      <w:pPr>
        <w:pStyle w:val="BodyText"/>
      </w:pPr>
      <w:r>
        <w:t xml:space="preserve"> </w:t>
      </w:r>
    </w:p>
    <w:p>
      <w:pPr>
        <w:pStyle w:val="BodyText"/>
      </w:pPr>
      <w:r>
        <w:t xml:space="preserve">§ 174 Vicarious Liability</w:t>
      </w:r>
    </w:p>
    <w:p>
      <w:pPr>
        <w:pStyle w:val="BodyText"/>
      </w:pPr>
      <w:r>
        <w:t xml:space="preserve">        </w:t>
      </w:r>
      <w:r>
        <w:t xml:space="preserve"> </w:t>
      </w:r>
      <w:r>
        <w:t xml:space="preserve">The law selected by the application of the rule of § 145 determines whether one person is liable for the tort of another person.</w:t>
      </w:r>
    </w:p>
    <w:p>
      <w:pPr>
        <w:pStyle w:val="BodyText"/>
      </w:pPr>
      <w:r>
        <w:t xml:space="preserve"> </w:t>
      </w:r>
    </w:p>
    <w:p>
      <w:pPr>
        <w:pStyle w:val="BodyText"/>
      </w:pPr>
      <w:r>
        <w:rPr>
          <w:bCs/>
          <w:b/>
        </w:rPr>
        <w:t xml:space="preserve">From the sections on “Procedure”</w:t>
      </w:r>
    </w:p>
    <w:p>
      <w:pPr>
        <w:pStyle w:val="BodyText"/>
      </w:pPr>
      <w:r>
        <w:t xml:space="preserve"> </w:t>
      </w:r>
    </w:p>
    <w:p>
      <w:pPr>
        <w:pStyle w:val="BodyText"/>
      </w:pPr>
      <w:r>
        <w:t xml:space="preserve">§ 122</w:t>
      </w:r>
      <w:r>
        <w:t xml:space="preserve"> </w:t>
      </w:r>
      <w:r>
        <w:t xml:space="preserve">Issues Relating to Judicial Administration</w:t>
      </w:r>
    </w:p>
    <w:p>
      <w:pPr>
        <w:pStyle w:val="BodyText"/>
      </w:pPr>
      <w:r>
        <w:t xml:space="preserve">        </w:t>
      </w:r>
      <w:r>
        <w:t xml:space="preserve"> </w:t>
      </w:r>
      <w:r>
        <w:t xml:space="preserve">A court usually applies its own local law rules prescribing how litigation shall be conducted even when it applies the local law rules of another state to resolve other issues in the case.</w:t>
      </w:r>
    </w:p>
    <w:p>
      <w:pPr>
        <w:pStyle w:val="BodyText"/>
      </w:pPr>
      <w:r>
        <w:rPr>
          <w:bCs/>
          <w:b/>
        </w:rPr>
        <w:t xml:space="preserve"> </w:t>
      </w:r>
    </w:p>
    <w:p>
      <w:pPr>
        <w:pStyle w:val="BodyText"/>
      </w:pPr>
      <w:r>
        <w:rPr>
          <w:bCs/>
          <w:b/>
        </w:rPr>
        <w:t xml:space="preserve">From the sections on “Procedure,” specifically “Rules Reflecting Other Values,” from the 1988 Revision (replacing previous §§ 142-43)</w:t>
      </w:r>
    </w:p>
    <w:p>
      <w:pPr>
        <w:pStyle w:val="BodyText"/>
      </w:pPr>
      <w:r>
        <w:t xml:space="preserve"> </w:t>
      </w:r>
    </w:p>
    <w:p>
      <w:pPr>
        <w:pStyle w:val="BodyText"/>
      </w:pPr>
      <w:r>
        <w:t xml:space="preserve">§ 142.</w:t>
      </w:r>
      <w:r>
        <w:t xml:space="preserve"> </w:t>
      </w:r>
      <w:r>
        <w:t xml:space="preserve">Whether a claim will be maintained against the defense of the statute of limitations is determined under the principles stated in § 6.</w:t>
      </w:r>
      <w:r>
        <w:t xml:space="preserve"> </w:t>
      </w:r>
      <w:r>
        <w:t xml:space="preserve"> </w:t>
      </w:r>
      <w:r>
        <w:t xml:space="preserve">In general, unless the exceptional circumstances of the case make such result unreasonable:</w:t>
      </w:r>
    </w:p>
    <w:p>
      <w:pPr>
        <w:pStyle w:val="BodyText"/>
      </w:pPr>
      <w:r>
        <w:t xml:space="preserve">        </w:t>
      </w:r>
      <w:r>
        <w:t xml:space="preserve"> </w:t>
      </w:r>
      <w:r>
        <w:t xml:space="preserve">(1)</w:t>
      </w:r>
      <w:r>
        <w:t xml:space="preserve"> </w:t>
      </w:r>
      <w:r>
        <w:t xml:space="preserve"> </w:t>
      </w:r>
      <w:r>
        <w:t xml:space="preserve">The forum will apply its own statute of limitations barring the claim.</w:t>
      </w:r>
    </w:p>
    <w:p>
      <w:pPr>
        <w:pStyle w:val="BodyText"/>
      </w:pPr>
      <w:r>
        <w:t xml:space="preserve">        </w:t>
      </w:r>
      <w:r>
        <w:t xml:space="preserve"> </w:t>
      </w:r>
      <w:r>
        <w:t xml:space="preserve">(2)</w:t>
      </w:r>
      <w:r>
        <w:t xml:space="preserve"> </w:t>
      </w:r>
      <w:r>
        <w:t xml:space="preserve"> </w:t>
      </w:r>
      <w:r>
        <w:t xml:space="preserve">The forum will apply its own statute of limitations permitting the claim unless:</w:t>
      </w:r>
    </w:p>
    <w:p>
      <w:pPr>
        <w:pStyle w:val="BodyText"/>
      </w:pPr>
      <w:r>
        <w:t xml:space="preserve">                 </w:t>
      </w:r>
      <w:r>
        <w:t xml:space="preserve"> </w:t>
      </w:r>
      <w:r>
        <w:t xml:space="preserve">(a) the maintenance of the claim would serve no substantial interest of the forum; and</w:t>
      </w:r>
    </w:p>
    <w:p>
      <w:pPr>
        <w:pStyle w:val="BodyText"/>
      </w:pPr>
      <w:r>
        <w:t xml:space="preserve">                 </w:t>
      </w:r>
      <w:r>
        <w:t xml:space="preserve"> </w:t>
      </w:r>
      <w:r>
        <w:t xml:space="preserve">(b)</w:t>
      </w:r>
      <w:r>
        <w:t xml:space="preserve"> </w:t>
      </w:r>
      <w:r>
        <w:t xml:space="preserve"> </w:t>
      </w:r>
      <w:r>
        <w:t xml:space="preserve">the claim would be barred under the statute of limitations of a state having a more significant relationship to the parties and the occurrence.</w:t>
      </w:r>
    </w:p>
    <w:p>
      <w:pPr>
        <w:pStyle w:val="NodeEnd"/>
      </w:pPr>
      <w:r>
        <w:t xml:space="preserve"> </w:t>
      </w:r>
    </w:p>
    <w:p>
      <w:pPr>
        <w:pStyle w:val="NodeStart"/>
      </w:pPr>
      <w:r>
        <w:t xml:space="preserve"> </w:t>
      </w:r>
    </w:p>
    <w:p>
      <w:pPr>
        <w:pStyle w:val="HeadSeparator"/>
      </w:pPr>
      <w:r>
        <w:t xml:space="preserve"> </w:t>
      </w:r>
    </w:p>
    <w:bookmarkStart w:id="47" w:name="_auto_toc_47"/>
    <w:bookmarkEnd w:id="47"/>
    <w:p>
      <w:pPr>
        <w:pStyle w:val="ResourceNumber"/>
      </w:pPr>
      <w:r>
        <w:t xml:space="preserve">5.4</w:t>
      </w:r>
    </w:p>
    <w:p>
      <w:pPr>
        <w:pStyle w:val="ResourceTitle"/>
      </w:pPr>
      <w:r>
        <w:t xml:space="preserve">Alabama Great Southern Railroad v. Carroll</w:t>
      </w:r>
    </w:p>
    <w:p>
      <w:pPr>
        <w:pStyle w:val="HeadFieldSeparator"/>
      </w:pPr>
      <w:r>
        <w:t xml:space="preserve"> </w:t>
      </w:r>
    </w:p>
    <w:p>
      <w:pPr>
        <w:pStyle w:val="ResourceHeadnote"/>
      </w:pPr>
      <w:r>
        <w:t xml:space="preserve">This case is an example of the First Restatement approach to horizontal choice of law. Under this approach, the state whose laws govern the case is the state in which the “wrong” was complete, i.e., the place of injury. We look to the state in which the last event that vested a plaintiff with the right to sue occurred; this state’s law will govern the substantive issues of the case.</w:t>
      </w:r>
    </w:p>
    <w:p>
      <w:pPr>
        <w:pStyle w:val="ResourceHeadnote"/>
      </w:pPr>
      <w:r>
        <w:t xml:space="preserve">What might be the benefits and drawbacks of this approach? In this case, even though the wrongful act that led to the plaintiff's injury (the failure to inspect the train coupling) occurred in Alabama, the injury done to the plaintiff occurred fortuitously in Mississippi, where the train decoupled. Consequently, under the First Restatement approach, Mississippi’s fellow-servant law was applied. Does this approach adequately protect parties’ interests or the interests that other states may have?</w:t>
      </w:r>
    </w:p>
    <w:p>
      <w:pPr>
        <w:pStyle w:val="HeadEnd"/>
      </w:pPr>
      <w:r>
        <w:t xml:space="preserve"> </w:t>
      </w:r>
    </w:p>
    <w:p>
      <w:pPr>
        <w:pStyle w:val="CaseHeader"/>
      </w:pPr>
      <w:r>
        <w:t xml:space="preserve">Alabama Supreme Court</w:t>
      </w:r>
    </w:p>
    <w:p>
      <w:pPr>
        <w:pStyle w:val="CaseHeader"/>
      </w:pPr>
      <w:r>
        <w:t xml:space="preserve">97 Ala. 126</w:t>
      </w:r>
    </w:p>
    <w:p>
      <w:pPr>
        <w:pStyle w:val="CaseHeader"/>
      </w:pPr>
      <w:r>
        <w:t xml:space="preserve">1892</w:t>
      </w:r>
    </w:p>
    <w:p>
      <w:pPr>
        <w:pStyle w:val="CaseBody"/>
      </w:pPr>
      <w:r>
        <w:rPr>
          <w:rStyle w:val="Elision"/>
        </w:rPr>
        <w:t xml:space="preserve">[ … ]</w:t>
      </w:r>
    </w:p>
    <w:p>
      <w:pPr>
        <w:pStyle w:val="CaseBody"/>
      </w:pPr>
      <w:r>
        <w:t xml:space="preserve">McCLELLAN, J.</w:t>
      </w:r>
    </w:p>
    <w:p>
      <w:pPr>
        <w:pStyle w:val="CaseBody"/>
      </w:pPr>
      <w:r>
        <w:t xml:space="preserve">— The plaintiff</w:t>
      </w:r>
      <w:r>
        <w:t xml:space="preserve"> </w:t>
      </w:r>
      <w:r>
        <w:rPr>
          <w:rStyle w:val="Elision"/>
        </w:rPr>
        <w:t xml:space="preserve">[ … ]</w:t>
      </w:r>
      <w:r>
        <w:t xml:space="preserve"> </w:t>
      </w:r>
      <w:r>
        <w:t xml:space="preserve">is, and was at the time of entering into the service of the defendant, the Alabama Great Southern Railroad Company, and at the time of being injured in that service, a citizen of Alabama. The defendant is an Alabama corporation operating a railroad extending from Chattanooga in the State of Tennessee through Alabama to Meridian in the State Mississippi. At the time of the casualty complained of, plaintiff was in the service of the defendant in the capacity of brakeman on freight trains running from Birmingham, Alabama, to Meridian, Mississippi, under a contract which was made in the State of Alabama. The injury was caused by the</w:t>
      </w:r>
      <w:r>
        <w:rPr>
          <w:rStyle w:val="Elision"/>
        </w:rPr>
        <w:t xml:space="preserve">[ … ]</w:t>
      </w:r>
      <w:r>
        <w:t xml:space="preserve"> </w:t>
      </w:r>
      <w:r>
        <w:t xml:space="preserve">breaking of a link between two cars in a freight train which was proceeding from Birmingham to Meridian. The point at which the link broke and the injury was suffered was in the State of Mississippi. The evidence tended to show that the link which broke was a defective link and that it was in a defective condition when the train left Birmingham.</w:t>
      </w:r>
      <w:r>
        <w:t xml:space="preserve"> </w:t>
      </w:r>
      <w:r>
        <w:rPr>
          <w:rStyle w:val="Elision"/>
        </w:rPr>
        <w:t xml:space="preserve">[ … ]</w:t>
      </w:r>
      <w:r>
        <w:t xml:space="preserve">The evidence went also to</w:t>
      </w:r>
      <w:r>
        <w:t xml:space="preserve"> </w:t>
      </w:r>
      <w:r>
        <w:rPr>
          <w:rStyle w:val="ReplacementText"/>
        </w:rPr>
        <w:t xml:space="preserve">show</w:t>
      </w:r>
      <w:r>
        <w:t xml:space="preserve"> </w:t>
      </w:r>
      <w:r>
        <w:t xml:space="preserve">that the defect in this link consisted in or resulted from its having been bent while cold, that this</w:t>
      </w:r>
      <w:r>
        <w:rPr>
          <w:rStyle w:val="Elision"/>
        </w:rPr>
        <w:t xml:space="preserve">[ … ]</w:t>
      </w:r>
      <w:r>
        <w:t xml:space="preserve"> </w:t>
      </w:r>
      <w:r>
        <w:t xml:space="preserve">tended to weaken the iron and in this instance had cracked the link somewhat on the outer curve of the bend, and that the link broke at the point of this crack. It was shovvn to be the duty of certain employees of defendant stationed along its line to inspect the links attached to cars to be put in trains or forming the couplings between cars in trains at Chattanooga, Birmingham, and some points betAveen Birmingham and the place where this link broke, and also that it was the duty of the conductor of freight trains and the other train-men to maintain such in spection as occasion afforded throughout the runs or trips of such trains; and the evidence affords ground for inference that there was a negligent omission on the part of such employees to perform this duty, or if performed, the failure to discover the defect in and to remove this link was the result of negligence.</w:t>
      </w:r>
    </w:p>
    <w:p>
      <w:pPr>
        <w:pStyle w:val="CaseBody"/>
      </w:pPr>
      <w:r>
        <w:rPr>
          <w:rStyle w:val="Elision"/>
        </w:rPr>
        <w:t xml:space="preserve">[ … ]</w:t>
      </w:r>
      <w:r>
        <w:t xml:space="preserve"> </w:t>
      </w:r>
      <w:r>
        <w:t xml:space="preserve">The only negligence, in other words and in short, which finds support by direction or inference in any tendency of the evidence, is that of persons whose duty it was to inspect the links of the train, and remove such as were defective and replace them with others which were not defective. This was the negligence not of the master, the defendant, but of fellow-servants of the plaintiff, for which at common-law the defendant is not liable.</w:t>
      </w:r>
      <w:r>
        <w:t xml:space="preserve"> </w:t>
      </w:r>
      <w:r>
        <w:rPr>
          <w:rStyle w:val="Elision"/>
        </w:rPr>
        <w:t xml:space="preserve">[ … ]</w:t>
      </w:r>
    </w:p>
    <w:p>
      <w:pPr>
        <w:pStyle w:val="CaseBody"/>
      </w:pPr>
      <w:r>
        <w:rPr>
          <w:rStyle w:val="Elision"/>
        </w:rPr>
        <w:t xml:space="preserve">[ … ]</w:t>
      </w:r>
    </w:p>
    <w:p>
      <w:pPr>
        <w:pStyle w:val="CaseBody"/>
      </w:pPr>
      <w:r>
        <w:t xml:space="preserve">This being the common-law applicable to the premises as understood and declared in Alabama, it will be presumed in our courts as thus declared to be the common-law of Mississippi, unless the evidence shows a different rule to have been announced by the Supreme Court of the State as being the common-law thereof. The evidence adduced here fails to show any such thing; but to the contrary it is made to appear from the testimony of J udge Arnold and by the decisions of the Supreme Court of Mississippi which were introduced on the trial below that that court is in full accord with this one in this respect. Indeed, if any thing, those decisions go further than this court has ever gone in applying the doctrine of fellow-servants- to the exemption of railway companies from liability to one servant for injuries resulting from the negligence of another,</w:t>
      </w:r>
      <w:r>
        <w:t xml:space="preserve"> </w:t>
      </w:r>
      <w:r>
        <w:rPr>
          <w:rStyle w:val="Elision"/>
        </w:rPr>
        <w:t xml:space="preserve">[ … ]</w:t>
      </w:r>
    </w:p>
    <w:p>
      <w:pPr>
        <w:pStyle w:val="CaseBody"/>
      </w:pPr>
      <w:r>
        <w:t xml:space="preserve">It is, however, further contended that the plaintiff, if his evidence be believed, has made out a ease for the recovery sought under the</w:t>
      </w:r>
      <w:r>
        <w:t xml:space="preserve"> </w:t>
      </w:r>
      <w:r>
        <w:t xml:space="preserve">Employer’s Liability Act ■ of Alabama</w:t>
      </w:r>
      <w:r>
        <w:rPr>
          <w:rStyle w:val="FootnoteReference"/>
        </w:rPr>
        <w:footnoteReference w:customMarkFollows="1" w:id="10"/>
        <w:t xml:space="preserve">*</w:t>
      </w:r>
      <w:r>
        <w:t xml:space="preserve">, it being clearly shown that there is no such, or similar law of force in the State- of Mississippi. Considering this position in the abstract, that is dissociated from the facts of this particular case which are supposed to exert an important influence upon it,' there can not be two opinions as to its being unsound and untenable. So looked at, we do not understand appellee’s counsel even to deny either the proposition or its application to this case, that there can be no recovery in one State for injuries to the person sustained in another unless the infliction of the injuries is actionable under the law of the State in which they were received. Certainly this is the well established rule of law subject in some jurisdictions to the qualification that the infliction of the injuries would also support an action in the State where the suit is brought, had they been received within that State</w:t>
      </w:r>
      <w:r>
        <w:rPr>
          <w:rStyle w:val="Elision"/>
        </w:rPr>
        <w:t xml:space="preserve">[ … ]</w:t>
      </w:r>
    </w:p>
    <w:p>
      <w:pPr>
        <w:pStyle w:val="CaseBody"/>
      </w:pPr>
      <w:r>
        <w:t xml:space="preserve">But it is claimed that the facts of this case take it out of the general rule which the authorities cited above abundantly support, and authorize the courts of Alabama to subject the defendant to the payment of damages under section 2590 of the Code, although the injuries counted on were sustained in Mississippi under circumstances which involved no liability on the defendant by the laws of that State,</w:t>
      </w:r>
    </w:p>
    <w:p>
      <w:pPr>
        <w:pStyle w:val="CaseBody"/>
      </w:pPr>
      <w:r>
        <w:t xml:space="preserve">This insistence is in the first instance based on that aspect of the evidence which goes to show that the negligence which produced the' casualty transpired in Alabama, and the theory that wherever the consequence of that negligence manifested itself, a recovery can be had in Alabama. We are referred to no authority in support of this proposition, and exhaustive investigation on our part has failed to disclose any.</w:t>
      </w:r>
      <w:r>
        <w:t xml:space="preserve"> </w:t>
      </w:r>
      <w:r>
        <w:rPr>
          <w:rStyle w:val="Elision"/>
        </w:rPr>
        <w:t xml:space="preserve">[ … ]</w:t>
      </w:r>
    </w:p>
    <w:p>
      <w:pPr>
        <w:pStyle w:val="CaseBody"/>
      </w:pPr>
      <w:r>
        <w:t xml:space="preserve">The position</w:t>
      </w:r>
      <w:r>
        <w:t xml:space="preserve"> </w:t>
      </w:r>
      <w:r>
        <w:rPr>
          <w:rStyle w:val="ReplacementText"/>
        </w:rPr>
        <w:t xml:space="preserve">[that the occurrence of the negligence in Alabama would not justify applying Alabama law]</w:t>
      </w:r>
      <w:r>
        <w:t xml:space="preserve">appears to us to be eminently sound in principle and upon logic. It is admitted, or "at least cannot be denied, that negligence of duty unproductive of damnifying results will not authorize or support a recovery. ■ Up to the time train'passed out of Alabama no injury had resulted. For all that occurred in Alabama, therefore, no cause of action whatever arose. The fact, which created the right to sue, the injury without which confessedly no action would lie anywhere, transpired in the State of Mississippi. It was in that State, therefore, necessarily that the cause of action; if any, arose; and whether a cause of action arose and existed at all or not must in all reason be determined by the law which obtained at the time and place when and where the fact</w:t>
      </w:r>
      <w:r>
        <w:t xml:space="preserve"> </w:t>
      </w:r>
      <w:r>
        <w:rPr>
          <w:rStyle w:val="Elision"/>
        </w:rPr>
        <w:t xml:space="preserve">[ … ]</w:t>
      </w:r>
      <w:r>
        <w:t xml:space="preserve">relied on to justify a recovery transpired. Section 2590 of the Code of Alabama had no efficiency beyond the lines of Alabama. It cannot be allowed to operate upon facts occurring in another State so as to evolve put of them rights and liabilities which do not exist under the law of that State which is of course paramount-in the premises. Where the facts occur in Alabama and a liability becomes fixed in Alabama, it may be enforced in another State having like enactments, or whose policy is not opposed to the spirit of such enactments, but this is quite a different matter. This is but enforcing,the statute upon facts to which it is applicable all of which' occur within the territory for the government of which it was enacted. Section 2590-of the Code, in other words is to be interpreted in the light of universally recognized principles of private international or interstate law, as if its operation had been expressly limited to this State and as if its first line read as follows: “When a personal injury is</w:t>
      </w:r>
      <w:r>
        <w:t xml:space="preserve"> </w:t>
      </w:r>
      <w:r>
        <w:rPr>
          <w:iCs/>
          <w:i/>
        </w:rPr>
        <w:t xml:space="preserve">received in Alabama</w:t>
      </w:r>
      <w:r>
        <w:t xml:space="preserve"> </w:t>
      </w:r>
      <w:r>
        <w:t xml:space="preserve">by a servant or employee,” &amp;c., &amp;c. The negligent infliction of an injury here under statutory circumstances creates a right of action here, which, being transitory, may be enforced in any other State or country the comity of which admits of it; but for an injury inflicted elsewhere than in Alabama our statute gives no right of recovery, and the aggrieved party must look to the local law to ascertain what his rights are. Under that law this plaintiff had no cause of action, as we have seen, and hence he has no rights which our courts can enforce, unless it be upon a consideration to be presently adverted to. We have not been inattentive to the suggestions of counsel in this connection, which are based upon that rule of the statutory and common criminal law under which a murderer is punish able-where the fatal blow is delivered, regardless of the place where death</w:t>
      </w:r>
      <w:r>
        <w:t xml:space="preserve"> </w:t>
      </w:r>
      <w:r>
        <w:rPr>
          <w:iCs/>
          <w:i/>
        </w:rPr>
        <w:t xml:space="preserve">ensues.</w:t>
      </w:r>
      <w:r>
        <w:t xml:space="preserve"> </w:t>
      </w:r>
      <w:r>
        <w:t xml:space="preserve">— Green</w:t>
      </w:r>
      <w:r>
        <w:t xml:space="preserve"> </w:t>
      </w:r>
      <w:r>
        <w:rPr>
          <w:iCs/>
          <w:i/>
        </w:rPr>
        <w:t xml:space="preserve">v. State,</w:t>
      </w:r>
      <w:r>
        <w:t xml:space="preserve"> </w:t>
      </w:r>
      <w:r>
        <w:t xml:space="preserve">66 Ala. 40</w:t>
      </w:r>
      <w:r>
        <w:t xml:space="preserve">. This principle is patently without application here. There would be some analogy if the plaintiff had been stricken in' Alabama and suffered in Mississippi, which is not the fact. There is,however, an analogy which is afforded by the criminal law, but which points away from the conclusion appellee’s counsel desire us to reach. This is found in that well established doctrine of criminal law, that where the unlawful act-is committed in one jurisdiction or State and takes effect — produces the result which .it is the purpose of the law to prevent, or, it having ensued, punish for — in another jurisdiction or State, the crime is deemed to have been commited and is punished in that jurisdiction or State in which the result is manifested, and not where the act was committed.</w:t>
      </w:r>
      <w:r>
        <w:rPr>
          <w:rStyle w:val="Elision"/>
        </w:rPr>
        <w:t xml:space="preserve">[ … ]</w:t>
      </w:r>
    </w:p>
    <w:p>
      <w:pPr>
        <w:pStyle w:val="CaseBody"/>
      </w:pPr>
      <w:r>
        <w:rPr>
          <w:rStyle w:val="Elision"/>
        </w:rPr>
        <w:t xml:space="preserve">[ … ]</w:t>
      </w:r>
    </w:p>
    <w:p>
      <w:pPr>
        <w:pStyle w:val="CaseBody"/>
      </w:pPr>
      <w:r>
        <w:t xml:space="preserve">The foregoing views will suffice to indicate the grounds of our opinion that the rights of this plaintiff are determinable solely by the law of the State of Mississippi, and of our conclusion that upon no aspect or tendency of the evidence as to the circumstances under which the injury was sustained and as to the laws of Mississippi obtaining in the premises was the plaintiff entitled to recover.</w:t>
      </w:r>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48" w:name="_auto_toc_48"/>
    <w:bookmarkEnd w:id="48"/>
    <w:p>
      <w:pPr>
        <w:pStyle w:val="ResourceNumber"/>
      </w:pPr>
      <w:r>
        <w:t xml:space="preserve">5.5</w:t>
      </w:r>
    </w:p>
    <w:p>
      <w:pPr>
        <w:pStyle w:val="ResourceTitle"/>
      </w:pPr>
      <w:r>
        <w:t xml:space="preserve">Notes following Alabama Great Southern Railroad</w:t>
      </w:r>
    </w:p>
    <w:p>
      <w:pPr>
        <w:pStyle w:val="HeadEnd"/>
      </w:pPr>
      <w:r>
        <w:t xml:space="preserve"> </w:t>
      </w:r>
    </w:p>
    <w:p>
      <w:pPr>
        <w:pStyle w:val="BodyText"/>
      </w:pPr>
      <w:r>
        <w:t xml:space="preserve">The</w:t>
      </w:r>
      <w:r>
        <w:t xml:space="preserve"> </w:t>
      </w:r>
      <w:r>
        <w:rPr>
          <w:iCs/>
          <w:i/>
        </w:rPr>
        <w:t xml:space="preserve">Great Alabama Railroad</w:t>
      </w:r>
      <w:r>
        <w:t xml:space="preserve"> </w:t>
      </w:r>
      <w:r>
        <w:t xml:space="preserve">case holds that the law of the last event necessary to give rise to the lawsuit will determine almost all aspects of a torts case.  There are several problems:</w:t>
      </w:r>
    </w:p>
    <w:p>
      <w:pPr>
        <w:pStyle w:val="BodyText"/>
      </w:pPr>
      <w:r>
        <w:t xml:space="preserve">1) Sometimes, as in this case, the location of the last event is entirely fortuitous or a matter of accident.  Is it fair or rational that chance should decide whether a plaintiff can recover?  Does focusing on the last event allow a court to effectuate the purposes and policies of states' laws?</w:t>
      </w:r>
    </w:p>
    <w:p>
      <w:pPr>
        <w:pStyle w:val="BodyText"/>
      </w:pPr>
      <w:r>
        <w:t xml:space="preserve">2) If the law of two states differ, which one determines what the last event necessary to give rise to a cause of action was?  Don't we have to make a decision of which state's law governs the question of which was the last necessary event in order to know what that last event was?  But, is that decision itself a choice-of-law decision?  In other words, don't we have to make a choice-of-law decision in order to know what the last key event was, which is what is supposed to determine the choice-of-law decision in the case?</w:t>
      </w:r>
    </w:p>
    <w:p>
      <w:pPr>
        <w:pStyle w:val="BodyText"/>
      </w:pPr>
      <w:r>
        <w:t xml:space="preserve">These criticisms apply to the First Restatement approach.  But, there is a broader issue:  is horizontal choice of law (under the First or Second or nth Restatement) coherent in the modern era defined by the Internet?  What about in cases when the “last event” is not in a tangible geographic location, as when, for example, a plaintiff accuses a defendant of stealing something that exists only online? Or cases about financial transactions or intangible property like welfare benefits? Note the year in which the</w:t>
      </w:r>
      <w:r>
        <w:t xml:space="preserve"> </w:t>
      </w:r>
      <w:r>
        <w:rPr>
          <w:iCs/>
          <w:i/>
        </w:rPr>
        <w:t xml:space="preserve">Great Alabama Railroad</w:t>
      </w:r>
      <w:r>
        <w:t xml:space="preserve"> </w:t>
      </w:r>
      <w:r>
        <w:t xml:space="preserve">decision was issued.</w:t>
      </w:r>
    </w:p>
    <w:p>
      <w:pPr>
        <w:pStyle w:val="NodeEnd"/>
      </w:pPr>
      <w:r>
        <w:t xml:space="preserve"> </w:t>
      </w:r>
    </w:p>
    <w:p>
      <w:pPr>
        <w:pStyle w:val="NodeStart"/>
      </w:pPr>
      <w:r>
        <w:t xml:space="preserve"> </w:t>
      </w:r>
    </w:p>
    <w:p>
      <w:pPr>
        <w:pStyle w:val="HeadSeparator"/>
      </w:pPr>
      <w:r>
        <w:t xml:space="preserve"> </w:t>
      </w:r>
    </w:p>
    <w:bookmarkStart w:id="49" w:name="_auto_toc_49"/>
    <w:bookmarkEnd w:id="49"/>
    <w:p>
      <w:pPr>
        <w:pStyle w:val="ResourceNumber"/>
      </w:pPr>
      <w:r>
        <w:t xml:space="preserve">5.6</w:t>
      </w:r>
    </w:p>
    <w:p>
      <w:pPr>
        <w:pStyle w:val="ResourceTitle"/>
      </w:pPr>
      <w:r>
        <w:t xml:space="preserve">Babcock v. Jackson</w:t>
      </w:r>
    </w:p>
    <w:p>
      <w:pPr>
        <w:pStyle w:val="HeadFieldSeparator"/>
      </w:pPr>
      <w:r>
        <w:t xml:space="preserve"> </w:t>
      </w:r>
    </w:p>
    <w:p>
      <w:pPr>
        <w:pStyle w:val="ResourceHeadnote"/>
      </w:pPr>
      <w:r>
        <w:rPr>
          <w:iCs/>
          <w:i/>
        </w:rPr>
        <w:t xml:space="preserve">Babcock</w:t>
      </w:r>
      <w:r>
        <w:t xml:space="preserve"> </w:t>
      </w:r>
      <w:r>
        <w:t xml:space="preserve">involved a car accident that occurred in Ontario, Canada. At the time of the accident, Ontario law had what is sometimes called a “guest statute,” which immunized the driver of a noncommercial vehicle from being sued by a passenger for negligence that resulted in the passenger’s injury or death. New York, on the other hand, had no such guest statute, meaning that a passenger injured as a result of a driver’s negligence could sue the driver. Babcock, a New York resident, sued Jackson, also a New York resident, in New York state court for negligence, but the trial court dismissed the complaint after it applied Ontario law. The intermediate appellate court affirmed, and the passenger took the case to the New York Court of Appeals (New York’s state high court).</w:t>
      </w:r>
    </w:p>
    <w:p>
      <w:pPr>
        <w:pStyle w:val="ResourceHeadnote"/>
      </w:pPr>
      <w:r>
        <w:t xml:space="preserve">As you read the case, keep in mind two particular things:</w:t>
      </w:r>
    </w:p>
    <w:p>
      <w:pPr>
        <w:numPr>
          <w:ilvl w:val="0"/>
          <w:numId w:val="1075"/>
        </w:numPr>
        <w:pStyle w:val="HeadnoteText"/>
      </w:pPr>
      <w:r>
        <w:t xml:space="preserve">How does the court determine that the state of New York had a superior interest in the litigation (i.e., what facts did it list to show this)?</w:t>
      </w:r>
    </w:p>
    <w:p>
      <w:pPr>
        <w:numPr>
          <w:ilvl w:val="0"/>
          <w:numId w:val="1075"/>
        </w:numPr>
        <w:pStyle w:val="HeadnoteText"/>
      </w:pPr>
      <w:r>
        <w:t xml:space="preserve">What does the court identify as possible interests that Ontario might have in this litigation, and why does it believe that they do not apply here? (Hint: There are at least two interests that work in favor of applying Canadian law, and the court gives different reasons for concluding those interests do not govern the issue of the guest statute’s applicability.)</w:t>
      </w:r>
    </w:p>
    <w:p>
      <w:pPr>
        <w:pStyle w:val="HeadEnd"/>
      </w:pPr>
      <w:r>
        <w:t xml:space="preserve"> </w:t>
      </w:r>
    </w:p>
    <w:p>
      <w:pPr>
        <w:pStyle w:val="CaseHeader"/>
      </w:pPr>
      <w:r>
        <w:t xml:space="preserve">New York Court of Appeals</w:t>
      </w:r>
    </w:p>
    <w:p>
      <w:pPr>
        <w:pStyle w:val="CaseHeader"/>
      </w:pPr>
      <w:r>
        <w:t xml:space="preserve">12 N.Y.2d 473</w:t>
      </w:r>
    </w:p>
    <w:p>
      <w:pPr>
        <w:pStyle w:val="CaseHeader"/>
      </w:pPr>
      <w:r>
        <w:t xml:space="preserve">1963-05-09</w:t>
      </w:r>
    </w:p>
    <w:p>
      <w:pPr>
        <w:pStyle w:val="CaseBody"/>
      </w:pPr>
      <w:r>
        <w:rPr>
          <w:rStyle w:val="Elision"/>
        </w:rPr>
        <w:t xml:space="preserve">[ … ]</w:t>
      </w:r>
    </w:p>
    <w:bookmarkStart w:id="45" w:name="fuld-j."/>
    <w:p>
      <w:pPr>
        <w:pStyle w:val="Heading2"/>
      </w:pPr>
      <w:r>
        <w:t xml:space="preserve">FULD, J.</w:t>
      </w:r>
    </w:p>
    <w:p>
      <w:pPr>
        <w:pStyle w:val="CaseBody"/>
      </w:pPr>
      <w:r>
        <w:t xml:space="preserve">On Friday, September 16, 1960,</w:t>
      </w:r>
      <w:r>
        <w:t xml:space="preserve"> </w:t>
      </w:r>
      <w:r>
        <w:rPr>
          <w:rStyle w:val="ReplacementText"/>
        </w:rPr>
        <w:t xml:space="preserve">plaintif</w:t>
      </w:r>
      <w:r>
        <w:t xml:space="preserve"> </w:t>
      </w:r>
      <w:r>
        <w:t xml:space="preserve">and her friends</w:t>
      </w:r>
      <w:r>
        <w:rPr>
          <w:rStyle w:val="Elision"/>
        </w:rPr>
        <w:t xml:space="preserve">[ … ]</w:t>
      </w:r>
      <w:r>
        <w:t xml:space="preserve"> </w:t>
      </w:r>
      <w:r>
        <w:t xml:space="preserve">all residents of Rochester, left that city in Mr. Jackson's automobile,</w:t>
      </w:r>
      <w:r>
        <w:t xml:space="preserve"> </w:t>
      </w:r>
      <w:r>
        <w:rPr>
          <w:rStyle w:val="ReplacementText"/>
        </w:rPr>
        <w:t xml:space="preserve">plaintiff</w:t>
      </w:r>
      <w:r>
        <w:t xml:space="preserve"> </w:t>
      </w:r>
      <w:r>
        <w:t xml:space="preserve">as</w:t>
      </w:r>
      <w:r>
        <w:t xml:space="preserve"> </w:t>
      </w:r>
      <w:r>
        <w:t xml:space="preserve">guest</w:t>
      </w:r>
      <w:r>
        <w:rPr>
          <w:rStyle w:val="FootnoteReference"/>
        </w:rPr>
        <w:footnoteReference w:customMarkFollows="1" w:id="11"/>
        <w:t xml:space="preserve">*</w:t>
      </w:r>
      <w:r>
        <w:t xml:space="preserve">, for a week-end trip to Canada. Some hours later, as</w:t>
      </w:r>
      <w:r>
        <w:t xml:space="preserve"> </w:t>
      </w:r>
      <w:r>
        <w:rPr>
          <w:rStyle w:val="ReplacementText"/>
        </w:rPr>
        <w:t xml:space="preserve">defendant</w:t>
      </w:r>
      <w:r>
        <w:t xml:space="preserve"> </w:t>
      </w:r>
      <w:r>
        <w:t xml:space="preserve">was driving in the Province of Ontario, he apparently lost control of the car; it went off the highway into an adjacent stone wall, and Miss Babcock was seriously injured. Upon her return to this State, she brought</w:t>
      </w:r>
      <w:r>
        <w:t xml:space="preserve"> </w:t>
      </w:r>
      <w:r>
        <w:rPr>
          <w:rStyle w:val="Elision"/>
        </w:rPr>
        <w:t xml:space="preserve">[ … ]</w:t>
      </w:r>
      <w:r>
        <w:t xml:space="preserve">the present action against</w:t>
      </w:r>
      <w:r>
        <w:t xml:space="preserve"> </w:t>
      </w:r>
      <w:r>
        <w:rPr>
          <w:rStyle w:val="ReplacementText"/>
        </w:rPr>
        <w:t xml:space="preserve">defendant</w:t>
      </w:r>
      <w:r>
        <w:t xml:space="preserve">, alleging negligence on his part in operating his automobile</w:t>
      </w:r>
      <w:r>
        <w:rPr>
          <w:rStyle w:val="Elision"/>
        </w:rPr>
        <w:t xml:space="preserve">[ … ]</w:t>
      </w:r>
    </w:p>
    <w:p>
      <w:pPr>
        <w:pStyle w:val="CaseBody"/>
      </w:pPr>
      <w:r>
        <w:t xml:space="preserve">At the time of the accident, there was in force in Ontario a statute providing that "the owner or driver of a motor vehicle, other than a vehicle operated in the business of carrying passengers for compensation, is not liable for any loss or damage resulting from bodily injury to, or the death of any person being carried in * * * the motor vehicle"</w:t>
      </w:r>
      <w:r>
        <w:t xml:space="preserve"> </w:t>
      </w:r>
      <w:r>
        <w:rPr>
          <w:rStyle w:val="Elision"/>
        </w:rPr>
        <w:t xml:space="preserve">[ … ]</w:t>
      </w:r>
      <w:r>
        <w:t xml:space="preserve">. Even though no such bar is recognized under this State's substantive law of torts</w:t>
      </w:r>
      <w:r>
        <w:t xml:space="preserve"> </w:t>
      </w:r>
      <w:r>
        <w:rPr>
          <w:rStyle w:val="Elision"/>
        </w:rPr>
        <w:t xml:space="preserve">[ … ]</w:t>
      </w:r>
      <w:r>
        <w:t xml:space="preserve">, the defendant moved to dismiss the complaint on the ground that the law of the place where the accident occurred governs and that Ontario's guest statute bars recovery. The court at Special Term, agreeing with the defendant, granted the motion and the Appellate Division, over a strong dissent by Justice HALPERN, affirmed the judgment of dismissal without opinion.</w:t>
      </w:r>
    </w:p>
    <w:p>
      <w:pPr>
        <w:pStyle w:val="CaseBody"/>
      </w:pPr>
      <w:r>
        <w:t xml:space="preserve">The question presented is simply drawn. Shall the law of the place of the</w:t>
      </w:r>
      <w:r>
        <w:t xml:space="preserve"> </w:t>
      </w:r>
      <w:r>
        <w:t xml:space="preserve">tort</w:t>
      </w:r>
      <w:r>
        <w:rPr>
          <w:rStyle w:val="FootnoteReference"/>
        </w:rPr>
        <w:footnoteReference w:customMarkFollows="1" w:id="63"/>
        <w:t xml:space="preserve">**</w:t>
      </w:r>
      <w:hyperlink w:anchor="X9119067d803d62246f4e1870c0d925a981fc41d">
        <w:r>
          <w:rPr>
            <w:rStyle w:val="Hyperlink"/>
            <w:vertAlign w:val="superscript"/>
          </w:rPr>
          <w:t xml:space="preserve">[2]</w:t>
        </w:r>
      </w:hyperlink>
      <w:r>
        <w:t xml:space="preserve"> </w:t>
      </w:r>
      <w:r>
        <w:rPr>
          <w:iCs/>
          <w:i/>
        </w:rPr>
        <w:t xml:space="preserve">invariably</w:t>
      </w:r>
      <w:r>
        <w:t xml:space="preserve"> </w:t>
      </w:r>
      <w:r>
        <w:t xml:space="preserve">govern the availability of relief for the tort or shall the applicable choice of law rule also reflect a consideration of other factors which are relevant to the purposes served by the enforcement or denial of the remedy?</w:t>
      </w:r>
    </w:p>
    <w:p>
      <w:pPr>
        <w:pStyle w:val="CaseBody"/>
      </w:pPr>
      <w:r>
        <w:t xml:space="preserve">The traditional choice of law rule, embodied in the</w:t>
      </w:r>
      <w:r>
        <w:t xml:space="preserve"> </w:t>
      </w:r>
      <w:r>
        <w:rPr>
          <w:rStyle w:val="ReplacementText"/>
        </w:rPr>
        <w:t xml:space="preserve">First</w:t>
      </w:r>
      <w:r>
        <w:t xml:space="preserve"> </w:t>
      </w:r>
      <w:r>
        <w:t xml:space="preserve">Restatement of Conflict of Laws (§ 384), and until recently unquestioningly followed in this court</w:t>
      </w:r>
      <w:r>
        <w:t xml:space="preserve"> </w:t>
      </w:r>
      <w:r>
        <w:rPr>
          <w:rStyle w:val="Elision"/>
        </w:rPr>
        <w:t xml:space="preserve">[ … ]</w:t>
      </w:r>
      <w:r>
        <w:t xml:space="preserve">, has been that the substantive rights and liabilities arising out of a tortious occurrence are determinable by the law of the place of the tort.</w:t>
      </w:r>
      <w:r>
        <w:rPr>
          <w:rStyle w:val="Elision"/>
        </w:rPr>
        <w:t xml:space="preserve">[ … ]</w:t>
      </w:r>
      <w:r>
        <w:t xml:space="preserve"> </w:t>
      </w:r>
      <w:r>
        <w:t xml:space="preserve">It had its conceptual foundation in the vested rights doctrine, namely, that a right to recover for a foreign tort owes its creation to the law of the</w:t>
      </w:r>
      <w:r>
        <w:t xml:space="preserve"> </w:t>
      </w:r>
      <w:r>
        <w:rPr>
          <w:rStyle w:val="Elision"/>
        </w:rPr>
        <w:t xml:space="preserve">[ … ]</w:t>
      </w:r>
      <w:r>
        <w:t xml:space="preserve"> </w:t>
      </w:r>
      <w:r>
        <w:t xml:space="preserve">jurisdiction where the injury occurred and depends for its existence and extent solely on such law.</w:t>
      </w:r>
      <w:r>
        <w:rPr>
          <w:rStyle w:val="Elision"/>
        </w:rPr>
        <w:t xml:space="preserve">[ … ]</w:t>
      </w:r>
      <w:r>
        <w:t xml:space="preserve"> </w:t>
      </w:r>
      <w:r>
        <w:t xml:space="preserve">Although espoused by such great figures as Justice HOLMES</w:t>
      </w:r>
      <w:r>
        <w:t xml:space="preserve"> </w:t>
      </w:r>
      <w:r>
        <w:rPr>
          <w:rStyle w:val="Elision"/>
        </w:rPr>
        <w:t xml:space="preserve">[ … ]</w:t>
      </w:r>
      <w:r>
        <w:t xml:space="preserve"> </w:t>
      </w:r>
      <w:r>
        <w:t xml:space="preserve">the vested rights doctrine has long since been discredited because it fails to take account of underlying policy considerations in evaluating the significance to be ascribed to the circumstance that an act had a foreign situs in determining the rights and liabilities which arise out of that act.</w:t>
      </w:r>
      <w:hyperlink w:anchor="X3e3a7b6bcf28197d51b8ce46dc7aa919cc01152">
        <w:r>
          <w:rPr>
            <w:rStyle w:val="Elision"/>
            <w:vertAlign w:val="superscript"/>
          </w:rPr>
          <w:t xml:space="preserve">[ … ]</w:t>
        </w:r>
      </w:hyperlink>
      <w:r>
        <w:t xml:space="preserve"> </w:t>
      </w:r>
      <w:r>
        <w:t xml:space="preserve">"The vice of the vested rights theory", it has been aptly stated, "is that it affects to decide concrete cases upon generalities which do not state the practical considerations involved". (Yntema, The Hornbook Method and the Conflict of Laws, 37 Yale L. J. 468, 482-483.) More particularly, as applied to torts, the theory ignores the interest which jurisdictions other than that where the tort occurred may have in the resolution of particular issues. It is for this very reason that, despite the advantages of certainty, ease of application and predictability which it affords</w:t>
      </w:r>
      <w:r>
        <w:t xml:space="preserve"> </w:t>
      </w:r>
      <w:r>
        <w:rPr>
          <w:rStyle w:val="Elision"/>
        </w:rPr>
        <w:t xml:space="preserve">[ … ]</w:t>
      </w:r>
      <w:r>
        <w:t xml:space="preserve">, there has in recent years been increasing criticism of the traditional rule by commentators</w:t>
      </w:r>
      <w:hyperlink w:anchor="X4fae6e93c518395371c64bc56f9d3d997fc0c2b">
        <w:r>
          <w:rPr>
            <w:rStyle w:val="Elision"/>
            <w:vertAlign w:val="superscript"/>
          </w:rPr>
          <w:t xml:space="preserve">[ … ]</w:t>
        </w:r>
      </w:hyperlink>
      <w:r>
        <w:t xml:space="preserve">and a judicial trend towards its abandonment or modification.</w:t>
      </w:r>
      <w:hyperlink w:anchor="Xe2174b6dec73dc826859fe7d005a3951ddcb39b">
        <w:r>
          <w:rPr>
            <w:rStyle w:val="Elision"/>
            <w:vertAlign w:val="superscript"/>
          </w:rPr>
          <w:t xml:space="preserve">[ … ]</w:t>
        </w:r>
      </w:hyperlink>
    </w:p>
    <w:p>
      <w:pPr>
        <w:pStyle w:val="CaseBody"/>
      </w:pPr>
      <w:r>
        <w:rPr>
          <w:rStyle w:val="Elision"/>
        </w:rPr>
        <w:t xml:space="preserve">[ … ]</w:t>
      </w:r>
      <w:r>
        <w:t xml:space="preserve"> </w:t>
      </w:r>
      <w:r>
        <w:t xml:space="preserve">Significantly, it was dissatisfaction with "the mechanical formulae of the conflicts of law"</w:t>
      </w:r>
      <w:r>
        <w:t xml:space="preserve"> </w:t>
      </w:r>
      <w:r>
        <w:rPr>
          <w:rStyle w:val="Elision"/>
        </w:rPr>
        <w:t xml:space="preserve">[ … ]</w:t>
      </w:r>
      <w:r>
        <w:t xml:space="preserve"> </w:t>
      </w:r>
      <w:r>
        <w:t xml:space="preserve">which led to judicial departure from similarly inflexible choice of law rules in the field of contracts, grounded, like the torts rule, on the vested rights doctrine. According to those traditional rules, matters bearing upon the execution, interpretation and validity of a contract were determinable by the internal law of the place where the contract was made, while matters connected with their performance were regulated by the internal law of the place where the contract was to be performed.</w:t>
      </w:r>
      <w:r>
        <w:t xml:space="preserve"> </w:t>
      </w:r>
      <w:r>
        <w:rPr>
          <w:rStyle w:val="Elision"/>
        </w:rPr>
        <w:t xml:space="preserve">[ … ]</w:t>
      </w:r>
    </w:p>
    <w:p>
      <w:pPr>
        <w:pStyle w:val="CaseBody"/>
      </w:pPr>
      <w:r>
        <w:t xml:space="preserve">In</w:t>
      </w:r>
      <w:r>
        <w:t xml:space="preserve"> </w:t>
      </w:r>
      <w:r>
        <w:rPr>
          <w:iCs/>
          <w:i/>
        </w:rPr>
        <w:t xml:space="preserve">Auten v. Auten</w:t>
      </w:r>
      <w:r>
        <w:t xml:space="preserve"> </w:t>
      </w:r>
      <w:r>
        <w:t xml:space="preserve">(308 N.Y. 155), however, this court abandoned such rules and applied what has been termed the "center of gravity" or "grouping of contacts" theory of the conflict of laws. "Under this theory," we declared in the</w:t>
      </w:r>
      <w:r>
        <w:t xml:space="preserve"> </w:t>
      </w:r>
      <w:r>
        <w:rPr>
          <w:iCs/>
          <w:i/>
        </w:rPr>
        <w:t xml:space="preserve">Auten</w:t>
      </w:r>
      <w:r>
        <w:t xml:space="preserve"> </w:t>
      </w:r>
      <w:r>
        <w:t xml:space="preserve">case, "the courts, instead of regarding as conclusive the parties' intention or the place of making or performance, lay emphasis rather upon the law of the place `which has the most significant contacts with the matter in dispute'"</w:t>
      </w:r>
      <w:r>
        <w:t xml:space="preserve"> </w:t>
      </w:r>
      <w:r>
        <w:rPr>
          <w:rStyle w:val="Elision"/>
        </w:rPr>
        <w:t xml:space="preserve">[ … ]</w:t>
      </w:r>
      <w:r>
        <w:t xml:space="preserve">. The "center of gravity" rule of</w:t>
      </w:r>
      <w:r>
        <w:t xml:space="preserve"> </w:t>
      </w:r>
      <w:r>
        <w:rPr>
          <w:iCs/>
          <w:i/>
        </w:rPr>
        <w:t xml:space="preserve">Auten</w:t>
      </w:r>
      <w:r>
        <w:t xml:space="preserve"> </w:t>
      </w:r>
      <w:r>
        <w:t xml:space="preserve">has not only been applied in other cases in this State,</w:t>
      </w:r>
      <w:hyperlink w:anchor="X19b36f0578b1e81cb10fd4dd7612caf702ef296">
        <w:r>
          <w:rPr>
            <w:rStyle w:val="Elision"/>
            <w:vertAlign w:val="superscript"/>
          </w:rPr>
          <w:t xml:space="preserve">[ … ]</w:t>
        </w:r>
      </w:hyperlink>
      <w:r>
        <w:t xml:space="preserve">as well as in other jurisdictions,</w:t>
      </w:r>
      <w:hyperlink w:anchor="Xe8baea1e5ff60bd26151e5c361a4a8848d6212a">
        <w:r>
          <w:rPr>
            <w:rStyle w:val="Elision"/>
            <w:vertAlign w:val="superscript"/>
          </w:rPr>
          <w:t xml:space="preserve">[ … ]</w:t>
        </w:r>
      </w:hyperlink>
      <w:r>
        <w:t xml:space="preserve">but has supplanted the prior rigid and set contract rules in the most current draft of the</w:t>
      </w:r>
      <w:r>
        <w:t xml:space="preserve"> </w:t>
      </w:r>
      <w:r>
        <w:rPr>
          <w:rStyle w:val="ReplacementText"/>
        </w:rPr>
        <w:t xml:space="preserve">Second Restatement.</w:t>
      </w:r>
    </w:p>
    <w:p>
      <w:pPr>
        <w:pStyle w:val="CaseBody"/>
      </w:pPr>
      <w:r>
        <w:t xml:space="preserve">Realization of the unjust and anomalous results which may ensue from application of the traditional rule in tort cases has also prompted judicial search for a more satisfactory alternative in that area. In</w:t>
      </w:r>
      <w:r>
        <w:t xml:space="preserve"> </w:t>
      </w:r>
      <w:r>
        <w:rPr>
          <w:rStyle w:val="ReplacementText"/>
        </w:rPr>
        <w:t xml:space="preserve">[another case called]</w:t>
      </w:r>
      <w:r>
        <w:t xml:space="preserve"> </w:t>
      </w:r>
      <w:r>
        <w:rPr>
          <w:iCs/>
          <w:i/>
        </w:rPr>
        <w:t xml:space="preserve">Kilberg</w:t>
      </w:r>
      <w:r>
        <w:t xml:space="preserve"> </w:t>
      </w:r>
      <w:r>
        <w:rPr>
          <w:rStyle w:val="Elision"/>
        </w:rPr>
        <w:t xml:space="preserve">[ … ]</w:t>
      </w:r>
      <w:r>
        <w:t xml:space="preserve">, this court declined to apply the law of the place of the tort as respects the issue of the quantum of the recovery in a death action arising out of an airplane crash,</w:t>
      </w:r>
      <w:r>
        <w:rPr>
          <w:rStyle w:val="Elision"/>
        </w:rPr>
        <w:t xml:space="preserve">[ … ]</w:t>
      </w:r>
      <w:r>
        <w:t xml:space="preserve">where the decedent had been a New York resident and his relationship with the defendant airline had originated in this State. In his opinion for the court, Chief Judge DESMOND described, with force and logic, the shortcomings of the traditional rule (9 N Y 2d, at p. 39):</w:t>
      </w:r>
    </w:p>
    <w:p>
      <w:pPr>
        <w:pStyle w:val="BlockText"/>
      </w:pPr>
      <w:r>
        <w:t xml:space="preserve">"Modern conditions make it unjust and anomalous to subject the traveling citizen of this State to the varying laws of other States through and over which they move. * * * An air traveler from New York may in a flight of a few hours' duration pass through * * * commonwealths [limiting death damage awards]. His plane may meet with disaster in a State he never intended to cross but into which the plane has flown because of bad weather or other unexpected developments, or an airplane's catastrophic descent may begin in one State and end in another. The place of injury becomes entirely fortuitous. Our courts should if possible provide protection for our own State's people against unfair and anachronistic treatment of the lawsuits which result from these disasters."</w:t>
      </w:r>
    </w:p>
    <w:p>
      <w:pPr>
        <w:pStyle w:val="CaseBody"/>
      </w:pPr>
      <w:r>
        <w:t xml:space="preserve">The emphasis in</w:t>
      </w:r>
      <w:r>
        <w:t xml:space="preserve"> </w:t>
      </w:r>
      <w:r>
        <w:rPr>
          <w:iCs/>
          <w:i/>
        </w:rPr>
        <w:t xml:space="preserve">Kilberg</w:t>
      </w:r>
      <w:r>
        <w:t xml:space="preserve"> </w:t>
      </w:r>
      <w:r>
        <w:t xml:space="preserve">was plainly that the merely fortuitous circumstance that the wrong and injury occurred in Massachusetts did not give that State a controlling concern or interest in the amount of the tort recovery as against the competing interest of New York in providing its residents or users of transportation facilities there originating with full compensation for wrongful death. Although the</w:t>
      </w:r>
      <w:r>
        <w:t xml:space="preserve"> </w:t>
      </w:r>
      <w:r>
        <w:rPr>
          <w:iCs/>
          <w:i/>
        </w:rPr>
        <w:t xml:space="preserve">Kilberg</w:t>
      </w:r>
      <w:r>
        <w:t xml:space="preserve"> </w:t>
      </w:r>
      <w:r>
        <w:t xml:space="preserve">case did not expressly adopt the "center of gravity" theory, its weighing of the contacts or interests of the respective jurisdictions to determine their bearing on the issue of the extent of the recovery is consistent with that approach.</w:t>
      </w:r>
      <w:r>
        <w:rPr>
          <w:rStyle w:val="Elision"/>
        </w:rPr>
        <w:t xml:space="preserve">[ … ]</w:t>
      </w:r>
    </w:p>
    <w:p>
      <w:pPr>
        <w:pStyle w:val="CaseBody"/>
      </w:pPr>
      <w:r>
        <w:t xml:space="preserve">The same judicial disposition is also reflected in a variety of other decisions, some of recent date, others of earlier origin, relating to workmen's compensation,</w:t>
      </w:r>
      <w:hyperlink w:anchor="Xd038ba5d59b9f39e5a7842d7ff796ea4c02a4c0">
        <w:r>
          <w:rPr>
            <w:rStyle w:val="Elision"/>
            <w:vertAlign w:val="superscript"/>
          </w:rPr>
          <w:t xml:space="preserve">[ … ]</w:t>
        </w:r>
      </w:hyperlink>
      <w:r>
        <w:t xml:space="preserve">tortious occurrences arising</w:t>
      </w:r>
      <w:r>
        <w:rPr>
          <w:rStyle w:val="Elision"/>
        </w:rPr>
        <w:t xml:space="preserve">[ … ]</w:t>
      </w:r>
      <w:r>
        <w:t xml:space="preserve">out of a contract,</w:t>
      </w:r>
      <w:hyperlink w:anchor="X469cccf274ea057266930ccc6b043c351a437ad">
        <w:r>
          <w:rPr>
            <w:rStyle w:val="Elision"/>
            <w:vertAlign w:val="superscript"/>
          </w:rPr>
          <w:t xml:space="preserve">[ … ]</w:t>
        </w:r>
      </w:hyperlink>
      <w:r>
        <w:t xml:space="preserve"> </w:t>
      </w:r>
      <w:r>
        <w:t xml:space="preserve">issues affecting the survival of a tort right of action</w:t>
      </w:r>
      <w:hyperlink w:anchor="X3d16e2307aa74498ddd686931b7b4430f6fa54d">
        <w:r>
          <w:rPr>
            <w:rStyle w:val="Elision"/>
            <w:vertAlign w:val="superscript"/>
          </w:rPr>
          <w:t xml:space="preserve">[ … ]</w:t>
        </w:r>
      </w:hyperlink>
      <w:r>
        <w:t xml:space="preserve"> </w:t>
      </w:r>
      <w:r>
        <w:t xml:space="preserve">and intrafamilial immunity from tort</w:t>
      </w:r>
      <w:hyperlink w:anchor="Xa9589e27ef95e7fe78086de67325bbf7c4f13ce">
        <w:r>
          <w:rPr>
            <w:rStyle w:val="Elision"/>
            <w:vertAlign w:val="superscript"/>
          </w:rPr>
          <w:t xml:space="preserve">[ … ]</w:t>
        </w:r>
      </w:hyperlink>
      <w:r>
        <w:t xml:space="preserve"> </w:t>
      </w:r>
      <w:r>
        <w:t xml:space="preserve">and situations involving a form of statutory liability.</w:t>
      </w:r>
      <w:hyperlink w:anchor="X9caf26b74a5cf0d38779da134e07e8b69b4deda">
        <w:r>
          <w:rPr>
            <w:rStyle w:val="Elision"/>
            <w:vertAlign w:val="superscript"/>
          </w:rPr>
          <w:t xml:space="preserve">[ … ]</w:t>
        </w:r>
      </w:hyperlink>
      <w:r>
        <w:t xml:space="preserve"> </w:t>
      </w:r>
      <w:r>
        <w:t xml:space="preserve">These numerous cases differ in many ways but they are all similar in two important respects. First, by one rationale or another, they rejected the inexorable application of the law of the place of the tort where that place has no reasonable or relevant interest in the particular issue involved. And, second, in each of these cases the courts, after examining the particular circumstances presented, applied the law of some jurisdiction other than the place of the tort because it had a more compelling interest in the application of its law to the legal issue involved.</w:t>
      </w:r>
    </w:p>
    <w:p>
      <w:pPr>
        <w:pStyle w:val="CaseBody"/>
      </w:pPr>
      <w:r>
        <w:t xml:space="preserve">The "center of gravity" or "grouping of contacts" doctrine adopted by this court in conflicts cases involving contracts impresses us as likewise affording the appropriate approach for accommodating the competing interests in tort cases with multi-State contacts. Justice, fairness and "the best practical result"</w:t>
      </w:r>
      <w:r>
        <w:t xml:space="preserve"> </w:t>
      </w:r>
      <w:r>
        <w:rPr>
          <w:rStyle w:val="Elision"/>
        </w:rPr>
        <w:t xml:space="preserve">[ … ]</w:t>
      </w:r>
      <w:r>
        <w:t xml:space="preserve"> </w:t>
      </w:r>
      <w:r>
        <w:t xml:space="preserve">may best be achieved by giving controlling effect to the law of the jurisdiction which, because of its relationship or contact with the occurrence or the parties, has the greatest concern with the specific issue raised in the litigation. The merit of such a rule is that "it gives to the place `having the most interest in the problem' paramount control over the legal issues arising out of a particular factual context" and thereby allows the forum to apply "the policy of the jurisdiction `most</w:t>
      </w:r>
      <w:r>
        <w:t xml:space="preserve"> </w:t>
      </w:r>
      <w:r>
        <w:rPr>
          <w:rStyle w:val="Elision"/>
        </w:rPr>
        <w:t xml:space="preserve">[ … ]</w:t>
      </w:r>
      <w:r>
        <w:t xml:space="preserve"> </w:t>
      </w:r>
      <w:r>
        <w:t xml:space="preserve">intimately concerned with the outcome of [the] particular litigation.'" (</w:t>
      </w:r>
      <w:r>
        <w:rPr>
          <w:iCs/>
          <w:i/>
        </w:rPr>
        <w:t xml:space="preserve">Auten v. Auten</w:t>
      </w:r>
      <w:r>
        <w:t xml:space="preserve">, 308 N.Y. 155, 161,</w:t>
      </w:r>
      <w:r>
        <w:t xml:space="preserve"> </w:t>
      </w:r>
      <w:r>
        <w:rPr>
          <w:iCs/>
          <w:i/>
        </w:rPr>
        <w:t xml:space="preserve">supra</w:t>
      </w:r>
      <w:r>
        <w:t xml:space="preserve">.)</w:t>
      </w:r>
    </w:p>
    <w:p>
      <w:pPr>
        <w:pStyle w:val="CaseBody"/>
      </w:pPr>
      <w:r>
        <w:t xml:space="preserve">Such, indeed, is the approach adopted in the</w:t>
      </w:r>
      <w:r>
        <w:t xml:space="preserve"> </w:t>
      </w:r>
      <w:r>
        <w:rPr>
          <w:rStyle w:val="ReplacementText"/>
        </w:rPr>
        <w:t xml:space="preserve">draft of the Second Restatement</w:t>
      </w:r>
      <w:r>
        <w:t xml:space="preserve"> </w:t>
      </w:r>
      <w:r>
        <w:t xml:space="preserve">in the field of torts. According to the principles there set out, "The local law of the state which has the most significant relationship with the occurrence and with the parties determines their rights and liabilities in tort" (</w:t>
      </w:r>
      <w:r>
        <w:rPr>
          <w:rStyle w:val="ReplacementText"/>
        </w:rPr>
        <w:t xml:space="preserve">Second Restatement Draft</w:t>
      </w:r>
      <w:r>
        <w:t xml:space="preserve"> </w:t>
      </w:r>
      <w:r>
        <w:t xml:space="preserve">§ 379[1]</w:t>
      </w:r>
      <w:r>
        <w:rPr>
          <w:rStyle w:val="Elision"/>
        </w:rPr>
        <w:t xml:space="preserve">[ … ]</w:t>
      </w:r>
      <w:r>
        <w:t xml:space="preserve">, and the relative importance of the relationships or contacts of the respective jurisdictions is to be evaluated in the light of "the issues, the character of the tort and the relevant purposes of the tort rules involved"</w:t>
      </w:r>
      <w:r>
        <w:t xml:space="preserve"> </w:t>
      </w:r>
      <w:r>
        <w:rPr>
          <w:rStyle w:val="Elision"/>
        </w:rPr>
        <w:t xml:space="preserve">[ … ]</w:t>
      </w:r>
      <w:r>
        <w:t xml:space="preserve">.</w:t>
      </w:r>
    </w:p>
    <w:p>
      <w:pPr>
        <w:pStyle w:val="CaseBody"/>
      </w:pPr>
      <w:r>
        <w:t xml:space="preserve">Comparison of the relative "contacts" and "interests" of New York and Ontario in this litigation, vis-a-vis the issue here presented, makes it clear that the concern of New York is unquestionably the greater and more direct and that the interest of Ontario is at best minimal. The present action involves injuries sustained by a New York guest as the result of the negligence of a New York host in the operation of an automobile, garaged, licensed and undoubtedly insured in New York, in the course of a week-end journey which began and was to end there. In sharp contrast, Ontario's sole relationship with the occurrence is the purely adventitious circumstance that the accident occurred there.</w:t>
      </w:r>
    </w:p>
    <w:p>
      <w:pPr>
        <w:pStyle w:val="CaseBody"/>
      </w:pPr>
      <w:r>
        <w:t xml:space="preserve">New York's policy of requiring a tort-feasor to compensate his guest for injuries caused by his negligence cannot be doubted — as attested by the fact that the Legislature of this State has repeatedly refused to enact a statute denying or limiting recovery in such cases</w:t>
      </w:r>
      <w:r>
        <w:t xml:space="preserve"> </w:t>
      </w:r>
      <w:r>
        <w:rPr>
          <w:rStyle w:val="Elision"/>
        </w:rPr>
        <w:t xml:space="preserve">[ … ]</w:t>
      </w:r>
      <w:r>
        <w:t xml:space="preserve"> </w:t>
      </w:r>
      <w:r>
        <w:t xml:space="preserve">— and our courts have neither reason nor warrant for departing from that policy simply because the accident, solely affecting New York residents and arising out of the operation of a New York based automobile, happened beyond its borders. Per contra, Ontario has no conceivable interest in denying a remedy to a New York guest against his New York host for injuries suffered in Ontario by reason of conduct which was tortious under Ontario law. The object of Ontario's guest statute, it has been said, is "to prevent the fraudulent assertion</w:t>
      </w:r>
      <w:r>
        <w:t xml:space="preserve"> </w:t>
      </w:r>
      <w:r>
        <w:rPr>
          <w:rStyle w:val="Elision"/>
        </w:rPr>
        <w:t xml:space="preserve">[ … ]</w:t>
      </w:r>
      <w:r>
        <w:t xml:space="preserve"> </w:t>
      </w:r>
      <w:r>
        <w:t xml:space="preserve">of claims by passengers, in collusion with the drivers, against insurance companies"</w:t>
      </w:r>
      <w:r>
        <w:t xml:space="preserve"> </w:t>
      </w:r>
      <w:r>
        <w:rPr>
          <w:rStyle w:val="Elision"/>
        </w:rPr>
        <w:t xml:space="preserve">[ … ]</w:t>
      </w:r>
      <w:r>
        <w:t xml:space="preserve"> </w:t>
      </w:r>
      <w:r>
        <w:t xml:space="preserve">and, quite obviously, the fraudulent claims intended to be prevented by the statute are those asserted against Ontario defendants and their insurance carriers, not New York defendants and their insurance carriers. Whether New York defendants are imposed upon or their insurers defrauded by a New York plaintiff is scarcely a valid legislative concern of Ontario simply because the accident occurred there, any more so than if the accident had happened in some other jurisdiction.</w:t>
      </w:r>
    </w:p>
    <w:p>
      <w:pPr>
        <w:pStyle w:val="CaseBody"/>
      </w:pPr>
      <w:r>
        <w:t xml:space="preserve">It is hardly necessary to say that Ontario's interest is quite different from what it would have been had the issue related to the manner in which the defendant had been driving his car at the time of the accident. Where the defendant's exercise of due care in the operation of his automobile is in issue, the jurisdiction in which the allegedly wrongful conduct occurred will usually have a predominant, if not exclusive, concern. In such a case, it is appropriate to look to the law of the place of the tort so as to give effect to that jurisdiction's interest in regulating conduct within its borders, and it would be almost unthinkable to seek the applicable rule in the law of some other place.</w:t>
      </w:r>
    </w:p>
    <w:p>
      <w:pPr>
        <w:pStyle w:val="CaseBody"/>
      </w:pPr>
      <w:r>
        <w:t xml:space="preserve">The issue here, however, is not whether the defendant offended against a rule of the road prescribed by Ontario for motorists generally or whether he violated some standard of conduct imposed by that jurisdiction, but rather whether the plaintiff, because she was a guest in the defendant's automobile, is barred from recovering damages for a wrong concededly committed. As to that issue, it is New York, the place where the parties resided, where their guest-host relationship arose and where the trip began and was to end, rather than Ontario, the place of the fortuitous occurrence of the accident, which has the dominant contacts and the superior claim for application of its law. Although the rightness or wrongness of defendant's conduct may depend upon the law of the particular jurisdiction through which the automobile passes, the rights and liabilities of the parties which stem from their guest-host relationship should remain constant and not vary and shift as the automobile proceeds from place to place. Indeed, such a result, we note,</w:t>
      </w:r>
      <w:r>
        <w:t xml:space="preserve"> </w:t>
      </w:r>
      <w:r>
        <w:rPr>
          <w:rStyle w:val="Elision"/>
        </w:rPr>
        <w:t xml:space="preserve">[ … ]</w:t>
      </w:r>
      <w:r>
        <w:t xml:space="preserve"> </w:t>
      </w:r>
      <w:r>
        <w:t xml:space="preserve">accords with "the interests of the host in procuring liability insurance adequate under the applicable law, and the interests of his insurer in reasonable calculability of the premium."</w:t>
      </w:r>
      <w:r>
        <w:rPr>
          <w:rStyle w:val="Elision"/>
        </w:rPr>
        <w:t xml:space="preserve">[ … ]</w:t>
      </w:r>
    </w:p>
    <w:p>
      <w:pPr>
        <w:pStyle w:val="CaseBody"/>
      </w:pPr>
      <w:r>
        <w:t xml:space="preserve">Although the traditional rule has in the past been applied by this court in giving controlling effect to the guest statute of the foreign jurisdiction in which the accident occurred</w:t>
      </w:r>
      <w:r>
        <w:t xml:space="preserve"> </w:t>
      </w:r>
      <w:r>
        <w:rPr>
          <w:rStyle w:val="Elision"/>
        </w:rPr>
        <w:t xml:space="preserve">[ … ]</w:t>
      </w:r>
      <w:r>
        <w:t xml:space="preserve">, it is not amiss to point out that the question here posed was neither raised nor considered in those cases and that the question has never been presented in so stark a manner as in the case before us with a statute so unique as Ontario's.</w:t>
      </w:r>
      <w:hyperlink w:anchor="X4c88cd5277e5d6e7dd9e5cacbbdc114872661e1">
        <w:r>
          <w:rPr>
            <w:rStyle w:val="Elision"/>
            <w:vertAlign w:val="superscript"/>
          </w:rPr>
          <w:t xml:space="preserve">[ … ]</w:t>
        </w:r>
      </w:hyperlink>
      <w:r>
        <w:t xml:space="preserve"> </w:t>
      </w:r>
      <w:r>
        <w:t xml:space="preserve">Be that as it may, however, reconsideration of the inflexible traditional rule persuades us, as already indicated, that, in failing to take into account essential policy considerations and objectives, its application may lead to unjust and anomalous results.</w:t>
      </w:r>
      <w:r>
        <w:t xml:space="preserve"> </w:t>
      </w:r>
      <w:r>
        <w:t xml:space="preserve">This being so, the rule, formulated as it was by the courts, should be discarded.</w:t>
      </w:r>
      <w:r>
        <w:rPr>
          <w:rStyle w:val="FootnoteReference"/>
        </w:rPr>
        <w:footnoteReference w:customMarkFollows="1" w:id="98"/>
        <w:t xml:space="preserve">***</w:t>
      </w:r>
      <w:r>
        <w:t xml:space="preserve"> </w:t>
      </w:r>
      <w:r>
        <w:rPr>
          <w:rStyle w:val="Elision"/>
        </w:rPr>
        <w:t xml:space="preserve">[ … ]</w:t>
      </w:r>
      <w:hyperlink w:anchor="X126aedeffc09ec19590bdf0e67c54ef10861bdc">
        <w:r>
          <w:rPr>
            <w:rStyle w:val="Hyperlink"/>
            <w:vertAlign w:val="superscript"/>
          </w:rPr>
          <w:t xml:space="preserve">[14]</w:t>
        </w:r>
      </w:hyperlink>
    </w:p>
    <w:p>
      <w:pPr>
        <w:pStyle w:val="CaseBody"/>
      </w:pPr>
      <w:r>
        <w:t xml:space="preserve">In conclusion, then, there is no reason why all issues arising out of a tort claim must be resolved by reference to the law of the same jurisdiction. Where the issue involves standards of conduct, it is more than likely that it is the law of the place of the tort which will be controlling but the disposition of other issues must turn, as does the issue of the standard of conduct itself, on the law of the jurisdiction which has the strongest interest in the resolution of the particular issue presented.</w:t>
      </w:r>
    </w:p>
    <w:p>
      <w:pPr>
        <w:pStyle w:val="CaseBody"/>
      </w:pPr>
      <w:r>
        <w:rPr>
          <w:rStyle w:val="Elision"/>
        </w:rPr>
        <w:t xml:space="preserve">[ … ]</w:t>
      </w:r>
      <w:r>
        <w:t xml:space="preserve"> </w:t>
      </w:r>
      <w:r>
        <w:t xml:space="preserve">The judgment appealed from should be reversed, with costs, and the motion to dismiss the complaint denied.</w:t>
      </w:r>
    </w:p>
    <w:bookmarkEnd w:id="45"/>
    <w:bookmarkStart w:id="46" w:name="X2e4cf6e8c20bbabcc0fbd3d019d80e7898c790e"/>
    <w:p>
      <w:pPr>
        <w:pStyle w:val="Heading2"/>
      </w:pPr>
      <w:r>
        <w:rPr>
          <w:rStyle w:val="ReplacementText"/>
        </w:rPr>
        <w:t xml:space="preserve">[A dissent from Judge Van Voorhis is omitted.]</w:t>
      </w:r>
    </w:p>
    <w:p>
      <w:pPr>
        <w:pStyle w:val="CaseBody"/>
      </w:pPr>
      <w:hyperlink w:anchor="Xee9ed4e86f9d2875f16779d51033f5ad6137eca">
        <w:r>
          <w:rPr>
            <w:rStyle w:val="Elision"/>
          </w:rPr>
          <w:t xml:space="preserve">[ … ]</w:t>
        </w:r>
      </w:hyperlink>
    </w:p>
    <w:p>
      <w:pPr>
        <w:pStyle w:val="CaseBody"/>
      </w:pPr>
      <w:hyperlink w:anchor="X595c6df9fe541763cad65eb347cd48bd4e62098">
        <w:r>
          <w:rPr>
            <w:rStyle w:val="Hyperlink"/>
          </w:rPr>
          <w:t xml:space="preserve">[2]</w:t>
        </w:r>
      </w:hyperlink>
      <w:r>
        <w:t xml:space="preserve"> </w:t>
      </w:r>
      <w:r>
        <w:t xml:space="preserve">In this case, as in nearly all such cases, the conduct causing injury and the injury itself occurred in the same jurisdiction. The phrase "place of the tort," as distinguished from "place of wrong" and "place of injury," is used herein to designate the place where both the wrong and the injury took place.</w:t>
      </w:r>
    </w:p>
    <w:p>
      <w:pPr>
        <w:pStyle w:val="CaseBody"/>
      </w:pPr>
      <w:hyperlink w:anchor="X267e6d4c21b40b76f1f56a039c88f33f468da82">
        <w:r>
          <w:rPr>
            <w:rStyle w:val="Elision"/>
          </w:rPr>
          <w:t xml:space="preserve">[ … ]</w:t>
        </w:r>
      </w:hyperlink>
    </w:p>
    <w:p>
      <w:pPr>
        <w:pStyle w:val="CaseBody"/>
      </w:pPr>
      <w:hyperlink w:anchor="Xc25ef40c4c06b7642c409a0ca4dcb90c26e05d7">
        <w:r>
          <w:rPr>
            <w:rStyle w:val="Hyperlink"/>
          </w:rPr>
          <w:t xml:space="preserve">[14]</w:t>
        </w:r>
      </w:hyperlink>
      <w:r>
        <w:t xml:space="preserve"> </w:t>
      </w:r>
      <w:r>
        <w:t xml:space="preserve">It of course follows from our decision herein that, given the facts of the present case, the result would be the same and the law of New York applied where the foreign guest statute requires a showing of gross negligence.</w:t>
      </w:r>
    </w:p>
    <w:bookmarkEnd w:id="46"/>
    <w:p>
      <w:pPr>
        <w:pStyle w:val="NodeEnd"/>
      </w:pPr>
      <w:r>
        <w:t xml:space="preserve"> </w:t>
      </w:r>
    </w:p>
    <w:p>
      <w:pPr>
        <w:pStyle w:val="NodeStart"/>
      </w:pPr>
      <w:r>
        <w:t xml:space="preserve"> </w:t>
      </w:r>
    </w:p>
    <w:p>
      <w:pPr>
        <w:pStyle w:val="HeadSeparator"/>
      </w:pPr>
      <w:r>
        <w:t xml:space="preserve"> </w:t>
      </w:r>
    </w:p>
    <w:bookmarkStart w:id="50" w:name="_auto_toc_50"/>
    <w:bookmarkEnd w:id="50"/>
    <w:p>
      <w:pPr>
        <w:pStyle w:val="ResourceNumber"/>
      </w:pPr>
      <w:r>
        <w:t xml:space="preserve">5.7</w:t>
      </w:r>
    </w:p>
    <w:p>
      <w:pPr>
        <w:pStyle w:val="ResourceTitle"/>
      </w:pPr>
      <w:r>
        <w:t xml:space="preserve">Notes following Babcock v. Jackson</w:t>
      </w:r>
    </w:p>
    <w:p>
      <w:pPr>
        <w:pStyle w:val="HeadEnd"/>
      </w:pPr>
      <w:r>
        <w:t xml:space="preserve"> </w:t>
      </w:r>
    </w:p>
    <w:p>
      <w:pPr>
        <w:numPr>
          <w:ilvl w:val="0"/>
          <w:numId w:val="1076"/>
        </w:numPr>
      </w:pPr>
      <w:r>
        <w:rPr>
          <w:iCs/>
          <w:i/>
        </w:rPr>
        <w:t xml:space="preserve">Issues in litigation</w:t>
      </w:r>
      <w:r>
        <w:t xml:space="preserve">. In</w:t>
      </w:r>
      <w:r>
        <w:t xml:space="preserve"> </w:t>
      </w:r>
      <w:r>
        <w:rPr>
          <w:iCs/>
          <w:i/>
        </w:rPr>
        <w:t xml:space="preserve">Babcock</w:t>
      </w:r>
      <w:r>
        <w:t xml:space="preserve">, you are introduced to the idea of cutting up litigation into various different “issues.” For example, the enforceability of a forum-selection clause might be one issue among many others in a case about a contract.</w:t>
      </w:r>
    </w:p>
    <w:p>
      <w:pPr>
        <w:numPr>
          <w:ilvl w:val="1"/>
          <w:numId w:val="1077"/>
        </w:numPr>
      </w:pPr>
      <w:r>
        <w:t xml:space="preserve">The</w:t>
      </w:r>
      <w:r>
        <w:t xml:space="preserve"> </w:t>
      </w:r>
      <w:r>
        <w:rPr>
          <w:iCs/>
          <w:i/>
        </w:rPr>
        <w:t xml:space="preserve">Babcock</w:t>
      </w:r>
      <w:r>
        <w:t xml:space="preserve"> </w:t>
      </w:r>
      <w:r>
        <w:t xml:space="preserve">court asserted near the end: “[T]here is no reason why all issues arising out of a tort claim must be resolved by reference to the law of the same jurisdiction.” What separate issues does the court identify in</w:t>
      </w:r>
      <w:r>
        <w:t xml:space="preserve"> </w:t>
      </w:r>
      <w:r>
        <w:rPr>
          <w:iCs/>
          <w:i/>
        </w:rPr>
        <w:t xml:space="preserve">Babcock</w:t>
      </w:r>
      <w:r>
        <w:t xml:space="preserve">?</w:t>
      </w:r>
    </w:p>
    <w:p>
      <w:pPr>
        <w:numPr>
          <w:ilvl w:val="1"/>
          <w:numId w:val="1077"/>
        </w:numPr>
      </w:pPr>
      <w:r>
        <w:t xml:space="preserve">Can you think of what might be some other issues in this litigation?</w:t>
      </w:r>
    </w:p>
    <w:p>
      <w:pPr>
        <w:numPr>
          <w:ilvl w:val="1"/>
          <w:numId w:val="1077"/>
        </w:numPr>
      </w:pPr>
      <w:r>
        <w:t xml:space="preserve">Note: Keep in mind that cases can get “cut up” into issues, as this becomes relevant in</w:t>
      </w:r>
      <w:r>
        <w:t xml:space="preserve"> </w:t>
      </w:r>
      <w:r>
        <w:rPr>
          <w:bCs/>
          <w:b/>
        </w:rPr>
        <w:t xml:space="preserve">issue preclusion</w:t>
      </w:r>
      <w:r>
        <w:t xml:space="preserve">, which we will learn much later in the course.</w:t>
      </w:r>
    </w:p>
    <w:p>
      <w:pPr>
        <w:numPr>
          <w:ilvl w:val="0"/>
          <w:numId w:val="1076"/>
        </w:numPr>
      </w:pPr>
      <w:r>
        <w:t xml:space="preserve">“</w:t>
      </w:r>
      <w:r>
        <w:rPr>
          <w:iCs/>
          <w:i/>
        </w:rPr>
        <w:t xml:space="preserve">Center of gravity</w:t>
      </w:r>
      <w:r>
        <w:t xml:space="preserve">”</w:t>
      </w:r>
      <w:r>
        <w:t xml:space="preserve"> </w:t>
      </w:r>
      <w:r>
        <w:rPr>
          <w:iCs/>
          <w:i/>
        </w:rPr>
        <w:t xml:space="preserve">and Second Restatement</w:t>
      </w:r>
      <w:r>
        <w:t xml:space="preserve">. The court in</w:t>
      </w:r>
      <w:r>
        <w:t xml:space="preserve"> </w:t>
      </w:r>
      <w:r>
        <w:rPr>
          <w:iCs/>
          <w:i/>
        </w:rPr>
        <w:t xml:space="preserve">Babcock</w:t>
      </w:r>
      <w:r>
        <w:t xml:space="preserve"> </w:t>
      </w:r>
      <w:r>
        <w:t xml:space="preserve">expressly espouses the Second Restatement. This approach, called the “center of gravity”  or an "interest" test, looks to the state with the most significant relationship to the specific issue (or perhaps the state with the strongest interest in the issue) at hand and applies that state’s law to</w:t>
      </w:r>
      <w:r>
        <w:t xml:space="preserve"> </w:t>
      </w:r>
      <w:r>
        <w:rPr>
          <w:iCs/>
          <w:i/>
        </w:rPr>
        <w:t xml:space="preserve">that issue</w:t>
      </w:r>
      <w:r>
        <w:t xml:space="preserve">. This would, in theory, serve justice, fairness, and the “best practical result.”</w:t>
      </w:r>
    </w:p>
    <w:p>
      <w:pPr>
        <w:numPr>
          <w:ilvl w:val="1"/>
          <w:numId w:val="1078"/>
        </w:numPr>
      </w:pPr>
      <w:r>
        <w:t xml:space="preserve">For the two issues you identified in question 1(a), what law does the court apply to each issue?</w:t>
      </w:r>
    </w:p>
    <w:p>
      <w:pPr>
        <w:numPr>
          <w:ilvl w:val="1"/>
          <w:numId w:val="1078"/>
        </w:numPr>
      </w:pPr>
      <w:r>
        <w:t xml:space="preserve">This is a torts case, but</w:t>
      </w:r>
      <w:r>
        <w:t xml:space="preserve"> </w:t>
      </w:r>
      <w:r>
        <w:rPr>
          <w:iCs/>
          <w:i/>
        </w:rPr>
        <w:t xml:space="preserve">Babcock</w:t>
      </w:r>
      <w:r>
        <w:t xml:space="preserve"> </w:t>
      </w:r>
      <w:r>
        <w:t xml:space="preserve">uses an analogy from contracts law: previously, in New York, the law that applied to the “execution, interpretation and validity of a contract” was the law of the state where the contract was</w:t>
      </w:r>
      <w:r>
        <w:t xml:space="preserve"> </w:t>
      </w:r>
      <w:r>
        <w:rPr>
          <w:iCs/>
          <w:i/>
        </w:rPr>
        <w:t xml:space="preserve">formed</w:t>
      </w:r>
      <w:r>
        <w:t xml:space="preserve">, and the issues with the performance of the contract were regulated by the law of the state where the contract was to be</w:t>
      </w:r>
      <w:r>
        <w:t xml:space="preserve"> </w:t>
      </w:r>
      <w:r>
        <w:rPr>
          <w:iCs/>
          <w:i/>
        </w:rPr>
        <w:t xml:space="preserve">performed</w:t>
      </w:r>
      <w:r>
        <w:t xml:space="preserve">.</w:t>
      </w:r>
      <w:r>
        <w:t xml:space="preserve"> </w:t>
      </w:r>
      <w:r>
        <w:rPr>
          <w:iCs/>
          <w:i/>
        </w:rPr>
        <w:t xml:space="preserve">Auten v. Auten</w:t>
      </w:r>
      <w:r>
        <w:t xml:space="preserve"> </w:t>
      </w:r>
      <w:r>
        <w:t xml:space="preserve">abandoned those rules and instead applied the “center of gravity” test. Do you find this trans-substantive analogizing move appropriate or helpful here?</w:t>
      </w:r>
    </w:p>
    <w:p>
      <w:pPr>
        <w:numPr>
          <w:ilvl w:val="0"/>
          <w:numId w:val="1076"/>
        </w:numPr>
      </w:pPr>
      <w:r>
        <w:rPr>
          <w:iCs/>
          <w:i/>
        </w:rPr>
        <w:t xml:space="preserve">Interests of jurisdiction.</w:t>
      </w:r>
      <w:r>
        <w:t xml:space="preserve"> </w:t>
      </w:r>
      <w:r>
        <w:t xml:space="preserve">One way to determine the interests of a jurisdiction is to consider the purpose of enacting the law, but this can be difficult: as you learned or will learn in LegReg, it is not always easy to discern a single purpose of a law. Another way to determine interests is to think about what states want to regulate within their borders and whom they want to protect.</w:t>
      </w:r>
    </w:p>
    <w:p>
      <w:pPr>
        <w:numPr>
          <w:ilvl w:val="1"/>
          <w:numId w:val="1079"/>
        </w:numPr>
      </w:pPr>
      <w:r>
        <w:t xml:space="preserve">For the two issues identified in questions 1(a) and 2(a), why does the court apply the law that it does to each specific issue? What state interests does it rely on?</w:t>
      </w:r>
    </w:p>
    <w:p>
      <w:pPr>
        <w:numPr>
          <w:ilvl w:val="1"/>
          <w:numId w:val="1079"/>
        </w:numPr>
      </w:pPr>
      <w:r>
        <w:t xml:space="preserve">Note: This case is only an introduction to what is called “</w:t>
      </w:r>
      <w:r>
        <w:rPr>
          <w:bCs/>
          <w:b/>
        </w:rPr>
        <w:t xml:space="preserve">interest analysis,</w:t>
      </w:r>
      <w:r>
        <w:t xml:space="preserve">” a subfield within the legal field of</w:t>
      </w:r>
      <w:r>
        <w:t xml:space="preserve"> </w:t>
      </w:r>
      <w:r>
        <w:rPr>
          <w:bCs/>
          <w:b/>
        </w:rPr>
        <w:t xml:space="preserve">conflict-of-law</w:t>
      </w:r>
      <w:r>
        <w:t xml:space="preserve">. Academics and practitioners debate over what is considered a legitimate state interest, how to determine or quantify it, and how to deal with conflicting interests.</w:t>
      </w:r>
    </w:p>
    <w:p>
      <w:pPr>
        <w:numPr>
          <w:ilvl w:val="0"/>
          <w:numId w:val="1076"/>
        </w:numPr>
      </w:pPr>
      <w:r>
        <w:t xml:space="preserve">The Court of Appeals of New York, the highest court in the state, considered the following question: Should the law of the place of the tort or wrongdoing always dictate “the availability of relief for the tort,” or should there also be a consideration of relevant factors, including policy considerations, that might play a role? As we saw in</w:t>
      </w:r>
      <w:r>
        <w:t xml:space="preserve"> </w:t>
      </w:r>
      <w:r>
        <w:rPr>
          <w:iCs/>
          <w:i/>
        </w:rPr>
        <w:t xml:space="preserve">Great Alabama Railroad</w:t>
      </w:r>
      <w:r>
        <w:t xml:space="preserve">, the traditional choice-of-law principle was that the court would apply the law of the state in which the injury occurred (lex loci delicti) – i.e., the last place that vests the plaintiff with the right to recover for a tort. As the court noted in</w:t>
      </w:r>
      <w:r>
        <w:t xml:space="preserve"> </w:t>
      </w:r>
      <w:r>
        <w:rPr>
          <w:iCs/>
          <w:i/>
        </w:rPr>
        <w:t xml:space="preserve">Babcock</w:t>
      </w:r>
      <w:r>
        <w:t xml:space="preserve">, this might lead to what some consider “unjust and anomalous results.” As we noted in the casenotes for</w:t>
      </w:r>
      <w:r>
        <w:t xml:space="preserve"> </w:t>
      </w:r>
      <w:r>
        <w:rPr>
          <w:iCs/>
          <w:i/>
        </w:rPr>
        <w:t xml:space="preserve">Great Alabama Railroad</w:t>
      </w:r>
      <w:r>
        <w:t xml:space="preserve">, sometimes the location of the tort is arbitrary and perhaps does not have a relation to the substantive rights and liabilities that arise out of the tort, and a “merely fortuitous circumstance that the wrong and injury occurred in [a State] [does] not give that State a controlling concern of interest in the amount of the tort recovery.” In this case, was the accident that occurred in Ontario “merely fortuitous”?  Put another way, when is the location of an unintentional tort, i.e., an accident, NOT fortuitous?  In other words, if no one intends for an accident to occur, an accident’s location is always . . . err . . . accidental, no?  If so, then doesn’t the argument about the “fortuitousness” of the location of an accident mean that courts should pay no attention at all to the location of an accident?  Or is it really true that the location of an accident is always accidental? Mightn’t the probability of an accident depend on how much precautionary care a potential tortfeasor is exercising at a particular time, and mightn’t the level of care depend on how much liability the tortfeasor expects to face if an accident occurs, which, in turn, could depend on the law the tortfeasor expects to apply to accidents for which it might be sued?  But if state interests and the center of gravity are complex and hard to predict in advance (because it's hard to know how a future court will see them), how is a tortfeasor supposed to know the level of resources it should invest in precaution?</w:t>
      </w:r>
    </w:p>
    <w:p>
      <w:pPr>
        <w:numPr>
          <w:ilvl w:val="0"/>
          <w:numId w:val="1080"/>
        </w:numPr>
      </w:pPr>
      <w:r>
        <w:rPr>
          <w:iCs/>
          <w:i/>
        </w:rPr>
        <w:t xml:space="preserve">Complex problems</w:t>
      </w:r>
      <w:r>
        <w:t xml:space="preserve">. What happens when the facts become trickier? Let’s say the passenger and driver are from different jurisdictions – which jurisdiction’s laws apply to which issues? This situation is presented in our next case,</w:t>
      </w:r>
      <w:r>
        <w:t xml:space="preserve"> </w:t>
      </w:r>
      <w:r>
        <w:rPr>
          <w:iCs/>
          <w:i/>
        </w:rPr>
        <w:t xml:space="preserve">Neumeier</w:t>
      </w:r>
      <w:r>
        <w:t xml:space="preserve">.</w:t>
      </w:r>
    </w:p>
    <w:p>
      <w:pPr>
        <w:pStyle w:val="NodeEnd"/>
      </w:pPr>
      <w:r>
        <w:t xml:space="preserve"> </w:t>
      </w:r>
    </w:p>
    <w:p>
      <w:pPr>
        <w:pStyle w:val="NodeStart"/>
      </w:pPr>
      <w:r>
        <w:t xml:space="preserve"> </w:t>
      </w:r>
    </w:p>
    <w:p>
      <w:pPr>
        <w:pStyle w:val="HeadSeparator"/>
      </w:pPr>
      <w:r>
        <w:t xml:space="preserve"> </w:t>
      </w:r>
    </w:p>
    <w:bookmarkStart w:id="51" w:name="_auto_toc_51"/>
    <w:bookmarkEnd w:id="51"/>
    <w:p>
      <w:pPr>
        <w:pStyle w:val="ResourceNumber"/>
      </w:pPr>
      <w:r>
        <w:t xml:space="preserve">5.8</w:t>
      </w:r>
    </w:p>
    <w:p>
      <w:pPr>
        <w:pStyle w:val="ResourceTitle"/>
      </w:pPr>
      <w:r>
        <w:t xml:space="preserve">Neumeier v. Kuehner</w:t>
      </w:r>
    </w:p>
    <w:p>
      <w:pPr>
        <w:pStyle w:val="HeadFieldSeparator"/>
      </w:pPr>
      <w:r>
        <w:t xml:space="preserve"> </w:t>
      </w:r>
    </w:p>
    <w:p>
      <w:pPr>
        <w:pStyle w:val="ResourceHeadnote"/>
      </w:pPr>
      <w:r>
        <w:t xml:space="preserve">In</w:t>
      </w:r>
      <w:r>
        <w:t xml:space="preserve"> </w:t>
      </w:r>
      <w:r>
        <w:rPr>
          <w:iCs/>
          <w:i/>
        </w:rPr>
        <w:t xml:space="preserve">Neumeier</w:t>
      </w:r>
      <w:r>
        <w:t xml:space="preserve">, the Court of Appeals of New York considered yet another car-accident-in-Ontario case. Neumeier, a resident of Ontario, was killed in a car driven by Keuhner, a resident of New York. The deceased’s wife brought an action against Keuhner’s estate in New York state court. The defendant argued that the claim was barred by Ontario’s guest statute, and the trial court agreed. The appellate court reversed, and the Court of Appeals took the case.</w:t>
      </w:r>
    </w:p>
    <w:p>
      <w:pPr>
        <w:pStyle w:val="ResourceHeadnote"/>
      </w:pPr>
      <w:r>
        <w:t xml:space="preserve">Look at who wrote the majority opinion for both cases and the years they were decided. Judge Fuld of the Court of Appeals of New York was a part of what academics call the “revolution” in choice-of-law during the 60s and 70s. (Point taken that this is definitely not the most important or interesting revolution happening during this time period.)</w:t>
      </w:r>
    </w:p>
    <w:p>
      <w:pPr>
        <w:pStyle w:val="ResourceHeadnote"/>
      </w:pPr>
      <w:r>
        <w:rPr>
          <w:iCs/>
          <w:i/>
        </w:rPr>
        <w:t xml:space="preserve">Neumeier</w:t>
      </w:r>
      <w:r>
        <w:t xml:space="preserve"> </w:t>
      </w:r>
      <w:r>
        <w:t xml:space="preserve">is an application of the Second Restatement Choice of Law in a more complex factual pattern than what is in</w:t>
      </w:r>
      <w:r>
        <w:t xml:space="preserve"> </w:t>
      </w:r>
      <w:r>
        <w:rPr>
          <w:iCs/>
          <w:i/>
        </w:rPr>
        <w:t xml:space="preserve">Babcock</w:t>
      </w:r>
      <w:r>
        <w:t xml:space="preserve">. The court determines that both Ontario and New York have interests here - to protect their domiciliaries. Note how it contends with this and other policy considerations.</w:t>
      </w:r>
    </w:p>
    <w:p>
      <w:pPr>
        <w:pStyle w:val="HeadEnd"/>
      </w:pPr>
      <w:r>
        <w:t xml:space="preserve"> </w:t>
      </w:r>
    </w:p>
    <w:p>
      <w:pPr>
        <w:pStyle w:val="CaseHeader"/>
      </w:pPr>
      <w:r>
        <w:t xml:space="preserve">New York Court of Appeals</w:t>
      </w:r>
    </w:p>
    <w:p>
      <w:pPr>
        <w:pStyle w:val="CaseHeader"/>
      </w:pPr>
      <w:r>
        <w:t xml:space="preserve">31 N.Y.2d 121</w:t>
      </w:r>
    </w:p>
    <w:p>
      <w:pPr>
        <w:pStyle w:val="CaseHeader"/>
      </w:pPr>
      <w:r>
        <w:t xml:space="preserve">1972-07-07</w:t>
      </w:r>
    </w:p>
    <w:p>
      <w:pPr>
        <w:pStyle w:val="CaseBody"/>
      </w:pPr>
      <w:r>
        <w:t xml:space="preserve">31 N.Y.2d 121 (1972)</w:t>
      </w:r>
    </w:p>
    <w:p>
      <w:pPr>
        <w:pStyle w:val="CaseHeader"/>
      </w:pPr>
      <w:r>
        <w:t xml:space="preserve">Joan Neumeier, as Administratrix of The Estate of Amie Neumeier, Deceased, Respondent,</w:t>
      </w:r>
      <w:r>
        <w:br/>
      </w:r>
      <w:r>
        <w:t xml:space="preserve">v.</w:t>
      </w:r>
      <w:r>
        <w:br/>
      </w:r>
      <w:r>
        <w:t xml:space="preserve">Irene Kuehner, as Administratrix of The Estate of Arthur Kuehner, Deceased, et al., Appellants.</w:t>
      </w:r>
    </w:p>
    <w:p>
      <w:pPr>
        <w:pStyle w:val="CaseBody"/>
      </w:pPr>
      <w:r>
        <w:t xml:space="preserve">Court of Appeals of the State of New York.</w:t>
      </w:r>
    </w:p>
    <w:p>
      <w:pPr>
        <w:pStyle w:val="CaseBody"/>
      </w:pPr>
      <w:r>
        <w:rPr>
          <w:rStyle w:val="Elision"/>
        </w:rPr>
        <w:t xml:space="preserve">[ … ]</w:t>
      </w:r>
    </w:p>
    <w:bookmarkStart w:id="47" w:name="chief-judge-fuld."/>
    <w:p>
      <w:pPr>
        <w:pStyle w:val="Heading2"/>
      </w:pPr>
      <w:r>
        <w:rPr>
          <w:rStyle w:val="Elision"/>
        </w:rPr>
        <w:t xml:space="preserve">[ … ]</w:t>
      </w:r>
      <w:r>
        <w:t xml:space="preserve"> </w:t>
      </w:r>
      <w:r>
        <w:t xml:space="preserve">Chief Judge FULD.</w:t>
      </w:r>
    </w:p>
    <w:p>
      <w:pPr>
        <w:pStyle w:val="CaseBody"/>
      </w:pPr>
      <w:r>
        <w:t xml:space="preserve">A domiciliary of Ontario, Canada, was killed when the automobile in which he was riding, owned and</w:t>
      </w:r>
      <w:r>
        <w:rPr>
          <w:rStyle w:val="Elision"/>
        </w:rPr>
        <w:t xml:space="preserve">[ … ]</w:t>
      </w:r>
      <w:r>
        <w:t xml:space="preserve"> </w:t>
      </w:r>
      <w:r>
        <w:t xml:space="preserve">driven by a New York resident, collided with a train in Ontario. That jurisdiction has a guest statute, and the primary question posed by this appeal is whether in this action brought by the Ontario passenger's estate,</w:t>
      </w:r>
      <w:r>
        <w:rPr>
          <w:rStyle w:val="ReplacementText"/>
        </w:rPr>
        <w:t xml:space="preserve">or whether</w:t>
      </w:r>
      <w:r>
        <w:t xml:space="preserve">Ontario law should be applied and the New York defendant permitted to rely on its guest statute as a defense.</w:t>
      </w:r>
    </w:p>
    <w:p>
      <w:pPr>
        <w:pStyle w:val="CaseBody"/>
      </w:pPr>
      <w:r>
        <w:t xml:space="preserve">The facts are quickly told. On May 7, 1969, Arthur Kuehner, the defendant's intestate, a resident of Buffalo, drove his automobile from that city to Fort Erie in the Province of Ontario, Canada, where he picked up Amie Neumeier, who lived in that town with his wife and their children. Their trip was to take them to Long Beach, also in Ontario, and back again to Neumeier's home in Fort Erie. However, at a railroad crossing in the Town of Sherkston — on the way to Long Beach — the auto was struck by a train of the defendant Canadian National Railway Company. Both Kuehner and his guest-passenger were instantly killed.</w:t>
      </w:r>
    </w:p>
    <w:p>
      <w:pPr>
        <w:pStyle w:val="CaseBody"/>
      </w:pPr>
      <w:r>
        <w:t xml:space="preserve">Neumeier's wife and administratrix, a citizen of Canada and a domiciliary of Ontario, thereupon commenced this wrongful death action in New York against both Kuehner's estate and the Canadian National Railway Company. The defendant estate pleaded, as an affirmative defense, the Ontario guest statute and the defendant railway also interposed defenses in reliance upon it. In substance, the statute provides that the owner or driver of a motor vehicle is not liable for damages resulting from injury to, or the death of, a guest-passenger unless he was guilty of gross negligence</w:t>
      </w:r>
      <w:r>
        <w:t xml:space="preserve"> </w:t>
      </w:r>
      <w:r>
        <w:rPr>
          <w:rStyle w:val="Elision"/>
        </w:rPr>
        <w:t xml:space="preserve">[ … ]</w:t>
      </w:r>
      <w:r>
        <w:t xml:space="preserve">. It is worth noting, at this point, that, although our court originally considered that the sole purpose of the Ontario statute was to protect Ontario defendants and their insurers against collusive claims (see</w:t>
      </w:r>
      <w:r>
        <w:t xml:space="preserve"> </w:t>
      </w:r>
      <w:r>
        <w:rPr>
          <w:iCs/>
          <w:i/>
        </w:rPr>
        <w:t xml:space="preserve">Babcock v. Jackson</w:t>
      </w:r>
      <w:r>
        <w:t xml:space="preserve">, 12 N Y 2d 473, 482-483), "Further research * * * has revealed the distinct possibility that one purpose, and perhaps the only purpose, of the statute was to protect owners and drivers against suits by ungrateful guests." (Reese, Choice of Law, 71 Col. L. Rev. 548, 558; see Trautman, Two Views on Kell v. Henderson: A Comment, 67 Col. L. Rev. 465, 469.)</w:t>
      </w:r>
    </w:p>
    <w:p>
      <w:pPr>
        <w:pStyle w:val="CaseBody"/>
      </w:pPr>
      <w:r>
        <w:rPr>
          <w:rStyle w:val="Elision"/>
        </w:rPr>
        <w:t xml:space="preserve">[ … ]</w:t>
      </w:r>
      <w:r>
        <w:t xml:space="preserve">The plaintiff, asserting that the Ontario statute "is not available * * * in the present action", moved,</w:t>
      </w:r>
      <w:r>
        <w:rPr>
          <w:rStyle w:val="Elision"/>
        </w:rPr>
        <w:t xml:space="preserve">[ … ]</w:t>
      </w:r>
      <w:r>
        <w:t xml:space="preserve">to dismiss the affirmative defenses pleaded. The court at Special Term, holding the guest statute applicable, denied the motions</w:t>
      </w:r>
      <w:r>
        <w:t xml:space="preserve"> </w:t>
      </w:r>
      <w:r>
        <w:rPr>
          <w:rStyle w:val="Elision"/>
        </w:rPr>
        <w:t xml:space="preserve">[ … ]</w:t>
      </w:r>
      <w:r>
        <w:t xml:space="preserve"> </w:t>
      </w:r>
      <w:r>
        <w:t xml:space="preserve">but, on appeal, a closely divided Appellate Division reversed and directed dismissal of the defenses</w:t>
      </w:r>
      <w:r>
        <w:t xml:space="preserve"> </w:t>
      </w:r>
      <w:r>
        <w:rPr>
          <w:rStyle w:val="Elision"/>
        </w:rPr>
        <w:t xml:space="preserve">[ … ]</w:t>
      </w:r>
      <w:r>
        <w:t xml:space="preserve">. It was the court's belief that this result was dictated by</w:t>
      </w:r>
      <w:r>
        <w:t xml:space="preserve"> </w:t>
      </w:r>
      <w:r>
        <w:rPr>
          <w:iCs/>
          <w:i/>
        </w:rPr>
        <w:t xml:space="preserve">Tooker v. Lopez</w:t>
      </w:r>
      <w:r>
        <w:t xml:space="preserve"> </w:t>
      </w:r>
      <w:r>
        <w:rPr>
          <w:rStyle w:val="Elision"/>
        </w:rPr>
        <w:t xml:space="preserve">[ … ]</w:t>
      </w:r>
      <w:r>
        <w:t xml:space="preserve">.</w:t>
      </w:r>
    </w:p>
    <w:p>
      <w:pPr>
        <w:pStyle w:val="CaseBody"/>
      </w:pPr>
      <w:r>
        <w:t xml:space="preserve">In reaching that conclusion, the Appellate Division misread our decision in the</w:t>
      </w:r>
      <w:r>
        <w:t xml:space="preserve"> </w:t>
      </w:r>
      <w:r>
        <w:rPr>
          <w:iCs/>
          <w:i/>
        </w:rPr>
        <w:t xml:space="preserve">Tooker</w:t>
      </w:r>
      <w:r>
        <w:t xml:space="preserve"> </w:t>
      </w:r>
      <w:r>
        <w:t xml:space="preserve">case — a not unnatural result in light of the variant views expressed in the three separate opinions written on behalf of the majority. It is important to bear in mind that in</w:t>
      </w:r>
      <w:r>
        <w:t xml:space="preserve"> </w:t>
      </w:r>
      <w:r>
        <w:rPr>
          <w:iCs/>
          <w:i/>
        </w:rPr>
        <w:t xml:space="preserve">Tooker</w:t>
      </w:r>
      <w:r>
        <w:t xml:space="preserve">, the guest-passenger and the host-driver were both domiciled in New York, and our decision — that New York law was controlling — was based upon, and limited to, that fact situation. Indeed, two of the three judges who wrote for reversal</w:t>
      </w:r>
      <w:r>
        <w:t xml:space="preserve"> </w:t>
      </w:r>
      <w:r>
        <w:rPr>
          <w:rStyle w:val="Elision"/>
        </w:rPr>
        <w:t xml:space="preserve">[ … ]</w:t>
      </w:r>
      <w:r>
        <w:t xml:space="preserve"> </w:t>
      </w:r>
      <w:r>
        <w:t xml:space="preserve">expressly noted that the determination then being made left open the question whether New York law would be applicable if the plaintiff passenger happened to be a domiciliary of the very jurisdiction which had a guest statute.</w:t>
      </w:r>
      <w:hyperlink w:anchor="X7ea30bf9acb6601e6a1383756e430db071990e6">
        <w:r>
          <w:rPr>
            <w:rStyle w:val="Elision"/>
            <w:vertAlign w:val="superscript"/>
          </w:rPr>
          <w:t xml:space="preserve">[ … ]</w:t>
        </w:r>
      </w:hyperlink>
      <w:r>
        <w:t xml:space="preserve">Thus,</w:t>
      </w:r>
      <w:r>
        <w:t xml:space="preserve"> </w:t>
      </w:r>
      <w:r>
        <w:rPr>
          <w:iCs/>
          <w:i/>
        </w:rPr>
        <w:t xml:space="preserve">Tooker v. Lopez</w:t>
      </w:r>
      <w:r>
        <w:t xml:space="preserve"> </w:t>
      </w:r>
      <w:r>
        <w:t xml:space="preserve">did no more than hold that, when the passenger and driver are residents of the same jurisdiction and the car is there registered and insured, its law, and not the law of the place of accident, controls and determines the standard of care which the host owes to his guest.</w:t>
      </w:r>
    </w:p>
    <w:p>
      <w:pPr>
        <w:pStyle w:val="CaseBody"/>
      </w:pPr>
      <w:r>
        <w:t xml:space="preserve">What significantly and effectively differentiates the present case is the fact that, although the host was a domiciliary of New York, the guest, for whose death recovery is sought, was domiciled in Ontario, the place of accident and the very jurisdiction which had enacted the statute designed to protect the host from liability for ordinary negligence. It is clear that, although New York has a deep interest in protecting its own residents, injured in a foreign state, against unfair or anachronistic statutes of that state, it has no legitimate interest in</w:t>
      </w:r>
      <w:r>
        <w:t xml:space="preserve"> </w:t>
      </w:r>
      <w:r>
        <w:rPr>
          <w:rStyle w:val="Elision"/>
        </w:rPr>
        <w:t xml:space="preserve">[ … ]</w:t>
      </w:r>
      <w:r>
        <w:t xml:space="preserve"> </w:t>
      </w:r>
      <w:r>
        <w:t xml:space="preserve">ignoring the public policy of a foreign jurisdiction — such as Ontario — and in protecting the plaintiff guest domiciled and injured there from legislation obviously addressed, at the very least, to a resident riding in a vehicle traveling within its borders.</w:t>
      </w:r>
    </w:p>
    <w:p>
      <w:pPr>
        <w:pStyle w:val="CaseBody"/>
      </w:pPr>
      <w:r>
        <w:t xml:space="preserve">To distinguish</w:t>
      </w:r>
      <w:r>
        <w:t xml:space="preserve"> </w:t>
      </w:r>
      <w:r>
        <w:rPr>
          <w:iCs/>
          <w:i/>
        </w:rPr>
        <w:t xml:space="preserve">Tooker</w:t>
      </w:r>
      <w:r>
        <w:t xml:space="preserve"> </w:t>
      </w:r>
      <w:r>
        <w:t xml:space="preserve">on such a basis is not improperly discriminatory. It is quite true that, in applying the Ontario guest statute to the Ontario-domiciled passenger, we, in a sense, extend a right less generous than New York extends to a New York passenger in a New York vehicle with New York insurance. That, though, is not a consequence of invidious discrimination; it is, rather, the result of the existence of disparate rules of law in jurisdictions that have diverse and important connections with the litigants and the litigated issue.</w:t>
      </w:r>
    </w:p>
    <w:p>
      <w:pPr>
        <w:pStyle w:val="CaseBody"/>
      </w:pPr>
      <w:r>
        <w:t xml:space="preserve">The fact that insurance policies issued in this State on New York-based vehicles cover liability, regardless of the place of the accident</w:t>
      </w:r>
      <w:r>
        <w:t xml:space="preserve"> </w:t>
      </w:r>
      <w:r>
        <w:rPr>
          <w:rStyle w:val="Elision"/>
        </w:rPr>
        <w:t xml:space="preserve">[ … ]</w:t>
      </w:r>
      <w:r>
        <w:t xml:space="preserve"> </w:t>
      </w:r>
      <w:r>
        <w:t xml:space="preserve">certainly does not call for the application of internal New York law in this case. The compulsory insurance requirement is designed to</w:t>
      </w:r>
      <w:r>
        <w:t xml:space="preserve"> </w:t>
      </w:r>
      <w:r>
        <w:rPr>
          <w:iCs/>
          <w:i/>
        </w:rPr>
        <w:t xml:space="preserve">cover</w:t>
      </w:r>
      <w:r>
        <w:t xml:space="preserve"> </w:t>
      </w:r>
      <w:r>
        <w:t xml:space="preserve">a car-owner's liability, not</w:t>
      </w:r>
      <w:r>
        <w:t xml:space="preserve"> </w:t>
      </w:r>
      <w:r>
        <w:rPr>
          <w:iCs/>
          <w:i/>
        </w:rPr>
        <w:t xml:space="preserve">create</w:t>
      </w:r>
      <w:r>
        <w:t xml:space="preserve"> </w:t>
      </w:r>
      <w:r>
        <w:t xml:space="preserve">it; in other words, the applicable statute was not intended to impose liability where none would otherwise exist. This being so, we may not properly look to the New York insurance requirement to dictate a choice-of-law rule which would invariably impose liability.</w:t>
      </w:r>
      <w:r>
        <w:rPr>
          <w:rStyle w:val="Elision"/>
        </w:rPr>
        <w:t xml:space="preserve">[ … ]</w:t>
      </w:r>
    </w:p>
    <w:p>
      <w:pPr>
        <w:pStyle w:val="CaseBody"/>
      </w:pPr>
      <w:r>
        <w:t xml:space="preserve">When, in</w:t>
      </w:r>
      <w:r>
        <w:t xml:space="preserve"> </w:t>
      </w:r>
      <w:r>
        <w:rPr>
          <w:iCs/>
          <w:i/>
        </w:rPr>
        <w:t xml:space="preserve">Babcock v. Jackson</w:t>
      </w:r>
      <w:r>
        <w:t xml:space="preserve"> </w:t>
      </w:r>
      <w:r>
        <w:rPr>
          <w:rStyle w:val="Elision"/>
        </w:rPr>
        <w:t xml:space="preserve">[ … ]</w:t>
      </w:r>
      <w:r>
        <w:t xml:space="preserve">, we rejected the mechanical place of injury rule in personal injury cases because it failed to take account of underlying policy considerations, we were willing to sacrifice the certainty provided by the old rule for the more just, fair and practical result that may best be achieved by giving controlling effect to the law of the jurisdiction which has the greatest concern with, or interest in, the specific issue raised in the litigation.</w:t>
      </w:r>
      <w:r>
        <w:t xml:space="preserve"> </w:t>
      </w:r>
      <w:r>
        <w:rPr>
          <w:rStyle w:val="Elision"/>
        </w:rPr>
        <w:t xml:space="preserve">[ … ]</w:t>
      </w:r>
      <w:r>
        <w:t xml:space="preserve"> </w:t>
      </w:r>
      <w:r>
        <w:t xml:space="preserve">In consequence of the change effected — and this was to be anticipated — our decisions in multi-state highway accident cases, particularly in those involving guest-host controversies, have, it must be acknowledged, lacked consistency. This stemmed, in part, from the circumstance that it is frequently difficult to discover the purposes or policies underlying the relevant local law rules of the respective jurisdictions involved. It is even more difficult, assuming that these purposes or policies are found to conflict, to determine on some principled basis which should be given effect at the expense of the others.</w:t>
      </w:r>
    </w:p>
    <w:p>
      <w:pPr>
        <w:pStyle w:val="CaseBody"/>
      </w:pPr>
      <w:r>
        <w:t xml:space="preserve">The single all-encompassing rule which called, inexorably, for selection of the law of the place of injury was discarded, and wisely, because it was too broad to prove satisfactory in application. There is, however, no reason why choice-of-law rules, more narrow than those previously devised, should not be successfully developed, in order to assure a greater degree of predictability and uniformity, on the basis of our present knowledge and experience.</w:t>
      </w:r>
      <w:r>
        <w:t xml:space="preserve"> </w:t>
      </w:r>
      <w:r>
        <w:rPr>
          <w:rStyle w:val="Elision"/>
        </w:rPr>
        <w:t xml:space="preserve">[ … ]</w:t>
      </w:r>
      <w:r>
        <w:t xml:space="preserve"> </w:t>
      </w:r>
      <w:r>
        <w:t xml:space="preserve">"The time has come," I wrote in</w:t>
      </w:r>
      <w:r>
        <w:t xml:space="preserve"> </w:t>
      </w:r>
      <w:r>
        <w:rPr>
          <w:iCs/>
          <w:i/>
        </w:rPr>
        <w:t xml:space="preserve">Tooker</w:t>
      </w:r>
      <w:r>
        <w:t xml:space="preserve"> </w:t>
      </w:r>
      <w:r>
        <w:rPr>
          <w:rStyle w:val="Elision"/>
        </w:rPr>
        <w:t xml:space="preserve">[ … ]</w:t>
      </w:r>
      <w:r>
        <w:t xml:space="preserve">, "to endeavor to minimize what some have characterized as an</w:t>
      </w:r>
      <w:r>
        <w:t xml:space="preserve"> </w:t>
      </w:r>
      <w:r>
        <w:rPr>
          <w:iCs/>
          <w:i/>
        </w:rPr>
        <w:t xml:space="preserve">ad hoc</w:t>
      </w:r>
      <w:r>
        <w:t xml:space="preserve"> </w:t>
      </w:r>
      <w:r>
        <w:t xml:space="preserve">case-by-case approach by laying down guidelines, as well as we can, for the solution of guest-host conflicts problems."</w:t>
      </w:r>
      <w:r>
        <w:t xml:space="preserve"> </w:t>
      </w:r>
      <w:r>
        <w:rPr>
          <w:iCs/>
          <w:i/>
        </w:rPr>
        <w:t xml:space="preserve">Babcock</w:t>
      </w:r>
      <w:r>
        <w:t xml:space="preserve"> </w:t>
      </w:r>
      <w:r>
        <w:t xml:space="preserve">and its progeny enable us to formulate a set of basic principles that may be profitably utilized, for they have helped us uncover the underlying values and policies which are operative in this area of the law. To quote again from the concurring</w:t>
      </w:r>
      <w:r>
        <w:t xml:space="preserve"> </w:t>
      </w:r>
      <w:r>
        <w:rPr>
          <w:rStyle w:val="Elision"/>
        </w:rPr>
        <w:t xml:space="preserve">[ … ]</w:t>
      </w:r>
      <w:r>
        <w:t xml:space="preserve"> </w:t>
      </w:r>
      <w:r>
        <w:t xml:space="preserve">opinion in</w:t>
      </w:r>
      <w:r>
        <w:t xml:space="preserve"> </w:t>
      </w:r>
      <w:r>
        <w:rPr>
          <w:iCs/>
          <w:i/>
        </w:rPr>
        <w:t xml:space="preserve">Tooker</w:t>
      </w:r>
      <w:r>
        <w:t xml:space="preserve"> </w:t>
      </w:r>
      <w:r>
        <w:t xml:space="preserve">(p. 584), "Now that these values and policies have been revealed, we may proceed to the next stage in the evolution of the law — the formulation of a few rules of general applicability, promising a fair level of predictability." Although it was recognized that no rule may be formulated to guarantee a satisfactory result in every case, the following principles were proposed as sound for situations involving guest statutes in conflicts settings</w:t>
      </w:r>
      <w:r>
        <w:t xml:space="preserve"> </w:t>
      </w:r>
      <w:r>
        <w:rPr>
          <w:rStyle w:val="Elision"/>
        </w:rPr>
        <w:t xml:space="preserve">[ … ]</w:t>
      </w:r>
      <w:r>
        <w:t xml:space="preserve">:</w:t>
      </w:r>
    </w:p>
    <w:p>
      <w:pPr>
        <w:pStyle w:val="BlockText"/>
      </w:pPr>
      <w:r>
        <w:t xml:space="preserve">"1. When the guest-passenger and the host-driver are domiciled in the same state, and the car is there registered, the law of that state should control and determine the standard of care which the host owes to his guest.</w:t>
      </w:r>
    </w:p>
    <w:p>
      <w:pPr>
        <w:pStyle w:val="BlockText"/>
      </w:pPr>
      <w:r>
        <w:t xml:space="preserve">"2. When the driver's conduct occurred in the state of his domicile and that state does not cast him in liability for that conduct, he should not be held liable by reason of the fact that liability would be imposed upon him under the tort law of the state of the victim's domicile. Conversely, when the guest was injured in the state of his own domicile and its law permits recovery, the driver who has come into that state should not — in the absence of special circumstances — be permitted to interpose the law of his state as a defense.</w:t>
      </w:r>
    </w:p>
    <w:p>
      <w:pPr>
        <w:pStyle w:val="BlockText"/>
      </w:pPr>
      <w:r>
        <w:t xml:space="preserve">"3. In other situations, when the passenger and the driver are domiciled in different states, the rule is necessarily less categorical. Normally, the applicable rule of decision will be that of the state where the accident occurred but not if it can be shown that displacing that normally applicable rule will advance the relevant substantive law purposes without impairing the smooth working of the multi-state system or producing great uncertainty for litigants.</w:t>
      </w:r>
      <w:r>
        <w:t xml:space="preserve"> </w:t>
      </w:r>
      <w:r>
        <w:rPr>
          <w:rStyle w:val="Elision"/>
        </w:rPr>
        <w:t xml:space="preserve">[ … ]</w:t>
      </w:r>
      <w:r>
        <w:t xml:space="preserve">"</w:t>
      </w:r>
    </w:p>
    <w:p>
      <w:pPr>
        <w:pStyle w:val="CaseBody"/>
      </w:pPr>
      <w:r>
        <w:t xml:space="preserve">The variant views expressed not only in</w:t>
      </w:r>
      <w:r>
        <w:t xml:space="preserve"> </w:t>
      </w:r>
      <w:r>
        <w:rPr>
          <w:iCs/>
          <w:i/>
        </w:rPr>
        <w:t xml:space="preserve">Tooker</w:t>
      </w:r>
      <w:r>
        <w:t xml:space="preserve"> </w:t>
      </w:r>
      <w:r>
        <w:t xml:space="preserve">but by Special Term and the divided Appellate Division in this litigation underscore and confirm the need for these rules. Since the passenger was domiciled in Ontario and the driver in New York, the present case is covered by the third stated principle. The law to be applied is that of the jurisdiction where the accident happened</w:t>
      </w:r>
      <w:r>
        <w:rPr>
          <w:rStyle w:val="Elision"/>
        </w:rPr>
        <w:t xml:space="preserve">[ … ]</w:t>
      </w:r>
      <w:r>
        <w:t xml:space="preserve"> </w:t>
      </w:r>
      <w:r>
        <w:t xml:space="preserve">unless it appears that "displacing [the] normally applicable rule will advance the relevant substantive law purposes" of the jurisdictions involved. Certainly, ignoring Ontario's policy requiring proof of gross negligence in a case which involves an Ontario-domiciled guest at the expense of a New Yorker does not further the substantive law purposes of New York. In point of fact, application of New York law would result in the exposure of this State's domiciliaries to a greater liability than that imposed upon resident users of Ontario's highways. Conversely, the failure to apply Ontario's law would "impair" — to cull from the rule set out above — "the smooth working of the multi-state system [and] produce great uncertainty for litigants" by sanctioning forum shopping and thereby allowing a party to select a forum which could give him a larger recovery than the court of his own domicile. In short, the plaintiff has failed to show that this State's connection with the controversy was sufficient to justify displacing the rule of</w:t>
      </w:r>
      <w:r>
        <w:t xml:space="preserve"> </w:t>
      </w:r>
      <w:r>
        <w:rPr>
          <w:iCs/>
          <w:i/>
        </w:rPr>
        <w:t xml:space="preserve">lex loci delictus.</w:t>
      </w:r>
    </w:p>
    <w:p>
      <w:pPr>
        <w:pStyle w:val="CaseBody"/>
      </w:pPr>
      <w:r>
        <w:t xml:space="preserve">Professor Willis Reese, the Reporter for the current Conflict of Laws Restatement, expressed approval of rules such as those suggested above; they are, he wrote, "the sort of rules at which the courts should aim"</w:t>
      </w:r>
      <w:r>
        <w:t xml:space="preserve"> </w:t>
      </w:r>
      <w:r>
        <w:rPr>
          <w:rStyle w:val="Elision"/>
        </w:rPr>
        <w:t xml:space="preserve">[ … ]</w:t>
      </w:r>
      <w:r>
        <w:t xml:space="preserve">Indeed, in discussing the present case following the determination at Special Term that Ontario law should govern, he expressed the opinion that any other result would have been highly unreasonable</w:t>
      </w:r>
      <w:r>
        <w:t xml:space="preserve"> </w:t>
      </w:r>
      <w:r>
        <w:rPr>
          <w:rStyle w:val="Elision"/>
        </w:rPr>
        <w:t xml:space="preserve">[ … ]</w:t>
      </w:r>
      <w:r>
        <w:t xml:space="preserve"> </w:t>
      </w:r>
      <w:r>
        <w:t xml:space="preserve">"So far as the New York law was concerned, Judge Keating had argued in</w:t>
      </w:r>
      <w:r>
        <w:t xml:space="preserve"> </w:t>
      </w:r>
      <w:r>
        <w:rPr>
          <w:iCs/>
          <w:i/>
        </w:rPr>
        <w:t xml:space="preserve">Tooker v. Lopez</w:t>
      </w:r>
      <w:r>
        <w:t xml:space="preserve"> </w:t>
      </w:r>
      <w:r>
        <w:t xml:space="preserve">that New York's motor vehicle compulsory insurance law revealed a `commendable concern' not only for New York residents but also for non-residents injured by New Yorkers. On this basis, it could perhaps be argued that New York policy would be furthered by application of the New York rule imposing upon the driver the duty of exercising ordinary care for</w:t>
      </w:r>
      <w:r>
        <w:t xml:space="preserve"> </w:t>
      </w:r>
      <w:r>
        <w:rPr>
          <w:rStyle w:val="Elision"/>
        </w:rPr>
        <w:t xml:space="preserve">[ … ]</w:t>
      </w:r>
      <w:r>
        <w:t xml:space="preserve"> </w:t>
      </w:r>
      <w:r>
        <w:t xml:space="preserve">the protection of his guest. But could this argument really be made with a straight face in support of an Ontario guest picked up in Ontario and who enjoyed no similar protection under Ontario Law? Was the New York rule really intended to be manna for the entire world? One can well understand the relief with which the trial judge seized upon Judge Fuld's third rule and followed it by holding the Ontario statute applicable."</w:t>
      </w:r>
    </w:p>
    <w:p>
      <w:pPr>
        <w:pStyle w:val="CaseBody"/>
      </w:pPr>
      <w:r>
        <w:t xml:space="preserve">In each action, the Appellate Division's order should be reversed, that of Special Term reinstated, without costs, and the questions certified answered in the negative.</w:t>
      </w:r>
    </w:p>
    <w:bookmarkEnd w:id="47"/>
    <w:bookmarkStart w:id="48" w:name="breitel-j.-concurring."/>
    <w:p>
      <w:pPr>
        <w:pStyle w:val="Heading2"/>
      </w:pPr>
      <w:r>
        <w:t xml:space="preserve">BREITEL, J. (concurring).</w:t>
      </w:r>
      <w:r>
        <w:rPr>
          <w:rStyle w:val="FootnoteReference"/>
        </w:rPr>
        <w:footnoteReference w:customMarkFollows="1" w:id="12"/>
        <w:t xml:space="preserve">*</w:t>
      </w:r>
    </w:p>
    <w:p>
      <w:pPr>
        <w:pStyle w:val="CaseBody"/>
      </w:pPr>
      <w:r>
        <w:t xml:space="preserve">I agree that there should be a reversal, but would place the reversal on quite narrow grounds. It is undesirable to lay down prematurely major premises based on shifting ideologies in the choice of law. True, Chief Judge FULD in his concurring opinion in the</w:t>
      </w:r>
      <w:r>
        <w:t xml:space="preserve"> </w:t>
      </w:r>
      <w:r>
        <w:rPr>
          <w:iCs/>
          <w:i/>
        </w:rPr>
        <w:t xml:space="preserve">Tooker</w:t>
      </w:r>
      <w:r>
        <w:t xml:space="preserve"> </w:t>
      </w:r>
      <w:r>
        <w:t xml:space="preserve">case</w:t>
      </w:r>
      <w:r>
        <w:t xml:space="preserve"> </w:t>
      </w:r>
      <w:r>
        <w:rPr>
          <w:rStyle w:val="Elision"/>
        </w:rPr>
        <w:t xml:space="preserve">[ … ]</w:t>
      </w:r>
      <w:r>
        <w:t xml:space="preserve">took the view that there had already occurred sufficient experience to lay down some rules of law which would reduce the instability and uncertainty created by the recent departures from traditional</w:t>
      </w:r>
      <w:r>
        <w:t xml:space="preserve"> </w:t>
      </w:r>
      <w:r>
        <w:rPr>
          <w:iCs/>
          <w:i/>
        </w:rPr>
        <w:t xml:space="preserve">lex loci delictus</w:t>
      </w:r>
      <w:r>
        <w:t xml:space="preserve">. This case, arising so soon after, shows that the permutations in accident cases, especially automobile accident cases, is disproof that the time has come.</w:t>
      </w:r>
    </w:p>
    <w:p>
      <w:pPr>
        <w:pStyle w:val="CaseBody"/>
      </w:pPr>
      <w:r>
        <w:t xml:space="preserve">Problems engendered by the new departures have not gone unnoticed and they are not confined to the courts of this State</w:t>
      </w:r>
      <w:r>
        <w:t xml:space="preserve"> </w:t>
      </w:r>
      <w:r>
        <w:rPr>
          <w:rStyle w:val="Elision"/>
        </w:rPr>
        <w:t xml:space="preserve">[ … ]</w:t>
      </w:r>
      <w:r>
        <w:t xml:space="preserve">. They arise not merely because any new departure of necessity creates problems, but much more because the departures have been accompanied by an unprecedented competition of ideologies, largely of academic origin, to explain and reconstruct a whole field of law, each purporting or aspiring to achieve a single universal principle.</w:t>
      </w:r>
    </w:p>
    <w:p>
      <w:pPr>
        <w:pStyle w:val="CaseBody"/>
      </w:pPr>
      <w:r>
        <w:rPr>
          <w:iCs/>
          <w:i/>
        </w:rPr>
        <w:t xml:space="preserve">Babcock v. Jackson</w:t>
      </w:r>
      <w:r>
        <w:t xml:space="preserve"> </w:t>
      </w:r>
      <w:r>
        <w:rPr>
          <w:rStyle w:val="Elision"/>
        </w:rPr>
        <w:t xml:space="preserve">[ … ]</w:t>
      </w:r>
      <w:r>
        <w:t xml:space="preserve">, an eminently correctly and justly decided case, applied the then current new doctrine of grouping of contacts. Troubles arose only when the universality of a single doctrine was assumed</w:t>
      </w:r>
      <w:r>
        <w:t xml:space="preserve"> </w:t>
      </w:r>
      <w:r>
        <w:rPr>
          <w:rStyle w:val="Elision"/>
        </w:rPr>
        <w:t xml:space="preserve">[ … ]</w:t>
      </w:r>
      <w:r>
        <w:t xml:space="preserve">. By the time of</w:t>
      </w:r>
      <w:r>
        <w:t xml:space="preserve"> </w:t>
      </w:r>
      <w:r>
        <w:rPr>
          <w:iCs/>
          <w:i/>
        </w:rPr>
        <w:t xml:space="preserve">Miller v. Miller</w:t>
      </w:r>
      <w:r>
        <w:t xml:space="preserve"> </w:t>
      </w:r>
      <w:r>
        <w:rPr>
          <w:rStyle w:val="Elision"/>
        </w:rPr>
        <w:t xml:space="preserve">[ … ]</w:t>
      </w:r>
      <w:r>
        <w:t xml:space="preserve"> </w:t>
      </w:r>
      <w:r>
        <w:t xml:space="preserve">and the</w:t>
      </w:r>
      <w:r>
        <w:t xml:space="preserve"> </w:t>
      </w:r>
      <w:r>
        <w:rPr>
          <w:iCs/>
          <w:i/>
        </w:rPr>
        <w:t xml:space="preserve">Tooker</w:t>
      </w:r>
      <w:r>
        <w:t xml:space="preserve"> </w:t>
      </w:r>
      <w:r>
        <w:t xml:space="preserve">case</w:t>
      </w:r>
      <w:r>
        <w:t xml:space="preserve"> </w:t>
      </w:r>
      <w:r>
        <w:rPr>
          <w:rStyle w:val="Elision"/>
        </w:rPr>
        <w:t xml:space="preserve">[ … ]</w:t>
      </w:r>
      <w:r>
        <w:t xml:space="preserve"> </w:t>
      </w:r>
      <w:r>
        <w:t xml:space="preserve">the new doctrine had been displaced by a still newer one, that of governmental interests developed most extensively by the late Brainerd Currie, and the court was deeply engaged in probing the psychological motivation of legislatures of other States in enacting statutes restricting recoveries in tort cases. Now, evidently, it is suggested that this State and other States may have less parochial concerns in enacting legislation restricting tort recoveries than had been believed only a short time ago. The difficulties this case has given the courts below, and now this court, stems, it is suggested, more from a concern in sorting out ideologies than in applying narrow rules of law in the traditional common-law process</w:t>
      </w:r>
      <w:r>
        <w:t xml:space="preserve"> </w:t>
      </w:r>
      <w:r>
        <w:rPr>
          <w:rStyle w:val="Elision"/>
        </w:rPr>
        <w:t xml:space="preserve">[ … ]</w:t>
      </w:r>
      <w:r>
        <w:t xml:space="preserve">.</w:t>
      </w:r>
    </w:p>
    <w:p>
      <w:pPr>
        <w:pStyle w:val="CaseBody"/>
      </w:pPr>
      <w:r>
        <w:t xml:space="preserve">What the</w:t>
      </w:r>
      <w:r>
        <w:t xml:space="preserve"> </w:t>
      </w:r>
      <w:r>
        <w:rPr>
          <w:iCs/>
          <w:i/>
        </w:rPr>
        <w:t xml:space="preserve">Babcock</w:t>
      </w:r>
      <w:r>
        <w:t xml:space="preserve"> </w:t>
      </w:r>
      <w:r>
        <w:t xml:space="preserve">case</w:t>
      </w:r>
      <w:r>
        <w:t xml:space="preserve"> </w:t>
      </w:r>
      <w:r>
        <w:rPr>
          <w:rStyle w:val="Elision"/>
        </w:rPr>
        <w:t xml:space="preserve">[ … ]</w:t>
      </w:r>
      <w:r>
        <w:t xml:space="preserve"> </w:t>
      </w:r>
      <w:r>
        <w:t xml:space="preserve">taught and what modern day commentators largely agree is that</w:t>
      </w:r>
      <w:r>
        <w:t xml:space="preserve"> </w:t>
      </w:r>
      <w:r>
        <w:rPr>
          <w:iCs/>
          <w:i/>
        </w:rPr>
        <w:t xml:space="preserve">lex loci delictus</w:t>
      </w:r>
      <w:r>
        <w:t xml:space="preserve"> </w:t>
      </w:r>
      <w:r>
        <w:t xml:space="preserve">is unsoundly applied if it is done indiscriminately and without exception. It is still true, however, that</w:t>
      </w:r>
      <w:r>
        <w:t xml:space="preserve"> </w:t>
      </w:r>
      <w:r>
        <w:rPr>
          <w:iCs/>
          <w:i/>
        </w:rPr>
        <w:t xml:space="preserve">lex loci delictus</w:t>
      </w:r>
      <w:r>
        <w:t xml:space="preserve"> </w:t>
      </w:r>
      <w:r>
        <w:t xml:space="preserve">is the normal rule, as indeed Chief Judge FULD noted in the</w:t>
      </w:r>
      <w:r>
        <w:t xml:space="preserve"> </w:t>
      </w:r>
      <w:r>
        <w:rPr>
          <w:iCs/>
          <w:i/>
        </w:rPr>
        <w:t xml:space="preserve">Tooker</w:t>
      </w:r>
      <w:r>
        <w:t xml:space="preserve"> </w:t>
      </w:r>
      <w:r>
        <w:t xml:space="preserve">case</w:t>
      </w:r>
      <w:r>
        <w:t xml:space="preserve"> </w:t>
      </w:r>
      <w:r>
        <w:rPr>
          <w:rStyle w:val="Elision"/>
        </w:rPr>
        <w:t xml:space="preserve">[ … ]</w:t>
      </w:r>
      <w:r>
        <w:t xml:space="preserve">, to be rejected only when it is evident that the situs of the accident is the least of the several factors or influences to which the accident may be attributed</w:t>
      </w:r>
      <w:r>
        <w:t xml:space="preserve"> </w:t>
      </w:r>
      <w:r>
        <w:rPr>
          <w:rStyle w:val="Elision"/>
        </w:rPr>
        <w:t xml:space="preserve">[ … ]</w:t>
      </w:r>
      <w:r>
        <w:t xml:space="preserve">. Certain it is that States are not concerned only with their own citizens or residents. They are concerned with events that occur within their territory, and are also concerned with the "stranger within the gates"</w:t>
      </w:r>
      <w:r>
        <w:t xml:space="preserve"> </w:t>
      </w:r>
      <w:r>
        <w:rPr>
          <w:rStyle w:val="Elision"/>
        </w:rPr>
        <w:t xml:space="preserve">[ … ]</w:t>
      </w:r>
      <w:r>
        <w:t xml:space="preserve">.</w:t>
      </w:r>
    </w:p>
    <w:p>
      <w:pPr>
        <w:pStyle w:val="CaseBody"/>
      </w:pPr>
      <w:r>
        <w:t xml:space="preserve">In this case, none would have ever assumed that New York law should be applied just because one of the two defendants was a New York resident and his automobile was New York insured, except for the overbroad statements of Currie doctrine in the</w:t>
      </w:r>
      <w:r>
        <w:t xml:space="preserve"> </w:t>
      </w:r>
      <w:r>
        <w:rPr>
          <w:iCs/>
          <w:i/>
        </w:rPr>
        <w:t xml:space="preserve">Tooker</w:t>
      </w:r>
      <w:r>
        <w:t xml:space="preserve"> </w:t>
      </w:r>
      <w:r>
        <w:t xml:space="preserve">case</w:t>
      </w:r>
      <w:r>
        <w:t xml:space="preserve"> </w:t>
      </w:r>
      <w:r>
        <w:rPr>
          <w:rStyle w:val="Elision"/>
        </w:rPr>
        <w:t xml:space="preserve">[ … ]</w:t>
      </w:r>
      <w:r>
        <w:t xml:space="preserve">, stemming from one particular school of academic thinking in the field of conflicts law (see the concurring opn. by Judge BURKE in the</w:t>
      </w:r>
      <w:r>
        <w:t xml:space="preserve"> </w:t>
      </w:r>
      <w:r>
        <w:rPr>
          <w:iCs/>
          <w:i/>
        </w:rPr>
        <w:t xml:space="preserve">Tooker</w:t>
      </w:r>
      <w:r>
        <w:t xml:space="preserve"> </w:t>
      </w:r>
      <w:r>
        <w:t xml:space="preserve">case,</w:t>
      </w:r>
      <w:r>
        <w:t xml:space="preserve"> </w:t>
      </w:r>
      <w:r>
        <w:rPr>
          <w:rStyle w:val="Elision"/>
        </w:rPr>
        <w:t xml:space="preserve">[ … ]</w:t>
      </w:r>
      <w:r>
        <w:t xml:space="preserve">, and for that matter, the dissenting opn. by Judge BERGAN, in this case).</w:t>
      </w:r>
    </w:p>
    <w:p>
      <w:pPr>
        <w:pStyle w:val="CaseBody"/>
      </w:pPr>
      <w:r>
        <w:t xml:space="preserve">Consequently, I agree that there should be a reversal and the defenses allowed to stand. The conclusion, however, rests simply on the proposition that plaintiff has failed by her allegations to establish that the relationship to this State was sufficient</w:t>
      </w:r>
      <w:r>
        <w:t xml:space="preserve"> </w:t>
      </w:r>
      <w:r>
        <w:rPr>
          <w:rStyle w:val="Elision"/>
        </w:rPr>
        <w:t xml:space="preserve">[ … ]</w:t>
      </w:r>
      <w:r>
        <w:t xml:space="preserve"> </w:t>
      </w:r>
      <w:r>
        <w:t xml:space="preserve">to displace the normal rule that the</w:t>
      </w:r>
      <w:r>
        <w:t xml:space="preserve"> </w:t>
      </w:r>
      <w:r>
        <w:rPr>
          <w:iCs/>
          <w:i/>
        </w:rPr>
        <w:t xml:space="preserve">lex loci delictus</w:t>
      </w:r>
      <w:r>
        <w:t xml:space="preserve"> </w:t>
      </w:r>
      <w:r>
        <w:t xml:space="preserve">should be applied, the accident being associated with Ontario, from inception to tragic termination, except for adventitious facts and where the lawsuit was brought.</w:t>
      </w:r>
    </w:p>
    <w:bookmarkEnd w:id="48"/>
    <w:bookmarkStart w:id="49" w:name="bergan-j.-dissenting."/>
    <w:p>
      <w:pPr>
        <w:pStyle w:val="Heading2"/>
      </w:pPr>
      <w:r>
        <w:t xml:space="preserve">BERGAN, J. (dissenting).</w:t>
      </w:r>
      <w:r>
        <w:rPr>
          <w:rStyle w:val="FootnoteReference"/>
        </w:rPr>
        <w:footnoteReference w:customMarkFollows="1" w:id="64"/>
        <w:t xml:space="preserve">**</w:t>
      </w:r>
    </w:p>
    <w:p>
      <w:pPr>
        <w:pStyle w:val="CaseBody"/>
      </w:pPr>
      <w:r>
        <w:t xml:space="preserve">The doctrine of</w:t>
      </w:r>
      <w:r>
        <w:t xml:space="preserve"> </w:t>
      </w:r>
      <w:r>
        <w:rPr>
          <w:iCs/>
          <w:i/>
        </w:rPr>
        <w:t xml:space="preserve">lex loci delictus</w:t>
      </w:r>
      <w:r>
        <w:t xml:space="preserve">, whatever its other shortcomings may be, including a somewhat abrasive effect on inconsistent law of the forum, had at least the virtues of certainty and reckonability.</w:t>
      </w:r>
    </w:p>
    <w:p>
      <w:pPr>
        <w:pStyle w:val="CaseBody"/>
      </w:pPr>
      <w:r>
        <w:t xml:space="preserve">But the operation of the guest statutes of other jurisdictions worked out so differently — unjustly by New York standards — that in a series of highly debatable and debated decisions from</w:t>
      </w:r>
      <w:r>
        <w:t xml:space="preserve"> </w:t>
      </w:r>
      <w:r>
        <w:rPr>
          <w:iCs/>
          <w:i/>
        </w:rPr>
        <w:t xml:space="preserve">Babcock v. Jackson</w:t>
      </w:r>
      <w:r>
        <w:t xml:space="preserve"> </w:t>
      </w:r>
      <w:r>
        <w:rPr>
          <w:rStyle w:val="Elision"/>
        </w:rPr>
        <w:t xml:space="preserve">[ … ]</w:t>
      </w:r>
      <w:r>
        <w:t xml:space="preserve"> </w:t>
      </w:r>
      <w:r>
        <w:t xml:space="preserve">to</w:t>
      </w:r>
      <w:r>
        <w:t xml:space="preserve"> </w:t>
      </w:r>
      <w:r>
        <w:rPr>
          <w:iCs/>
          <w:i/>
        </w:rPr>
        <w:t xml:space="preserve">Tooker v. Lopez</w:t>
      </w:r>
      <w:r>
        <w:t xml:space="preserve"> </w:t>
      </w:r>
      <w:r>
        <w:rPr>
          <w:rStyle w:val="Elision"/>
        </w:rPr>
        <w:t xml:space="preserve">[ … ]</w:t>
      </w:r>
      <w:r>
        <w:t xml:space="preserve"> </w:t>
      </w:r>
      <w:r>
        <w:t xml:space="preserve">this court refused to follow the rule of</w:t>
      </w:r>
      <w:r>
        <w:t xml:space="preserve"> </w:t>
      </w:r>
      <w:r>
        <w:rPr>
          <w:iCs/>
          <w:i/>
        </w:rPr>
        <w:t xml:space="preserve">lex loci delictus</w:t>
      </w:r>
      <w:r>
        <w:t xml:space="preserve"> </w:t>
      </w:r>
      <w:r>
        <w:t xml:space="preserve">in special situations and applied New York law in New York litigation to motor vehicle torts occurring in other jurisdictions.</w:t>
      </w:r>
    </w:p>
    <w:p>
      <w:pPr>
        <w:pStyle w:val="CaseBody"/>
      </w:pPr>
      <w:r>
        <w:t xml:space="preserve">The rationale of departure from the settled rule was that New York had a greater "concern" or "interest" in the controversy or the parties; or had closer "contacts" than the jurisdiction of the situs of the accident.</w:t>
      </w:r>
      <w:r>
        <w:t xml:space="preserve"> </w:t>
      </w:r>
      <w:r>
        <w:rPr>
          <w:rStyle w:val="Elision"/>
        </w:rPr>
        <w:t xml:space="preserve">[ … ]</w:t>
      </w:r>
      <w:r>
        <w:t xml:space="preserve">. The direction taken and justified by the rationale of "interest" or "contact", however, necessarily started with the court's preference for the local rule and a belief in its greater justice.</w:t>
      </w:r>
    </w:p>
    <w:p>
      <w:pPr>
        <w:pStyle w:val="CaseBody"/>
      </w:pPr>
      <w:r>
        <w:t xml:space="preserve">There is a difference of fundamental character between justifying a departure from</w:t>
      </w:r>
      <w:r>
        <w:t xml:space="preserve"> </w:t>
      </w:r>
      <w:r>
        <w:rPr>
          <w:iCs/>
          <w:i/>
        </w:rPr>
        <w:t xml:space="preserve">lex loci delictus</w:t>
      </w:r>
      <w:r>
        <w:t xml:space="preserve"> </w:t>
      </w:r>
      <w:r>
        <w:t xml:space="preserve">because the court will not, as a matter of policy, permit a New York owner of a car licensed and insured in New York to escape a liability that would be imposed on him here; and a departure based on the fact a New York resident makes the claim for injury. The first ground of departure is justifiable as sound policy; the second is justifiable only if one is willing to treat the rights of a stranger permitted to sue in New York differently from the way a resident is treated. Neither because of "interest" nor "contact" nor any other defensible ground is it proper to say in a court of law that the rights of one man whose suit is accepted</w:t>
      </w:r>
      <w:r>
        <w:rPr>
          <w:rStyle w:val="Elision"/>
        </w:rPr>
        <w:t xml:space="preserve">[ … ]</w:t>
      </w:r>
      <w:r>
        <w:t xml:space="preserve"> </w:t>
      </w:r>
      <w:r>
        <w:t xml:space="preserve">shall be adjudged differently on the merits on the basis of where he happens to live.</w:t>
      </w:r>
    </w:p>
    <w:p>
      <w:pPr>
        <w:pStyle w:val="CaseBody"/>
      </w:pPr>
      <w:r>
        <w:t xml:space="preserve">This crunch in the rule announced in</w:t>
      </w:r>
      <w:r>
        <w:t xml:space="preserve"> </w:t>
      </w:r>
      <w:r>
        <w:rPr>
          <w:iCs/>
          <w:i/>
        </w:rPr>
        <w:t xml:space="preserve">Babcock</w:t>
      </w:r>
      <w:r>
        <w:t xml:space="preserve"> </w:t>
      </w:r>
      <w:r>
        <w:rPr>
          <w:rStyle w:val="Elision"/>
        </w:rPr>
        <w:t xml:space="preserve">[ … ]</w:t>
      </w:r>
      <w:r>
        <w:t xml:space="preserve"> </w:t>
      </w:r>
      <w:r>
        <w:t xml:space="preserve">was inevitable as it worked its way into the practice. And the difficulty was recognized in</w:t>
      </w:r>
      <w:r>
        <w:t xml:space="preserve"> </w:t>
      </w:r>
      <w:r>
        <w:rPr>
          <w:iCs/>
          <w:i/>
        </w:rPr>
        <w:t xml:space="preserve">Tooker</w:t>
      </w:r>
      <w:r>
        <w:t xml:space="preserve"> </w:t>
      </w:r>
      <w:r>
        <w:rPr>
          <w:rStyle w:val="Elision"/>
        </w:rPr>
        <w:t xml:space="preserve">[ … ]</w:t>
      </w:r>
      <w:r>
        <w:t xml:space="preserve">. Although</w:t>
      </w:r>
      <w:r>
        <w:t xml:space="preserve"> </w:t>
      </w:r>
      <w:r>
        <w:rPr>
          <w:iCs/>
          <w:i/>
        </w:rPr>
        <w:t xml:space="preserve">Tooker</w:t>
      </w:r>
      <w:r>
        <w:t xml:space="preserve">, unlike the present case, involved a New York plaintiff and thus was similar to</w:t>
      </w:r>
      <w:r>
        <w:t xml:space="preserve"> </w:t>
      </w:r>
      <w:r>
        <w:rPr>
          <w:iCs/>
          <w:i/>
        </w:rPr>
        <w:t xml:space="preserve">Babcock</w:t>
      </w:r>
      <w:r>
        <w:t xml:space="preserve"> </w:t>
      </w:r>
      <w:r>
        <w:t xml:space="preserve">and the cases which had followed</w:t>
      </w:r>
      <w:r>
        <w:t xml:space="preserve"> </w:t>
      </w:r>
      <w:r>
        <w:rPr>
          <w:iCs/>
          <w:i/>
        </w:rPr>
        <w:t xml:space="preserve">Babcock</w:t>
      </w:r>
      <w:r>
        <w:t xml:space="preserve">, the opinion of the court laid it down that the New York owner of a car insured in New York would not be permitted to escape liability through the guest statute of Michigan and that this was the main ground of decision. The court in</w:t>
      </w:r>
      <w:r>
        <w:t xml:space="preserve"> </w:t>
      </w:r>
      <w:r>
        <w:rPr>
          <w:iCs/>
          <w:i/>
        </w:rPr>
        <w:t xml:space="preserve">Tooker</w:t>
      </w:r>
      <w:r>
        <w:t xml:space="preserve"> </w:t>
      </w:r>
      <w:r>
        <w:t xml:space="preserve">said (p. 575): "This purpose [of a statute of another jurisdiction establishing higher standards for the recovery of guests in vehicles] can never be vindicated when the insurer is a New York carrier and the defendant is sued in the courts of this State. Under such circumstances, the jurisdiction enacting such a guest statute has absolutely no interest in the application of its law."</w:t>
      </w:r>
    </w:p>
    <w:p>
      <w:pPr>
        <w:pStyle w:val="CaseBody"/>
      </w:pPr>
      <w:r>
        <w:t xml:space="preserve">The decision was 4-to-3; but a majority of the Judges expressly subscribed to the opinion by Judge KEATING even though Chief Judge FULD and Judge BURKE stated additional grounds of concurrence. The quoted statement of policy in the</w:t>
      </w:r>
      <w:r>
        <w:t xml:space="preserve"> </w:t>
      </w:r>
      <w:r>
        <w:rPr>
          <w:iCs/>
          <w:i/>
        </w:rPr>
        <w:t xml:space="preserve">Tooker</w:t>
      </w:r>
      <w:r>
        <w:t xml:space="preserve"> </w:t>
      </w:r>
      <w:r>
        <w:t xml:space="preserve">opinion, which was the court's statement and not the view of an individual Judge has the normal binding effect of such an opinion.</w:t>
      </w:r>
    </w:p>
    <w:p>
      <w:pPr>
        <w:pStyle w:val="CaseBody"/>
      </w:pPr>
      <w:r>
        <w:t xml:space="preserve">Reading these words of the opinion of the court the Bar would reasonably anticipate that the more basic and justifiable ground for refusing a New York vehicle the differential benefit of a foreign statute would be applied in future. Such a rule would offer more in the way of reckonability and predictability than the elusive grouping of "contacts" or "interests".</w:t>
      </w:r>
    </w:p>
    <w:p>
      <w:pPr>
        <w:pStyle w:val="CaseBody"/>
      </w:pPr>
      <w:r>
        <w:t xml:space="preserve">Hence the Appellate Division was justified in reading</w:t>
      </w:r>
      <w:r>
        <w:t xml:space="preserve"> </w:t>
      </w:r>
      <w:r>
        <w:rPr>
          <w:iCs/>
          <w:i/>
        </w:rPr>
        <w:t xml:space="preserve">Tooker</w:t>
      </w:r>
      <w:r>
        <w:t xml:space="preserve"> </w:t>
      </w:r>
      <w:r>
        <w:rPr>
          <w:rStyle w:val="Elision"/>
        </w:rPr>
        <w:t xml:space="preserve">[ … ]</w:t>
      </w:r>
      <w:r>
        <w:t xml:space="preserve"> </w:t>
      </w:r>
      <w:r>
        <w:t xml:space="preserve">to dismiss the asserted defense in this action. What the court is deciding today is that although it will prevent a New York car owner from asserting the defense of a protective foreign statute when a New York resident in whose rights it has an "interest" sues; it has no such "interest" when it accepts the suit in New York of a nonresident. This is an inadmissible distinction.</w:t>
      </w:r>
    </w:p>
    <w:p>
      <w:pPr>
        <w:pStyle w:val="CaseBody"/>
      </w:pPr>
      <w:r>
        <w:t xml:space="preserve">The order should be affirmed.</w:t>
      </w:r>
    </w:p>
    <w:p>
      <w:pPr>
        <w:pStyle w:val="CaseBody"/>
      </w:pPr>
      <w:r>
        <w:rPr>
          <w:rStyle w:val="Elision"/>
        </w:rPr>
        <w:t xml:space="preserve">[ … ]</w:t>
      </w:r>
    </w:p>
    <w:bookmarkEnd w:id="49"/>
    <w:p>
      <w:pPr>
        <w:pStyle w:val="NodeEnd"/>
      </w:pPr>
      <w:r>
        <w:t xml:space="preserve"> </w:t>
      </w:r>
    </w:p>
    <w:p>
      <w:pPr>
        <w:pStyle w:val="NodeStart"/>
      </w:pPr>
      <w:r>
        <w:t xml:space="preserve"> </w:t>
      </w:r>
    </w:p>
    <w:p>
      <w:pPr>
        <w:pStyle w:val="HeadSeparator"/>
      </w:pPr>
      <w:r>
        <w:t xml:space="preserve"> </w:t>
      </w:r>
    </w:p>
    <w:bookmarkStart w:id="52" w:name="_auto_toc_52"/>
    <w:bookmarkEnd w:id="52"/>
    <w:p>
      <w:pPr>
        <w:pStyle w:val="ResourceNumber"/>
      </w:pPr>
      <w:r>
        <w:t xml:space="preserve">5.9</w:t>
      </w:r>
    </w:p>
    <w:p>
      <w:pPr>
        <w:pStyle w:val="ResourceTitle"/>
      </w:pPr>
      <w:r>
        <w:t xml:space="preserve">Notes following Neumeier</w:t>
      </w:r>
    </w:p>
    <w:p>
      <w:pPr>
        <w:pStyle w:val="HeadEnd"/>
      </w:pPr>
      <w:r>
        <w:t xml:space="preserve"> </w:t>
      </w:r>
    </w:p>
    <w:p>
      <w:pPr>
        <w:numPr>
          <w:ilvl w:val="0"/>
          <w:numId w:val="1081"/>
        </w:numPr>
      </w:pPr>
      <w:r>
        <w:rPr>
          <w:iCs/>
          <w:i/>
        </w:rPr>
        <w:t xml:space="preserve">Second Restatement and Section 6 factors</w:t>
      </w:r>
      <w:r>
        <w:t xml:space="preserve">. The takeaway is that in a Second Restatement state, we apply the principle of</w:t>
      </w:r>
      <w:r>
        <w:t xml:space="preserve"> </w:t>
      </w:r>
      <w:r>
        <w:rPr>
          <w:iCs/>
          <w:i/>
        </w:rPr>
        <w:t xml:space="preserve">lex loci delicti</w:t>
      </w:r>
      <w:r>
        <w:t xml:space="preserve"> </w:t>
      </w:r>
      <w:r>
        <w:t xml:space="preserve">unless there are Section 6 factors that advise otherwise. We cut up the litigation into multiple issues and determine which state’s law applies to each issue, but with respect to each issue, we presume that we apply the law of the place of the harm unless the Section 6 factors (vague as they are) require a different conclusion.</w:t>
      </w:r>
    </w:p>
    <w:p>
      <w:pPr>
        <w:numPr>
          <w:ilvl w:val="1"/>
          <w:numId w:val="1082"/>
        </w:numPr>
      </w:pPr>
      <w:r>
        <w:t xml:space="preserve">What happens if two or more states have compelling interests in the same issue? Who gets to decide which state’s law applies, and how do they do so?</w:t>
      </w:r>
    </w:p>
    <w:p>
      <w:pPr>
        <w:numPr>
          <w:ilvl w:val="1"/>
          <w:numId w:val="1082"/>
        </w:numPr>
      </w:pPr>
      <w:r>
        <w:t xml:space="preserve">What might be an adverse or unfavorable consequence of cutting up issues and applying different laws? Consider the idea of “Frankenlaw,” named after Frankenstein’s monster. For example, imagine State A requires a plaintiff to prove a higher degree of misconduct (such as gross negligence) in car accident lawsuits (including, for example, those filed by pedestrians) but has no guest statute, while State B allows a plaintiff to recover after proving only a lower level of culpability (e.g., simple negligence) but does have a guest statute (effectively eliminating suits from one group of people who might be injured by a driver’s negligent conduct).</w:t>
      </w:r>
      <w:r>
        <w:t xml:space="preserve"> </w:t>
      </w:r>
      <w:r>
        <w:t xml:space="preserve">If a court applies the law of State B to the issue of the standard of care and the law of State A to whether a guest statute applies, mightn’t the plaintiff prevail when neither State A law nor State B law would allow them to do so? Is this fair?</w:t>
      </w:r>
      <w:r>
        <w:t xml:space="preserve"> </w:t>
      </w:r>
      <w:r>
        <w:t xml:space="preserve"> </w:t>
      </w:r>
      <w:r>
        <w:t xml:space="preserve">Does it make sense?</w:t>
      </w:r>
    </w:p>
    <w:p>
      <w:pPr>
        <w:numPr>
          <w:ilvl w:val="0"/>
          <w:numId w:val="1081"/>
        </w:numPr>
      </w:pPr>
      <w:r>
        <w:rPr>
          <w:iCs/>
          <w:i/>
        </w:rPr>
        <w:t xml:space="preserve">State interests: revisited</w:t>
      </w:r>
      <w:r>
        <w:t xml:space="preserve">. The court admits that it might have made a mistake in</w:t>
      </w:r>
      <w:r>
        <w:t xml:space="preserve"> </w:t>
      </w:r>
      <w:r>
        <w:rPr>
          <w:iCs/>
          <w:i/>
        </w:rPr>
        <w:t xml:space="preserve">Babcock</w:t>
      </w:r>
      <w:r>
        <w:t xml:space="preserve"> </w:t>
      </w:r>
      <w:r>
        <w:t xml:space="preserve">when it asserted that the main purpose of the Ontario guest statute related to insurance, because further research revealed “the distinct possibility that one purpose, and perhaps the only purpose, of the statute was to protect owners and drivers against suits by ungrateful guests.”</w:t>
      </w:r>
    </w:p>
    <w:p>
      <w:pPr>
        <w:numPr>
          <w:ilvl w:val="1"/>
          <w:numId w:val="1083"/>
        </w:numPr>
      </w:pPr>
      <w:r>
        <w:t xml:space="preserve">How does this change the way you see the</w:t>
      </w:r>
      <w:r>
        <w:t xml:space="preserve"> </w:t>
      </w:r>
      <w:r>
        <w:rPr>
          <w:iCs/>
          <w:i/>
        </w:rPr>
        <w:t xml:space="preserve">Babcock</w:t>
      </w:r>
      <w:r>
        <w:t xml:space="preserve"> </w:t>
      </w:r>
      <w:r>
        <w:t xml:space="preserve">analysis and holding? Can we trust judges to “discover the purposes or policies underlying the relevant local law rules of the respective jurisdictions involved”?</w:t>
      </w:r>
    </w:p>
    <w:p>
      <w:pPr>
        <w:numPr>
          <w:ilvl w:val="1"/>
          <w:numId w:val="1083"/>
        </w:numPr>
      </w:pPr>
      <w:r>
        <w:t xml:space="preserve">Now that the court identifies a different purpose of the guest statute, how does it see Ontario’s interest in this case differently than how it did in</w:t>
      </w:r>
      <w:r>
        <w:t xml:space="preserve"> </w:t>
      </w:r>
      <w:r>
        <w:rPr>
          <w:iCs/>
          <w:i/>
        </w:rPr>
        <w:t xml:space="preserve">Babcock</w:t>
      </w:r>
      <w:r>
        <w:t xml:space="preserve">?</w:t>
      </w:r>
    </w:p>
    <w:p>
      <w:pPr>
        <w:numPr>
          <w:ilvl w:val="1"/>
          <w:numId w:val="1083"/>
        </w:numPr>
      </w:pPr>
      <w:r>
        <w:t xml:space="preserve">How might a party’s status (defendant or plaintiff) influence how the court analyzes the interest of the state where the party is domiciled? Note the discussion early in the opinion, with the sentence starting, “It is clear that, although New York has a deep interest in protecting its own residents, injured in a foreign state…” (Who decides where to sue in the first place?)</w:t>
      </w:r>
    </w:p>
    <w:p>
      <w:pPr>
        <w:numPr>
          <w:ilvl w:val="0"/>
          <w:numId w:val="1081"/>
        </w:numPr>
      </w:pPr>
      <w:r>
        <w:rPr>
          <w:iCs/>
          <w:i/>
        </w:rPr>
        <w:t xml:space="preserve">The choice-of-law revolution</w:t>
      </w:r>
      <w:r>
        <w:t xml:space="preserve">.</w:t>
      </w:r>
    </w:p>
    <w:p>
      <w:pPr>
        <w:numPr>
          <w:ilvl w:val="1"/>
          <w:numId w:val="1084"/>
        </w:numPr>
      </w:pPr>
      <w:r>
        <w:t xml:space="preserve">At the end of the day, is there a meaningful difference between the First and Second Restatements? As a practitioner, when might you want to sue in a First or Second Restatement state? What sort of facts might you need to show in order to successfully argue against the presumption of</w:t>
      </w:r>
      <w:r>
        <w:t xml:space="preserve"> </w:t>
      </w:r>
      <w:r>
        <w:rPr>
          <w:iCs/>
          <w:i/>
        </w:rPr>
        <w:t xml:space="preserve">lex loci delicti</w:t>
      </w:r>
      <w:r>
        <w:t xml:space="preserve"> </w:t>
      </w:r>
      <w:r>
        <w:t xml:space="preserve">in a Second Restatement state?</w:t>
      </w:r>
    </w:p>
    <w:p>
      <w:pPr>
        <w:numPr>
          <w:ilvl w:val="1"/>
          <w:numId w:val="1084"/>
        </w:numPr>
      </w:pPr>
      <w:r>
        <w:t xml:space="preserve">Are rules preferable to standards? It took the New York Court of Appeals at least three cases (</w:t>
      </w:r>
      <w:r>
        <w:rPr>
          <w:iCs/>
          <w:i/>
        </w:rPr>
        <w:t xml:space="preserve">Babcock</w:t>
      </w:r>
      <w:r>
        <w:t xml:space="preserve">,</w:t>
      </w:r>
      <w:r>
        <w:t xml:space="preserve"> </w:t>
      </w:r>
      <w:r>
        <w:rPr>
          <w:iCs/>
          <w:i/>
        </w:rPr>
        <w:t xml:space="preserve">Tooker</w:t>
      </w:r>
      <w:r>
        <w:t xml:space="preserve">, and</w:t>
      </w:r>
      <w:r>
        <w:t xml:space="preserve"> </w:t>
      </w:r>
      <w:r>
        <w:rPr>
          <w:iCs/>
          <w:i/>
        </w:rPr>
        <w:t xml:space="preserve">Neumeier</w:t>
      </w:r>
      <w:r>
        <w:t xml:space="preserve">), using the Second Restatement “standards” approach, to decide this question of choice-of-law in guest statute cases. The court itself admitted the lack of “consistency” that resulted from its abandonment of</w:t>
      </w:r>
      <w:r>
        <w:t xml:space="preserve"> </w:t>
      </w:r>
      <w:r>
        <w:rPr>
          <w:iCs/>
          <w:i/>
        </w:rPr>
        <w:t xml:space="preserve">lex loci delicti.</w:t>
      </w:r>
      <w:r>
        <w:t xml:space="preserve"> </w:t>
      </w:r>
      <w:r>
        <w:t xml:space="preserve">What are the advantages and disadvantages of rules and standards?</w:t>
      </w:r>
    </w:p>
    <w:p>
      <w:pPr>
        <w:numPr>
          <w:ilvl w:val="1"/>
          <w:numId w:val="1084"/>
        </w:numPr>
      </w:pPr>
      <w:r>
        <w:t xml:space="preserve">Did the “revolution” in choice-of-law accomplish anything? Did academics bring analytical clarity to this issue, or did they further muddy the waters? How much attention should judges pay to academics?</w:t>
      </w:r>
    </w:p>
    <w:p>
      <w:pPr>
        <w:pStyle w:val="NodeEnd"/>
      </w:pPr>
      <w:r>
        <w:t xml:space="preserve"> </w:t>
      </w:r>
    </w:p>
    <w:p>
      <w:pPr>
        <w:pStyle w:val="NodeStart"/>
      </w:pPr>
      <w:r>
        <w:t xml:space="preserve"> </w:t>
      </w:r>
    </w:p>
    <w:p>
      <w:pPr>
        <w:pStyle w:val="HeadSeparator"/>
      </w:pPr>
      <w:r>
        <w:t xml:space="preserve"> </w:t>
      </w:r>
    </w:p>
    <w:bookmarkStart w:id="53" w:name="_auto_toc_53"/>
    <w:bookmarkEnd w:id="53"/>
    <w:p>
      <w:pPr>
        <w:pStyle w:val="ResourceNumber"/>
      </w:pPr>
      <w:r>
        <w:t xml:space="preserve">5.10</w:t>
      </w:r>
    </w:p>
    <w:p>
      <w:pPr>
        <w:pStyle w:val="ResourceTitle"/>
      </w:pPr>
      <w:r>
        <w:t xml:space="preserve">Video (42 minutes)</w:t>
      </w:r>
    </w:p>
    <w:p>
      <w:pPr>
        <w:pStyle w:val="HeadEnd"/>
      </w:pPr>
      <w:r>
        <w:t xml:space="preserve"> </w:t>
      </w:r>
    </w:p>
    <w:p>
      <w:pPr>
        <w:pStyle w:val="BodyText"/>
      </w:pPr>
      <w:r>
        <w:t xml:space="preserve">Watch the video found</w:t>
      </w:r>
      <w:r>
        <w:t xml:space="preserve"> </w:t>
      </w:r>
      <w:hyperlink r:id="rId50">
        <w:r>
          <w:rPr>
            <w:rStyle w:val="Hyperlink"/>
          </w:rPr>
          <w:t xml:space="preserve">here</w:t>
        </w:r>
      </w:hyperlink>
      <w:r>
        <w:t xml:space="preserve">. It is about 42 minutes long, and you may need to watch it more than once. Plan accordingly.</w:t>
      </w:r>
    </w:p>
    <w:p>
      <w:pPr>
        <w:pStyle w:val="NodeEnd"/>
      </w:pPr>
      <w:r>
        <w:t xml:space="preserve"> </w:t>
      </w:r>
    </w:p>
    <w:p>
      <w:pPr>
        <w:pStyle w:val="NodeStart"/>
      </w:pPr>
      <w:r>
        <w:t xml:space="preserve"> </w:t>
      </w:r>
    </w:p>
    <w:p>
      <w:pPr>
        <w:pStyle w:val="HeadSeparator"/>
      </w:pPr>
      <w:r>
        <w:t xml:space="preserve"> </w:t>
      </w:r>
    </w:p>
    <w:bookmarkStart w:id="54" w:name="_auto_toc_54"/>
    <w:bookmarkEnd w:id="54"/>
    <w:p>
      <w:pPr>
        <w:pStyle w:val="ResourceNumber"/>
      </w:pPr>
      <w:r>
        <w:t xml:space="preserve">5.11</w:t>
      </w:r>
    </w:p>
    <w:p>
      <w:pPr>
        <w:pStyle w:val="ResourceTitle"/>
      </w:pPr>
      <w:r>
        <w:t xml:space="preserve">Three Types of Personal Jurisdiction</w:t>
      </w:r>
    </w:p>
    <w:p>
      <w:pPr>
        <w:pStyle w:val="HeadFieldSeparator"/>
      </w:pPr>
      <w:r>
        <w:t xml:space="preserve"> </w:t>
      </w:r>
    </w:p>
    <w:p>
      <w:pPr>
        <w:pStyle w:val="ResourceHeadnote"/>
      </w:pPr>
      <w:r>
        <w:t xml:space="preserve">In Days 1-4, you learned about one kind of jurisdiction, called federal court subject matter jurisdiction. The question was whether a federal district court could exercise power over a certain type of dispute. We assumed throughout that a state court, some state court, could always exercise power over that type of dispute. There was, however, little in those discussions about where, geographically, the lawsuit could take place.</w:t>
      </w:r>
    </w:p>
    <w:p>
      <w:pPr>
        <w:pStyle w:val="ResourceHeadnote"/>
      </w:pPr>
      <w:r>
        <w:t xml:space="preserve">To understand the importance of geography, imagine that a driver from Florida hits a pedestrian from Florida in Miami. The pedestrian sues the driver in a state court in . . . Alaska. We know that cannot be OK, at least, not unless the Florida driver consents to a lawsuit in Alaska. But why not?</w:t>
      </w:r>
    </w:p>
    <w:p>
      <w:pPr>
        <w:pStyle w:val="ResourceHeadnote"/>
      </w:pPr>
      <w:r>
        <w:t xml:space="preserve">In the remainder of Day 5 and in all of Days 6, 7, and 8, we will learn about a doctrine called "Jurisdiction over the Person or Property," sometimes just called, "Personal Jurisdiction." It governs the geographic limits on a court's power.</w:t>
      </w:r>
    </w:p>
    <w:p>
      <w:pPr>
        <w:pStyle w:val="ResourceHeadnote"/>
      </w:pPr>
      <w:r>
        <w:t xml:space="preserve">One more thing: Days 1-4 concerned the power of federal courts. Again, we assumed at all times that state courts could hear disputes involving any subject matter. So, the focus was on federal courts. For Personal Jurisdiction, we will learn that (for purposes of this course), the power of a federal court in North Carolina is pretty much the same as that of a state court in North Carolina. So, this module is far more about geography than it is about state versus federal courts.</w:t>
      </w:r>
    </w:p>
    <w:p>
      <w:pPr>
        <w:pStyle w:val="HeadEnd"/>
      </w:pPr>
      <w:r>
        <w:t xml:space="preserve"> </w:t>
      </w:r>
    </w:p>
    <w:p>
      <w:pPr>
        <w:pStyle w:val="BodyText"/>
      </w:pPr>
      <w:r>
        <w:t xml:space="preserve">Traditionally, courts have had three types of jurisdiction over a person or a piece of property:</w:t>
      </w:r>
    </w:p>
    <w:p>
      <w:pPr>
        <w:numPr>
          <w:ilvl w:val="0"/>
          <w:numId w:val="1085"/>
        </w:numPr>
      </w:pPr>
      <w:r>
        <w:rPr>
          <w:bCs/>
          <w:b/>
        </w:rPr>
        <w:t xml:space="preserve">in personam</w:t>
      </w:r>
      <w:r>
        <w:t xml:space="preserve">: a court exercising its power due to the party's physical presence or citizenship within a state</w:t>
      </w:r>
    </w:p>
    <w:p>
      <w:pPr>
        <w:numPr>
          <w:ilvl w:val="0"/>
          <w:numId w:val="1085"/>
        </w:numPr>
      </w:pPr>
      <w:r>
        <w:rPr>
          <w:bCs/>
          <w:b/>
        </w:rPr>
        <w:t xml:space="preserve">in rem</w:t>
      </w:r>
      <w:r>
        <w:t xml:space="preserve">: a court exercising its power over a party's rights and ownership regarding </w:t>
      </w:r>
      <w:r>
        <w:rPr>
          <w:iCs/>
          <w:i/>
        </w:rPr>
        <w:t xml:space="preserve">property</w:t>
      </w:r>
      <w:r>
        <w:t xml:space="preserve"> </w:t>
      </w:r>
      <w:r>
        <w:t xml:space="preserve">located, even temporarily, within a state's borders</w:t>
      </w:r>
    </w:p>
    <w:p>
      <w:pPr>
        <w:numPr>
          <w:ilvl w:val="0"/>
          <w:numId w:val="1085"/>
        </w:numPr>
      </w:pPr>
      <w:r>
        <w:rPr>
          <w:bCs/>
          <w:b/>
        </w:rPr>
        <w:t xml:space="preserve">quasi in rem</w:t>
      </w:r>
      <w:r>
        <w:t xml:space="preserve">: a court seizing property within its jurisdictional boundaries, even temporarily, in order to satisfy a plaintiff's claim, even if the rights and ownership regarding that particular piece of property are not at stake in the case.  Recovery in a quasi in rem lawsuit is thus limited to the value of the property a court can seize. </w:t>
      </w:r>
    </w:p>
    <w:p>
      <w:pPr>
        <w:pStyle w:val="FirstParagraph"/>
      </w:pPr>
      <w:r>
        <w:t xml:space="preserve">These concepts stem from international law of the 1800s. Say that Alice lived in the country of Ames, and Harold lived in the country of Holmes. If Alice were injured by Harold in Ames, she would have three options for how to proceed: in personam in Ames (but her judgment may be worthless in Holmes if Holmes refuses to honor the Ames judgment, so she may be unable to recover), quasi in rem in Ames (although her recovery would be limited to the value of whatever property Harold had in Ames), or proceed in the courts of Holmes (where she may be disadvantaged, but her judgment would be enforceable in Holmes, where Harold is more likely to have property that a Holmes court could seize and sell). Because Alice likely prefers to proceed in the Ames courts (think about why the U.S. has diversity jurisdiction), she might take the second option, and hope for at least some recovery.</w:t>
      </w:r>
    </w:p>
    <w:p>
      <w:pPr>
        <w:pStyle w:val="NodeEnd"/>
      </w:pPr>
      <w:r>
        <w:t xml:space="preserve"> </w:t>
      </w:r>
    </w:p>
    <w:p>
      <w:pPr>
        <w:pStyle w:val="NodeStart"/>
      </w:pPr>
      <w:r>
        <w:t xml:space="preserve"> </w:t>
      </w:r>
    </w:p>
    <w:p>
      <w:pPr>
        <w:pStyle w:val="HeadSeparator"/>
      </w:pPr>
      <w:r>
        <w:t xml:space="preserve"> </w:t>
      </w:r>
    </w:p>
    <w:bookmarkStart w:id="55" w:name="_auto_toc_55"/>
    <w:bookmarkEnd w:id="55"/>
    <w:p>
      <w:pPr>
        <w:pStyle w:val="ResourceNumber"/>
      </w:pPr>
      <w:r>
        <w:t xml:space="preserve">5.12</w:t>
      </w:r>
    </w:p>
    <w:p>
      <w:pPr>
        <w:pStyle w:val="ResourceTitle"/>
      </w:pPr>
      <w:r>
        <w:t xml:space="preserve">Constitutional Provisions</w:t>
      </w:r>
    </w:p>
    <w:p>
      <w:pPr>
        <w:pStyle w:val="HeadFieldSeparator"/>
      </w:pPr>
      <w:r>
        <w:t xml:space="preserve"> </w:t>
      </w:r>
    </w:p>
    <w:p>
      <w:pPr>
        <w:pStyle w:val="ResourceHeadnote"/>
      </w:pPr>
      <w:r>
        <w:t xml:space="preserve">Read the following constitutional provisions. You can access them via the internet, or the supplemental handout provided on Canvas.</w:t>
      </w:r>
    </w:p>
    <w:p>
      <w:pPr>
        <w:pStyle w:val="HeadEnd"/>
      </w:pPr>
      <w:r>
        <w:t xml:space="preserve"> </w:t>
      </w:r>
    </w:p>
    <w:p>
      <w:pPr>
        <w:numPr>
          <w:ilvl w:val="0"/>
          <w:numId w:val="1086"/>
        </w:numPr>
      </w:pPr>
      <w:r>
        <w:t xml:space="preserve">U.S. Const. art. IV § 1</w:t>
      </w:r>
    </w:p>
    <w:p>
      <w:pPr>
        <w:numPr>
          <w:ilvl w:val="0"/>
          <w:numId w:val="1086"/>
        </w:numPr>
      </w:pPr>
      <w:r>
        <w:t xml:space="preserve">U.S. Const. amend. XIV</w:t>
      </w:r>
    </w:p>
    <w:p>
      <w:pPr>
        <w:pStyle w:val="NodeEnd"/>
      </w:pPr>
      <w:r>
        <w:t xml:space="preserve"> </w:t>
      </w:r>
    </w:p>
    <w:p>
      <w:pPr>
        <w:pStyle w:val="NodeStart"/>
      </w:pPr>
      <w:r>
        <w:t xml:space="preserve"> </w:t>
      </w:r>
    </w:p>
    <w:p>
      <w:pPr>
        <w:pStyle w:val="HeadSeparator"/>
      </w:pPr>
      <w:r>
        <w:t xml:space="preserve"> </w:t>
      </w:r>
    </w:p>
    <w:bookmarkStart w:id="56" w:name="_auto_toc_56"/>
    <w:bookmarkEnd w:id="56"/>
    <w:p>
      <w:pPr>
        <w:pStyle w:val="ResourceNumber"/>
      </w:pPr>
      <w:r>
        <w:t xml:space="preserve">5.13</w:t>
      </w:r>
    </w:p>
    <w:p>
      <w:pPr>
        <w:pStyle w:val="ResourceTitle"/>
      </w:pPr>
      <w:r>
        <w:t xml:space="preserve">The Preamble to Pennoyer</w:t>
      </w:r>
    </w:p>
    <w:p>
      <w:pPr>
        <w:pStyle w:val="HeadFieldSeparator"/>
      </w:pPr>
      <w:r>
        <w:t xml:space="preserve"> </w:t>
      </w:r>
    </w:p>
    <w:p>
      <w:pPr>
        <w:pStyle w:val="ResourceHeadnote"/>
      </w:pPr>
      <w:r>
        <w:t xml:space="preserve">The following is a brief summary of the cast of characters present in the events surrounding</w:t>
      </w:r>
      <w:r>
        <w:t xml:space="preserve"> </w:t>
      </w:r>
      <w:r>
        <w:rPr>
          <w:iCs/>
          <w:i/>
        </w:rPr>
        <w:t xml:space="preserve">Pennoyer v. Neff</w:t>
      </w:r>
      <w:r>
        <w:t xml:space="preserve">. For a more thorough introduction (which is worth reading for entertainment value), see</w:t>
      </w:r>
      <w:r>
        <w:t xml:space="preserve"> </w:t>
      </w:r>
      <w:r>
        <w:t xml:space="preserve">Wendy C. Perdue,</w:t>
      </w:r>
      <w:r>
        <w:t xml:space="preserve"> </w:t>
      </w:r>
      <w:r>
        <w:rPr>
          <w:iCs/>
          <w:i/>
        </w:rPr>
        <w:t xml:space="preserve">Sin, Scandal, and Substantive Due Process: Personal Jurisdiction and Pennoyer Reconsidered</w:t>
      </w:r>
      <w:r>
        <w:t xml:space="preserve">, 62 W</w:t>
      </w:r>
      <w:r>
        <w:rPr>
          <w:smallCaps/>
        </w:rPr>
        <w:t xml:space="preserve">ash.</w:t>
      </w:r>
      <w:r>
        <w:t xml:space="preserve"> </w:t>
      </w:r>
      <w:r>
        <w:t xml:space="preserve">L. R</w:t>
      </w:r>
      <w:r>
        <w:rPr>
          <w:smallCaps/>
        </w:rPr>
        <w:t xml:space="preserve">ev.</w:t>
      </w:r>
      <w:r>
        <w:t xml:space="preserve"> </w:t>
      </w:r>
      <w:r>
        <w:t xml:space="preserve">479 (1987), from which this summary is adapted. Professor Perdue's paper can be found</w:t>
      </w:r>
      <w:r>
        <w:t xml:space="preserve"> </w:t>
      </w:r>
      <w:hyperlink r:id="rId51">
        <w:r>
          <w:rPr>
            <w:rStyle w:val="Hyperlink"/>
          </w:rPr>
          <w:t xml:space="preserve">here</w:t>
        </w:r>
      </w:hyperlink>
      <w:r>
        <w:t xml:space="preserve">, and the relevant section begins on page 481 (at "Our story begins") and ends on page 490 (with "Mitchell's funeral expenses").</w:t>
      </w:r>
    </w:p>
    <w:p>
      <w:pPr>
        <w:pStyle w:val="HeadEnd"/>
      </w:pPr>
      <w:r>
        <w:t xml:space="preserve"> </w:t>
      </w:r>
    </w:p>
    <w:p>
      <w:pPr>
        <w:pStyle w:val="BodyText"/>
      </w:pPr>
      <w:r>
        <w:t xml:space="preserve">In 1848, Marcus Neff traveled across the country by wagon train from Iowa to seek his fortune. In 1862, Neff met an attorney in Portland, J.H. Mitchell, who was using the name as an alias. In reality, Mitchell's name was John Hipple, and he had been forced to leave his teaching profession in Pennsylvania after he had seduced a 15-year old student. Hipple had made his way west in 1860 along with a mistress and stolen client money, the former abandoned by Hipple in California before he settled in Portland, took up a new name, and became a successful lawyer. Neff likely sought Mitchell's services in order to secure a land grant from the federal government, called a land "patent," under the Oregon Donation Act.</w:t>
      </w:r>
    </w:p>
    <w:p>
      <w:pPr>
        <w:pStyle w:val="BodyText"/>
      </w:pPr>
      <w:r>
        <w:t xml:space="preserve">On November 3, 1865, Mitchell/Hipple filed suit against his client, Neff, in Oregon state court seeking payment for legal services. Neff did not appear, and default judgment was entered on February 19, 1866. Mitchell, though, waited until June to seek to execute the judgment (per the long video, to execute the judgment, he would need to find land owned by Neff in Oregon that he could ask the court to seize and sell), possibly waiting for Neff's land grant to arrive so that he could ask the court to seize and sell it.</w:t>
      </w:r>
    </w:p>
    <w:p>
      <w:pPr>
        <w:pStyle w:val="BodyText"/>
      </w:pPr>
      <w:r>
        <w:t xml:space="preserve">In August, the property on Neff's grant was sold at a sheriff's auction (here, the sheriff was acting at the behest of the court, so, in other words, an Oregon court had seized and auctioned the land Neff received via grant from the federal government). Though the Supreme Court and later commentators believed the buyer to be</w:t>
      </w:r>
      <w:r>
        <w:t xml:space="preserve"> </w:t>
      </w:r>
      <w:r>
        <w:rPr>
          <w:bCs/>
          <w:b/>
        </w:rPr>
        <w:t xml:space="preserve">Sylvester Pennoyer,</w:t>
      </w:r>
      <w:r>
        <w:t xml:space="preserve"> </w:t>
      </w:r>
      <w:r>
        <w:t xml:space="preserve">the buyer was in fact J.H. Mitchell himself, who sold Pennoyer the property three days later, leading to the events of the case.</w:t>
      </w:r>
    </w:p>
    <w:p>
      <w:pPr>
        <w:pStyle w:val="NodeEnd"/>
      </w:pPr>
      <w:r>
        <w:t xml:space="preserve"> </w:t>
      </w:r>
    </w:p>
    <w:p>
      <w:pPr>
        <w:pStyle w:val="NodeStart"/>
      </w:pPr>
      <w:r>
        <w:t xml:space="preserve"> </w:t>
      </w:r>
    </w:p>
    <w:p>
      <w:pPr>
        <w:pStyle w:val="HeadSeparator"/>
      </w:pPr>
      <w:r>
        <w:t xml:space="preserve"> </w:t>
      </w:r>
    </w:p>
    <w:bookmarkStart w:id="57" w:name="_auto_toc_57"/>
    <w:bookmarkEnd w:id="57"/>
    <w:p>
      <w:pPr>
        <w:pStyle w:val="ResourceNumber"/>
      </w:pPr>
      <w:r>
        <w:t xml:space="preserve">5.14</w:t>
      </w:r>
    </w:p>
    <w:p>
      <w:pPr>
        <w:pStyle w:val="ResourceTitle"/>
      </w:pPr>
      <w:r>
        <w:t xml:space="preserve">Pennoyer v. Neff</w:t>
      </w:r>
    </w:p>
    <w:p>
      <w:pPr>
        <w:pStyle w:val="HeadEnd"/>
      </w:pPr>
      <w:r>
        <w:t xml:space="preserve"> </w:t>
      </w:r>
    </w:p>
    <w:p>
      <w:pPr>
        <w:pStyle w:val="CaseHeader"/>
      </w:pPr>
      <w:r>
        <w:t xml:space="preserve">Supreme Court of the United States</w:t>
      </w:r>
    </w:p>
    <w:p>
      <w:pPr>
        <w:pStyle w:val="CaseHeader"/>
      </w:pPr>
      <w:r>
        <w:t xml:space="preserve">95 U.S. 714, 24 L. Ed. 565, SCDB 1877-123, 1877 U.S. LEXIS 2227</w:t>
      </w:r>
    </w:p>
    <w:p>
      <w:pPr>
        <w:pStyle w:val="CaseHeader"/>
      </w:pPr>
      <w:r>
        <w:t xml:space="preserve">1877-10</w:t>
      </w:r>
    </w:p>
    <w:p>
      <w:pPr>
        <w:pStyle w:val="CaseBody"/>
      </w:pPr>
      <w:r>
        <w:rPr>
          <w:rStyle w:val="Elision"/>
        </w:rPr>
        <w:t xml:space="preserve">[ … ]</w:t>
      </w:r>
    </w:p>
    <w:p>
      <w:pPr>
        <w:pStyle w:val="CaseBody"/>
      </w:pPr>
      <w:r>
        <w:t xml:space="preserve">Mr. Justice Field</w:t>
      </w:r>
    </w:p>
    <w:p>
      <w:pPr>
        <w:pStyle w:val="CaseBody"/>
      </w:pPr>
      <w:r>
        <w:t xml:space="preserve">delivered the opinion of the court.</w:t>
      </w:r>
    </w:p>
    <w:p>
      <w:pPr>
        <w:pStyle w:val="CaseBody"/>
      </w:pPr>
      <w:r>
        <w:t xml:space="preserve">This is an action to recover the possession of a tract of land, of the alleged value of $15,000, situated in the State of Oregon. The plaintiff asserts title to the premises by a</w:t>
      </w:r>
      <w:r>
        <w:t xml:space="preserve"> </w:t>
      </w:r>
      <w:r>
        <w:t xml:space="preserve">patent</w:t>
      </w:r>
      <w:r>
        <w:t xml:space="preserve"> </w:t>
      </w:r>
      <w:r>
        <w:rPr>
          <w:rStyle w:val="FootnoteReference"/>
        </w:rPr>
        <w:footnoteReference w:customMarkFollows="1" w:id="13"/>
        <w:t xml:space="preserve">*</w:t>
      </w:r>
      <w:r>
        <w:t xml:space="preserve">of the United States issued to him in 1866, under the act of Congress of Sept. 27,1850, usually known as the Donation Law of Oregon. The defendant claims to have acquired the premises under a</w:t>
      </w:r>
      <w:r>
        <w:t xml:space="preserve"> </w:t>
      </w:r>
      <w:r>
        <w:t xml:space="preserve">sheriff’s deed</w:t>
      </w:r>
      <w:r>
        <w:rPr>
          <w:rStyle w:val="FootnoteReference"/>
        </w:rPr>
        <w:footnoteReference w:customMarkFollows="1" w:id="65"/>
        <w:t xml:space="preserve">**</w:t>
      </w:r>
      <w:r>
        <w:t xml:space="preserve">, made .upon a sale of the property on execution issued upon a judgment recovered against the plaintiff in one of-the circuit courts of the State. The case turns upon the validity of this judgment.</w:t>
      </w:r>
    </w:p>
    <w:p>
      <w:pPr>
        <w:pStyle w:val="CaseBody"/>
      </w:pPr>
      <w:r>
        <w:t xml:space="preserve">It appears from the record that the judgment was rendered in February, 1866, in favor of J. H. Mitchell, for less than $800, including costs, in an action brought by him upon a demand for services as an attorney; that, at the time the action was commenced and.' the judgment rendered, the defendant therein, the plaintiff here, was a non-resident of the State; that he' was not personally served with process, and did not appear therein; and that the. judgment'was entered-.upon his default in not answering the complaint, upon a constructive service of summons by publication. ■ •</w:t>
      </w:r>
    </w:p>
    <w:p>
      <w:pPr>
        <w:pStyle w:val="CaseBody"/>
      </w:pPr>
      <w:r>
        <w:t xml:space="preserve">The Code- of Oregon provides for such service when an</w:t>
      </w:r>
      <w:r>
        <w:rPr>
          <w:rStyle w:val="Elision"/>
        </w:rPr>
        <w:t xml:space="preserve">[ … ]</w:t>
      </w:r>
      <w:r>
        <w:t xml:space="preserve">action is brought against a non-resident and absent defendant, who has property within the State. It also provides,, where the action is for the recovery of money or damages, for the attachment of the property of the non-resident. And it also declares that</w:t>
      </w:r>
      <w:r>
        <w:rPr>
          <w:rStyle w:val="Elision"/>
        </w:rPr>
        <w:t xml:space="preserve">[ … ]</w:t>
      </w:r>
      <w:r>
        <w:t xml:space="preserve">no natural. person is subject-to the jurisdiction of a court of the State, “unless he appear in the court, or be found within the State, or be a resident thereof, or have property therein; and, in the last case, only to the extent of such property at the timé the jurisdiction attached.” ' Construing this latter provision to mean, that, in an action for money or damages where a defendant .does not appear in the court, and is not found" within the State, and is not a resident thereof, but has property therein, the jurisdiction of the court extends only over Such property, the declaration expresses a principle of general, if,</w:t>
      </w:r>
      <w:r>
        <w:rPr>
          <w:rStyle w:val="Elision"/>
        </w:rPr>
        <w:t xml:space="preserve">[ … ]</w:t>
      </w:r>
      <w:r>
        <w:t xml:space="preserve"> </w:t>
      </w:r>
      <w:r>
        <w:t xml:space="preserve">not universal,law. The authority of every tribunal is, necessarily restricted by the territorial limits of' the State in which</w:t>
      </w:r>
      <w:r>
        <w:t xml:space="preserve"> </w:t>
      </w:r>
      <w:r>
        <w:rPr>
          <w:rStyle w:val="Elision"/>
        </w:rPr>
        <w:t xml:space="preserve">[ … ]</w:t>
      </w:r>
      <w:r>
        <w:t xml:space="preserve">it is established; Any attempt to exercise authority</w:t>
      </w:r>
      <w:r>
        <w:t xml:space="preserve"> </w:t>
      </w:r>
      <w:r>
        <w:rPr>
          <w:rStyle w:val="Elision"/>
        </w:rPr>
        <w:t xml:space="preserve">[ … ]</w:t>
      </w:r>
      <w:r>
        <w:t xml:space="preserve">beyond</w:t>
      </w:r>
      <w:r>
        <w:t xml:space="preserve"> </w:t>
      </w:r>
      <w:r>
        <w:rPr>
          <w:rStyle w:val="Elision"/>
        </w:rPr>
        <w:t xml:space="preserve">[ … ]</w:t>
      </w:r>
      <w:r>
        <w:t xml:space="preserve">those limits would be deemed in every other forum, as has been,said by this court, an illegitimate assumption of power, and be resisted as mere abuse.</w:t>
      </w:r>
      <w:r>
        <w:t xml:space="preserve"> </w:t>
      </w:r>
      <w:r>
        <w:rPr>
          <w:rStyle w:val="Elision"/>
        </w:rPr>
        <w:t xml:space="preserve">[ … ]</w:t>
      </w:r>
      <w:r>
        <w:t xml:space="preserve">In the case against the plaintiff, the property here in controversy sold under the judgment rendered was not attached, nor in any way brought under the jurisdiction of the court. Its first connection with the</w:t>
      </w:r>
      <w:r>
        <w:rPr>
          <w:rStyle w:val="Elision"/>
        </w:rPr>
        <w:t xml:space="preserve">[ … ]</w:t>
      </w:r>
      <w:r>
        <w:t xml:space="preserve">case was'caused,by a levy of the execution. It was not, therefore, disposed of</w:t>
      </w:r>
      <w:r>
        <w:rPr>
          <w:rStyle w:val="Elision"/>
        </w:rPr>
        <w:t xml:space="preserve">[ … ]</w:t>
      </w:r>
      <w:r>
        <w:t xml:space="preserve"> </w:t>
      </w:r>
      <w:r>
        <w:t xml:space="preserve">pursuant to any adjudication, but only in enforcement of a personal judgment, having-no relation to the property,'rendered against a non-resident without service of process upon him in the action, or his appearance therein. The court below did not consider that an attachment of the property was essential to its jurisdiction or- to the validity of the sale, but held</w:t>
      </w:r>
      <w:r>
        <w:t xml:space="preserve"> </w:t>
      </w:r>
      <w:r>
        <w:rPr>
          <w:rStyle w:val="Elision"/>
        </w:rPr>
        <w:t xml:space="preserve">[ … ]</w:t>
      </w:r>
      <w:r>
        <w:t xml:space="preserve">that the judgment was invalid from defects' in the affidavit upon which the order of publication was obtained, and in the affidavit by which the publication "as proved.</w:t>
      </w:r>
    </w:p>
    <w:p>
      <w:pPr>
        <w:pStyle w:val="CaseBody"/>
      </w:pPr>
      <w:r>
        <w:t xml:space="preserve">There is some difference of opinion among the members of this court as to the rulings upon these alleged defects. The majority are</w:t>
      </w:r>
      <w:r>
        <w:rPr>
          <w:rStyle w:val="Elision"/>
        </w:rPr>
        <w:t xml:space="preserve">[ … ]</w:t>
      </w:r>
      <w:r>
        <w:t xml:space="preserve">of opinion that inasmuch as the statute requires, for an order of publication, that certain facts shall appear by affidavit</w:t>
      </w:r>
      <w:r>
        <w:t xml:space="preserve"> </w:t>
      </w:r>
      <w:r>
        <w:rPr>
          <w:iCs/>
          <w:i/>
        </w:rPr>
        <w:t xml:space="preserve">to the satisfaction, of the court or</w:t>
      </w:r>
      <w:r>
        <w:t xml:space="preserve"> </w:t>
      </w:r>
      <w:r>
        <w:t xml:space="preserve">judge, defects in such affidavit can only be taken advantage of on appeal, or by some other direct proceeding, and cannot be urged to impeach the judgment collaterally. The majority of the court are also of opinion that the provision of the statute requiring proof of the publication in' a newspaper to be made by the</w:t>
      </w:r>
      <w:r>
        <w:rPr>
          <w:rStyle w:val="Elision"/>
        </w:rPr>
        <w:t xml:space="preserve">[ … ]</w:t>
      </w:r>
      <w:r>
        <w:t xml:space="preserve">“ affidavit of the printer, or his foreman, or his principal clerk,” is satisfied when the affidavit is made by the editor of the paper. The term “ printer,” in their judgment, is there used not to indicate the person who sets up' the type, — he does not usually have a foreman or clerks, — it is rather used as synonymous with publisher.</w:t>
      </w:r>
      <w:r>
        <w:t xml:space="preserve"> </w:t>
      </w:r>
      <w:r>
        <w:rPr>
          <w:rStyle w:val="ReplacementText"/>
        </w:rPr>
        <w:t xml:space="preserve">[The Court engaged in statutory interpretation and an examination of persuasive authority regarding the word "printer."]</w:t>
      </w:r>
    </w:p>
    <w:p>
      <w:pPr>
        <w:pStyle w:val="CaseBody"/>
      </w:pPr>
      <w:r>
        <w:t xml:space="preserve">If, therefore, we were confined to the rulings of 'the court below upon the defects in the affidavits -mentioned, we should' be unab.le to uphold its decision. But it was also contended in that court, and is insisted upon here, that the judgment in the State court against the plaintiff was void for want of personal service of process on him, or of his appearance in the action in which it was rendered, and that the premises in- controversy could not be. subjected to the payment of the. demand. of 'a resident creditor except by a proceeding</w:t>
      </w:r>
      <w:r>
        <w:t xml:space="preserve"> </w:t>
      </w:r>
      <w:r>
        <w:rPr>
          <w:iCs/>
          <w:i/>
        </w:rPr>
        <w:t xml:space="preserve">in rem;</w:t>
      </w:r>
      <w:r>
        <w:rPr>
          <w:rStyle w:val="FootnoteReference"/>
          <w:iCs/>
          <w:i/>
        </w:rPr>
        <w:footnoteReference w:customMarkFollows="1" w:id="99"/>
        <w:t xml:space="preserve">***</w:t>
      </w:r>
      <w:r>
        <w:t xml:space="preserve"> </w:t>
      </w:r>
      <w:r>
        <w:t xml:space="preserve">that is, by a direct proceeding against- tbe property for that purpose. If these positions are sound, the ruling of the Circuit Court as to the' invalidity of that judgment must be sustained, notwithstanding our dissent from the reasons upon which it; was made. And that they are sound would seem to follow from two well-established! principles of public law respecting the jurisdiction of an independent State over persons and property. The several States of the Union are</w:t>
      </w:r>
      <w:r>
        <w:t xml:space="preserve"> </w:t>
      </w:r>
      <w:r>
        <w:rPr>
          <w:rStyle w:val="ReplacementText"/>
        </w:rPr>
        <w:t xml:space="preserve">not</w:t>
      </w:r>
      <w:r>
        <w:t xml:space="preserve">, it is true, in every respect independent, many of the rights and powers which originally belonged to them being now vested in the government created by the Constitution. ' But, except as restrained and limited. by that instrument, they possess and exercise</w:t>
      </w:r>
      <w:r>
        <w:t xml:space="preserve"> </w:t>
      </w:r>
      <w:r>
        <w:rPr>
          <w:rStyle w:val="Elision"/>
        </w:rPr>
        <w:t xml:space="preserve">[ … ]</w:t>
      </w:r>
      <w:r>
        <w:t xml:space="preserve">the authority of independent States, and the principles of public law to which we have referred are applicable to them. One of these principles is; that every State possesses exclusive jurisdiction and sovereignty over persons and property</w:t>
      </w:r>
      <w:r>
        <w:rPr>
          <w:rStyle w:val="Elision"/>
        </w:rPr>
        <w:t xml:space="preserve">[ … ]</w:t>
      </w:r>
      <w:r>
        <w:t xml:space="preserve">within its territory. As a consequence, every State has the power to determine for itself the</w:t>
      </w:r>
      <w:r>
        <w:t xml:space="preserve"> </w:t>
      </w:r>
      <w:r>
        <w:rPr>
          <w:iCs/>
          <w:i/>
        </w:rPr>
        <w:t xml:space="preserve">civil</w:t>
      </w:r>
      <w:r>
        <w:rPr>
          <w:rStyle w:val="Elision"/>
        </w:rPr>
        <w:t xml:space="preserve">[ … ]</w:t>
      </w:r>
      <w:r>
        <w:rPr>
          <w:iCs/>
          <w:i/>
        </w:rPr>
        <w:t xml:space="preserve">status</w:t>
      </w:r>
      <w:r>
        <w:t xml:space="preserve"> </w:t>
      </w:r>
      <w:r>
        <w:t xml:space="preserve">and capacities of its inhabitants; to prescribe the subjects upon which they may contract, the forms and solemnities with which their contracts shall be executed, the rights</w:t>
      </w:r>
      <w:r>
        <w:rPr>
          <w:rStyle w:val="Elision"/>
        </w:rPr>
        <w:t xml:space="preserve">[ … ]</w:t>
      </w:r>
      <w:r>
        <w:t xml:space="preserve">and</w:t>
      </w:r>
      <w:r>
        <w:rPr>
          <w:rStyle w:val="Elision"/>
        </w:rPr>
        <w:t xml:space="preserve">[ … ]</w:t>
      </w:r>
      <w:r>
        <w:t xml:space="preserve">obligations” arising from them, and'the mode in which their validity .shall .be determined and their obligations .enforced ; and also to</w:t>
      </w:r>
      <w:r>
        <w:t xml:space="preserve"> </w:t>
      </w:r>
      <w:r>
        <w:rPr>
          <w:rStyle w:val="Elision"/>
        </w:rPr>
        <w:t xml:space="preserve">[ … ]</w:t>
      </w:r>
      <w:r>
        <w:t xml:space="preserve">regulate the manner and conditions' ' upon which property situated within such‘territory, both personal and real, may be acquired,'enjoyed; and transferred. ' The</w:t>
      </w:r>
      <w:r>
        <w:t xml:space="preserve"> </w:t>
      </w:r>
      <w:r>
        <w:rPr>
          <w:rStyle w:val="Elision"/>
        </w:rPr>
        <w:t xml:space="preserve">[ … ]</w:t>
      </w:r>
      <w:r>
        <w:t xml:space="preserve">other principle of public law referred to follows from</w:t>
      </w:r>
      <w:r>
        <w:rPr>
          <w:rStyle w:val="Elision"/>
        </w:rPr>
        <w:t xml:space="preserve">[ … ]</w:t>
      </w:r>
      <w:r>
        <w:t xml:space="preserve">the one mentioned; that is, that no .State can’ exercise direct jurisdiction, .arid authority</w:t>
      </w:r>
      <w:r>
        <w:rPr>
          <w:rStyle w:val="Elision"/>
        </w:rPr>
        <w:t xml:space="preserve">[ … ]</w:t>
      </w:r>
      <w:r>
        <w:t xml:space="preserve">oyer persons or property without, its territory.</w:t>
      </w:r>
      <w:r>
        <w:t xml:space="preserve"> </w:t>
      </w:r>
      <w:r>
        <w:rPr>
          <w:rStyle w:val="Elision"/>
        </w:rPr>
        <w:t xml:space="preserve">[ … ]</w:t>
      </w:r>
      <w:r>
        <w:rPr>
          <w:rStyle w:val="Elision"/>
        </w:rPr>
        <w:t xml:space="preserve">[ … ]</w:t>
      </w:r>
      <w:r>
        <w:t xml:space="preserve"> </w:t>
      </w:r>
      <w:r>
        <w:t xml:space="preserve">The several States are of equal dignity and authority,</w:t>
      </w:r>
      <w:r>
        <w:rPr>
          <w:rStyle w:val="Elision"/>
        </w:rPr>
        <w:t xml:space="preserve">[ … ]</w:t>
      </w:r>
      <w:r>
        <w:t xml:space="preserve"> </w:t>
      </w:r>
      <w:r>
        <w:t xml:space="preserve">and the independence</w:t>
      </w:r>
      <w:r>
        <w:rPr>
          <w:rStyle w:val="Elision"/>
        </w:rPr>
        <w:t xml:space="preserve">[ … ]</w:t>
      </w:r>
      <w:r>
        <w:t xml:space="preserve">of one implies the'exclusion of power from all others. And' so it is</w:t>
      </w:r>
      <w:r>
        <w:t xml:space="preserve"> </w:t>
      </w:r>
      <w:r>
        <w:rPr>
          <w:rStyle w:val="Elision"/>
        </w:rPr>
        <w:t xml:space="preserve">[ … ]</w:t>
      </w:r>
      <w:r>
        <w:t xml:space="preserve">laid down</w:t>
      </w:r>
      <w:r>
        <w:rPr>
          <w:rStyle w:val="Elision"/>
        </w:rPr>
        <w:t xml:space="preserve">[ … ]</w:t>
      </w:r>
      <w:r>
        <w:t xml:space="preserve"> </w:t>
      </w:r>
      <w:r>
        <w:t xml:space="preserve">by jurists, as an elementary principle, that the laws of one State have no operation</w:t>
      </w:r>
      <w:r>
        <w:rPr>
          <w:rStyle w:val="Elision"/>
        </w:rPr>
        <w:t xml:space="preserve">[ … ]</w:t>
      </w:r>
      <w:r>
        <w:t xml:space="preserve">outside</w:t>
      </w:r>
      <w:r>
        <w:t xml:space="preserve"> </w:t>
      </w:r>
      <w:r>
        <w:rPr>
          <w:rStyle w:val="Elision"/>
        </w:rPr>
        <w:t xml:space="preserve">[ … ]</w:t>
      </w:r>
      <w:r>
        <w:t xml:space="preserve">of</w:t>
      </w:r>
      <w:r>
        <w:t xml:space="preserve"> </w:t>
      </w:r>
      <w:r>
        <w:rPr>
          <w:rStyle w:val="Elision"/>
        </w:rPr>
        <w:t xml:space="preserve">[ … ]</w:t>
      </w:r>
      <w:r>
        <w:t xml:space="preserve">its territory, except so far as is allowed by comity; and that no tribunal established by it can extend its process beyond that territory so as to subject either persons or property to its decisions. “Any</w:t>
      </w:r>
      <w:r>
        <w:rPr>
          <w:rStyle w:val="Elision"/>
        </w:rPr>
        <w:t xml:space="preserve">[ … ]</w:t>
      </w:r>
      <w:r>
        <w:t xml:space="preserve"> </w:t>
      </w:r>
      <w:r>
        <w:t xml:space="preserve">exertion of authority of this, sort beyond this limit,” says Story, “ is</w:t>
      </w:r>
      <w:r>
        <w:rPr>
          <w:rStyle w:val="Elision"/>
        </w:rPr>
        <w:t xml:space="preserve">[ … ]</w:t>
      </w:r>
      <w:r>
        <w:t xml:space="preserve"> </w:t>
      </w:r>
      <w:r>
        <w:t xml:space="preserve">a mere nullity, and incapable of binding such persons or</w:t>
      </w:r>
      <w:r>
        <w:rPr>
          <w:rStyle w:val="Elision"/>
        </w:rPr>
        <w:t xml:space="preserve">[ … ]</w:t>
      </w:r>
      <w:r>
        <w:t xml:space="preserve">property in any other tribunals.”</w:t>
      </w:r>
      <w:r>
        <w:t xml:space="preserve"> </w:t>
      </w:r>
      <w:r>
        <w:rPr>
          <w:rStyle w:val="Elision"/>
        </w:rPr>
        <w:t xml:space="preserve">[ … ]</w:t>
      </w:r>
    </w:p>
    <w:p>
      <w:pPr>
        <w:pStyle w:val="CaseBody"/>
      </w:pPr>
      <w:r>
        <w:t xml:space="preserve">But as contracts made in one State may be enforceable only in another State, and property may be held by non-residents, the exercise of</w:t>
      </w:r>
      <w:r>
        <w:rPr>
          <w:rStyle w:val="Elision"/>
        </w:rPr>
        <w:t xml:space="preserve">[ … ]</w:t>
      </w:r>
      <w:r>
        <w:t xml:space="preserve">the jurisdiction which every State is admitted to possess over persons and property within its own territory will often affect</w:t>
      </w:r>
      <w:r>
        <w:t xml:space="preserve"> </w:t>
      </w:r>
      <w:r>
        <w:rPr>
          <w:rStyle w:val="Elision"/>
        </w:rPr>
        <w:t xml:space="preserve">[ … ]</w:t>
      </w:r>
      <w:r>
        <w:t xml:space="preserve">persons and property</w:t>
      </w:r>
      <w:r>
        <w:rPr>
          <w:rStyle w:val="Elision"/>
        </w:rPr>
        <w:t xml:space="preserve">[ … ]</w:t>
      </w:r>
      <w:r>
        <w:t xml:space="preserve"> </w:t>
      </w:r>
      <w:r>
        <w:t xml:space="preserve">without it.' To any influence exerted in this way by a State affecting persons resident or property situated elsewhere, no objection can be justly taken ; whilst any direct exertion of authority upon them, in an attempt to give ex-territorial operation to its laws, or to enforce an ex-territorial jurisdiction by its tribunals, would be deemed an encroachment upon the independence of the State in which the persons are domiciled or the property is situated, and be resisted as usurpation.</w:t>
      </w:r>
    </w:p>
    <w:p>
      <w:pPr>
        <w:pStyle w:val="CaseBody"/>
      </w:pPr>
      <w:r>
        <w:t xml:space="preserve">Thus the State,</w:t>
      </w:r>
      <w:r>
        <w:t xml:space="preserve"> </w:t>
      </w:r>
      <w:r>
        <w:rPr>
          <w:rStyle w:val="Elision"/>
        </w:rPr>
        <w:t xml:space="preserve">[ … ]</w:t>
      </w:r>
      <w:r>
        <w:t xml:space="preserve">through its tribunals, may compel persons domiciled within its limits to execute, in pursuance of their' contracts respecting property elsewhere situated, instruments in such form</w:t>
      </w:r>
      <w:r>
        <w:rPr>
          <w:rStyle w:val="Elision"/>
        </w:rPr>
        <w:t xml:space="preserve">[ … ]</w:t>
      </w:r>
      <w:r>
        <w:t xml:space="preserve">and with such solemnities as to transfer the title, so far as such formalities can be complied with; and the exercise of this jurisdiction in no manner interferes with the supreme control over the</w:t>
      </w:r>
      <w:r>
        <w:rPr>
          <w:rStyle w:val="Elision"/>
        </w:rPr>
        <w:t xml:space="preserve">[ … ]</w:t>
      </w:r>
      <w:r>
        <w:t xml:space="preserve"> </w:t>
      </w:r>
      <w:r>
        <w:t xml:space="preserve">property by the State within which it is situated.</w:t>
      </w:r>
      <w:r>
        <w:t xml:space="preserve"> </w:t>
      </w:r>
      <w:r>
        <w:rPr>
          <w:rStyle w:val="Elision"/>
        </w:rPr>
        <w:t xml:space="preserve">[ … ]</w:t>
      </w:r>
    </w:p>
    <w:p>
      <w:pPr>
        <w:pStyle w:val="CaseBody"/>
      </w:pPr>
      <w:r>
        <w:t xml:space="preserve">So the State, through its tribunals, may subject property situated within its limits owned by non-residents to the payment of the demand of its own citizens against them; and the exercise of this jurisdiction in no respect infringes upon the sovereignty of the State where the owners are domiciled. Every State owes protection to its own citizens; and, when nonresidents deal with them, it is a legitimate and just exercise of authority to hold and appropriate any property owned by such .non-residents to satisfy the claims of its citizens. It</w:t>
      </w:r>
      <w:r>
        <w:rPr>
          <w:rStyle w:val="Elision"/>
        </w:rPr>
        <w:t xml:space="preserve">[ … ]</w:t>
      </w:r>
      <w:r>
        <w:t xml:space="preserve"> </w:t>
      </w:r>
      <w:r>
        <w:t xml:space="preserve">is in virtue of the State’s jurisdiction over the property of the nonresident situated.within its limits that its tribunals can inquire into that non-resident’s obligations to its own citizens, and the inquiry can then be carried only</w:t>
      </w:r>
      <w:r>
        <w:rPr>
          <w:rStyle w:val="Elision"/>
        </w:rPr>
        <w:t xml:space="preserve">[ … ]</w:t>
      </w:r>
      <w:r>
        <w:t xml:space="preserve">to the extent necessary to control</w:t>
      </w:r>
      <w:r>
        <w:t xml:space="preserve"> </w:t>
      </w:r>
      <w:r>
        <w:rPr>
          <w:rStyle w:val="Elision"/>
        </w:rPr>
        <w:t xml:space="preserve">[ … ]</w:t>
      </w:r>
      <w:r>
        <w:t xml:space="preserve">the disposition of the property. If the non-resident have no property in the State, there is nothing upon which the tribunals can adjudicate.</w:t>
      </w:r>
    </w:p>
    <w:p>
      <w:pPr>
        <w:pStyle w:val="CaseBody"/>
      </w:pPr>
      <w:r>
        <w:rPr>
          <w:rStyle w:val="Elision"/>
        </w:rPr>
        <w:t xml:space="preserve">[ … ]</w:t>
      </w:r>
    </w:p>
    <w:p>
      <w:pPr>
        <w:pStyle w:val="CaseBody"/>
      </w:pPr>
      <w:r>
        <w:t xml:space="preserve">If, without personal service, judgments</w:t>
      </w:r>
      <w:r>
        <w:t xml:space="preserve"> </w:t>
      </w:r>
      <w:r>
        <w:rPr>
          <w:iCs/>
          <w:i/>
        </w:rPr>
        <w:t xml:space="preserve">in personam,</w:t>
      </w:r>
      <w:r>
        <w:t xml:space="preserve"> </w:t>
      </w:r>
      <w:r>
        <w:t xml:space="preserve">obtained</w:t>
      </w:r>
      <w:r>
        <w:t xml:space="preserve"> </w:t>
      </w:r>
      <w:r>
        <w:rPr>
          <w:iCs/>
          <w:i/>
        </w:rPr>
        <w:t xml:space="preserve">ex parte</w:t>
      </w:r>
      <w:r>
        <w:t xml:space="preserve"> </w:t>
      </w:r>
      <w:r>
        <w:t xml:space="preserve">against nonresidents and absent “parties, upon mere publication of process, which, in- the great majority, of cases, would never be seen by thé parties interested, could be upheld and enforced, they would be the constant instruments of fraud and oppression. Judgments for all sorts of claims upon contracts and for torts, real or pretended, would be thus obtained, under which property would be seized, when the evidence of the transactions upon which they w ere founded, if they ever had any existence, had</w:t>
      </w:r>
      <w:r>
        <w:t xml:space="preserve"> </w:t>
      </w:r>
      <w:r>
        <w:rPr>
          <w:rStyle w:val="Elision"/>
        </w:rPr>
        <w:t xml:space="preserve">[ … ]</w:t>
      </w:r>
      <w:r>
        <w:t xml:space="preserve">perished.</w:t>
      </w:r>
    </w:p>
    <w:p>
      <w:pPr>
        <w:pStyle w:val="CaseBody"/>
      </w:pPr>
      <w:r>
        <w:t xml:space="preserve">Substituted service by publication, or in any other authorized form, may be sufficient to inform parties of the object of proceedings taken where property is once brought under the. control of the court by seizure or some equivalent act. The law assumes that property is always</w:t>
      </w:r>
      <w:r>
        <w:rPr>
          <w:rStyle w:val="Elision"/>
        </w:rPr>
        <w:t xml:space="preserve">[ … ]</w:t>
      </w:r>
      <w:r>
        <w:t xml:space="preserve">in the possession of its owner, in person or by agentand it proceeds upon the theory that its seizure will inform him, not only that it is taken into the' custody of the court, but that he must look to</w:t>
      </w:r>
      <w:r>
        <w:t xml:space="preserve"> </w:t>
      </w:r>
      <w:r>
        <w:rPr>
          <w:rStyle w:val="ReplacementText"/>
        </w:rPr>
        <w:t xml:space="preserve">any</w:t>
      </w:r>
      <w:r>
        <w:t xml:space="preserve"> </w:t>
      </w:r>
      <w:r>
        <w:t xml:space="preserve">proceedings authorized by law upon such seizure for its condemnation and sale. Such service may also be sufficient in cases where the object of the action is to reach and, dispose of property in the State, or of some interest therein, by enforcing a contract or a lien respecting the same, or to partition it among different, owners, or, when the public, is a party, to condemn and appropriate it for a public purpose. In other words, such service may answer in all actions which are substantially proceedings</w:t>
      </w:r>
      <w:r>
        <w:t xml:space="preserve"> </w:t>
      </w:r>
      <w:r>
        <w:rPr>
          <w:rStyle w:val="ReplacementText"/>
          <w:iCs/>
          <w:i/>
        </w:rPr>
        <w:t xml:space="preserve">in rem or quasi-in-rem</w:t>
      </w:r>
      <w:r>
        <w:rPr>
          <w:iCs/>
          <w:i/>
        </w:rPr>
        <w:t xml:space="preserve">.</w:t>
      </w:r>
      <w:r>
        <w:t xml:space="preserve"> </w:t>
      </w:r>
      <w:r>
        <w:t xml:space="preserve">But where the entire object of the action is to determine the personal rights and</w:t>
      </w:r>
      <w:r>
        <w:rPr>
          <w:rStyle w:val="Elision"/>
        </w:rPr>
        <w:t xml:space="preserve">[ … ]</w:t>
      </w:r>
      <w:r>
        <w:t xml:space="preserve"> </w:t>
      </w:r>
      <w:r>
        <w:t xml:space="preserve">obligations of the</w:t>
      </w:r>
      <w:r>
        <w:rPr>
          <w:rStyle w:val="Elision"/>
        </w:rPr>
        <w:t xml:space="preserve">[ … ]</w:t>
      </w:r>
      <w:r>
        <w:t xml:space="preserve"> </w:t>
      </w:r>
      <w:r>
        <w:t xml:space="preserve">defendants, that is, where the suit is merely</w:t>
      </w:r>
      <w:r>
        <w:t xml:space="preserve"> </w:t>
      </w:r>
      <w:r>
        <w:rPr>
          <w:iCs/>
          <w:i/>
        </w:rPr>
        <w:t xml:space="preserve">in</w:t>
      </w:r>
      <w:r>
        <w:t xml:space="preserve"> </w:t>
      </w:r>
      <w:r>
        <w:t xml:space="preserve">personam, constructive service in this form upon a non-resident is ineffectual for any purpose.</w:t>
      </w:r>
      <w:r>
        <w:t xml:space="preserve"> </w:t>
      </w:r>
      <w:r>
        <w:rPr>
          <w:rStyle w:val="Elision"/>
        </w:rPr>
        <w:t xml:space="preserve">[ … ]</w:t>
      </w:r>
      <w:r>
        <w:t xml:space="preserve"> </w:t>
      </w:r>
      <w:r>
        <w:t xml:space="preserve">Process from the tribunals of one State cannot run into another State, and summon parties there domiciled to leave its territory</w:t>
      </w:r>
      <w:r>
        <w:t xml:space="preserve"> </w:t>
      </w:r>
      <w:r>
        <w:rPr>
          <w:rStyle w:val="Elision"/>
        </w:rPr>
        <w:t xml:space="preserve">[ … ]</w:t>
      </w:r>
      <w:r>
        <w:t xml:space="preserve">and respond to proceedings. against</w:t>
      </w:r>
      <w:r>
        <w:t xml:space="preserve"> </w:t>
      </w:r>
      <w:r>
        <w:rPr>
          <w:rStyle w:val="Elision"/>
        </w:rPr>
        <w:t xml:space="preserve">[ … ]</w:t>
      </w:r>
      <w:r>
        <w:t xml:space="preserve"> </w:t>
      </w:r>
      <w:r>
        <w:t xml:space="preserve">them. Publication of process or notice within the State where the tribunal sits cannot create- any greater obligation upon the non-resident to appear. Process sent to him out of the State, and process published within it, are equally unavailing in proceedings to establish his personal liability.</w:t>
      </w:r>
    </w:p>
    <w:p>
      <w:pPr>
        <w:pStyle w:val="CaseBody"/>
      </w:pPr>
      <w:r>
        <w:t xml:space="preserve">The want of authority of the tribunals of' a State to</w:t>
      </w:r>
      <w:r>
        <w:rPr>
          <w:rStyle w:val="Elision"/>
        </w:rPr>
        <w:t xml:space="preserve">[ … ]</w:t>
      </w:r>
      <w:r>
        <w:t xml:space="preserve">adjudicate upon the obligations of non-residents, where they have no property within its limits, is not denied by the court below: but the position is</w:t>
      </w:r>
      <w:r>
        <w:t xml:space="preserve"> </w:t>
      </w:r>
      <w:r>
        <w:rPr>
          <w:rStyle w:val="Elision"/>
        </w:rPr>
        <w:t xml:space="preserve">[ … ]</w:t>
      </w:r>
      <w:r>
        <w:t xml:space="preserve">assumed, that,</w:t>
      </w:r>
      <w:r>
        <w:t xml:space="preserve"> </w:t>
      </w:r>
      <w:r>
        <w:rPr>
          <w:rStyle w:val="Elision"/>
        </w:rPr>
        <w:t xml:space="preserve">[ … ]</w:t>
      </w:r>
      <w:r>
        <w:t xml:space="preserve">where they have property within the State, it is immaterial whether the property is in the first instance brought</w:t>
      </w:r>
      <w:r>
        <w:rPr>
          <w:rStyle w:val="Elision"/>
        </w:rPr>
        <w:t xml:space="preserve">[ … ]</w:t>
      </w:r>
      <w:r>
        <w:t xml:space="preserve"> </w:t>
      </w:r>
      <w:r>
        <w:t xml:space="preserve">under the control of the court by attachment or</w:t>
      </w:r>
      <w:r>
        <w:t xml:space="preserve"> </w:t>
      </w:r>
      <w:r>
        <w:rPr>
          <w:rStyle w:val="Elision"/>
        </w:rPr>
        <w:t xml:space="preserve">[ … ]</w:t>
      </w:r>
      <w:r>
        <w:t xml:space="preserve">some</w:t>
      </w:r>
      <w:r>
        <w:rPr>
          <w:rStyle w:val="Elision"/>
        </w:rPr>
        <w:t xml:space="preserve">[ … ]</w:t>
      </w:r>
      <w:r>
        <w:t xml:space="preserve">other equivalent act,</w:t>
      </w:r>
      <w:r>
        <w:t xml:space="preserve"> </w:t>
      </w:r>
      <w:r>
        <w:rPr>
          <w:rStyle w:val="ReplacementText"/>
        </w:rPr>
        <w:t xml:space="preserve">and</w:t>
      </w:r>
      <w:r>
        <w:t xml:space="preserve"> </w:t>
      </w:r>
      <w:r>
        <w:t xml:space="preserve">afterwards applied by its judgment to, the</w:t>
      </w:r>
      <w:r>
        <w:rPr>
          <w:rStyle w:val="Elision"/>
        </w:rPr>
        <w:t xml:space="preserve">[ … ]</w:t>
      </w:r>
      <w:r>
        <w:t xml:space="preserve">satisfaction of demands against its owner; or such</w:t>
      </w:r>
      <w:r>
        <w:t xml:space="preserve"> </w:t>
      </w:r>
      <w:r>
        <w:rPr>
          <w:rStyle w:val="ReplacementText"/>
        </w:rPr>
        <w:t xml:space="preserve">demands</w:t>
      </w:r>
      <w:r>
        <w:t xml:space="preserve"> </w:t>
      </w:r>
      <w:r>
        <w:t xml:space="preserve">be first established in a personal action, and the property of the non-resident be afterwards seized and sold on execution. But the answer to this position has already been given in the statement, that the jurisdiction of the court to inquire into and determiné his obligations at all is only incidental to its jurisdiction over the property. Its jurisdiction</w:t>
      </w:r>
      <w:r>
        <w:rPr>
          <w:rStyle w:val="Elision"/>
        </w:rPr>
        <w:t xml:space="preserve">[ … ]</w:t>
      </w:r>
      <w:r>
        <w:t xml:space="preserve">in that respect cannot be made to depend upon facts to be ascertained after it has tried the cause and rendered the judgment. If the judgment be previously void, it will not become valid by the subsequent discovery of property of the defendant, or by his subsequent acquisition of it. The judgment, if void</w:t>
      </w:r>
      <w:r>
        <w:rPr>
          <w:rStyle w:val="Elision"/>
        </w:rPr>
        <w:t xml:space="preserve">[ … ]</w:t>
      </w:r>
      <w:r>
        <w:t xml:space="preserve">when rendered, will always remain void:</w:t>
      </w:r>
      <w:r>
        <w:rPr>
          <w:rStyle w:val="Elision"/>
        </w:rPr>
        <w:t xml:space="preserve">[ … ]</w:t>
      </w:r>
      <w:r>
        <w:t xml:space="preserve"> </w:t>
      </w:r>
      <w:r>
        <w:t xml:space="preserve">it cannot occupy the doubtful position of being valid if property be found, and void if there be</w:t>
      </w:r>
      <w:r>
        <w:t xml:space="preserve"> </w:t>
      </w:r>
      <w:r>
        <w:rPr>
          <w:rStyle w:val="Elision"/>
        </w:rPr>
        <w:t xml:space="preserve">[ … ]</w:t>
      </w:r>
      <w:r>
        <w:t xml:space="preserve">none. Even if the position assumed were confined to cases where the non-resident defendant possessed property in the State at the commencement of the action, it would still make the validity of the proceedings and judgment depend upon the question whether, before the levy of the execution, the defendant had or had not disposed of the property. If before the levy the property should be sold, then, according to this position, the judgment would not be binding. This doctrine would introduce a new element of uncertainty in judicial proceedings. The contrary is the law: the validity of every judgment depends upon the jurisdiction of the court before it is rendered</w:t>
      </w:r>
      <w:r>
        <w:rPr>
          <w:rStyle w:val="Elision"/>
        </w:rPr>
        <w:t xml:space="preserve">[ … ]</w:t>
      </w:r>
      <w:r>
        <w:t xml:space="preserve"> </w:t>
      </w:r>
      <w:r>
        <w:t xml:space="preserve">not upon what may occur subsequently.</w:t>
      </w:r>
      <w:r>
        <w:t xml:space="preserve"> </w:t>
      </w:r>
      <w:r>
        <w:rPr>
          <w:rStyle w:val="Elision"/>
        </w:rPr>
        <w:t xml:space="preserve">[ … ]</w:t>
      </w:r>
    </w:p>
    <w:p>
      <w:pPr>
        <w:pStyle w:val="CaseBody"/>
      </w:pPr>
      <w:r>
        <w:t xml:space="preserve">The force and effect of judgments rendered against non-residents without personal service of process upon them, or their voluntary appearance, have been the subject of frequent consideration in the courts of the United States and of the several States, as attempts have bees made tó enforce such</w:t>
      </w:r>
      <w:r>
        <w:rPr>
          <w:rStyle w:val="Elision"/>
        </w:rPr>
        <w:t xml:space="preserve">[ … ]</w:t>
      </w:r>
      <w:r>
        <w:t xml:space="preserve"> </w:t>
      </w:r>
      <w:r>
        <w:t xml:space="preserve">judgments in States other than those</w:t>
      </w:r>
      <w:r>
        <w:t xml:space="preserve"> </w:t>
      </w:r>
      <w:r>
        <w:rPr>
          <w:rStyle w:val="ReplacementText"/>
        </w:rPr>
        <w:t xml:space="preserve">from</w:t>
      </w:r>
      <w:r>
        <w:t xml:space="preserve"> </w:t>
      </w:r>
      <w:r>
        <w:t xml:space="preserve">which they were rendered, under the provision of the Constitution'requiring that “full faith and credit shall be given in each State to the public acts, records, and judicial proceedings of every other State ; ” and the act of Congress providing for</w:t>
      </w:r>
      <w:r>
        <w:rPr>
          <w:rStyle w:val="Elision"/>
        </w:rPr>
        <w:t xml:space="preserve">[ … ]</w:t>
      </w:r>
      <w:r>
        <w:t xml:space="preserve"> </w:t>
      </w:r>
      <w:r>
        <w:t xml:space="preserve">the mode of authenticating such acts, records, and proceedings, and declaring that, when thus authenticated, “ they shall have such faith and credit given to them in every court within the United States as they have by law or usage in the courts of the State from which they are or shall be taken.” In the earlier cases, it was supposed that the act gave to all judgments the same effect in other States which they had by law in the State where rendered. But this view was</w:t>
      </w:r>
      <w:r>
        <w:t xml:space="preserve"> </w:t>
      </w:r>
      <w:r>
        <w:rPr>
          <w:rStyle w:val="ReplacementText"/>
        </w:rPr>
        <w:t xml:space="preserve">afterwards</w:t>
      </w:r>
      <w:r>
        <w:t xml:space="preserve"> </w:t>
      </w:r>
      <w:r>
        <w:t xml:space="preserve">qualified so as to make the act applicable only when the court rendering the judgment</w:t>
      </w:r>
      <w:r>
        <w:t xml:space="preserve"> </w:t>
      </w:r>
      <w:r>
        <w:rPr>
          <w:rStyle w:val="ReplacementText"/>
        </w:rPr>
        <w:t xml:space="preserve">had</w:t>
      </w:r>
      <w:r>
        <w:t xml:space="preserve"> </w:t>
      </w:r>
      <w:r>
        <w:t xml:space="preserve">jurisdiction of the parties and of the subject-matter, and not to preclude an inquiry into the jurisdiction of the court in which the judgment was rendered, or the fight of the State itself to exercise authority over the person or the subject-matter.</w:t>
      </w:r>
      <w:r>
        <w:t xml:space="preserve"> </w:t>
      </w:r>
      <w:r>
        <w:rPr>
          <w:rStyle w:val="ReplacementText"/>
          <w:iCs/>
          <w:i/>
        </w:rPr>
        <w:t xml:space="preserve">[The Court examined other cases regarding property and jurisdictional boundaries.]</w:t>
      </w:r>
    </w:p>
    <w:p>
      <w:pPr>
        <w:pStyle w:val="CaseBody"/>
      </w:pPr>
      <w:r>
        <w:rPr>
          <w:rStyle w:val="Elision"/>
        </w:rPr>
        <w:t xml:space="preserve">[ … ]</w:t>
      </w:r>
    </w:p>
    <w:p>
      <w:pPr>
        <w:pStyle w:val="CaseBody"/>
      </w:pPr>
      <w:r>
        <w:t xml:space="preserve">Except in cases affecting the personal</w:t>
      </w:r>
      <w:r>
        <w:t xml:space="preserve"> </w:t>
      </w:r>
      <w:r>
        <w:rPr>
          <w:iCs/>
          <w:i/>
        </w:rPr>
        <w:t xml:space="preserve">status</w:t>
      </w:r>
      <w:r>
        <w:t xml:space="preserve"> </w:t>
      </w:r>
      <w:r>
        <w:t xml:space="preserve">of the plaintiff, and cases in which that mode of service may be considered to</w:t>
      </w:r>
      <w:r>
        <w:t xml:space="preserve"> </w:t>
      </w:r>
      <w:r>
        <w:rPr>
          <w:rStyle w:val="Elision"/>
        </w:rPr>
        <w:t xml:space="preserve">[ … ]</w:t>
      </w:r>
      <w:r>
        <w:t xml:space="preserve">have been</w:t>
      </w:r>
      <w:r>
        <w:rPr>
          <w:rStyle w:val="Elision"/>
        </w:rPr>
        <w:t xml:space="preserve">[ … ]</w:t>
      </w:r>
      <w:r>
        <w:t xml:space="preserve"> </w:t>
      </w:r>
      <w:r>
        <w:t xml:space="preserve">assented to in advance, as hereinafter mentioned, tbe substituted service of process by publication, allowed by the law of Oregon and by similar laws in other States, where actions</w:t>
      </w:r>
      <w:r>
        <w:t xml:space="preserve"> </w:t>
      </w:r>
      <w:r>
        <w:rPr>
          <w:rStyle w:val="ReplacementText"/>
        </w:rPr>
        <w:t xml:space="preserve">are</w:t>
      </w:r>
      <w:r>
        <w:t xml:space="preserve">brought against non-residents, is effectual only where, in connection with process ¡against the person for commencing the action, property in the State is brought under the control of tbe court, and subjected to its disposition by process adapted to that purpose, or where the judgment is sought, as a means of reaching such property or affecting some interest therein; in other words, where the action is in the nature of a proceeding</w:t>
      </w:r>
      <w:r>
        <w:t xml:space="preserve"> </w:t>
      </w:r>
      <w:r>
        <w:rPr>
          <w:iCs/>
          <w:i/>
        </w:rPr>
        <w:t xml:space="preserve">in rem.</w:t>
      </w:r>
      <w:r>
        <w:t xml:space="preserve"> </w:t>
      </w:r>
      <w:r>
        <w:t xml:space="preserve">As stated by Cooley in his Treatise on Constitutional Limitations,</w:t>
      </w:r>
      <w:r>
        <w:t xml:space="preserve"> </w:t>
      </w:r>
      <w:r>
        <w:rPr>
          <w:rStyle w:val="Elision"/>
        </w:rPr>
        <w:t xml:space="preserve">[ … ]</w:t>
      </w:r>
      <w:r>
        <w:t xml:space="preserve"> </w:t>
      </w:r>
      <w:r>
        <w:t xml:space="preserve">for any other purpose than'to subject the property of a non-resident to valid claims, against him in the State,</w:t>
      </w:r>
      <w:r>
        <w:t xml:space="preserve"> </w:t>
      </w:r>
      <w:r>
        <w:rPr>
          <w:iCs/>
          <w:i/>
        </w:rPr>
        <w:t xml:space="preserve">“</w:t>
      </w:r>
      <w:r>
        <w:t xml:space="preserve"> </w:t>
      </w:r>
      <w:r>
        <w:t xml:space="preserve">due process of law</w:t>
      </w:r>
      <w:r>
        <w:rPr>
          <w:rStyle w:val="FootnoteReference"/>
        </w:rPr>
        <w:footnoteReference w:customMarkFollows="1" w:id="121"/>
        <w:t xml:space="preserve">****</w:t>
      </w:r>
      <w:r>
        <w:t xml:space="preserve"> </w:t>
      </w:r>
      <w:r>
        <w:t xml:space="preserve">would require appearance or personal service before the defendant could be personally bound by any judgment rendered.”</w:t>
      </w:r>
    </w:p>
    <w:p>
      <w:pPr>
        <w:pStyle w:val="CaseBody"/>
      </w:pPr>
      <w:r>
        <w:t xml:space="preserve">It is true that, in a strict sense, a proceeding</w:t>
      </w:r>
      <w:r>
        <w:t xml:space="preserve"> </w:t>
      </w:r>
      <w:r>
        <w:rPr>
          <w:iCs/>
          <w:i/>
        </w:rPr>
        <w:t xml:space="preserve">in rem</w:t>
      </w:r>
      <w:r>
        <w:t xml:space="preserve"> </w:t>
      </w:r>
      <w:r>
        <w:t xml:space="preserve">is one taken directly against property, and has for its object the disposition of the property, without reference to the title of individual claimants; but, in</w:t>
      </w:r>
      <w:r>
        <w:rPr>
          <w:rStyle w:val="Elision"/>
        </w:rPr>
        <w:t xml:space="preserve">[ … ]</w:t>
      </w:r>
      <w:r>
        <w:t xml:space="preserve"> </w:t>
      </w:r>
      <w:r>
        <w:t xml:space="preserve">a larger and more general sense, the terms are applied to actions between parties, where the direct object is to reach and dispose of property owned by them, or</w:t>
      </w:r>
      <w:r>
        <w:rPr>
          <w:rStyle w:val="Elision"/>
        </w:rPr>
        <w:t xml:space="preserve">[ … ]</w:t>
      </w:r>
      <w:r>
        <w:t xml:space="preserve">of some interest therein. Such are cases commenced by attachment against the property of debtors,’ or instituted to partition real estate, foreclose a mortgage, or enforce a lien. So far as they affect property in the State, they are substantially proceedings</w:t>
      </w:r>
      <w:r>
        <w:t xml:space="preserve"> </w:t>
      </w:r>
      <w:r>
        <w:rPr>
          <w:iCs/>
          <w:i/>
        </w:rPr>
        <w:t xml:space="preserve">in rem</w:t>
      </w:r>
      <w:r>
        <w:t xml:space="preserve"> </w:t>
      </w:r>
      <w:r>
        <w:t xml:space="preserve">in the broader sense which we have mentioned.</w:t>
      </w:r>
    </w:p>
    <w:p>
      <w:pPr>
        <w:pStyle w:val="CaseBody"/>
      </w:pPr>
      <w:r>
        <w:rPr>
          <w:rStyle w:val="Elision"/>
        </w:rPr>
        <w:t xml:space="preserve">[ … ]</w:t>
      </w:r>
      <w:r>
        <w:rPr>
          <w:rStyle w:val="Elision"/>
        </w:rPr>
        <w:t xml:space="preserve">[ … ]</w:t>
      </w:r>
    </w:p>
    <w:p>
      <w:pPr>
        <w:pStyle w:val="CaseBody"/>
      </w:pPr>
      <w:r>
        <w:t xml:space="preserve">It follows from the views expressed that the personal .judgment recovered in the State court of Oregon against the plaintiff herein, then</w:t>
      </w:r>
      <w:r>
        <w:rPr>
          <w:rStyle w:val="Elision"/>
        </w:rPr>
        <w:t xml:space="preserve">[ … ]</w:t>
      </w:r>
      <w:r>
        <w:t xml:space="preserve"> </w:t>
      </w:r>
      <w:r>
        <w:t xml:space="preserve">a non-resident of the State, was without any validity,</w:t>
      </w:r>
      <w:r>
        <w:rPr>
          <w:rStyle w:val="Elision"/>
        </w:rPr>
        <w:t xml:space="preserve">[ … ]</w:t>
      </w:r>
      <w:r>
        <w:t xml:space="preserve"> </w:t>
      </w:r>
      <w:r>
        <w:t xml:space="preserve">and did not authorize a sale of the property in controversy.</w:t>
      </w:r>
      <w:r>
        <w:t xml:space="preserve"> </w:t>
      </w:r>
      <w:r>
        <w:rPr>
          <w:rStyle w:val="Elision"/>
        </w:rPr>
        <w:t xml:space="preserve">[ … ]</w:t>
      </w:r>
    </w:p>
    <w:p>
      <w:pPr>
        <w:pStyle w:val="CaseBody"/>
      </w:pPr>
      <w:r>
        <w:t xml:space="preserve">To prevent any misapplication of the views expressed in this</w:t>
      </w:r>
      <w:r>
        <w:rPr>
          <w:rStyle w:val="Elision"/>
        </w:rPr>
        <w:t xml:space="preserve">[ … ]</w:t>
      </w:r>
      <w:r>
        <w:t xml:space="preserve">opinion, it is proper to observe that we do not</w:t>
      </w:r>
      <w:r>
        <w:rPr>
          <w:rStyle w:val="Elision"/>
        </w:rPr>
        <w:t xml:space="preserve">[ … ]</w:t>
      </w:r>
      <w:r>
        <w:t xml:space="preserve"> </w:t>
      </w:r>
      <w:r>
        <w:t xml:space="preserve">mean to assert, by any thing we have said, that a</w:t>
      </w:r>
      <w:r>
        <w:t xml:space="preserve"> </w:t>
      </w:r>
      <w:r>
        <w:rPr>
          <w:rStyle w:val="Elision"/>
        </w:rPr>
        <w:t xml:space="preserve">[ … ]</w:t>
      </w:r>
      <w:r>
        <w:t xml:space="preserve">State mqy not authorize proceedings to determine the</w:t>
      </w:r>
      <w:r>
        <w:t xml:space="preserve"> </w:t>
      </w:r>
      <w:r>
        <w:rPr>
          <w:iCs/>
          <w:i/>
        </w:rPr>
        <w:t xml:space="preserve">status</w:t>
      </w:r>
      <w:r>
        <w:t xml:space="preserve"> </w:t>
      </w:r>
      <w:r>
        <w:t xml:space="preserve">of one of its citizens towards a non-resident, which would be binding within the State, though made without service of process or personal notice to the</w:t>
      </w:r>
      <w:r>
        <w:rPr>
          <w:rStyle w:val="ReplacementText"/>
        </w:rPr>
        <w:t xml:space="preserve">non-</w:t>
      </w:r>
      <w:r>
        <w:t xml:space="preserve">resident.</w:t>
      </w:r>
      <w:r>
        <w:rPr>
          <w:rStyle w:val="Elision"/>
        </w:rPr>
        <w:t xml:space="preserve">[ … ]</w:t>
      </w:r>
      <w:r>
        <w:t xml:space="preserve">The jurisdiction which every State possesses to determine</w:t>
      </w:r>
      <w:r>
        <w:rPr>
          <w:rStyle w:val="Elision"/>
        </w:rPr>
        <w:t xml:space="preserve">[ … ]</w:t>
      </w:r>
      <w:r>
        <w:t xml:space="preserve"> </w:t>
      </w:r>
      <w:r>
        <w:t xml:space="preserve">the civil</w:t>
      </w:r>
      <w:r>
        <w:t xml:space="preserve"> </w:t>
      </w:r>
      <w:r>
        <w:rPr>
          <w:iCs/>
          <w:i/>
        </w:rPr>
        <w:t xml:space="preserve">status</w:t>
      </w:r>
      <w:r>
        <w:t xml:space="preserve"> </w:t>
      </w:r>
      <w:r>
        <w:t xml:space="preserve">and capacities of all its inhabitants involved authority to prescribe the conditions on which proceedings affecting them may be commenced and</w:t>
      </w:r>
      <w:r>
        <w:t xml:space="preserve"> </w:t>
      </w:r>
      <w:r>
        <w:rPr>
          <w:rStyle w:val="Elision"/>
        </w:rPr>
        <w:t xml:space="preserve">[ … ]</w:t>
      </w:r>
      <w:r>
        <w:t xml:space="preserve">carried on Within its territory. The State, for example, has absolute right to prescribe the condition's upon which the marriage relation between its own citizens shall be created, and</w:t>
      </w:r>
      <w:r>
        <w:rPr>
          <w:rStyle w:val="Elision"/>
        </w:rPr>
        <w:t xml:space="preserve">[ … ]</w:t>
      </w:r>
      <w:r>
        <w:t xml:space="preserve"> </w:t>
      </w:r>
      <w:r>
        <w:t xml:space="preserve">the causes for which it may be dissolved. One of the parties guilty of acts for which, by the law of the State, a dissolution may be granted, may have removed to a State where no dissolution is permitted. The complaining party would, therefore, fail if a divorce were sought in the State of the defendant; and if application could not be made "to the tribunals of the complainant’s domicile in such case,</w:t>
      </w:r>
      <w:r>
        <w:t xml:space="preserve"> </w:t>
      </w:r>
      <w:r>
        <w:rPr>
          <w:rStyle w:val="Elision"/>
        </w:rPr>
        <w:t xml:space="preserve">[ … ]</w:t>
      </w:r>
      <w:r>
        <w:t xml:space="preserve">and proceedings be there instituted without personal service of process or personal notice to the offending party, the injured citizen would be without redress.</w:t>
      </w:r>
      <w:r>
        <w:rPr>
          <w:rStyle w:val="Elision"/>
        </w:rPr>
        <w:t xml:space="preserve">[ … ]</w:t>
      </w:r>
    </w:p>
    <w:p>
      <w:pPr>
        <w:pStyle w:val="CaseBody"/>
      </w:pPr>
      <w:r>
        <w:t xml:space="preserve">Neither do we mean to assert that a State may not require a non-resident entering into a partnership or association, within its limits, or making contracts enforceable there, to</w:t>
      </w:r>
      <w:r>
        <w:rPr>
          <w:rStyle w:val="Elision"/>
        </w:rPr>
        <w:t xml:space="preserve">[ … ]</w:t>
      </w:r>
      <w:r>
        <w:t xml:space="preserve"> </w:t>
      </w:r>
      <w:r>
        <w:t xml:space="preserve">appoint an agent or representative in the State to receive service of process and notice in legal proceedings instituted with respect to such partnership, association, or contracts, or to designate a place where such service may- be made and notice given, and provide, upon their failure, to make such appointment or to designate such place that service may be made upon a public officer designated for that purpose, or in some other prescribed way, and that judgments rendered upon such service may not be binding upon the non-residents both within and without the State. As was said by the</w:t>
      </w:r>
      <w:r>
        <w:t xml:space="preserve"> </w:t>
      </w:r>
      <w:r>
        <w:t xml:space="preserve">Court of Exchequer in</w:t>
      </w:r>
      <w:r>
        <w:t xml:space="preserve"> </w:t>
      </w:r>
      <w:r>
        <w:rPr>
          <w:iCs/>
          <w:i/>
        </w:rPr>
        <w:t xml:space="preserve">Vallee</w:t>
      </w:r>
      <w:r>
        <w:rPr>
          <w:iCs/>
          <w:i/>
        </w:rPr>
        <w:t xml:space="preserve"> </w:t>
      </w:r>
      <w:r>
        <w:t xml:space="preserve">v.</w:t>
      </w:r>
      <w:r>
        <w:t xml:space="preserve"> </w:t>
      </w:r>
      <w:r>
        <w:rPr>
          <w:iCs/>
          <w:i/>
        </w:rPr>
        <w:t xml:space="preserve">Dumergue,</w:t>
      </w:r>
      <w:r>
        <w:rPr>
          <w:iCs/>
          <w:i/>
        </w:rPr>
        <w:t xml:space="preserve"> </w:t>
      </w:r>
      <w:r>
        <w:t xml:space="preserve">4 Exch. 290,</w:t>
      </w:r>
      <w:r>
        <w:t xml:space="preserve"> </w:t>
      </w:r>
      <w:r>
        <w:rPr>
          <w:rStyle w:val="FootnoteReference"/>
        </w:rPr>
        <w:footnoteReference w:customMarkFollows="1" w:id="133"/>
        <w:t xml:space="preserve">*****</w:t>
      </w:r>
      <w:r>
        <w:t xml:space="preserve">“ It is not</w:t>
      </w:r>
      <w:r>
        <w:t xml:space="preserve"> </w:t>
      </w:r>
      <w:r>
        <w:rPr>
          <w:rStyle w:val="Elision"/>
        </w:rPr>
        <w:t xml:space="preserve">[ … ]</w:t>
      </w:r>
      <w:r>
        <w:t xml:space="preserve">contrary to natural justice that a man who has agreed to receive</w:t>
      </w:r>
      <w:r>
        <w:rPr>
          <w:rStyle w:val="Elision"/>
        </w:rPr>
        <w:t xml:space="preserve">[ … ]</w:t>
      </w:r>
      <w:r>
        <w:t xml:space="preserve">a particular mode of notification of legal proceedings should be bound by a judgment in which that particular mode of notification has been followed, even though he may not have actual notice of them.”</w:t>
      </w:r>
      <w:r>
        <w:t xml:space="preserve"> </w:t>
      </w:r>
      <w:r>
        <w:rPr>
          <w:rStyle w:val="Elision"/>
        </w:rPr>
        <w:t xml:space="preserve">[ … ]</w:t>
      </w:r>
      <w:r>
        <w:t xml:space="preserve">Nor do we doubt that a State,</w:t>
      </w:r>
      <w:r>
        <w:t xml:space="preserve"> </w:t>
      </w:r>
      <w:r>
        <w:rPr>
          <w:rStyle w:val="ReplacementText"/>
        </w:rPr>
        <w:t xml:space="preserve">when</w:t>
      </w:r>
      <w:r>
        <w:t xml:space="preserve">creating corporations or other institutions for pecuniary or charitable purposes, may provide a mode in. which their conduct may be investigated, their obligations enforced, or their charters revoked, which shall require other than personal service upon their officers or members. Parties becoming members</w:t>
      </w:r>
      <w:r>
        <w:rPr>
          <w:rStyle w:val="Elision"/>
        </w:rPr>
        <w:t xml:space="preserve">[ … ]</w:t>
      </w:r>
      <w:r>
        <w:t xml:space="preserve"> </w:t>
      </w:r>
      <w:r>
        <w:t xml:space="preserve">of</w:t>
      </w:r>
      <w:r>
        <w:t xml:space="preserve"> </w:t>
      </w:r>
      <w:r>
        <w:rPr>
          <w:rStyle w:val="Elision"/>
        </w:rPr>
        <w:t xml:space="preserve">[ … ]</w:t>
      </w:r>
      <w:r>
        <w:t xml:space="preserve">such corporations or Institutions would hold their interest subject to the conditions prescribed by law.</w:t>
      </w:r>
      <w:r>
        <w:t xml:space="preserve"> </w:t>
      </w:r>
      <w:r>
        <w:rPr>
          <w:rStyle w:val="Elision"/>
        </w:rPr>
        <w:t xml:space="preserve">[ … ]</w:t>
      </w:r>
    </w:p>
    <w:p>
      <w:pPr>
        <w:pStyle w:val="CaseBody"/>
      </w:pPr>
      <w:r>
        <w:t xml:space="preserve">In the present case, there is no feature of this kind, and, consequently, no consideration of what would be the effect of such legislation in enforcing the contract of a non-resident can arise. The question here respects only the validity of a money judgment rendered in one State, in an action upon a simple contract against the resident of another, without service of process upon him, or his appearance therein.</w:t>
      </w:r>
    </w:p>
    <w:p>
      <w:pPr>
        <w:pStyle w:val="CaseBody"/>
      </w:pPr>
      <w:r>
        <w:rPr>
          <w:iCs/>
          <w:i/>
        </w:rPr>
        <w:t xml:space="preserve">Judgment affirmed.</w:t>
      </w:r>
    </w:p>
    <w:p>
      <w:pPr>
        <w:pStyle w:val="CaseBody"/>
      </w:pPr>
      <w:r>
        <w:rPr>
          <w:rStyle w:val="ReplacementText"/>
        </w:rPr>
        <w:t xml:space="preserve">[A dissenting opinion by Justice Hunt is omitted.]</w:t>
      </w:r>
    </w:p>
    <w:p>
      <w:pPr>
        <w:pStyle w:val="NodeEnd"/>
      </w:pPr>
      <w:r>
        <w:t xml:space="preserve"> </w:t>
      </w:r>
    </w:p>
    <w:p>
      <w:pPr>
        <w:pStyle w:val="NodeStart"/>
      </w:pPr>
      <w:r>
        <w:t xml:space="preserve"> </w:t>
      </w:r>
    </w:p>
    <w:p>
      <w:pPr>
        <w:pStyle w:val="HeadSeparator"/>
      </w:pPr>
      <w:r>
        <w:t xml:space="preserve"> </w:t>
      </w:r>
    </w:p>
    <w:bookmarkStart w:id="58" w:name="_auto_toc_58"/>
    <w:bookmarkEnd w:id="58"/>
    <w:p>
      <w:pPr>
        <w:pStyle w:val="ResourceNumber"/>
      </w:pPr>
      <w:r>
        <w:t xml:space="preserve">5.15</w:t>
      </w:r>
    </w:p>
    <w:p>
      <w:pPr>
        <w:pStyle w:val="ResourceTitle"/>
      </w:pPr>
      <w:r>
        <w:t xml:space="preserve">Pennoyer's Post-Credits Scene</w:t>
      </w:r>
    </w:p>
    <w:p>
      <w:pPr>
        <w:pStyle w:val="HeadFieldSeparator"/>
      </w:pPr>
      <w:r>
        <w:t xml:space="preserve"> </w:t>
      </w:r>
    </w:p>
    <w:p>
      <w:pPr>
        <w:pStyle w:val="ResourceHeadnote"/>
      </w:pPr>
      <w:r>
        <w:t xml:space="preserve">Once again, see</w:t>
      </w:r>
      <w:r>
        <w:t xml:space="preserve"> </w:t>
      </w:r>
      <w:r>
        <w:t xml:space="preserve">Wendy C. Perdue,</w:t>
      </w:r>
      <w:r>
        <w:t xml:space="preserve"> </w:t>
      </w:r>
      <w:r>
        <w:rPr>
          <w:iCs/>
          <w:i/>
        </w:rPr>
        <w:t xml:space="preserve">Sin, Scandal, and Substantive Due Process: Personal Jurisdiction and Pennoyer Reconsidered</w:t>
      </w:r>
      <w:r>
        <w:t xml:space="preserve">, 62 W</w:t>
      </w:r>
      <w:r>
        <w:rPr>
          <w:smallCaps/>
        </w:rPr>
        <w:t xml:space="preserve">ash.</w:t>
      </w:r>
      <w:r>
        <w:t xml:space="preserve"> </w:t>
      </w:r>
      <w:r>
        <w:t xml:space="preserve">L. R</w:t>
      </w:r>
      <w:r>
        <w:rPr>
          <w:smallCaps/>
        </w:rPr>
        <w:t xml:space="preserve">ev.</w:t>
      </w:r>
      <w:r>
        <w:t xml:space="preserve"> </w:t>
      </w:r>
      <w:r>
        <w:t xml:space="preserve">479 (1987), found</w:t>
      </w:r>
      <w:r>
        <w:t xml:space="preserve"> </w:t>
      </w:r>
      <w:hyperlink r:id="rId51">
        <w:r>
          <w:rPr>
            <w:rStyle w:val="Hyperlink"/>
          </w:rPr>
          <w:t xml:space="preserve">here</w:t>
        </w:r>
      </w:hyperlink>
      <w:r>
        <w:t xml:space="preserve">.</w:t>
      </w:r>
    </w:p>
    <w:p>
      <w:pPr>
        <w:pStyle w:val="HeadEnd"/>
      </w:pPr>
      <w:r>
        <w:t xml:space="preserve"> </w:t>
      </w:r>
    </w:p>
    <w:p>
      <w:pPr>
        <w:pStyle w:val="BodyText"/>
      </w:pPr>
      <w:r>
        <w:t xml:space="preserve">After the litigation, Neff disappeared, Pennoyer later became the Governor of Oregon, and Mitchell was elected to the U.S. Senate in 1872, though he only served one term. Just prior to another election in 1885, the lower court judge in</w:t>
      </w:r>
      <w:r>
        <w:t xml:space="preserve"> </w:t>
      </w:r>
      <w:r>
        <w:rPr>
          <w:iCs/>
          <w:i/>
        </w:rPr>
        <w:t xml:space="preserve">Pennoyer v. Neff</w:t>
      </w:r>
      <w:r>
        <w:t xml:space="preserve"> </w:t>
      </w:r>
      <w:r>
        <w:t xml:space="preserve">discovered a set of love letters written by Mitchell. The letters were addressed to the younger sister of his second wife, with whom he had had a five-year affair. Though the judge turned the letters over to a newspaper, Mitchell was re-elected to the Senate four days later. He served until 1905, when he was convicted of land fraud, sentenced to jail time and a fine, and was disbarred from holding public office.</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59" w:name="_auto_toc_59"/>
    <w:bookmarkEnd w:id="59"/>
    <w:p>
      <w:pPr>
        <w:pStyle w:val="ChapterNumber"/>
      </w:pPr>
      <w:r>
        <w:t xml:space="preserve">6</w:t>
      </w:r>
    </w:p>
    <w:p>
      <w:pPr>
        <w:pStyle w:val="ChapterTitle"/>
      </w:pPr>
      <w:r>
        <w:t xml:space="preserve">Day 6</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60" w:name="_auto_toc_60"/>
    <w:bookmarkEnd w:id="60"/>
    <w:p>
      <w:pPr>
        <w:pStyle w:val="ResourceNumber"/>
      </w:pPr>
      <w:r>
        <w:t xml:space="preserve">6.1</w:t>
      </w:r>
    </w:p>
    <w:p>
      <w:pPr>
        <w:pStyle w:val="ResourceTitle"/>
      </w:pPr>
      <w:r>
        <w:t xml:space="preserve">Rules and Constitutional Provisions</w:t>
      </w:r>
    </w:p>
    <w:p>
      <w:pPr>
        <w:pStyle w:val="HeadFieldSeparator"/>
      </w:pPr>
      <w:r>
        <w:t xml:space="preserve"> </w:t>
      </w:r>
    </w:p>
    <w:p>
      <w:pPr>
        <w:pStyle w:val="ResourceHeadnote"/>
      </w:pPr>
      <w:r>
        <w:t xml:space="preserve">Read the following Federal Rules of Civil Procedure and constitutional provisions. You can access them via the internet or the supplemental handout provided on Canvas.</w:t>
      </w:r>
    </w:p>
    <w:p>
      <w:pPr>
        <w:pStyle w:val="HeadEnd"/>
      </w:pPr>
      <w:r>
        <w:t xml:space="preserve"> </w:t>
      </w:r>
    </w:p>
    <w:p>
      <w:pPr>
        <w:numPr>
          <w:ilvl w:val="0"/>
          <w:numId w:val="1087"/>
        </w:numPr>
      </w:pPr>
      <w:r>
        <w:t xml:space="preserve">U.S. Const. art. IV § 1</w:t>
      </w:r>
    </w:p>
    <w:p>
      <w:pPr>
        <w:numPr>
          <w:ilvl w:val="0"/>
          <w:numId w:val="1087"/>
        </w:numPr>
      </w:pPr>
      <w:r>
        <w:t xml:space="preserve">U.S. Const. amend. XIV</w:t>
      </w:r>
    </w:p>
    <w:p>
      <w:pPr>
        <w:numPr>
          <w:ilvl w:val="0"/>
          <w:numId w:val="1087"/>
        </w:numPr>
      </w:pPr>
      <w:r>
        <w:t xml:space="preserve">Fed. R. Civ. P. 4, particularly 4(k)(1)(A)</w:t>
      </w:r>
    </w:p>
    <w:p>
      <w:pPr>
        <w:pStyle w:val="NodeEnd"/>
      </w:pPr>
      <w:r>
        <w:t xml:space="preserve"> </w:t>
      </w:r>
    </w:p>
    <w:p>
      <w:pPr>
        <w:pStyle w:val="NodeStart"/>
      </w:pPr>
      <w:r>
        <w:t xml:space="preserve"> </w:t>
      </w:r>
    </w:p>
    <w:p>
      <w:pPr>
        <w:pStyle w:val="HeadSeparator"/>
      </w:pPr>
      <w:r>
        <w:t xml:space="preserve"> </w:t>
      </w:r>
    </w:p>
    <w:bookmarkStart w:id="61" w:name="_auto_toc_61"/>
    <w:bookmarkEnd w:id="61"/>
    <w:p>
      <w:pPr>
        <w:pStyle w:val="ResourceNumber"/>
      </w:pPr>
      <w:r>
        <w:t xml:space="preserve">6.2</w:t>
      </w:r>
    </w:p>
    <w:p>
      <w:pPr>
        <w:pStyle w:val="ResourceTitle"/>
      </w:pPr>
      <w:r>
        <w:t xml:space="preserve">Kane v. New Jersey</w:t>
      </w:r>
    </w:p>
    <w:p>
      <w:pPr>
        <w:pStyle w:val="HeadFieldSeparator"/>
      </w:pPr>
      <w:r>
        <w:t xml:space="preserve"> </w:t>
      </w:r>
    </w:p>
    <w:p>
      <w:pPr>
        <w:pStyle w:val="ResourceHeadnote"/>
      </w:pPr>
      <w:r>
        <w:t xml:space="preserve">While physically “tagging” someone in the forum state seemed to be a fairly straightforward way to determine personal jurisdiction (per the rule in</w:t>
      </w:r>
      <w:r>
        <w:t xml:space="preserve"> </w:t>
      </w:r>
      <w:r>
        <w:rPr>
          <w:iCs/>
          <w:i/>
        </w:rPr>
        <w:t xml:space="preserve">Pennoyer</w:t>
      </w:r>
      <w:r>
        <w:t xml:space="preserve">), the situation became more complex when applied to corporations – which could not be physically “tagged” due to their incorporeal nature. Additionally, as more people gained access to convenient means of transportation and interstate travel, particularly the automobile, there was more litigation between parties from different states, and there were more issues in exercising personal jurisdiction. For example, could a court in State A exercise personal jurisdiction over a defendant from State B who allegedly caused a car accident in State A before retreating to State B prior to being “tagged”?</w:t>
      </w:r>
    </w:p>
    <w:p>
      <w:pPr>
        <w:pStyle w:val="ResourceHeadnote"/>
      </w:pPr>
      <w:r>
        <w:t xml:space="preserve">The Supreme Court encountered this issue in</w:t>
      </w:r>
      <w:r>
        <w:t xml:space="preserve"> </w:t>
      </w:r>
      <w:r>
        <w:rPr>
          <w:iCs/>
          <w:i/>
        </w:rPr>
        <w:t xml:space="preserve">Kane v. New Jersey</w:t>
      </w:r>
      <w:r>
        <w:t xml:space="preserve">, 242 U.S. 160, 37 S. Ct. 30. New Jersey, like several other states at the time, had established visitor laws requiring nonresident drivers who drove on public highways in New Jersey to file with the Secretary of State papers appointing the Secretary as their agent to accept service of process on their behalf for legal proceedings against them arising from the “operation of [their] registered motor vehicle, within [New Jersey].”</w:t>
      </w:r>
    </w:p>
    <w:p>
      <w:pPr>
        <w:pStyle w:val="ResourceHeadnote"/>
      </w:pPr>
      <w:r>
        <w:t xml:space="preserve">Note that long-established and well-accepted law, in place when</w:t>
      </w:r>
      <w:r>
        <w:t xml:space="preserve"> </w:t>
      </w:r>
      <w:r>
        <w:rPr>
          <w:iCs/>
          <w:i/>
        </w:rPr>
        <w:t xml:space="preserve">Pennoyer</w:t>
      </w:r>
      <w:r>
        <w:t xml:space="preserve"> </w:t>
      </w:r>
      <w:r>
        <w:t xml:space="preserve">was decided, provided that if a person (or an incorporeal entity) appointed an agent for purposes of accepting service of process, then an in-state tag of the agent was sufficient to establish personal jurisdiction over the agent's principal. Visitor statutes like those described above provided that one could "tag" the Secretary of State by mailing certain documents to them.</w:t>
      </w:r>
    </w:p>
    <w:p>
      <w:pPr>
        <w:pStyle w:val="ResourceHeadnote"/>
      </w:pPr>
      <w:r>
        <w:t xml:space="preserve">The operation of these visitor statutes raised questions. First, does the Due Process Clause allow a state to punish a driver who drove in that state for failing to comply with the visitor statutes? The present case answers that question. Notice where the defendant was arrested; does that make this case easy, even under</w:t>
      </w:r>
      <w:r>
        <w:t xml:space="preserve"> </w:t>
      </w:r>
      <w:r>
        <w:rPr>
          <w:iCs/>
          <w:i/>
        </w:rPr>
        <w:t xml:space="preserve">Pennoyer</w:t>
      </w:r>
      <w:r>
        <w:t xml:space="preserve">?</w:t>
      </w:r>
    </w:p>
    <w:p>
      <w:pPr>
        <w:pStyle w:val="ResourceHeadnote"/>
      </w:pPr>
      <w:r>
        <w:t xml:space="preserve">A second question these visitor statutes raised was more difficult: what can a state do with/to a driver who allegedly causes an accident while driving in the state but who has not complied with the visitor statute and has since exited the state? The next case answers that question.</w:t>
      </w:r>
    </w:p>
    <w:p>
      <w:pPr>
        <w:pStyle w:val="HeadEnd"/>
      </w:pPr>
      <w:r>
        <w:t xml:space="preserve"> </w:t>
      </w:r>
    </w:p>
    <w:p>
      <w:pPr>
        <w:pStyle w:val="CaseHeader"/>
      </w:pPr>
      <w:r>
        <w:t xml:space="preserve">Supreme Court of the United States</w:t>
      </w:r>
    </w:p>
    <w:p>
      <w:pPr>
        <w:pStyle w:val="CaseHeader"/>
      </w:pPr>
      <w:r>
        <w:t xml:space="preserve">242 U.S. 160, 61 L. Ed. 222, 37 S. Ct. 30, SCDB 1916-036, 1916 U.S. LEXIS 1544</w:t>
      </w:r>
    </w:p>
    <w:p>
      <w:pPr>
        <w:pStyle w:val="CaseHeader"/>
      </w:pPr>
      <w:r>
        <w:t xml:space="preserve">No. 51</w:t>
      </w:r>
    </w:p>
    <w:p>
      <w:pPr>
        <w:pStyle w:val="CaseHeader"/>
      </w:pPr>
      <w:r>
        <w:t xml:space="preserve">1916-12-04</w:t>
      </w:r>
    </w:p>
    <w:p>
      <w:pPr>
        <w:pStyle w:val="CaseBody"/>
      </w:pPr>
      <w:r>
        <w:t xml:space="preserve">ERROR TO THE COURT OF ERRORS AND APPEALS OF THE STATE OF NEW JERSEY.</w:t>
      </w:r>
    </w:p>
    <w:p>
      <w:pPr>
        <w:pStyle w:val="CaseBody"/>
      </w:pPr>
      <w:r>
        <w:t xml:space="preserve">Argued October 31, 1916.</w:t>
      </w:r>
    </w:p>
    <w:p>
      <w:pPr>
        <w:pStyle w:val="CaseBody"/>
      </w:pPr>
      <w:r>
        <w:t xml:space="preserve">81 N. J. L. 594</w:t>
      </w:r>
      <w:r>
        <w:t xml:space="preserve">, affirmed.</w:t>
      </w:r>
    </w:p>
    <w:p>
      <w:pPr>
        <w:pStyle w:val="CaseBody"/>
      </w:pPr>
      <w:r>
        <w:rPr>
          <w:rStyle w:val="Elision"/>
        </w:rPr>
        <w:t xml:space="preserve">[ … ]</w:t>
      </w:r>
    </w:p>
    <w:p>
      <w:pPr>
        <w:pStyle w:val="CaseBody"/>
      </w:pPr>
      <w:r>
        <w:t xml:space="preserve">Mr. Justice</w:t>
      </w:r>
      <w:r>
        <w:t xml:space="preserve"> </w:t>
      </w:r>
      <w:r>
        <w:rPr>
          <w:rStyle w:val="ReplacementText"/>
        </w:rPr>
        <w:t xml:space="preserve">Brandeis</w:t>
      </w:r>
    </w:p>
    <w:p>
      <w:pPr>
        <w:pStyle w:val="CaseBody"/>
      </w:pPr>
      <w:r>
        <w:t xml:space="preserve">delivered the opinion of the court.</w:t>
      </w:r>
    </w:p>
    <w:p>
      <w:pPr>
        <w:pStyle w:val="CaseBody"/>
      </w:pPr>
      <w:r>
        <w:t xml:space="preserve">The New Jersey automobile law of 1906, as amended in 1908</w:t>
      </w:r>
      <w:r>
        <w:t xml:space="preserve"> </w:t>
      </w:r>
      <w:r>
        <w:rPr>
          <w:rStyle w:val="Elision"/>
        </w:rPr>
        <w:t xml:space="preserve">[ … ]</w:t>
      </w:r>
      <w:r>
        <w:t xml:space="preserve">, provides in substance that no person, whether a resident or nonresident of the State, shall drive an automobile upon a public highway unless he</w:t>
      </w:r>
      <w:r>
        <w:t xml:space="preserve"> </w:t>
      </w:r>
      <w:r>
        <w:rPr>
          <w:rStyle w:val="ReplacementText"/>
        </w:rPr>
        <w:t xml:space="preserve">shall have</w:t>
      </w:r>
      <w:r>
        <w:t xml:space="preserve"> </w:t>
      </w:r>
      <w:r>
        <w:t xml:space="preserve">been licensed so to do and the automobile shall have been registered under the statute; and also that a nonresident owner shall appoint the Secretary of State his attorney upon whom process may be served "in any action or legal proceeding caused by the operation of his registered motor vehicle, within this State, against such owner.”</w:t>
      </w:r>
      <w:r>
        <w:t xml:space="preserve"> </w:t>
      </w:r>
      <w:r>
        <w:rPr>
          <w:rStyle w:val="Elision"/>
        </w:rPr>
        <w:t xml:space="preserve">[ … ]</w:t>
      </w:r>
    </w:p>
    <w:p>
      <w:pPr>
        <w:pStyle w:val="CaseBody"/>
      </w:pPr>
      <w:r>
        <w:t xml:space="preserve">Kane, a resident of New York, was arrested while driving his automobile on the public highways of New Jersey and tried in the Recorder’s Court. The following facts were stipulated: Kane had been duly licensed as a driver under the laws of both New York and</w:t>
      </w:r>
      <w:r>
        <w:t xml:space="preserve"> </w:t>
      </w:r>
      <w:r>
        <w:rPr>
          <w:rStyle w:val="ReplacementText"/>
        </w:rPr>
        <w:t xml:space="preserve">New Jersey</w:t>
      </w:r>
      <w:r>
        <w:t xml:space="preserve">. He had registered his car in New York but not in New Jersey. He had not filed with the Secretary of State of</w:t>
      </w:r>
      <w:r>
        <w:t xml:space="preserve"> </w:t>
      </w:r>
      <w:r>
        <w:rPr>
          <w:rStyle w:val="ReplacementText"/>
        </w:rPr>
        <w:t xml:space="preserve">New Jersey</w:t>
      </w:r>
      <w:r>
        <w:t xml:space="preserve"> </w:t>
      </w:r>
      <w:r>
        <w:t xml:space="preserve">the prescribed instrument appointing that official his attorney upon whom process might be served. When arrested he was on his way from</w:t>
      </w:r>
      <w:r>
        <w:t xml:space="preserve"> </w:t>
      </w:r>
      <w:r>
        <w:rPr>
          <w:rStyle w:val="ReplacementText"/>
        </w:rPr>
        <w:t xml:space="preserve">New York</w:t>
      </w:r>
      <w:r>
        <w:t xml:space="preserve"> </w:t>
      </w:r>
      <w:r>
        <w:t xml:space="preserve">to Pennsylvania.</w:t>
      </w:r>
      <w:r>
        <w:t xml:space="preserve"> </w:t>
      </w:r>
      <w:r>
        <w:rPr>
          <w:rStyle w:val="Elision"/>
        </w:rPr>
        <w:t xml:space="preserve">[ … ]</w:t>
      </w:r>
      <w:r>
        <w:t xml:space="preserve">Kane contended that the statute was invalid as to him, a nonresident, because it</w:t>
      </w:r>
      <w:r>
        <w:rPr>
          <w:rStyle w:val="ReplacementText"/>
        </w:rPr>
        <w:t xml:space="preserve">violated the</w:t>
      </w:r>
      <w:r>
        <w:t xml:space="preserve"> </w:t>
      </w:r>
      <w:r>
        <w:t xml:space="preserve">Constitution and</w:t>
      </w:r>
      <w:r>
        <w:rPr>
          <w:rStyle w:val="ReplacementText"/>
        </w:rPr>
        <w:t xml:space="preserve">laws</w:t>
      </w:r>
      <w:r>
        <w:t xml:space="preserve">of the United States regulating interstate commerce and also because it violated the Fourteenth Amendment. These contentions were overruled; and he was fined five dollars. The conviction was duly reviewed both in the Supreme Court and by the Court of Errors and Appeals. The contentions were repeated in both of those courts; and both courts affirmed the conviction.</w:t>
      </w:r>
      <w:r>
        <w:t xml:space="preserve"> </w:t>
      </w:r>
      <w:r>
        <w:rPr>
          <w:iCs/>
          <w:i/>
        </w:rPr>
        <w:t xml:space="preserve">Kane</w:t>
      </w:r>
      <w:r>
        <w:t xml:space="preserve"> </w:t>
      </w:r>
      <w:r>
        <w:t xml:space="preserve">v.</w:t>
      </w:r>
      <w:r>
        <w:t xml:space="preserve"> </w:t>
      </w:r>
      <w:r>
        <w:rPr>
          <w:iCs/>
          <w:i/>
        </w:rPr>
        <w:t xml:space="preserve">New Jersey,</w:t>
      </w:r>
      <w:r>
        <w:t xml:space="preserve"> </w:t>
      </w:r>
      <w:r>
        <w:t xml:space="preserve">81 N. J. L. 594</w:t>
      </w:r>
      <w:r>
        <w:t xml:space="preserve">. The case was brought here by writ of error.</w:t>
      </w:r>
    </w:p>
    <w:p>
      <w:pPr>
        <w:pStyle w:val="CaseBody"/>
      </w:pPr>
      <w:r>
        <w:t xml:space="preserve">The power of a</w:t>
      </w:r>
      <w:r>
        <w:t xml:space="preserve"> </w:t>
      </w:r>
      <w:r>
        <w:rPr>
          <w:rStyle w:val="ReplacementText"/>
        </w:rPr>
        <w:t xml:space="preserve">State</w:t>
      </w:r>
      <w:r>
        <w:t xml:space="preserve"> </w:t>
      </w:r>
      <w:r>
        <w:t xml:space="preserve">to regulate the use of motor vehicles on its highways has been recently considered by this court and broadly sustained. It extends to nonresidents as well as to</w:t>
      </w:r>
      <w:r>
        <w:t xml:space="preserve"> </w:t>
      </w:r>
      <w:r>
        <w:rPr>
          <w:rStyle w:val="ReplacementText"/>
        </w:rPr>
        <w:t xml:space="preserve">residents.</w:t>
      </w:r>
      <w:r>
        <w:t xml:space="preserve"> </w:t>
      </w:r>
      <w:r>
        <w:t xml:space="preserve">It includes the right to exact reasonable compensation for special facilities afforded as well as reasonable provisions to ensure safety.</w:t>
      </w:r>
      <w:r>
        <w:t xml:space="preserve"> </w:t>
      </w:r>
      <w:r>
        <w:rPr>
          <w:rStyle w:val="Elision"/>
        </w:rPr>
        <w:t xml:space="preserve">[ … ]</w:t>
      </w:r>
    </w:p>
    <w:p>
      <w:pPr>
        <w:pStyle w:val="CaseBody"/>
      </w:pPr>
      <w:r>
        <w:t xml:space="preserve">The judgment should be</w:t>
      </w:r>
    </w:p>
    <w:p>
      <w:pPr>
        <w:pStyle w:val="CaseBody"/>
      </w:pPr>
      <w:r>
        <w:rPr>
          <w:iCs/>
          <w:i/>
        </w:rPr>
        <w:t xml:space="preserve">Affirmed.</w:t>
      </w:r>
    </w:p>
    <w:p>
      <w:pPr>
        <w:pStyle w:val="CaseBody"/>
      </w:pPr>
      <w:r>
        <w:t xml:space="preserve">Mr. Justice Pitney took no part in the consideration or decision of this case.</w:t>
      </w:r>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62" w:name="_auto_toc_62"/>
    <w:bookmarkEnd w:id="62"/>
    <w:p>
      <w:pPr>
        <w:pStyle w:val="ResourceNumber"/>
      </w:pPr>
      <w:r>
        <w:t xml:space="preserve">6.3</w:t>
      </w:r>
    </w:p>
    <w:p>
      <w:pPr>
        <w:pStyle w:val="ResourceTitle"/>
      </w:pPr>
      <w:r>
        <w:t xml:space="preserve">Hess v. Pawloski</w:t>
      </w:r>
    </w:p>
    <w:p>
      <w:pPr>
        <w:pStyle w:val="HeadFieldSeparator"/>
      </w:pPr>
      <w:r>
        <w:t xml:space="preserve"> </w:t>
      </w:r>
    </w:p>
    <w:p>
      <w:pPr>
        <w:pStyle w:val="ResourceHeadnote"/>
      </w:pPr>
      <w:r>
        <w:t xml:space="preserve">In</w:t>
      </w:r>
      <w:r>
        <w:t xml:space="preserve"> </w:t>
      </w:r>
      <w:r>
        <w:rPr>
          <w:iCs/>
          <w:i/>
        </w:rPr>
        <w:t xml:space="preserve">Kane</w:t>
      </w:r>
      <w:r>
        <w:t xml:space="preserve">, the New Jersey officers arrested the out-of-state driver while they were in New Jersey. Even under</w:t>
      </w:r>
      <w:r>
        <w:t xml:space="preserve"> </w:t>
      </w:r>
      <w:r>
        <w:rPr>
          <w:iCs/>
          <w:i/>
        </w:rPr>
        <w:t xml:space="preserve">Pennoyer</w:t>
      </w:r>
      <w:r>
        <w:t xml:space="preserve">, the question of personal jurisdiction was thus somewhat simple: New Jersey "tagged" (by arresting) the driver while the driver was in state.</w:t>
      </w:r>
    </w:p>
    <w:p>
      <w:pPr>
        <w:pStyle w:val="ResourceHeadnote"/>
      </w:pPr>
      <w:r>
        <w:t xml:space="preserve">This case presents the more difficult question: what can a state do with/to a driver who allegedly causes an accident in a state but who leaves the state before being tagged? Can the state empower a plaintiff to proceed against the allegedly responsible driver in its own courts, meaning the courts of the state in which the accident took place? Or must a plaintiff sue the driver in the courts of the driver's home state (or, to take</w:t>
      </w:r>
      <w:r>
        <w:t xml:space="preserve"> </w:t>
      </w:r>
      <w:r>
        <w:rPr>
          <w:iCs/>
          <w:i/>
        </w:rPr>
        <w:t xml:space="preserve">Pennoyer</w:t>
      </w:r>
      <w:r>
        <w:t xml:space="preserve"> </w:t>
      </w:r>
      <w:r>
        <w:t xml:space="preserve">to the extreme, in whatever jurisdiction the driver can be tagged)?</w:t>
      </w:r>
    </w:p>
    <w:p>
      <w:pPr>
        <w:pStyle w:val="HeadEnd"/>
      </w:pPr>
      <w:r>
        <w:t xml:space="preserve"> </w:t>
      </w:r>
    </w:p>
    <w:p>
      <w:pPr>
        <w:pStyle w:val="CaseHeader"/>
      </w:pPr>
      <w:r>
        <w:t xml:space="preserve">Supreme Court of the United States</w:t>
      </w:r>
    </w:p>
    <w:p>
      <w:pPr>
        <w:pStyle w:val="CaseHeader"/>
      </w:pPr>
      <w:r>
        <w:t xml:space="preserve">274 U.S. 352, 71 L. Ed. 1091, 47 S. Ct. 632, 1927 U.S. LEXIS 34, SCDB 1926-076</w:t>
      </w:r>
    </w:p>
    <w:p>
      <w:pPr>
        <w:pStyle w:val="CaseHeader"/>
      </w:pPr>
      <w:r>
        <w:t xml:space="preserve">No. 263</w:t>
      </w:r>
    </w:p>
    <w:p>
      <w:pPr>
        <w:pStyle w:val="CaseHeader"/>
      </w:pPr>
      <w:r>
        <w:t xml:space="preserve">1927-05-16</w:t>
      </w:r>
    </w:p>
    <w:p>
      <w:pPr>
        <w:pStyle w:val="CaseBody"/>
      </w:pPr>
      <w:r>
        <w:t xml:space="preserve">Argued April 18, 1927.</w:t>
      </w:r>
    </w:p>
    <w:p>
      <w:pPr>
        <w:pStyle w:val="CaseBody"/>
      </w:pPr>
      <w:r>
        <w:rPr>
          <w:rStyle w:val="Elision"/>
        </w:rPr>
        <w:t xml:space="preserve">[ … ]</w:t>
      </w:r>
    </w:p>
    <w:p>
      <w:pPr>
        <w:pStyle w:val="CaseBody"/>
      </w:pPr>
      <w:r>
        <w:t xml:space="preserve">Mr. Justice Butler</w:t>
      </w:r>
    </w:p>
    <w:p>
      <w:pPr>
        <w:pStyle w:val="CaseBody"/>
      </w:pPr>
      <w:r>
        <w:t xml:space="preserve">delivered the opinion of the Court.</w:t>
      </w:r>
    </w:p>
    <w:p>
      <w:pPr>
        <w:pStyle w:val="CaseBody"/>
      </w:pPr>
      <w:r>
        <w:t xml:space="preserve">This action was brought by</w:t>
      </w:r>
      <w:r>
        <w:t xml:space="preserve"> </w:t>
      </w:r>
      <w:r>
        <w:rPr>
          <w:rStyle w:val="ReplacementText"/>
        </w:rPr>
        <w:t xml:space="preserve">the injured plaintiff</w:t>
      </w:r>
      <w:r>
        <w:t xml:space="preserve"> </w:t>
      </w:r>
      <w:r>
        <w:t xml:space="preserve">to recover damages for personal injuries. The declaration alleged that</w:t>
      </w:r>
      <w:r>
        <w:t xml:space="preserve"> </w:t>
      </w:r>
      <w:r>
        <w:rPr>
          <w:rStyle w:val="ReplacementText"/>
        </w:rPr>
        <w:t xml:space="preserve">the defendant</w:t>
      </w:r>
      <w:r>
        <w:t xml:space="preserve"> </w:t>
      </w:r>
      <w:r>
        <w:t xml:space="preserve">negligently and wantonly drove a motor vehicle on a public highway in Massachusetts and that by reason thereof the vehicle struck and</w:t>
      </w:r>
      <w:r>
        <w:t xml:space="preserve"> </w:t>
      </w:r>
      <w:r>
        <w:rPr>
          <w:rStyle w:val="ReplacementText"/>
        </w:rPr>
        <w:t xml:space="preserve">plaintiff</w:t>
      </w:r>
      <w:r>
        <w:t xml:space="preserve">.</w:t>
      </w:r>
      <w:r>
        <w:t xml:space="preserve"> </w:t>
      </w:r>
      <w:r>
        <w:rPr>
          <w:rStyle w:val="ReplacementText"/>
        </w:rPr>
        <w:t xml:space="preserve">Defendant is a resident of Pennsylvania.</w:t>
      </w:r>
      <w:r>
        <w:t xml:space="preserve"> </w:t>
      </w:r>
      <w:r>
        <w:t xml:space="preserve">No personal service was made on him</w:t>
      </w:r>
      <w:r>
        <w:rPr>
          <w:rStyle w:val="ReplacementText"/>
        </w:rPr>
        <w:t xml:space="preserve">in Massachusetts</w:t>
      </w:r>
      <w:r>
        <w:t xml:space="preserve">and no property</w:t>
      </w:r>
      <w:r>
        <w:rPr>
          <w:rStyle w:val="ReplacementText"/>
        </w:rPr>
        <w:t xml:space="preserve">in Massachusetts</w:t>
      </w:r>
      <w:r>
        <w:t xml:space="preserve">belonging to him</w:t>
      </w:r>
      <w:r>
        <w:t xml:space="preserve"> </w:t>
      </w:r>
      <w:r>
        <w:rPr>
          <w:rStyle w:val="ReplacementText"/>
        </w:rPr>
        <w:t xml:space="preserve">was attached</w:t>
      </w:r>
      <w:r>
        <w:t xml:space="preserve">. The service of process was made in compliance with</w:t>
      </w:r>
      <w:r>
        <w:t xml:space="preserve"> </w:t>
      </w:r>
      <w:r>
        <w:rPr>
          <w:rStyle w:val="ReplacementText"/>
        </w:rPr>
        <w:t xml:space="preserve">the Massachusetts visitor statute</w:t>
      </w:r>
      <w:r>
        <w:t xml:space="preserve">, the material parts of which follow:</w:t>
      </w:r>
    </w:p>
    <w:p>
      <w:pPr>
        <w:pStyle w:val="BlockText"/>
      </w:pPr>
      <w:r>
        <w:t xml:space="preserve">“ The acceptance by a non-resident of the rights and privileges conferred by</w:t>
      </w:r>
      <w:r>
        <w:t xml:space="preserve"> </w:t>
      </w:r>
      <w:r>
        <w:rPr>
          <w:rStyle w:val="ReplacementText"/>
        </w:rPr>
        <w:t xml:space="preserve">Massachusetts law</w:t>
      </w:r>
      <w:r>
        <w:t xml:space="preserve">, as evidenced by his operating a motor vehicle thereunder, or the operation by a non-resident of a motor vehicle on a public way in the commonwealth other than under said sections, shall be deemed equivalent to an appointment by such non-resident of the registrar or his successor in office, to be his true and lawful attorney upon whom may be served all lawful processes in any action or proceeding against him, growing out of any accident or collision in which said non-resident may be involved while operating a motor vehicle on such a way, and said acceptance or operation shall</w:t>
      </w:r>
      <w:r>
        <w:t xml:space="preserve"> </w:t>
      </w:r>
      <w:r>
        <w:rPr>
          <w:rStyle w:val="Elision"/>
        </w:rPr>
        <w:t xml:space="preserve">[ … ]</w:t>
      </w:r>
      <w:r>
        <w:t xml:space="preserve"> </w:t>
      </w:r>
      <w:r>
        <w:t xml:space="preserve">be of the same legal force and validity as if served on him personally. Service of such process shall be made by leaving</w:t>
      </w:r>
      <w:r>
        <w:t xml:space="preserve"> </w:t>
      </w:r>
      <w:r>
        <w:rPr>
          <w:iCs/>
          <w:i/>
        </w:rPr>
        <w:t xml:space="preserve">a</w:t>
      </w:r>
      <w:r>
        <w:t xml:space="preserve"> </w:t>
      </w:r>
      <w:r>
        <w:t xml:space="preserve">copy of the process with a fee of two dollars in the hands of the registrar, or in his office, and such service shall be sufficient service upon the said non-resident; provided, that notice of such service 'and a copy of the process are forthwith sent by registered mail by the plaintiff to the. defendant,' and the defendant’s return receipt and the plaintiff’s affidavit of compliance herewith are appended to the writ and entered with the declaration.</w:t>
      </w:r>
      <w:r>
        <w:t xml:space="preserve"> </w:t>
      </w:r>
      <w:r>
        <w:rPr>
          <w:rStyle w:val="Elision"/>
        </w:rPr>
        <w:t xml:space="preserve">[ … ]</w:t>
      </w:r>
    </w:p>
    <w:p>
      <w:pPr>
        <w:pStyle w:val="CaseBody"/>
      </w:pPr>
      <w:r>
        <w:rPr>
          <w:rStyle w:val="Elision"/>
        </w:rPr>
        <w:t xml:space="preserve">[ … ]</w:t>
      </w:r>
      <w:r>
        <w:rPr>
          <w:rStyle w:val="ReplacementText"/>
        </w:rPr>
        <w:t xml:space="preserve">service of process,</w:t>
      </w:r>
      <w:r>
        <w:rPr>
          <w:rStyle w:val="ReplacementText"/>
        </w:rPr>
        <w:t xml:space="preserve">were</w:t>
      </w:r>
    </w:p>
    <w:p>
      <w:pPr>
        <w:pStyle w:val="CaseBody"/>
      </w:pPr>
      <w:r>
        <w:t xml:space="preserve">The question is whether the Massachusetts enactment contravenes the due process clause of the Fourteenth Amendment.</w:t>
      </w:r>
    </w:p>
    <w:p>
      <w:pPr>
        <w:pStyle w:val="CaseBody"/>
      </w:pPr>
      <w:r>
        <w:t xml:space="preserve">The process of a court of one State cannot run into another and summon a party there domiciled to respond to proceedings against him. Notice sent outside the State to a non-resident is unavailing to give jurisdiction in an action against him personally for money recovery.</w:t>
      </w:r>
      <w:r>
        <w:t xml:space="preserve"> </w:t>
      </w:r>
      <w:r>
        <w:rPr>
          <w:iCs/>
          <w:i/>
        </w:rPr>
        <w:t xml:space="preserve">Pennoyer</w:t>
      </w:r>
      <w:r>
        <w:t xml:space="preserve"> </w:t>
      </w:r>
      <w:r>
        <w:t xml:space="preserve">v.</w:t>
      </w:r>
      <w:r>
        <w:t xml:space="preserve"> </w:t>
      </w:r>
      <w:r>
        <w:rPr>
          <w:iCs/>
          <w:i/>
        </w:rPr>
        <w:t xml:space="preserve">Neff</w:t>
      </w:r>
      <w:r>
        <w:rPr>
          <w:rStyle w:val="Elision"/>
        </w:rPr>
        <w:t xml:space="preserve">[ … ]</w:t>
      </w:r>
      <w:r>
        <w:t xml:space="preserve"> </w:t>
      </w:r>
      <w:r>
        <w:t xml:space="preserve">There must be actual service within the State of notice upon him or upon some one authorized to accept service for him.</w:t>
      </w:r>
      <w:r>
        <w:t xml:space="preserve"> </w:t>
      </w:r>
      <w:r>
        <w:rPr>
          <w:rStyle w:val="Elision"/>
        </w:rPr>
        <w:t xml:space="preserve">[ … ]</w:t>
      </w:r>
      <w:r>
        <w:t xml:space="preserve"> </w:t>
      </w:r>
      <w:r>
        <w:t xml:space="preserve">A personal judgment rendered against a non-resident, who has neither been served with process nor appeared in the suit is without validity.</w:t>
      </w:r>
      <w:r>
        <w:t xml:space="preserve"> </w:t>
      </w:r>
      <w:r>
        <w:rPr>
          <w:rStyle w:val="Elision"/>
        </w:rPr>
        <w:t xml:space="preserve">[ … ]</w:t>
      </w:r>
      <w:r>
        <w:t xml:space="preserve">The mere transaction of business in a State by non-resident natural persons does not imply consent to be bound by the process of its courts.</w:t>
      </w:r>
      <w:r>
        <w:t xml:space="preserve"> </w:t>
      </w:r>
      <w:r>
        <w:rPr>
          <w:rStyle w:val="Elision"/>
        </w:rPr>
        <w:t xml:space="preserve">[ … ]</w:t>
      </w:r>
      <w:r>
        <w:t xml:space="preserve">The power of a State to exclude foreign corporations, although not absolute but qualified, is the ground on which such an implication is supported as to them.</w:t>
      </w:r>
      <w:r>
        <w:t xml:space="preserve"> </w:t>
      </w:r>
      <w:r>
        <w:rPr>
          <w:rStyle w:val="Elision"/>
        </w:rPr>
        <w:t xml:space="preserve">[ … ]</w:t>
      </w:r>
      <w:r>
        <w:t xml:space="preserve"> </w:t>
      </w:r>
      <w:r>
        <w:t xml:space="preserve">But a State may not withhold from non-resident individuals the right of doing business therein.</w:t>
      </w:r>
      <w:r>
        <w:t xml:space="preserve"> </w:t>
      </w:r>
      <w:r>
        <w:rPr>
          <w:rStyle w:val="Elision"/>
        </w:rPr>
        <w:t xml:space="preserve">[ … ]</w:t>
      </w:r>
    </w:p>
    <w:p>
      <w:pPr>
        <w:pStyle w:val="CaseBody"/>
      </w:pPr>
      <w:r>
        <w:t xml:space="preserve">Motor vehicles are dangerous machines; and, even when skillfully and cafefully operated, their use is attended by serious dangers to persons and property. In the public interest the State may make and enforce regulations reasonably calculated to promote care on</w:t>
      </w:r>
      <w:r>
        <w:t xml:space="preserve"> </w:t>
      </w:r>
      <w:r>
        <w:rPr>
          <w:rStyle w:val="ReplacementText"/>
        </w:rPr>
        <w:t xml:space="preserve">the part</w:t>
      </w:r>
      <w:r>
        <w:t xml:space="preserve"> </w:t>
      </w:r>
      <w:r>
        <w:t xml:space="preserve">of all, residents and non-residents alike, who use its highways. The measure in question operates to require a non-resident to answer for his conduct in the State where arise causes of action alleged against him, as well as to provide for a claimant a convenient method by which he may sue to enforce his rights. Under the statute the implied consent is limited to proceedings growing out of accidents or collisions on a highway in which the non-resident may be involved. It is required that he shall actually receive and receipt for notice of the service and a copy of the process. And it contemplates such continuances as may be found necessary to give reasonable time and opportunity for defense. It makes no hostile discrimination against non-residents but tends to put</w:t>
      </w:r>
      <w:r>
        <w:t xml:space="preserve"> </w:t>
      </w:r>
      <w:r>
        <w:rPr>
          <w:rStyle w:val="ReplacementText"/>
        </w:rPr>
        <w:t xml:space="preserve">them on the same</w:t>
      </w:r>
      <w:r>
        <w:t xml:space="preserve"> </w:t>
      </w:r>
      <w:r>
        <w:t xml:space="preserve">footing as residents. Literal and precise equality in respect of this matter is not attainable; it is not required.</w:t>
      </w:r>
      <w:r>
        <w:t xml:space="preserve"> </w:t>
      </w:r>
      <w:r>
        <w:rPr>
          <w:rStyle w:val="Elision"/>
        </w:rPr>
        <w:t xml:space="preserve">[ … ]</w:t>
      </w:r>
      <w:r>
        <w:t xml:space="preserve"> </w:t>
      </w:r>
      <w:r>
        <w:t xml:space="preserve">The State’s power to regulate the use of its highways extends to their</w:t>
      </w:r>
      <w:r>
        <w:t xml:space="preserve"> </w:t>
      </w:r>
      <w:r>
        <w:rPr>
          <w:rStyle w:val="ReplacementText"/>
        </w:rPr>
        <w:t xml:space="preserve">use</w:t>
      </w:r>
      <w:r>
        <w:t xml:space="preserve"> </w:t>
      </w:r>
      <w:r>
        <w:t xml:space="preserve">by non-residents as well as by residents.</w:t>
      </w:r>
      <w:r>
        <w:t xml:space="preserve"> </w:t>
      </w:r>
      <w:r>
        <w:rPr>
          <w:rStyle w:val="Elision"/>
        </w:rPr>
        <w:t xml:space="preserve">[ … ]</w:t>
      </w:r>
      <w:r>
        <w:t xml:space="preserve"> </w:t>
      </w:r>
      <w:r>
        <w:t xml:space="preserve">And, in advance-of the operation of a motor vehicle on its highway by a non-resident, the State may require him to appoint one of its officials as his agent on whom process may be served in proceedings growing out of such use.</w:t>
      </w:r>
      <w:r>
        <w:t xml:space="preserve"> </w:t>
      </w:r>
      <w:r>
        <w:rPr>
          <w:iCs/>
          <w:i/>
        </w:rPr>
        <w:t xml:space="preserve">Kane</w:t>
      </w:r>
      <w:r>
        <w:t xml:space="preserve"> </w:t>
      </w:r>
      <w:r>
        <w:t xml:space="preserve">v.</w:t>
      </w:r>
      <w:r>
        <w:t xml:space="preserve"> </w:t>
      </w:r>
      <w:r>
        <w:rPr>
          <w:iCs/>
          <w:i/>
        </w:rPr>
        <w:t xml:space="preserve">New Jersey,</w:t>
      </w:r>
      <w:r>
        <w:t xml:space="preserve"> </w:t>
      </w:r>
      <w:r>
        <w:rPr>
          <w:rStyle w:val="Elision"/>
        </w:rPr>
        <w:t xml:space="preserve">[ … ]</w:t>
      </w:r>
      <w:r>
        <w:t xml:space="preserve">That case recognizes</w:t>
      </w:r>
      <w:r>
        <w:t xml:space="preserve"> </w:t>
      </w:r>
      <w:r>
        <w:rPr>
          <w:rStyle w:val="ReplacementText"/>
        </w:rPr>
        <w:t xml:space="preserve">power</w:t>
      </w:r>
      <w:r>
        <w:t xml:space="preserve"> </w:t>
      </w:r>
      <w:r>
        <w:t xml:space="preserve">of the State to exclude a non-resident until the formal appointment is made. And, having the power so to exclude, the State may declare that the use of the highway by the nonresident is the equivalent of the appointment of the registrar as agent on whom process may be served.</w:t>
      </w:r>
      <w:r>
        <w:t xml:space="preserve"> </w:t>
      </w:r>
      <w:r>
        <w:rPr>
          <w:rStyle w:val="Elision"/>
        </w:rPr>
        <w:t xml:space="preserve">[ … ]</w:t>
      </w:r>
      <w:r>
        <w:t xml:space="preserve"> </w:t>
      </w:r>
      <w:r>
        <w:t xml:space="preserve">The difference between the formal and implied appointment is not substantial so far as concerns the application of the due process clause of the Fourteenth Amendment.</w:t>
      </w:r>
    </w:p>
    <w:p>
      <w:pPr>
        <w:pStyle w:val="CaseBody"/>
      </w:pPr>
      <w:r>
        <w:rPr>
          <w:iCs/>
          <w:i/>
        </w:rPr>
        <w:t xml:space="preserve">Judgment affirmed.</w:t>
      </w:r>
    </w:p>
    <w:p>
      <w:pPr>
        <w:pStyle w:val="NodeEnd"/>
      </w:pPr>
      <w:r>
        <w:t xml:space="preserve"> </w:t>
      </w:r>
    </w:p>
    <w:p>
      <w:pPr>
        <w:pStyle w:val="NodeStart"/>
      </w:pPr>
      <w:r>
        <w:t xml:space="preserve"> </w:t>
      </w:r>
    </w:p>
    <w:p>
      <w:pPr>
        <w:pStyle w:val="HeadSeparator"/>
      </w:pPr>
      <w:r>
        <w:t xml:space="preserve"> </w:t>
      </w:r>
    </w:p>
    <w:bookmarkStart w:id="63" w:name="_auto_toc_63"/>
    <w:bookmarkEnd w:id="63"/>
    <w:p>
      <w:pPr>
        <w:pStyle w:val="ResourceNumber"/>
      </w:pPr>
      <w:r>
        <w:t xml:space="preserve">6.4</w:t>
      </w:r>
    </w:p>
    <w:p>
      <w:pPr>
        <w:pStyle w:val="ResourceTitle"/>
      </w:pPr>
      <w:r>
        <w:t xml:space="preserve">International Shoe Co. v. Washington</w:t>
      </w:r>
    </w:p>
    <w:p>
      <w:pPr>
        <w:pStyle w:val="HeadFieldSeparator"/>
      </w:pPr>
      <w:r>
        <w:t xml:space="preserve"> </w:t>
      </w:r>
    </w:p>
    <w:p>
      <w:pPr>
        <w:pStyle w:val="ResourceHeadnote"/>
      </w:pPr>
      <w:r>
        <w:rPr>
          <w:iCs/>
          <w:i/>
        </w:rPr>
        <w:t xml:space="preserve">Hess</w:t>
      </w:r>
      <w:r>
        <w:t xml:space="preserve"> </w:t>
      </w:r>
      <w:r>
        <w:t xml:space="preserve">established a fiction. In</w:t>
      </w:r>
      <w:r>
        <w:t xml:space="preserve"> </w:t>
      </w:r>
      <w:r>
        <w:rPr>
          <w:iCs/>
          <w:i/>
        </w:rPr>
        <w:t xml:space="preserve">Hess</w:t>
      </w:r>
      <w:r>
        <w:t xml:space="preserve">, the fiction was that driving in a state was equivalent to appointment of the Secretary of State as the driver's agent for service of process purposes. But no one believed that a person driving in a jurisdiction other than their state of residence thereby intended to appoint anyone an agent. And if what SCOTUS was saying in</w:t>
      </w:r>
      <w:r>
        <w:t xml:space="preserve"> </w:t>
      </w:r>
      <w:r>
        <w:rPr>
          <w:iCs/>
          <w:i/>
        </w:rPr>
        <w:t xml:space="preserve">Kane</w:t>
      </w:r>
      <w:r>
        <w:t xml:space="preserve"> </w:t>
      </w:r>
      <w:r>
        <w:t xml:space="preserve">and</w:t>
      </w:r>
      <w:r>
        <w:t xml:space="preserve"> </w:t>
      </w:r>
      <w:r>
        <w:rPr>
          <w:iCs/>
          <w:i/>
        </w:rPr>
        <w:t xml:space="preserve">Hess</w:t>
      </w:r>
      <w:r>
        <w:t xml:space="preserve"> </w:t>
      </w:r>
      <w:r>
        <w:t xml:space="preserve">was that the driver's action of driving was enough, and that intentions were irrelevant, there was no need the concept of "appointing an agent." The supposed invocation of a "principal" appoint an "agent," an area of law to which scholars devote their entire lives (it has its own Restatements, for example), was doing no work.</w:t>
      </w:r>
    </w:p>
    <w:p>
      <w:pPr>
        <w:pStyle w:val="ResourceHeadnote"/>
      </w:pPr>
      <w:r>
        <w:t xml:space="preserve">The Supreme Court established counterpart fictions in other cases decided between</w:t>
      </w:r>
      <w:r>
        <w:t xml:space="preserve"> </w:t>
      </w:r>
      <w:r>
        <w:rPr>
          <w:iCs/>
          <w:i/>
        </w:rPr>
        <w:t xml:space="preserve">Pennoyer</w:t>
      </w:r>
      <w:r>
        <w:t xml:space="preserve"> </w:t>
      </w:r>
      <w:r>
        <w:t xml:space="preserve">and World War II. For example, in some cases, courts held that a business incorporated State A, and manufacturing in State A, and that had its principal place of business in State A, but that used the mail system to ship goods to buyers in State B "consented" to jurisdiction in State B, solely by use of the shipments. Note that under long-established law accepted even under the</w:t>
      </w:r>
      <w:r>
        <w:t xml:space="preserve"> </w:t>
      </w:r>
      <w:r>
        <w:rPr>
          <w:iCs/>
          <w:i/>
        </w:rPr>
        <w:t xml:space="preserve">Pennoyer</w:t>
      </w:r>
      <w:r>
        <w:t xml:space="preserve"> </w:t>
      </w:r>
      <w:r>
        <w:t xml:space="preserve">regime, an out-of-state defendant could consent to a forum's exercise of personal jurisdiction. But again, no one believed that the business intended to consent to anything (other than getting paid) by shipping goods to a buyer located in a state.</w:t>
      </w:r>
    </w:p>
    <w:p>
      <w:pPr>
        <w:pStyle w:val="ResourceHeadnote"/>
      </w:pPr>
      <w:r>
        <w:t xml:space="preserve">In the next case, the Supreme Court cast aside these fictions and adopts a more functional test. But you will need to keep these fictions in mind because the current Supreme Court, particularly the Court's dominant conservative wing, appears to be committed to reviving some of the fictions that existed before</w:t>
      </w:r>
      <w:r>
        <w:t xml:space="preserve"> </w:t>
      </w:r>
      <w:r>
        <w:rPr>
          <w:iCs/>
          <w:i/>
        </w:rPr>
        <w:t xml:space="preserve">International Shoe</w:t>
      </w:r>
      <w:r>
        <w:t xml:space="preserve">.</w:t>
      </w:r>
    </w:p>
    <w:p>
      <w:pPr>
        <w:pStyle w:val="HeadEnd"/>
      </w:pPr>
      <w:r>
        <w:t xml:space="preserve"> </w:t>
      </w:r>
    </w:p>
    <w:p>
      <w:pPr>
        <w:pStyle w:val="CaseHeader"/>
      </w:pPr>
      <w:r>
        <w:t xml:space="preserve">Supreme Court of the United States</w:t>
      </w:r>
    </w:p>
    <w:p>
      <w:pPr>
        <w:pStyle w:val="CaseHeader"/>
      </w:pPr>
      <w:r>
        <w:t xml:space="preserve">326 U.S. 310, 90 L. Ed. 95, 66 S. Ct. 154, 1945 U.S. LEXIS 1447, SCDB 1945-002</w:t>
      </w:r>
    </w:p>
    <w:p>
      <w:pPr>
        <w:pStyle w:val="CaseHeader"/>
      </w:pPr>
      <w:r>
        <w:t xml:space="preserve">No. 107</w:t>
      </w:r>
    </w:p>
    <w:p>
      <w:pPr>
        <w:pStyle w:val="CaseHeader"/>
      </w:pPr>
      <w:r>
        <w:t xml:space="preserve">1945-12-03</w:t>
      </w:r>
    </w:p>
    <w:p>
      <w:pPr>
        <w:pStyle w:val="CaseBody"/>
      </w:pPr>
      <w:r>
        <w:t xml:space="preserve">Argued November 14, 1945.</w:t>
      </w:r>
    </w:p>
    <w:p>
      <w:pPr>
        <w:pStyle w:val="CaseBody"/>
      </w:pPr>
      <w:r>
        <w:rPr>
          <w:rStyle w:val="Elision"/>
        </w:rPr>
        <w:t xml:space="preserve">[ … ]</w:t>
      </w:r>
    </w:p>
    <w:p>
      <w:pPr>
        <w:pStyle w:val="CaseBody"/>
      </w:pPr>
      <w:r>
        <w:t xml:space="preserve">Mr. Chief Justice Stone</w:t>
      </w:r>
    </w:p>
    <w:p>
      <w:pPr>
        <w:pStyle w:val="CaseBody"/>
      </w:pPr>
      <w:r>
        <w:t xml:space="preserve">delivered the opinion of the Court.</w:t>
      </w:r>
    </w:p>
    <w:p>
      <w:pPr>
        <w:pStyle w:val="CaseBody"/>
      </w:pPr>
      <w:r>
        <w:t xml:space="preserve">The questions for decision are (1) whether, within the limitations of the due process clause of the Fourteenth Amendment, appellant, a Delaware corporation, has by its activities in the State of Washington rendered itself amenable to proceedings in the courts of that state to recover unpaid contributions to the state unemployment compensation fund exacted by state statutes, Washington Unemployment Compensation Act,</w:t>
      </w:r>
      <w:r>
        <w:t xml:space="preserve"> </w:t>
      </w:r>
      <w:r>
        <w:rPr>
          <w:rStyle w:val="Elision"/>
        </w:rPr>
        <w:t xml:space="preserve">[ … ]</w:t>
      </w:r>
      <w:r>
        <w:t xml:space="preserve">, and (2) whether the state can exact those contributions consistently with the due process clause of the Fourteenth Amendment.</w:t>
      </w:r>
    </w:p>
    <w:p>
      <w:pPr>
        <w:pStyle w:val="CaseBody"/>
      </w:pPr>
      <w:r>
        <w:t xml:space="preserve">The statutes in question set up a comprehensive scheme of</w:t>
      </w:r>
      <w:r>
        <w:t xml:space="preserve"> </w:t>
      </w:r>
      <w:r>
        <w:t xml:space="preserve">unemployment compensation</w:t>
      </w:r>
      <w:r>
        <w:rPr>
          <w:rStyle w:val="FootnoteReference"/>
        </w:rPr>
        <w:footnoteReference w:customMarkFollows="1" w:id="14"/>
        <w:t xml:space="preserve">*</w:t>
      </w:r>
      <w:r>
        <w:t xml:space="preserve">, the costs of which are defrayed by contributions required to be made by employers to a state unemployment compensation fund. The contributions are a specified percentage of the wages payable annually by each employer for his employees' services in the state. The assessment and collection of the contributions and the fund are administered by appellees. Section 14 (c) of the Act</w:t>
      </w:r>
      <w:r>
        <w:t xml:space="preserve"> </w:t>
      </w:r>
      <w:r>
        <w:rPr>
          <w:rStyle w:val="Elision"/>
        </w:rPr>
        <w:t xml:space="preserve">[ … ]</w:t>
      </w:r>
      <w:r>
        <w:t xml:space="preserve"> </w:t>
      </w:r>
      <w:r>
        <w:t xml:space="preserve">authorizes</w:t>
      </w:r>
      <w:r>
        <w:t xml:space="preserve"> </w:t>
      </w:r>
      <w:r>
        <w:rPr>
          <w:rStyle w:val="Elision"/>
        </w:rPr>
        <w:t xml:space="preserve">[ … ]</w:t>
      </w:r>
      <w:r>
        <w:t xml:space="preserve"> </w:t>
      </w:r>
      <w:r>
        <w:t xml:space="preserve">the Commissioner to collect the assessment by distraint if it is not paid within ten days after service of the notice.</w:t>
      </w:r>
      <w:r>
        <w:t xml:space="preserve"> </w:t>
      </w:r>
      <w:r>
        <w:rPr>
          <w:rStyle w:val="ReplacementText"/>
        </w:rPr>
        <w:t xml:space="preserve">A Commissioner order to pay taxes is</w:t>
      </w:r>
      <w:r>
        <w:t xml:space="preserve"> </w:t>
      </w:r>
      <w:r>
        <w:t xml:space="preserve">subject to judicial review on questions of law by the state Superior Court, with further right of appeal in the state Supreme Court as in other civil cases.</w:t>
      </w:r>
    </w:p>
    <w:p>
      <w:pPr>
        <w:pStyle w:val="CaseBody"/>
      </w:pPr>
      <w:r>
        <w:t xml:space="preserve">In this case notice of assessment for the years in question was personally served upon</w:t>
      </w:r>
      <w:r>
        <w:t xml:space="preserve"> </w:t>
      </w:r>
      <w:r>
        <w:t xml:space="preserve">a sales solicitor</w:t>
      </w:r>
      <w:r>
        <w:rPr>
          <w:rStyle w:val="FootnoteReference"/>
        </w:rPr>
        <w:footnoteReference w:customMarkFollows="1" w:id="66"/>
        <w:t xml:space="preserve">**</w:t>
      </w:r>
      <w:r>
        <w:t xml:space="preserve"> </w:t>
      </w:r>
      <w:r>
        <w:t xml:space="preserve">employed by appellant in the State of Washington, and a copy of the notice was mailed by registered mail to appellant at its address in St. Louis, Missouri. Appellant appeared specially before the office of unemployment and moved to set aside the order and notice of assessment on the ground that the service upon appellant's salesman was not proper service upon appellant; that appellant was not a corporation of the State of Washington and was not doing business within the state; that it had no agent within the state upon whom service could be made; and that appellant is not an employer and does not furnish employment within the meaning of the statute.</w:t>
      </w:r>
    </w:p>
    <w:p>
      <w:pPr>
        <w:pStyle w:val="CaseBody"/>
      </w:pPr>
      <w:r>
        <w:t xml:space="preserve">The motion was heard on evidence and a stipulation of facts by the appeal tribunal which denied the motion and ruled that appellee Commissioner was entitled to recover the unpaid contributions. That action was affirmed by the Commissioner; both the Superior Court and the Supreme Court affirmed.</w:t>
      </w:r>
      <w:r>
        <w:t xml:space="preserve"> </w:t>
      </w:r>
      <w:r>
        <w:rPr>
          <w:rStyle w:val="Elision"/>
        </w:rPr>
        <w:t xml:space="preserve">[ … ]</w:t>
      </w:r>
      <w:r>
        <w:t xml:space="preserve">Appellant in each of these courts assailed the statute as applied, as a violation of the due process clause of the Fourteenth Amendment, and as imposing a constitutionally prohibited burden on interstate commerce. The</w:t>
      </w:r>
      <w:r>
        <w:t xml:space="preserve"> </w:t>
      </w:r>
      <w:r>
        <w:rPr>
          <w:rStyle w:val="ReplacementText"/>
        </w:rPr>
        <w:t xml:space="preserve">appellant argues</w:t>
      </w:r>
      <w:r>
        <w:t xml:space="preserve">that the challenged statutes as applied infringe the due process clause of the Fourteenth Amendment and the commerce clause.</w:t>
      </w:r>
    </w:p>
    <w:p>
      <w:pPr>
        <w:pStyle w:val="CaseBody"/>
      </w:pPr>
      <w:r>
        <w:t xml:space="preserve">The facts as found by the appeal tribunal and accepted by the state Superior Court and Supreme Court, are not in dispute. Appellant is a Delaware corporation, having its principal place of business in St. Louis, Missouri, and is engaged in the manufacture and sale of shoes and other footwear. It maintains places of business in several states, other than Washington, at which its manufacturing is carried on and from which its merchandise is distributed interstate through several sales units or branches located outside the State of Washington.</w:t>
      </w:r>
    </w:p>
    <w:p>
      <w:pPr>
        <w:pStyle w:val="CaseBody"/>
      </w:pPr>
      <w:r>
        <w:t xml:space="preserve">Appellant has no office in Washington and makes no contracts either for sale or purchase of merchandise there. It maintains no stock of merchandise in that state and makes there no deliveries of goods in intrastate commerce. During the years from 1937 to 1940, now in question, appellant employed eleven to thirteen salesmen under direct supervision and control of sales managers located in St. Louis. These salesmen resided in Washington; their principal activities were confined to that state; and they were compensated by commissions based upon the amount of their sales. The commissions for each year totaled more than $31,000. Appellant supplies its salesmen with a line of samples,</w:t>
      </w:r>
      <w:r>
        <w:t xml:space="preserve"> </w:t>
      </w:r>
      <w:r>
        <w:t xml:space="preserve">each consisting of one shoe of a pair,</w:t>
      </w:r>
      <w:r>
        <w:rPr>
          <w:rStyle w:val="FootnoteReference"/>
        </w:rPr>
        <w:footnoteReference w:customMarkFollows="1" w:id="100"/>
        <w:t xml:space="preserve">***</w:t>
      </w:r>
      <w:r>
        <w:t xml:space="preserve"> </w:t>
      </w:r>
      <w:r>
        <w:t xml:space="preserve">which they display to prospective purchasers. On occasion they rent permanent sample rooms, for exhibiting samples, in business buildings, or rent rooms in hotels or business buildings temporarily for that purpose. The cost of such rentals is reimbursed by appellant.</w:t>
      </w:r>
    </w:p>
    <w:p>
      <w:pPr>
        <w:pStyle w:val="CaseBody"/>
      </w:pPr>
      <w:r>
        <w:t xml:space="preserve">The authority of the salesmen is limited to exhibiting their samples and soliciting orders from prospective buyers, at prices and on terms fixed by appellant. The salesmen transmit the orders to appellant's office in St. Louis for acceptance or rejection, and when accepted the merchandise for filling the orders is</w:t>
      </w:r>
      <w:r>
        <w:t xml:space="preserve"> </w:t>
      </w:r>
      <w:r>
        <w:t xml:space="preserve">shipped f. o. b</w:t>
      </w:r>
      <w:r>
        <w:rPr>
          <w:rStyle w:val="FootnoteReference"/>
        </w:rPr>
        <w:footnoteReference w:customMarkFollows="1" w:id="122"/>
        <w:t xml:space="preserve">****</w:t>
      </w:r>
      <w:r>
        <w:t xml:space="preserve">. from points outside Washington to the purchasers within the state. All the merchandise shipped into Washington is invoiced at the place of shipment from which collections are made. No salesman has authority to enter into contracts or to make collections.</w:t>
      </w:r>
    </w:p>
    <w:p>
      <w:pPr>
        <w:pStyle w:val="CaseBody"/>
      </w:pPr>
      <w:r>
        <w:t xml:space="preserve">The Supreme Court of Washington was of opinion that the regular and systematic solicitation of orders in the state by appellant's salesmen, resulting in a continuous flow of appellant's product into the state, was sufficient to constitute doing business in the state so as to make appellant amenable to suit in its courts. But it was also of opinion that there were sufficient additional activities shown to bring the case within the rule frequently stated, that solicitation within a state by the agents of a foreign corporation plus some additional activities there are sufficient to render the corporation amenable to suit brought in the courts of the state to enforce an obligation arising out of its activities there.</w:t>
      </w:r>
      <w:r>
        <w:t xml:space="preserve"> </w:t>
      </w:r>
      <w:r>
        <w:rPr>
          <w:rStyle w:val="Elision"/>
        </w:rPr>
        <w:t xml:space="preserve">[ … ]</w:t>
      </w:r>
      <w:r>
        <w:t xml:space="preserve"> </w:t>
      </w:r>
      <w:r>
        <w:t xml:space="preserve">The court found such additional activities in the salesmen’s display of samples sometimes in permanent display rooms, and the salesmen's residence within the state, continued over a period of years, all resulting in a substantial volume of merchandise regularly shipped by appellant to purchasers within the state.</w:t>
      </w:r>
      <w:r>
        <w:t xml:space="preserve"> </w:t>
      </w:r>
      <w:r>
        <w:rPr>
          <w:rStyle w:val="Elision"/>
        </w:rPr>
        <w:t xml:space="preserve">[ … ]</w:t>
      </w:r>
    </w:p>
    <w:p>
      <w:pPr>
        <w:pStyle w:val="CaseBody"/>
      </w:pPr>
      <w:r>
        <w:t xml:space="preserve">Appellant also insists that its activities within the state were not sufficient to manifest its “presence” there and that in its absence the state courts were without jurisdiction, that consequently it was a denial of due process for the state to subject appellant to suit. It refers to those cases in which it was said that the mere solicitation of orders for the purchase of goods within a state, to be accepted without the state and filled by shipment of the purchased goods interstate, does not render the corporation seller amenable to suit within the state.</w:t>
      </w:r>
      <w:r>
        <w:t xml:space="preserve"> </w:t>
      </w:r>
      <w:r>
        <w:rPr>
          <w:rStyle w:val="Elision"/>
        </w:rPr>
        <w:t xml:space="preserve">[ … ]</w:t>
      </w:r>
      <w:r>
        <w:t xml:space="preserve"> </w:t>
      </w:r>
      <w:r>
        <w:t xml:space="preserve">And appellant further argues that since it was not present within the state, it is a denial of due process to subject it to taxation or other money exaction. It thus denies the power of the state to lay the tax or to subject appellant to a suit for its collection.</w:t>
      </w:r>
    </w:p>
    <w:p>
      <w:pPr>
        <w:pStyle w:val="CaseBody"/>
      </w:pPr>
      <w:r>
        <w:t xml:space="preserve">Historically the jurisdiction of courts to render judgment</w:t>
      </w:r>
      <w:r>
        <w:t xml:space="preserve"> </w:t>
      </w:r>
      <w:r>
        <w:rPr>
          <w:iCs/>
          <w:i/>
        </w:rPr>
        <w:t xml:space="preserve">in personam</w:t>
      </w:r>
      <w:r>
        <w:t xml:space="preserve"> </w:t>
      </w:r>
      <w:r>
        <w:t xml:space="preserve">is grounded on their de facto power over the defendant’s person. Hence his presence within the territorial jurisdiction of a court was prerequisite to its rendition of a judgment personally binding him.</w:t>
      </w:r>
      <w:r>
        <w:t xml:space="preserve"> </w:t>
      </w:r>
      <w:r>
        <w:rPr>
          <w:iCs/>
          <w:i/>
        </w:rPr>
        <w:t xml:space="preserve">Pennoyer</w:t>
      </w:r>
      <w:r>
        <w:t xml:space="preserve"> </w:t>
      </w:r>
      <w:r>
        <w:t xml:space="preserve">v.</w:t>
      </w:r>
      <w:r>
        <w:t xml:space="preserve"> </w:t>
      </w:r>
      <w:r>
        <w:rPr>
          <w:iCs/>
          <w:i/>
        </w:rPr>
        <w:t xml:space="preserve">Neff,</w:t>
      </w:r>
      <w:r>
        <w:t xml:space="preserve"> </w:t>
      </w:r>
      <w:r>
        <w:t xml:space="preserve">95 U. S. 714</w:t>
      </w:r>
      <w:r>
        <w:t xml:space="preserve">, 733. But now that the</w:t>
      </w:r>
      <w:r>
        <w:t xml:space="preserve"> </w:t>
      </w:r>
      <w:r>
        <w:rPr>
          <w:iCs/>
          <w:i/>
        </w:rPr>
        <w:t xml:space="preserve">capias ad respondendum</w:t>
      </w:r>
      <w:r>
        <w:rPr>
          <w:rStyle w:val="FootnoteReference"/>
          <w:iCs/>
          <w:i/>
        </w:rPr>
        <w:footnoteReference w:customMarkFollows="1" w:id="134"/>
        <w:t xml:space="preserve">*****</w:t>
      </w:r>
      <w:r>
        <w:t xml:space="preserve"> </w:t>
      </w:r>
      <w:r>
        <w:t xml:space="preserve">has given way to personal service of summons or other form of notice, due process requires only that in order to subject a defendant to a judgment</w:t>
      </w:r>
      <w:r>
        <w:t xml:space="preserve"> </w:t>
      </w:r>
      <w:r>
        <w:rPr>
          <w:iCs/>
          <w:i/>
        </w:rPr>
        <w:t xml:space="preserve">in personam,</w:t>
      </w:r>
      <w:r>
        <w:t xml:space="preserve"> </w:t>
      </w:r>
      <w:r>
        <w:t xml:space="preserve">if he be not present within the territory of the forum, he have certain minimum contacts with it such that the maintenance of the suit does not offend “traditional notions of fair play and substantial justice.”</w:t>
      </w:r>
      <w:r>
        <w:t xml:space="preserve"> </w:t>
      </w:r>
      <w:r>
        <w:rPr>
          <w:rStyle w:val="Elision"/>
        </w:rPr>
        <w:t xml:space="preserve">[ … ]</w:t>
      </w:r>
      <w:r>
        <w:t xml:space="preserve"> </w:t>
      </w:r>
      <w:r>
        <w:t xml:space="preserve">See</w:t>
      </w:r>
      <w:r>
        <w:t xml:space="preserve"> </w:t>
      </w:r>
      <w:r>
        <w:rPr>
          <w:rStyle w:val="Elision"/>
        </w:rPr>
        <w:t xml:space="preserve">[ … ]</w:t>
      </w:r>
      <w:r>
        <w:t xml:space="preserve"> </w:t>
      </w:r>
      <w:r>
        <w:rPr>
          <w:iCs/>
          <w:i/>
        </w:rPr>
        <w:t xml:space="preserve">Hess</w:t>
      </w:r>
      <w:r>
        <w:t xml:space="preserve"> </w:t>
      </w:r>
      <w:r>
        <w:t xml:space="preserve">v.</w:t>
      </w:r>
      <w:r>
        <w:t xml:space="preserve"> </w:t>
      </w:r>
      <w:r>
        <w:rPr>
          <w:iCs/>
          <w:i/>
        </w:rPr>
        <w:t xml:space="preserve">Pawloski,</w:t>
      </w:r>
      <w:r>
        <w:t xml:space="preserve"> </w:t>
      </w:r>
      <w:r>
        <w:t xml:space="preserve">274 U. S. 352</w:t>
      </w:r>
      <w:r>
        <w:rPr>
          <w:rStyle w:val="Elision"/>
        </w:rPr>
        <w:t xml:space="preserve">[ … ]</w:t>
      </w:r>
    </w:p>
    <w:p>
      <w:pPr>
        <w:pStyle w:val="CaseBody"/>
      </w:pPr>
      <w:r>
        <w:t xml:space="preserve">Since the corporate personality is a fiction, although a fiction intended to be acted upon as though it were a fact,</w:t>
      </w:r>
      <w:r>
        <w:t xml:space="preserve"> </w:t>
      </w:r>
      <w:r>
        <w:rPr>
          <w:rStyle w:val="Elision"/>
        </w:rPr>
        <w:t xml:space="preserve">[ … ]</w:t>
      </w:r>
      <w:r>
        <w:t xml:space="preserve"> </w:t>
      </w:r>
      <w:r>
        <w:t xml:space="preserve">it is clear that unlike an individual its “presence” without, as well as within, the state of its origin can be manifested only by activities carried on in its behalf by those who are authorized to act for it. To say that the corporation is so far “present” there as to satisfy due process requirements, for purposes of taxation or the maintenance of suits against it in the courts of the state, is to beg the question to be decided. For the terms “present” or “presence” are used merely to symbolize those activities of the corporation’s agent within the state which courts will deem to be sufficient to satisfy the demands of due process.</w:t>
      </w:r>
      <w:r>
        <w:t xml:space="preserve"> </w:t>
      </w:r>
      <w:r>
        <w:rPr>
          <w:rStyle w:val="Elision"/>
        </w:rPr>
        <w:t xml:space="preserve">[ … ]</w:t>
      </w:r>
      <w:r>
        <w:t xml:space="preserve">. Those demands may be met by such contacts of the corporation with the state of the forum as make it reasonable, in the context of our federal system of government, to require the corporation to defend the particular suit which is brought there. An “estimate of the inconveniences” which would result to the corporation from a trial away from its “home” or principal place of business is relevant in this connection.</w:t>
      </w:r>
      <w:r>
        <w:t xml:space="preserve"> </w:t>
      </w:r>
      <w:r>
        <w:rPr>
          <w:rStyle w:val="Elision"/>
        </w:rPr>
        <w:t xml:space="preserve">[ … ]</w:t>
      </w:r>
    </w:p>
    <w:p>
      <w:pPr>
        <w:pStyle w:val="CaseBody"/>
      </w:pPr>
      <w:r>
        <w:t xml:space="preserve">“Presence” in the state in this sense has never been doubted when the activities of the corporation there have not only been continuous and systematic, but also give rise to the liabilities sued on, even though no consent to be sued or authorization to an agent to accept service of process has been given.</w:t>
      </w:r>
      <w:r>
        <w:t xml:space="preserve"> </w:t>
      </w:r>
      <w:r>
        <w:rPr>
          <w:rStyle w:val="Elision"/>
        </w:rPr>
        <w:t xml:space="preserve">[ … ]</w:t>
      </w:r>
      <w:r>
        <w:t xml:space="preserve"> </w:t>
      </w:r>
      <w:r>
        <w:t xml:space="preserve">Conversely it has been generally recognized that the casual presence of the corporate agent or even his conduct of single or isolated items of activities in a state in the corporation’s behalf are not enough to subject it to suit on causes of action unconnected with the activities there.</w:t>
      </w:r>
      <w:r>
        <w:t xml:space="preserve"> </w:t>
      </w:r>
      <w:r>
        <w:rPr>
          <w:rStyle w:val="Elision"/>
        </w:rPr>
        <w:t xml:space="preserve">[ … ]</w:t>
      </w:r>
      <w:r>
        <w:t xml:space="preserve"> </w:t>
      </w:r>
      <w:r>
        <w:t xml:space="preserve">To require the corporation in such circumstances to defend the suit away from its home or other jurisdiction where it carries on more substantial activities has been thought to lay too great and unreasonable a burden on the corporation to comport with due process.</w:t>
      </w:r>
    </w:p>
    <w:p>
      <w:pPr>
        <w:pStyle w:val="CaseBody"/>
      </w:pPr>
      <w:r>
        <w:t xml:space="preserve">While it has been held, in cases on which appellant relies, that continuous activity of some sorts within a state is not enough to support the demand that the corporation be amenable to suits unrelated to that activity,</w:t>
      </w:r>
      <w:r>
        <w:t xml:space="preserve"> </w:t>
      </w:r>
      <w:r>
        <w:rPr>
          <w:rStyle w:val="Elision"/>
        </w:rPr>
        <w:t xml:space="preserve">[ … ]</w:t>
      </w:r>
      <w:r>
        <w:t xml:space="preserve">there have been instances in which the continuous corporate operations within a state were thought so substantial and of such a nature as to justify suit against it on causes of action arising from dealings entirely distinct from those activities.</w:t>
      </w:r>
      <w:r>
        <w:t xml:space="preserve"> </w:t>
      </w:r>
      <w:r>
        <w:rPr>
          <w:rStyle w:val="Elision"/>
        </w:rPr>
        <w:t xml:space="preserve">[ … ]</w:t>
      </w:r>
    </w:p>
    <w:p>
      <w:pPr>
        <w:pStyle w:val="CaseBody"/>
      </w:pPr>
      <w:r>
        <w:t xml:space="preserve">Finally, although the commission of some single or occasional acts of the corporate agent in a state sufficient to impose an obligation or liability on the corporation has not been thought to confer upon the state authority to enforce it,</w:t>
      </w:r>
      <w:r>
        <w:t xml:space="preserve"> </w:t>
      </w:r>
      <w:r>
        <w:rPr>
          <w:rStyle w:val="Elision"/>
        </w:rPr>
        <w:t xml:space="preserve">[ … ]</w:t>
      </w:r>
      <w:r>
        <w:t xml:space="preserve"> </w:t>
      </w:r>
      <w:r>
        <w:t xml:space="preserve">other such acts, because of their nature and quality and the circumstances of their commission, may be deemed sufficient to render the corporation liable to suit. Cf.</w:t>
      </w:r>
      <w:r>
        <w:t xml:space="preserve"> </w:t>
      </w:r>
      <w:r>
        <w:rPr>
          <w:iCs/>
          <w:i/>
        </w:rPr>
        <w:t xml:space="preserve">Kane</w:t>
      </w:r>
      <w:r>
        <w:t xml:space="preserve"> </w:t>
      </w:r>
      <w:r>
        <w:t xml:space="preserve">v.</w:t>
      </w:r>
      <w:r>
        <w:t xml:space="preserve"> </w:t>
      </w:r>
      <w:r>
        <w:rPr>
          <w:iCs/>
          <w:i/>
        </w:rPr>
        <w:t xml:space="preserve">New Jersey,</w:t>
      </w:r>
      <w:r>
        <w:t xml:space="preserve"> </w:t>
      </w:r>
      <w:r>
        <w:t xml:space="preserve">242 U. S. 160</w:t>
      </w:r>
      <w:r>
        <w:t xml:space="preserve">;</w:t>
      </w:r>
      <w:r>
        <w:t xml:space="preserve"> </w:t>
      </w:r>
      <w:r>
        <w:rPr>
          <w:iCs/>
          <w:i/>
        </w:rPr>
        <w:t xml:space="preserve">Hess</w:t>
      </w:r>
      <w:r>
        <w:t xml:space="preserve"> </w:t>
      </w:r>
      <w:r>
        <w:t xml:space="preserve">v.</w:t>
      </w:r>
    </w:p>
    <w:p>
      <w:pPr>
        <w:pStyle w:val="CaseBody"/>
      </w:pPr>
      <w:r>
        <w:t xml:space="preserve">Pawloski,</w:t>
      </w:r>
    </w:p>
    <w:p>
      <w:pPr>
        <w:pStyle w:val="CaseBody"/>
      </w:pPr>
      <w:r>
        <w:t xml:space="preserve">supra</w:t>
      </w:r>
      <w:r>
        <w:rPr>
          <w:rStyle w:val="Elision"/>
        </w:rPr>
        <w:t xml:space="preserve">[ … ]</w:t>
      </w:r>
      <w:r>
        <w:t xml:space="preserve">True, some of the decisions holding the corporation amenable to suit have been supported by resort to the legal fiction that it has given its consent to service and suit, consent being implied from its presence in the state through the acts of its authorized agents.</w:t>
      </w:r>
      <w:r>
        <w:rPr>
          <w:rStyle w:val="Elision"/>
        </w:rPr>
        <w:t xml:space="preserve">[ … ]</w:t>
      </w:r>
      <w:r>
        <w:t xml:space="preserve"> </w:t>
      </w:r>
      <w:r>
        <w:t xml:space="preserve">But more realistically it may be said that those authorized acts were of such a nature as to justify the fiction.</w:t>
      </w:r>
      <w:r>
        <w:t xml:space="preserve"> </w:t>
      </w:r>
      <w:r>
        <w:rPr>
          <w:rStyle w:val="Elision"/>
        </w:rPr>
        <w:t xml:space="preserve">[ … ]</w:t>
      </w:r>
    </w:p>
    <w:p>
      <w:pPr>
        <w:pStyle w:val="CaseBody"/>
      </w:pPr>
      <w:r>
        <w:t xml:space="preserve">It is evident that the criteria by which we mark the boundary line between those activities which justify the subjection of a corporation to suit, and those which do not, cannot be simply mechanical or quantitative. The test is not merely, as has sometimes been suggested, whether the activity, which the corporation has seen fit to procure through its agents in another state, is a little more or a little less.</w:t>
      </w:r>
      <w:r>
        <w:t xml:space="preserve"> </w:t>
      </w:r>
      <w:r>
        <w:rPr>
          <w:rStyle w:val="Elision"/>
        </w:rPr>
        <w:t xml:space="preserve">[ … ]</w:t>
      </w:r>
      <w:r>
        <w:t xml:space="preserve"> </w:t>
      </w:r>
      <w:r>
        <w:t xml:space="preserve">Whether due process is satisfied must depend rather upon the quality and nature of the activity in relation to the fair and orderly administration of the laws which it was the purpose of the due process clause to insure. That clause does not contemplate that a state may make binding a judgment</w:t>
      </w:r>
      <w:r>
        <w:t xml:space="preserve"> </w:t>
      </w:r>
      <w:r>
        <w:rPr>
          <w:iCs/>
          <w:i/>
        </w:rPr>
        <w:t xml:space="preserve">in personam</w:t>
      </w:r>
      <w:r>
        <w:t xml:space="preserve"> </w:t>
      </w:r>
      <w:r>
        <w:t xml:space="preserve">against an individual or corporate defendant with which the state has no contacts, ties, or relations. Cf.</w:t>
      </w:r>
      <w:r>
        <w:t xml:space="preserve"> </w:t>
      </w:r>
      <w:r>
        <w:rPr>
          <w:iCs/>
          <w:i/>
        </w:rPr>
        <w:t xml:space="preserve">Pennoyer</w:t>
      </w:r>
      <w:r>
        <w:t xml:space="preserve"> </w:t>
      </w:r>
      <w:r>
        <w:t xml:space="preserve">v.</w:t>
      </w:r>
    </w:p>
    <w:p>
      <w:pPr>
        <w:pStyle w:val="CaseBody"/>
      </w:pPr>
      <w:r>
        <w:t xml:space="preserve">Neff,</w:t>
      </w:r>
    </w:p>
    <w:p>
      <w:pPr>
        <w:pStyle w:val="CaseBody"/>
      </w:pPr>
      <w:r>
        <w:t xml:space="preserve">supra</w:t>
      </w:r>
      <w:r>
        <w:rPr>
          <w:rStyle w:val="Elision"/>
        </w:rPr>
        <w:t xml:space="preserve">[ … ]</w:t>
      </w:r>
    </w:p>
    <w:p>
      <w:pPr>
        <w:pStyle w:val="CaseBody"/>
      </w:pPr>
      <w:r>
        <w:t xml:space="preserve">But to the extent that a corporation exercises the privilege of conducting activities within a state, it enjoys the benefits and protection of the laws of that state. The exercise of that privilege may give rise to obligations, and, so far as those obligations arise out of or are connected with the activities within the state, a procedure which requires the corporation to respond to a suit brought to enforce them can, in most instances, hardly be said to be undue.</w:t>
      </w:r>
      <w:r>
        <w:t xml:space="preserve"> </w:t>
      </w:r>
      <w:r>
        <w:rPr>
          <w:rStyle w:val="Elision"/>
        </w:rPr>
        <w:t xml:space="preserve">[ … ]</w:t>
      </w:r>
    </w:p>
    <w:p>
      <w:pPr>
        <w:pStyle w:val="CaseBody"/>
      </w:pPr>
      <w:r>
        <w:t xml:space="preserve">Applying these standards, the activities carried on in behalf of appellant in the State of Washington were neither irregular nor casual. They were systematic and continuous throughout the years in question. They resulted in a large volume of interstate business, in the course of which appellant received the benefits and protection of the laws of the state, including the right to resort to the courts for the enforcement of its rights. The obligation which is here sued upon arose out of those very activities. It is evident that these operations establish sufficient contacts or ties with the state of the forum to make it reasonable and just, according to our traditional conception of fair play and substantial justice, to permit the state to enforce the obligations which appellant has incurred there. Hence we cannot say that the maintenance of the present suit in the State of Washington involves an unreasonable or undue procedure.</w:t>
      </w:r>
    </w:p>
    <w:p>
      <w:pPr>
        <w:pStyle w:val="CaseBody"/>
      </w:pPr>
      <w:r>
        <w:t xml:space="preserve">We are likewise unable to conclude that the service of the process within the state upon an agent whose activities establish appellant’s “presence” there was not sufficient notice of the suit, or that the suit was so unrelated to those activities as to make the agent an inappropriate vehicle for communicating the notice. It is enough that appellant has established such contacts with the state that the particular form of substituted service adopted there gives reasonable assurance that the notice will be actual.</w:t>
      </w:r>
      <w:r>
        <w:t xml:space="preserve"> </w:t>
      </w:r>
      <w:r>
        <w:rPr>
          <w:rStyle w:val="Elision"/>
        </w:rPr>
        <w:t xml:space="preserve">[ … ]</w:t>
      </w:r>
      <w:r>
        <w:t xml:space="preserve">Nor can we say that the mailing of the notice of suit to appellant by registered mail at its home office was not reasonably calculated to apprise appellant of the suit.</w:t>
      </w:r>
      <w:r>
        <w:t xml:space="preserve"> </w:t>
      </w:r>
      <w:r>
        <w:rPr>
          <w:rStyle w:val="Elision"/>
        </w:rPr>
        <w:t xml:space="preserve">[ … ]</w:t>
      </w:r>
      <w:r>
        <w:rPr>
          <w:rStyle w:val="Elision"/>
        </w:rPr>
        <w:t xml:space="preserve">[ … ]</w:t>
      </w:r>
    </w:p>
    <w:p>
      <w:pPr>
        <w:pStyle w:val="CaseBody"/>
      </w:pPr>
      <w:r>
        <w:t xml:space="preserve">Appellant having rendered itself amenable to suit upon obligations arising out of the activities of its salesmen in Washington, the state may maintain the present suit</w:t>
      </w:r>
      <w:r>
        <w:t xml:space="preserve"> </w:t>
      </w:r>
      <w:r>
        <w:rPr>
          <w:iCs/>
          <w:i/>
        </w:rPr>
        <w:t xml:space="preserve">in personam</w:t>
      </w:r>
      <w:r>
        <w:t xml:space="preserve"> </w:t>
      </w:r>
      <w:r>
        <w:t xml:space="preserve">to collect the tax laid upon the exercise of the privilege of employing appellant’s salesmen within the state. For Washington has made one of those activities, which taken together establish appellant’s “presence” there for purposes of suit, the taxable event by which the state brings appellant within the reach of its taxing power. The state thus has constitutional power to lay the tax and to subject appellant to a suit to recover it. The activities which establish its “presence” subject it alike to taxation by the state and to suit to recover the tax.</w:t>
      </w:r>
      <w:r>
        <w:t xml:space="preserve"> </w:t>
      </w:r>
      <w:r>
        <w:rPr>
          <w:rStyle w:val="Elision"/>
        </w:rPr>
        <w:t xml:space="preserve">[ … ]</w:t>
      </w:r>
    </w:p>
    <w:p>
      <w:pPr>
        <w:pStyle w:val="CaseBody"/>
      </w:pPr>
      <w:r>
        <w:rPr>
          <w:iCs/>
          <w:i/>
        </w:rPr>
        <w:t xml:space="preserve">Affirmed.</w:t>
      </w:r>
    </w:p>
    <w:p>
      <w:pPr>
        <w:pStyle w:val="CaseBody"/>
      </w:pPr>
      <w:r>
        <w:t xml:space="preserve">Mr. Justice Jackson took no part in the consideration or decision of this case.</w:t>
      </w:r>
    </w:p>
    <w:p>
      <w:pPr>
        <w:pStyle w:val="CaseBody"/>
      </w:pPr>
      <w:r>
        <w:t xml:space="preserve">Mr. Justice Black</w:t>
      </w:r>
    </w:p>
    <w:p>
      <w:pPr>
        <w:pStyle w:val="CaseBody"/>
      </w:pPr>
      <w:r>
        <w:t xml:space="preserve">delivered the following opinion.</w:t>
      </w:r>
    </w:p>
    <w:p>
      <w:pPr>
        <w:pStyle w:val="CaseBody"/>
      </w:pPr>
      <w:r>
        <w:rPr>
          <w:rStyle w:val="ReplacementText"/>
        </w:rPr>
        <w:t xml:space="preserve">It</w:t>
      </w:r>
    </w:p>
    <w:p>
      <w:pPr>
        <w:pStyle w:val="CaseBody"/>
      </w:pPr>
      <w:r>
        <w:t xml:space="preserve">is unthinkable that the vague due process clause was ever intended to prohibit a State from regulating or taxing a business carried on within its boundaries simply because this is done by agents of a corporation organized and having its headquarters elsewhere. To read this into the due process clause would in fact result in depriving a State’s citizens of due process by taking from the State the power to protect them in their business dealings within its boundaries with representatives of a foreign corporation. Nothing could be more irrational or more designed to defeat the function of our federative system of government. Certainly a State, at the very least, has power to tax and sue those dealing with its citizens within its boundaries</w:t>
      </w:r>
      <w:r>
        <w:rPr>
          <w:rStyle w:val="Elision"/>
        </w:rPr>
        <w:t xml:space="preserve">[ … ]</w:t>
      </w:r>
    </w:p>
    <w:p>
      <w:pPr>
        <w:pStyle w:val="CaseBody"/>
      </w:pPr>
      <w:r>
        <w:t xml:space="preserve">I believe that the Federal Constitution leaves to each State, without any “ifs” or “buts,” a power to tax and to open the doors of its courts for its citizens to sue corporations whose agents do business in those States. Believing that the Constitution gave the States that power, I think it a judicial deprivation to condition its exercise upon this Court’s notion of “fair play,” however appealing that term may be. Nor can I stretch the meaning of due process so far as to authorize this Court to deprive a State of the right to afford judicial protection to its citizens on the ground that it would be more “convenient” for the corporation to be sued somewhere else.</w:t>
      </w:r>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64" w:name="_auto_toc_64"/>
    <w:bookmarkEnd w:id="64"/>
    <w:p>
      <w:pPr>
        <w:pStyle w:val="ResourceNumber"/>
      </w:pPr>
      <w:r>
        <w:t xml:space="preserve">6.5</w:t>
      </w:r>
    </w:p>
    <w:p>
      <w:pPr>
        <w:pStyle w:val="ResourceTitle"/>
      </w:pPr>
      <w:r>
        <w:t xml:space="preserve">Notes following International Shoe</w:t>
      </w:r>
    </w:p>
    <w:p>
      <w:pPr>
        <w:pStyle w:val="HeadEnd"/>
      </w:pPr>
      <w:r>
        <w:t xml:space="preserve"> </w:t>
      </w:r>
    </w:p>
    <w:p>
      <w:pPr>
        <w:pStyle w:val="BodyText"/>
      </w:pPr>
      <w:r>
        <w:t xml:space="preserve">1.</w:t>
      </w:r>
      <w:r>
        <w:t xml:space="preserve"> </w:t>
      </w:r>
      <w:r>
        <w:rPr>
          <w:bCs/>
          <w:b/>
        </w:rPr>
        <w:t xml:space="preserve">Two bases for in personam jurisdiction</w:t>
      </w:r>
      <w:r>
        <w:t xml:space="preserve">: The Court in</w:t>
      </w:r>
      <w:r>
        <w:t xml:space="preserve"> </w:t>
      </w:r>
      <w:r>
        <w:rPr>
          <w:iCs/>
          <w:i/>
        </w:rPr>
        <w:t xml:space="preserve">International Shoe</w:t>
      </w:r>
      <w:r>
        <w:t xml:space="preserve"> </w:t>
      </w:r>
      <w:r>
        <w:t xml:space="preserve">notes two potential bases of in personam jurisdiction (IPJ): general and specific. For general IPJ, jurisdiction over all matters against the defendant is permissible, without need for a relationship between the subject matter of the litigation and the forum. Specific IPJ, in contrast, requires a relationship among (1) the defendant, (2) the subject matter of the litigation, and (3) the forum in order for jurisdiction to be established.</w:t>
      </w:r>
    </w:p>
    <w:p>
      <w:pPr>
        <w:pStyle w:val="BodyText"/>
      </w:pPr>
      <w:r>
        <w:rPr>
          <w:bCs/>
          <w:b/>
        </w:rPr>
        <w:t xml:space="preserve">       (a) Specific in personam jurisdiction</w:t>
      </w:r>
      <w:r>
        <w:t xml:space="preserve">: In</w:t>
      </w:r>
      <w:r>
        <w:t xml:space="preserve"> </w:t>
      </w:r>
      <w:r>
        <w:rPr>
          <w:iCs/>
          <w:i/>
        </w:rPr>
        <w:t xml:space="preserve">International Shoe</w:t>
      </w:r>
      <w:r>
        <w:t xml:space="preserve">, the court found specific IPJ over the defendant given that the defendant had hired salespeople to sell shoes in Washington but failed to pay state taxes and contribute to unemployment insurance in Washington. The court here focused on the nature of the defendant’s activities, emphasizing that International Shoe had “purposefully availed” itself of the ability to do business in Washington, generated economic benefit from its activity, and had been doing so under protection of Washington law. Importantly, the court focused on the nature of the defendant’s activities to the exclusion of other factors such as Washington’s interest in providing a forum for this litigation, the plaintiff’s interest in having a convenient and accessible forum, whether the forum would be applying its own law, or the availability of physical evidence or witnesses in the forum.</w:t>
      </w:r>
    </w:p>
    <w:p>
      <w:pPr>
        <w:pStyle w:val="BodyText"/>
      </w:pPr>
      <w:r>
        <w:rPr>
          <w:bCs/>
          <w:b/>
        </w:rPr>
        <w:t xml:space="preserve">       (b) General in personam jurisdiction</w:t>
      </w:r>
      <w:r>
        <w:t xml:space="preserve">. In comparison to specific IPJ, general IPJ (where it exists) is expansive – it extends jurisdiction to cover all matters against the defendant without regard for the relationship of the subject matter of the litigation with the forum. Usually, general IPJ exists only in states in which the defendant is a citizen under the subject matter jurisdiction rules (domicile for a person, PPoB for an unincorporated association, place of incorporation and PPoB for a corporation). For general IPJ to exist in any other state, the strength of the tie between the defendant and the subject matter of litigation must be extraordinarily strong. In</w:t>
      </w:r>
      <w:r>
        <w:t xml:space="preserve"> </w:t>
      </w:r>
      <w:r>
        <w:rPr>
          <w:iCs/>
          <w:i/>
        </w:rPr>
        <w:t xml:space="preserve">Goodyear Dunlop Tires Oper. v. Brown</w:t>
      </w:r>
      <w:r>
        <w:t xml:space="preserve">, the court noted that the “paradigm forum” for general jurisdiction for individuals was their domicile, while the equivalent for corporations was where they were fairly regarded at home, such as their place of incorporation and principal place of business. 564 U.S. 915, 924 (2011). In</w:t>
      </w:r>
      <w:r>
        <w:t xml:space="preserve"> </w:t>
      </w:r>
      <w:r>
        <w:rPr>
          <w:iCs/>
          <w:i/>
        </w:rPr>
        <w:t xml:space="preserve">Daimler AG v. Bauman</w:t>
      </w:r>
      <w:r>
        <w:t xml:space="preserve">, the Supreme Court addressed the question of when a company’s contacts with a forum would be sufficiently substantial enough to view it as “essentially at home.” 571 U.S. 117 (2014). We will consider </w:t>
      </w:r>
      <w:r>
        <w:rPr>
          <w:iCs/>
          <w:i/>
        </w:rPr>
        <w:t xml:space="preserve">Daimler</w:t>
      </w:r>
      <w:r>
        <w:t xml:space="preserve"> </w:t>
      </w:r>
      <w:r>
        <w:t xml:space="preserve">further.</w:t>
      </w:r>
    </w:p>
    <w:p>
      <w:pPr>
        <w:pStyle w:val="BodyText"/>
      </w:pPr>
      <w:r>
        <w:t xml:space="preserve">2.</w:t>
      </w:r>
      <w:r>
        <w:t xml:space="preserve"> </w:t>
      </w:r>
      <w:r>
        <w:rPr>
          <w:iCs/>
          <w:i/>
        </w:rPr>
        <w:t xml:space="preserve">International Shoe</w:t>
      </w:r>
      <w:r>
        <w:t xml:space="preserve"> </w:t>
      </w:r>
      <w:r>
        <w:t xml:space="preserve">announces a new rule for in personam jurisdiction based on "minimum contacts." How does this doctrine broaden the rules in</w:t>
      </w:r>
      <w:r>
        <w:t xml:space="preserve"> </w:t>
      </w:r>
      <w:r>
        <w:rPr>
          <w:iCs/>
          <w:i/>
        </w:rPr>
        <w:t xml:space="preserve">Kane</w:t>
      </w:r>
      <w:r>
        <w:t xml:space="preserve"> </w:t>
      </w:r>
      <w:r>
        <w:t xml:space="preserve">and</w:t>
      </w:r>
      <w:r>
        <w:t xml:space="preserve"> </w:t>
      </w:r>
      <w:r>
        <w:rPr>
          <w:iCs/>
          <w:i/>
        </w:rPr>
        <w:t xml:space="preserve">Hess</w:t>
      </w:r>
      <w:r>
        <w:t xml:space="preserve">? What rationales does this doctrine preserve?</w:t>
      </w:r>
    </w:p>
    <w:p>
      <w:pPr>
        <w:pStyle w:val="NodeEnd"/>
      </w:pPr>
      <w:r>
        <w:t xml:space="preserve"> </w:t>
      </w:r>
    </w:p>
    <w:p>
      <w:pPr>
        <w:pStyle w:val="NodeStart"/>
      </w:pPr>
      <w:r>
        <w:t xml:space="preserve"> </w:t>
      </w:r>
    </w:p>
    <w:p>
      <w:pPr>
        <w:pStyle w:val="HeadSeparator"/>
      </w:pPr>
      <w:r>
        <w:t xml:space="preserve"> </w:t>
      </w:r>
    </w:p>
    <w:bookmarkStart w:id="65" w:name="_auto_toc_65"/>
    <w:bookmarkEnd w:id="65"/>
    <w:p>
      <w:pPr>
        <w:pStyle w:val="ResourceNumber"/>
      </w:pPr>
      <w:r>
        <w:t xml:space="preserve">6.6</w:t>
      </w:r>
    </w:p>
    <w:p>
      <w:pPr>
        <w:pStyle w:val="ResourceTitle"/>
      </w:pPr>
      <w:r>
        <w:t xml:space="preserve">Contesting Jurisdiction and Limited Appearances</w:t>
      </w:r>
    </w:p>
    <w:p>
      <w:pPr>
        <w:pStyle w:val="HeadEnd"/>
      </w:pPr>
      <w:r>
        <w:t xml:space="preserve"> </w:t>
      </w:r>
    </w:p>
    <w:p>
      <w:pPr>
        <w:pStyle w:val="BodyText"/>
      </w:pPr>
      <w:r>
        <w:t xml:space="preserve">When a plaintiff files a lawsuit against a defendant, the defendant has 3 options: consent, contest, or default. </w:t>
      </w:r>
    </w:p>
    <w:p>
      <w:pPr>
        <w:pStyle w:val="BodyText"/>
      </w:pPr>
      <w:r>
        <w:br/>
      </w:r>
      <w:r>
        <w:rPr>
          <w:bCs/>
          <w:b/>
        </w:rPr>
        <w:t xml:space="preserve">Option 1: Consent.</w:t>
      </w:r>
      <w:r>
        <w:t xml:space="preserve"> </w:t>
      </w:r>
      <w:r>
        <w:t xml:space="preserve">Regardless of if there would be in personam jurisdiction otherwise, a defendant can consent to general in personam jurisdiction by a court and the case can move forward.  A defendant can consent in various ways that we will discuss in class.  Two examples include failing to object in a timely manner to a court's exercise of jurisdiction, and agreeing in a contract to litigate certain issues (usually anything relating in some way to the contract) in a particular forum (such contractual provisions are called "forum selection clauses").  </w:t>
      </w:r>
    </w:p>
    <w:p>
      <w:pPr>
        <w:pStyle w:val="BodyText"/>
      </w:pPr>
      <w:r>
        <w:br/>
      </w:r>
      <w:r>
        <w:rPr>
          <w:bCs/>
          <w:b/>
        </w:rPr>
        <w:t xml:space="preserve">Option 2: Contest.</w:t>
      </w:r>
      <w:r>
        <w:t xml:space="preserve"> </w:t>
      </w:r>
      <w:r>
        <w:t xml:space="preserve">The defendant may choose to make a “special” or “limited” appearance contesting specifically the question of in personam jurisdiction. If the defendant wins, the case is dismissed. If the defendant loses on this issue of in personam jurisdiction, the defendant may then dispute the merits. </w:t>
      </w:r>
    </w:p>
    <w:p>
      <w:pPr>
        <w:pStyle w:val="BodyText"/>
      </w:pPr>
      <w:r>
        <w:br/>
      </w:r>
      <w:r>
        <w:rPr>
          <w:bCs/>
          <w:b/>
        </w:rPr>
        <w:t xml:space="preserve">Option 3: Default.</w:t>
      </w:r>
      <w:r>
        <w:t xml:space="preserve"> </w:t>
      </w:r>
      <w:r>
        <w:t xml:space="preserve">If the defendant does not appear, the court issues a default judgment in favor of the plaintiff.</w:t>
      </w:r>
    </w:p>
    <w:p>
      <w:pPr>
        <w:pStyle w:val="BodyText"/>
      </w:pPr>
      <w:r>
        <w:br/>
      </w:r>
      <w:r>
        <w:t xml:space="preserve">If the plaintiff prevails on the merits following any of the above options (they will almost certainly do so if the defendant chooses Option 3) and the court enters a judgment awarding damages in their favor, the plaintiff may try to find property owned by the defendant, either in the forum state or in some other state, and ask a court in the state in which that property is located to seize and sell it to satisfy the judgment.  This seizure, in essence, is a second lawsuit; it operates just like a quasi-in-rem proceeding.</w:t>
      </w:r>
    </w:p>
    <w:p>
      <w:pPr>
        <w:pStyle w:val="BodyText"/>
      </w:pPr>
      <w:r>
        <w:t xml:space="preserve">Consider how the option taken by the defendant in the first lawsuit (L1) shapes this second lawsuit (L2) if L1 took place in State A and L2 takes place in a different state, State B. If the defendant consented to in personam jurisdiction (Option 1) and loses on the merits or made a special appearance in L1 (Option 2) and lost on both the issue of in personam jurisdiction and the merits of the case, the defendant cannot argue in L2 that the L1 court lacked of in personam jurisdiction.</w:t>
      </w:r>
    </w:p>
    <w:p>
      <w:pPr>
        <w:pStyle w:val="BodyText"/>
      </w:pPr>
      <w:r>
        <w:t xml:space="preserve">If the defendant defaulted in L1 (Option 3), the defendant can litigate in L2 whether the State A/L1 court had in personam jurisdiction.</w:t>
      </w:r>
    </w:p>
    <w:p>
      <w:pPr>
        <w:pStyle w:val="NodeEnd"/>
      </w:pPr>
      <w:r>
        <w:t xml:space="preserve"> </w:t>
      </w:r>
    </w:p>
    <w:p>
      <w:pPr>
        <w:pStyle w:val="NodeStart"/>
      </w:pPr>
      <w:r>
        <w:t xml:space="preserve"> </w:t>
      </w:r>
    </w:p>
    <w:p>
      <w:pPr>
        <w:pStyle w:val="HeadSeparator"/>
      </w:pPr>
      <w:r>
        <w:t xml:space="preserve"> </w:t>
      </w:r>
    </w:p>
    <w:bookmarkStart w:id="66" w:name="_auto_toc_66"/>
    <w:bookmarkEnd w:id="66"/>
    <w:p>
      <w:pPr>
        <w:pStyle w:val="ResourceNumber"/>
      </w:pPr>
      <w:r>
        <w:t xml:space="preserve">6.7</w:t>
      </w:r>
    </w:p>
    <w:p>
      <w:pPr>
        <w:pStyle w:val="ResourceTitle"/>
      </w:pPr>
      <w:r>
        <w:t xml:space="preserve">Long-arm Statute Examples</w:t>
      </w:r>
    </w:p>
    <w:p>
      <w:pPr>
        <w:pStyle w:val="HeadEnd"/>
      </w:pPr>
      <w:r>
        <w:t xml:space="preserve"> </w:t>
      </w:r>
    </w:p>
    <w:p>
      <w:pPr>
        <w:pStyle w:val="BodyText"/>
      </w:pPr>
      <w:r>
        <w:t xml:space="preserve">California's long-arm statute reads as follows:  “A court of this state may exercise jurisdiction on any basis not inconsistent with the Constitution of this state or of the United States.”</w:t>
      </w:r>
    </w:p>
    <w:p>
      <w:pPr>
        <w:pStyle w:val="BodyText"/>
      </w:pPr>
      <w:r>
        <w:t xml:space="preserve">Now, read the Massachusetts long-arm statute, located at</w:t>
      </w:r>
      <w:r>
        <w:t xml:space="preserve"> </w:t>
      </w:r>
      <w:hyperlink r:id="rId52">
        <w:r>
          <w:rPr>
            <w:rStyle w:val="Hyperlink"/>
          </w:rPr>
          <w:t xml:space="preserve">http://www.lrcvaw.org/laws/malongarm.pdf</w:t>
        </w:r>
      </w:hyperlink>
      <w:r>
        <w:t xml:space="preserve">.</w:t>
      </w:r>
    </w:p>
    <w:p>
      <w:pPr>
        <w:pStyle w:val="NodeEnd"/>
      </w:pPr>
      <w:r>
        <w:t xml:space="preserve"> </w:t>
      </w:r>
    </w:p>
    <w:p>
      <w:pPr>
        <w:pStyle w:val="NodeStart"/>
      </w:pPr>
      <w:r>
        <w:t xml:space="preserve"> </w:t>
      </w:r>
    </w:p>
    <w:p>
      <w:pPr>
        <w:pStyle w:val="HeadSeparator"/>
      </w:pPr>
      <w:r>
        <w:t xml:space="preserve"> </w:t>
      </w:r>
    </w:p>
    <w:bookmarkStart w:id="67" w:name="_auto_toc_67"/>
    <w:bookmarkEnd w:id="67"/>
    <w:p>
      <w:pPr>
        <w:pStyle w:val="ResourceNumber"/>
      </w:pPr>
      <w:r>
        <w:t xml:space="preserve">6.8</w:t>
      </w:r>
    </w:p>
    <w:p>
      <w:pPr>
        <w:pStyle w:val="ResourceTitle"/>
      </w:pPr>
      <w:r>
        <w:t xml:space="preserve">Daimler AG v. Bauman</w:t>
      </w:r>
    </w:p>
    <w:p>
      <w:pPr>
        <w:pStyle w:val="HeadFieldSeparator"/>
      </w:pPr>
      <w:r>
        <w:t xml:space="preserve"> </w:t>
      </w:r>
    </w:p>
    <w:p>
      <w:pPr>
        <w:pStyle w:val="ResourceHeadnote"/>
      </w:pPr>
      <w:r>
        <w:t xml:space="preserve">As noted above,</w:t>
      </w:r>
      <w:r>
        <w:t xml:space="preserve"> </w:t>
      </w:r>
      <w:r>
        <w:rPr>
          <w:iCs/>
          <w:i/>
        </w:rPr>
        <w:t xml:space="preserve">International Shoe</w:t>
      </w:r>
      <w:r>
        <w:t xml:space="preserve"> </w:t>
      </w:r>
      <w:r>
        <w:t xml:space="preserve">suggested that there would be two types of personal jurisdiction.</w:t>
      </w:r>
    </w:p>
    <w:p>
      <w:pPr>
        <w:pStyle w:val="ResourceHeadnote"/>
      </w:pPr>
      <w:r>
        <w:t xml:space="preserve">(1) General personal jurisdiction: The forum state need not have any relationship with the events giving rise to the lawsuit. Everyone agrees that a court of a defendant's domicile (for a human defendant), or of its place of incorporation or its principal place of business (for a corporation), can exercise general personal jurisdiction.</w:t>
      </w:r>
    </w:p>
    <w:p>
      <w:pPr>
        <w:pStyle w:val="ResourceHeadnote"/>
      </w:pPr>
      <w:r>
        <w:t xml:space="preserve">(2) Specific personal jurisdiction: There is some relationship among the forum state, the parties, and the facts giving rise to the lawsuit.</w:t>
      </w:r>
    </w:p>
    <w:p>
      <w:pPr>
        <w:pStyle w:val="ResourceHeadnote"/>
      </w:pPr>
      <w:r>
        <w:t xml:space="preserve">I</w:t>
      </w:r>
      <w:r>
        <w:t xml:space="preserve">n</w:t>
      </w:r>
      <w:r>
        <w:t xml:space="preserve"> </w:t>
      </w:r>
      <w:r>
        <w:rPr>
          <w:iCs/>
          <w:i/>
        </w:rPr>
        <w:t xml:space="preserve">Daimler AG v. Bauman</w:t>
      </w:r>
      <w:r>
        <w:t xml:space="preserve">, the Supreme Court established that general personal jurisdiction can be exercised by a forum other than a corporation’s states of incorporation and principal place of business only when the company’s contacts surpass some unspecified level when viewed in comparison to the company’s “nationwide and worldwide activities” so as to render it "essentially at home." But what does it mean to be "essentially at home"? The</w:t>
      </w:r>
      <w:r>
        <w:t xml:space="preserve"> </w:t>
      </w:r>
      <w:r>
        <w:rPr>
          <w:iCs/>
          <w:i/>
        </w:rPr>
        <w:t xml:space="preserve">Daimler</w:t>
      </w:r>
      <w:r>
        <w:t xml:space="preserve"> </w:t>
      </w:r>
      <w:r>
        <w:t xml:space="preserve">majority opinion addresses this question in a footnote. Justice Sotomayor's concurrence states the majority's rule more clearly than does the majority itself.</w:t>
      </w:r>
    </w:p>
    <w:p>
      <w:pPr>
        <w:pStyle w:val="HeadEnd"/>
      </w:pPr>
      <w:r>
        <w:t xml:space="preserve"> </w:t>
      </w:r>
    </w:p>
    <w:p>
      <w:pPr>
        <w:pStyle w:val="CaseHeader"/>
      </w:pPr>
      <w:r>
        <w:t xml:space="preserve">Supreme Court of the United States</w:t>
      </w:r>
    </w:p>
    <w:p>
      <w:pPr>
        <w:pStyle w:val="CaseHeader"/>
      </w:pPr>
      <w:r>
        <w:t xml:space="preserve">571 U.S. 117, 187 L. Ed. 2d 624, 134 S. Ct. 746</w:t>
      </w:r>
    </w:p>
    <w:p>
      <w:pPr>
        <w:pStyle w:val="CaseHeader"/>
      </w:pPr>
      <w:r>
        <w:t xml:space="preserve">No. 11–965.</w:t>
      </w:r>
    </w:p>
    <w:p>
      <w:pPr>
        <w:pStyle w:val="CaseHeader"/>
      </w:pPr>
      <w:r>
        <w:t xml:space="preserve">2014-01-14</w:t>
      </w:r>
    </w:p>
    <w:p>
      <w:pPr>
        <w:pStyle w:val="CaseBody"/>
      </w:pPr>
      <w:r>
        <w:rPr>
          <w:rStyle w:val="Elision"/>
        </w:rPr>
        <w:t xml:space="preserve">[ … ]</w:t>
      </w:r>
    </w:p>
    <w:p>
      <w:pPr>
        <w:pStyle w:val="CaseBody"/>
      </w:pPr>
      <w:r>
        <w:t xml:space="preserve">Justice GINSBURG delivered the opinion of the Court.</w:t>
      </w:r>
    </w:p>
    <w:p>
      <w:pPr>
        <w:pStyle w:val="CaseBody"/>
      </w:pPr>
      <w:r>
        <w:rPr>
          <w:rStyle w:val="ReplacementText"/>
        </w:rPr>
        <w:t xml:space="preserve">Residents of Argentina filed suit in California Federal District Court against Daimler, a German corporation, alleging that Daimler's Argentinian subsidiary had collaborated with Argentine security forces during the country's 1976-1983 "Dirty War" to kidnap, detain, torture, and kill plaintiffs or persons closely related to plaintiffs. The plaintiffs conceded that California had no relationship to the events giving rise to the lawsuit, so the question was whether the California federal district court could exercise general jurisdiction over Daimler-Germany. Under Fed. R. Civ. P. 4(k)(1)(A), the California federal district court could exercise such jurisdiction if a California state court could do so. The California long-arm statute provided that California courts may exercise personal jurisdiction whenever doing so was permissible under the U.S. Constitution, so the question turned on the Due Process Clause analysis. The plaintiffs argued that Daimler-Germany's contacts with California were so systemic, continuous, and substantial that courts could consider Daimler as much "at home" in California as it was in its place of incorporation or its principal place of business. To support their argument, plaintiffs pointed to the fact that Mercedes-Benz USA, LLC (MBUSA), another Daimler subsidiary incorporated in Delaware with its principal place of business in New Jersey, sold an enormous number of cars in California, and that MBUSA was Daimler’s exclusive importer and distributor in the United States, purchasing Mercedes-Benz automobiles from Daimler in Germany, then importing and ultimately distributing them to independent dealerships located throughout the country. MBUSA also had multiple California-based facilities and was the largest supplier of luxury vehicles to the California market. MBUSA’s California sales account for 2.4% of Daimler’s worldwide sales.</w:t>
      </w:r>
    </w:p>
    <w:p>
      <w:pPr>
        <w:pStyle w:val="CaseBody"/>
      </w:pPr>
      <w:r>
        <w:t xml:space="preserve">I</w:t>
      </w:r>
    </w:p>
    <w:p>
      <w:pPr>
        <w:pStyle w:val="CaseBody"/>
      </w:pPr>
      <w:r>
        <w:rPr>
          <w:rStyle w:val="Elision"/>
        </w:rPr>
        <w:t xml:space="preserve">[ … ]</w:t>
      </w:r>
    </w:p>
    <w:p>
      <w:pPr>
        <w:pStyle w:val="CaseBody"/>
      </w:pPr>
      <w:r>
        <w:t xml:space="preserve">We granted certiorari to decide whether, consistent with the Due Process Clause of the Fourteenth Amendment, Daimler is amenable to suit in California courts for claims involving only foreign plaintiffs and conduct occurring entirely abroad.</w:t>
      </w:r>
      <w:r>
        <w:t xml:space="preserve"> </w:t>
      </w:r>
      <w:r>
        <w:rPr>
          <w:rStyle w:val="Elision"/>
        </w:rPr>
        <w:t xml:space="preserve">[ … ]</w:t>
      </w:r>
    </w:p>
    <w:p>
      <w:pPr>
        <w:pStyle w:val="CaseBody"/>
      </w:pPr>
      <w:r>
        <w:rPr>
          <w:rStyle w:val="Elision"/>
        </w:rPr>
        <w:t xml:space="preserve">[ … ]</w:t>
      </w:r>
    </w:p>
    <w:p>
      <w:pPr>
        <w:pStyle w:val="CaseBody"/>
      </w:pPr>
      <w:r>
        <w:t xml:space="preserve">III</w:t>
      </w:r>
    </w:p>
    <w:p>
      <w:pPr>
        <w:pStyle w:val="CaseBody"/>
      </w:pPr>
      <w:r>
        <w:rPr>
          <w:rStyle w:val="Elision"/>
        </w:rPr>
        <w:t xml:space="preserve">[ … ]</w:t>
      </w:r>
    </w:p>
    <w:p>
      <w:pPr>
        <w:pStyle w:val="CaseBody"/>
      </w:pPr>
      <w:r>
        <w:t xml:space="preserve">"The canonical opinion in this area remains</w:t>
      </w:r>
      <w:r>
        <w:t xml:space="preserve"> </w:t>
      </w:r>
      <w:r>
        <w:rPr>
          <w:iCs/>
          <w:i/>
        </w:rPr>
        <w:t xml:space="preserve">International Shoe</w:t>
      </w:r>
      <w:r>
        <w:t xml:space="preserve"> </w:t>
      </w:r>
      <w:r>
        <w:t xml:space="preserve">[</w:t>
      </w:r>
      <w:r>
        <w:rPr>
          <w:iCs/>
          <w:i/>
        </w:rPr>
        <w:t xml:space="preserve">Co. v. Washington</w:t>
      </w:r>
      <w:r>
        <w:t xml:space="preserve"> </w:t>
      </w:r>
      <w:r>
        <w:t xml:space="preserve">],</w:t>
      </w:r>
      <w:r>
        <w:rPr>
          <w:rStyle w:val="Elision"/>
        </w:rPr>
        <w:t xml:space="preserve">[ … ]</w:t>
      </w:r>
    </w:p>
    <w:p>
      <w:pPr>
        <w:pStyle w:val="CaseBody"/>
      </w:pPr>
      <w:r>
        <w:rPr>
          <w:iCs/>
          <w:i/>
        </w:rPr>
        <w:t xml:space="preserve">International Shoe</w:t>
      </w:r>
      <w:r>
        <w:t xml:space="preserve"> </w:t>
      </w:r>
      <w:r>
        <w:t xml:space="preserve">'s conception of "fair play and substantial justice" presaged the development of two categories of personal jurisdiction. The first category is represented by</w:t>
      </w:r>
      <w:r>
        <w:t xml:space="preserve"> </w:t>
      </w:r>
      <w:r>
        <w:rPr>
          <w:iCs/>
          <w:i/>
        </w:rPr>
        <w:t xml:space="preserve">International Shoe</w:t>
      </w:r>
      <w:r>
        <w:t xml:space="preserve"> </w:t>
      </w:r>
      <w:r>
        <w:t xml:space="preserve">itself, a case in which the in-state activities of the corporate defendant "</w:t>
      </w:r>
      <w:r>
        <w:rPr>
          <w:rStyle w:val="Elision"/>
        </w:rPr>
        <w:t xml:space="preserve">[ … ]</w:t>
      </w:r>
      <w:r>
        <w:t xml:space="preserve"> </w:t>
      </w:r>
      <w:r>
        <w:t xml:space="preserve">g[a]ve rise to the liabilities sued on."</w:t>
      </w:r>
      <w:r>
        <w:rPr>
          <w:rStyle w:val="Elision"/>
        </w:rPr>
        <w:t xml:space="preserve">[ … ]</w:t>
      </w:r>
      <w:r>
        <w:t xml:space="preserve"> </w:t>
      </w:r>
      <w:r>
        <w:rPr>
          <w:iCs/>
          <w:i/>
        </w:rPr>
        <w:t xml:space="preserve">International Shoe</w:t>
      </w:r>
      <w:r>
        <w:t xml:space="preserve"> </w:t>
      </w:r>
      <w:r>
        <w:t xml:space="preserve">recognized, as well, that "the commission of some single or occasional acts of the corporate agent in a state" may sometimes be enough to subject the corporation to jurisdiction in that State's tribunals with respect to suits relating to that in-state activity.</w:t>
      </w:r>
    </w:p>
    <w:p>
      <w:pPr>
        <w:pStyle w:val="CaseBody"/>
      </w:pPr>
      <w:r>
        <w:rPr>
          <w:rStyle w:val="Elision"/>
        </w:rPr>
        <w:t xml:space="preserve">[ … ]</w:t>
      </w:r>
      <w:r>
        <w:t xml:space="preserve">Adjudicatory authority of this order, in which the suit "aris[es] out of or relate[s] to the defendant's contacts with the forum,"</w:t>
      </w:r>
      <w:r>
        <w:t xml:space="preserve"> </w:t>
      </w:r>
      <w:r>
        <w:rPr>
          <w:rStyle w:val="Elision"/>
        </w:rPr>
        <w:t xml:space="preserve">[ … ]</w:t>
      </w:r>
      <w:r>
        <w:t xml:space="preserve"> </w:t>
      </w:r>
      <w:r>
        <w:t xml:space="preserve">is today called "specific jurisdiction."</w:t>
      </w:r>
      <w:r>
        <w:t xml:space="preserve"> </w:t>
      </w:r>
      <w:r>
        <w:rPr>
          <w:rStyle w:val="Elision"/>
        </w:rPr>
        <w:t xml:space="preserve">[ … ]</w:t>
      </w:r>
    </w:p>
    <w:p>
      <w:pPr>
        <w:pStyle w:val="CaseBody"/>
      </w:pPr>
      <w:r>
        <w:rPr>
          <w:iCs/>
          <w:i/>
        </w:rPr>
        <w:t xml:space="preserve">International Shoe</w:t>
      </w:r>
      <w:r>
        <w:t xml:space="preserve"> </w:t>
      </w:r>
      <w:r>
        <w:t xml:space="preserve">distinguished between, on the one hand, exercises of specific jurisdiction, as just described, and on the other, situations where a foreign corporation's "continuous corporate operations within a state [are] so substantial and of such a nature as to justify suit against it on causes of action arising from dealings entirely distinct from those activities."</w:t>
      </w:r>
      <w:r>
        <w:t xml:space="preserve"> </w:t>
      </w:r>
      <w:r>
        <w:rPr>
          <w:rStyle w:val="Elision"/>
        </w:rPr>
        <w:t xml:space="preserve">[ … ]</w:t>
      </w:r>
      <w:r>
        <w:t xml:space="preserve"> </w:t>
      </w:r>
      <w:r>
        <w:t xml:space="preserve">As we have since explained, "[a] court may assert general jurisdiction over foreign (sister-state or foreign-country) corporations to hear any and all claims against them when their affiliations with the State are so 'continuous and systematic' as to render them essentially at home in the forum State."</w:t>
      </w:r>
      <w:r>
        <w:t xml:space="preserve"> </w:t>
      </w:r>
      <w:r>
        <w:rPr>
          <w:rStyle w:val="Elision"/>
        </w:rPr>
        <w:t xml:space="preserve">[ … ]</w:t>
      </w:r>
    </w:p>
    <w:p>
      <w:pPr>
        <w:pStyle w:val="CaseBody"/>
      </w:pPr>
      <w:r>
        <w:rPr>
          <w:rStyle w:val="Elision"/>
        </w:rPr>
        <w:t xml:space="preserve">[ … ]</w:t>
      </w:r>
    </w:p>
    <w:p>
      <w:pPr>
        <w:pStyle w:val="CaseBody"/>
      </w:pPr>
      <w:r>
        <w:t xml:space="preserve">Our post-</w:t>
      </w:r>
      <w:r>
        <w:rPr>
          <w:iCs/>
          <w:i/>
        </w:rPr>
        <w:t xml:space="preserve">International Shoe</w:t>
      </w:r>
      <w:r>
        <w:t xml:space="preserve"> </w:t>
      </w:r>
      <w:r>
        <w:t xml:space="preserve">opinions on general jurisdiction, by comparison, are few. "[The Court's] 1952 decision in</w:t>
      </w:r>
      <w:r>
        <w:t xml:space="preserve"> </w:t>
      </w:r>
      <w:r>
        <w:rPr>
          <w:iCs/>
          <w:i/>
        </w:rPr>
        <w:t xml:space="preserve">Perkins v. Benguet Consol. Mining Co.</w:t>
      </w:r>
      <w:r>
        <w:t xml:space="preserve"> </w:t>
      </w:r>
      <w:r>
        <w:t xml:space="preserve">remains the textbook case of general jurisdiction appropriately exercised over a foreign corporation that has not consented to suit in the forum."</w:t>
      </w:r>
      <w:r>
        <w:t xml:space="preserve"> </w:t>
      </w:r>
      <w:r>
        <w:rPr>
          <w:rStyle w:val="Elision"/>
        </w:rPr>
        <w:t xml:space="preserve">[ … ]</w:t>
      </w:r>
      <w:r>
        <w:t xml:space="preserve"> </w:t>
      </w:r>
      <w:r>
        <w:t xml:space="preserve">The defendant in</w:t>
      </w:r>
      <w:r>
        <w:t xml:space="preserve"> </w:t>
      </w:r>
      <w:r>
        <w:rPr>
          <w:iCs/>
          <w:i/>
        </w:rPr>
        <w:t xml:space="preserve">Perkins</w:t>
      </w:r>
      <w:r>
        <w:t xml:space="preserve"> </w:t>
      </w:r>
      <w:r>
        <w:t xml:space="preserve">, Benguet, was a company incorporated under the laws of the Philippines, where it operated gold and silver mines. Benguet ceased its mining operations during the Japanese occupation of the Philippines in World War II; its president moved to Ohio, where he kept an office, maintained the company's files, and oversaw the company's activities.</w:t>
      </w:r>
      <w:r>
        <w:t xml:space="preserve"> </w:t>
      </w:r>
      <w:r>
        <w:rPr>
          <w:rStyle w:val="Elision"/>
        </w:rPr>
        <w:t xml:space="preserve">[ … ]</w:t>
      </w:r>
      <w:r>
        <w:t xml:space="preserve"> </w:t>
      </w:r>
      <w:r>
        <w:t xml:space="preserve">The plaintiff, an Ohio resident, sued Benguet on a claim that neither arose in Ohio nor related to the corporation's activities in that State. We held that the Ohio courts could exercise general jurisdiction over Benguet without offending due process.</w:t>
      </w:r>
    </w:p>
    <w:p>
      <w:pPr>
        <w:pStyle w:val="CaseBody"/>
      </w:pPr>
      <w:r>
        <w:rPr>
          <w:rStyle w:val="Elision"/>
        </w:rPr>
        <w:t xml:space="preserve">[ … ]</w:t>
      </w:r>
      <w:r>
        <w:t xml:space="preserve"> </w:t>
      </w:r>
      <w:r>
        <w:t xml:space="preserve">That was so, we later noted, because "Ohio was the corporation's principal, if temporary, place of business."</w:t>
      </w:r>
      <w:r>
        <w:t xml:space="preserve"> </w:t>
      </w:r>
      <w:r>
        <w:rPr>
          <w:rStyle w:val="Elision"/>
        </w:rPr>
        <w:t xml:space="preserve">[ … ]</w:t>
      </w:r>
    </w:p>
    <w:p>
      <w:pPr>
        <w:pStyle w:val="CaseBody"/>
      </w:pPr>
      <w:r>
        <w:t xml:space="preserve">IV</w:t>
      </w:r>
    </w:p>
    <w:p>
      <w:pPr>
        <w:pStyle w:val="CaseBody"/>
      </w:pPr>
      <w:r>
        <w:t xml:space="preserve">With this background, we turn directly to the question whether Daimler's affiliations with California are sufficient to subject it to the general (all-purpose) personal jurisdiction of that State's courts. In the proceedings below, the parties agreed on, or failed to contest, certain points we now take as given. Plaintiffs have never attempted to fit this case into the</w:t>
      </w:r>
      <w:r>
        <w:t xml:space="preserve"> </w:t>
      </w:r>
      <w:r>
        <w:rPr>
          <w:iCs/>
          <w:i/>
        </w:rPr>
        <w:t xml:space="preserve">specific</w:t>
      </w:r>
      <w:r>
        <w:t xml:space="preserve"> </w:t>
      </w:r>
      <w:r>
        <w:t xml:space="preserve">jurisdiction category. Nor did plaintiffs challenge on appeal the District Court's holding that Daimler's own contacts with California were, by themselves, too sporadic to justify the exercise of general jurisdiction. While plaintiffs ultimately persuaded the Ninth Circuit to impute MBUSA's California contacts to Daimler on an agency theory, at no point have they maintained that MBUSA is an alter ego of Daimler.</w:t>
      </w:r>
    </w:p>
    <w:p>
      <w:pPr>
        <w:pStyle w:val="CaseBody"/>
      </w:pPr>
      <w:r>
        <w:t xml:space="preserve">Daimler, on the other hand, failed to object below to plaintiffs' assertion that the California courts could exercise all-purpose jurisdiction over MBUSA.</w:t>
      </w:r>
      <w:hyperlink w:anchor="X2d77df0524248112672041ceb0c49522fd585ee">
        <w:r>
          <w:rPr>
            <w:rStyle w:val="Elision"/>
          </w:rPr>
          <w:t xml:space="preserve">[ … ]</w:t>
        </w:r>
      </w:hyperlink>
      <w:r>
        <w:t xml:space="preserve"> </w:t>
      </w:r>
      <w:r>
        <w:rPr>
          <w:rStyle w:val="Elision"/>
        </w:rPr>
        <w:t xml:space="preserve">[ … ]</w:t>
      </w:r>
      <w:r>
        <w:t xml:space="preserve">We will assume then, for purposes of this decision only, that MBUSA qualifies as at home in California.</w:t>
      </w:r>
    </w:p>
    <w:p>
      <w:pPr>
        <w:pStyle w:val="CaseBody"/>
      </w:pPr>
      <w:r>
        <w:t xml:space="preserve">A</w:t>
      </w:r>
    </w:p>
    <w:p>
      <w:pPr>
        <w:pStyle w:val="CaseBody"/>
      </w:pPr>
      <w:r>
        <w:t xml:space="preserve">In sustaining the exercise of general jurisdiction over Daimler, the Ninth Circuit relied on an agency theory, determining that MBUSA acted as Daimler's agent for jurisdictional purposes and then attributing MBUSA's California contacts to Daimler.</w:t>
      </w:r>
      <w:r>
        <w:t xml:space="preserve"> </w:t>
      </w:r>
      <w:r>
        <w:rPr>
          <w:rStyle w:val="Elision"/>
        </w:rPr>
        <w:t xml:space="preserve">[ … ]</w:t>
      </w:r>
    </w:p>
    <w:p>
      <w:pPr>
        <w:pStyle w:val="CaseBody"/>
      </w:pPr>
      <w:r>
        <w:rPr>
          <w:rStyle w:val="ReplacementText"/>
        </w:rPr>
        <w:t xml:space="preserve">The Ninth Circuit's agency</w:t>
      </w:r>
      <w:r>
        <w:t xml:space="preserve"> </w:t>
      </w:r>
      <w:r>
        <w:t xml:space="preserve">theory thus appears to subject foreign corporations to general jurisdiction whenever they have an in-state subsidiary or affiliate, an outcome that would sweep beyond even the "sprawling view of general jurisdiction" we rejected in</w:t>
      </w:r>
      <w:r>
        <w:t xml:space="preserve"> </w:t>
      </w:r>
      <w:r>
        <w:rPr>
          <w:iCs/>
          <w:i/>
        </w:rPr>
        <w:t xml:space="preserve">Goodyear</w:t>
      </w:r>
      <w:r>
        <w:t xml:space="preserve"> </w:t>
      </w:r>
      <w:r>
        <w:t xml:space="preserve">.</w:t>
      </w:r>
      <w:r>
        <w:t xml:space="preserve"> </w:t>
      </w:r>
      <w:r>
        <w:rPr>
          <w:rStyle w:val="Elision"/>
        </w:rPr>
        <w:t xml:space="preserve">[ … ]</w:t>
      </w:r>
    </w:p>
    <w:p>
      <w:pPr>
        <w:pStyle w:val="CaseBody"/>
      </w:pPr>
      <w:r>
        <w:t xml:space="preserve">B</w:t>
      </w:r>
    </w:p>
    <w:p>
      <w:pPr>
        <w:pStyle w:val="CaseBody"/>
      </w:pPr>
      <w:r>
        <w:t xml:space="preserve">Even if we were to assume that MBUSA is at home in California, and further to assume MBUSA's contacts are imputable to Daimler, there would still be no basis to subject Daimler to general jurisdiction in California, for Daimler's slim contacts with the State hardly render it at home there.</w:t>
      </w:r>
      <w:hyperlink w:anchor="X4956aad11685f0e0358f09abca41e5574e08b81">
        <w:r>
          <w:rPr>
            <w:rStyle w:val="Elision"/>
          </w:rPr>
          <w:t xml:space="preserve">[ … ]</w:t>
        </w:r>
      </w:hyperlink>
    </w:p>
    <w:p>
      <w:pPr>
        <w:pStyle w:val="CaseBody"/>
      </w:pPr>
      <w:r>
        <w:rPr>
          <w:rStyle w:val="Elision"/>
        </w:rPr>
        <w:t xml:space="preserve">[ … ]</w:t>
      </w:r>
      <w:r>
        <w:t xml:space="preserve"> </w:t>
      </w:r>
      <w:r>
        <w:t xml:space="preserve">For an individual, the paradigm forum for the exercise of general jurisdiction is the individual's domicile; for a corporation, it is an equivalent place, one in which the corporation is fairly regarded as at home."</w:t>
      </w:r>
      <w:r>
        <w:t xml:space="preserve"> </w:t>
      </w:r>
      <w:r>
        <w:rPr>
          <w:rStyle w:val="Elision"/>
        </w:rPr>
        <w:t xml:space="preserve">[ … ]</w:t>
      </w:r>
      <w:r>
        <w:rPr>
          <w:rStyle w:val="Elision"/>
        </w:rPr>
        <w:t xml:space="preserve">[ … ]</w:t>
      </w:r>
      <w:r>
        <w:t xml:space="preserve">. With respect to a corporation, the place of incorporation and principal place of business are " paradig[m] ... bases for general jurisdiction."</w:t>
      </w:r>
      <w:r>
        <w:t xml:space="preserve"> </w:t>
      </w:r>
      <w:r>
        <w:rPr>
          <w:iCs/>
          <w:i/>
        </w:rPr>
        <w:t xml:space="preserve">Id</w:t>
      </w:r>
      <w:r>
        <w:t xml:space="preserve"> </w:t>
      </w:r>
      <w:r>
        <w:t xml:space="preserve">., at 735.</w:t>
      </w:r>
      <w:r>
        <w:t xml:space="preserve"> </w:t>
      </w:r>
      <w:r>
        <w:rPr>
          <w:rStyle w:val="Elision"/>
        </w:rPr>
        <w:t xml:space="preserve">[ … ]</w:t>
      </w:r>
      <w:r>
        <w:t xml:space="preserve"> </w:t>
      </w:r>
      <w:r>
        <w:t xml:space="preserve">Those affiliations have the virtue of being unique-that is, each ordinarily indicates only one</w:t>
      </w:r>
      <w:r>
        <w:t xml:space="preserve"> </w:t>
      </w:r>
      <w:r>
        <w:rPr>
          <w:rStyle w:val="ReplacementText"/>
        </w:rPr>
        <w:t xml:space="preserve">place as</w:t>
      </w:r>
      <w:r>
        <w:t xml:space="preserve"> </w:t>
      </w:r>
      <w:r>
        <w:t xml:space="preserve">well as easily ascertainable.</w:t>
      </w:r>
      <w:r>
        <w:t xml:space="preserve"> </w:t>
      </w:r>
      <w:r>
        <w:rPr>
          <w:rStyle w:val="Elision"/>
        </w:rPr>
        <w:t xml:space="preserve">[ … ]</w:t>
      </w:r>
      <w:r>
        <w:t xml:space="preserve">These bases afford plaintiffs recourse to at least one clear and certain forum in which a corporate defendant may be sued on any and all claims.</w:t>
      </w:r>
    </w:p>
    <w:p>
      <w:pPr>
        <w:pStyle w:val="CaseBody"/>
      </w:pPr>
      <w:r>
        <w:rPr>
          <w:rStyle w:val="Elision"/>
        </w:rPr>
        <w:t xml:space="preserve">[ … ]</w:t>
      </w:r>
      <w:r>
        <w:t xml:space="preserve">Plaintiffs would have us</w:t>
      </w:r>
      <w:r>
        <w:t xml:space="preserve"> </w:t>
      </w:r>
      <w:r>
        <w:rPr>
          <w:rStyle w:val="Elision"/>
        </w:rPr>
        <w:t xml:space="preserve">[ … ]</w:t>
      </w:r>
      <w:r>
        <w:t xml:space="preserve">approve the exercise of general jurisdiction in every State in which a corporation "engages in a substantial, continuous, and systematic course of business."</w:t>
      </w:r>
      <w:r>
        <w:t xml:space="preserve"> </w:t>
      </w:r>
      <w:r>
        <w:rPr>
          <w:rStyle w:val="Elision"/>
        </w:rPr>
        <w:t xml:space="preserve">[ … ]</w:t>
      </w:r>
      <w:r>
        <w:t xml:space="preserve">That formulation, we hold, is unacceptably grasping.</w:t>
      </w:r>
    </w:p>
    <w:p>
      <w:pPr>
        <w:pStyle w:val="CaseBody"/>
      </w:pPr>
      <w:r>
        <w:rPr>
          <w:rStyle w:val="Elision"/>
        </w:rPr>
        <w:t xml:space="preserve">[ … ]</w:t>
      </w:r>
      <w:r>
        <w:t xml:space="preserve"> </w:t>
      </w:r>
      <w:r>
        <w:t xml:space="preserve">Accordingly, the inquiry</w:t>
      </w:r>
      <w:r>
        <w:t xml:space="preserve"> </w:t>
      </w:r>
      <w:r>
        <w:rPr>
          <w:rStyle w:val="Elision"/>
        </w:rPr>
        <w:t xml:space="preserve">[ … ]</w:t>
      </w:r>
      <w:r>
        <w:t xml:space="preserve"> </w:t>
      </w:r>
      <w:r>
        <w:t xml:space="preserve">is not whether a foreign corporation's in-forum contacts can be said to be in some sense "continuous and systematic," it is whether that corporation's "affiliations with the State are so 'continuous and systematic' as to render [it] essentially at home in the forum State."</w:t>
      </w:r>
      <w:r>
        <w:rPr>
          <w:rStyle w:val="Elision"/>
        </w:rPr>
        <w:t xml:space="preserve">[ … ]</w:t>
      </w:r>
      <w:r>
        <w:rPr>
          <w:rStyle w:val="FootnoteReference"/>
        </w:rPr>
        <w:footnoteReference w:customMarkFollows="1" w:id="227"/>
        <w:t xml:space="preserve">19</w:t>
      </w:r>
    </w:p>
    <w:p>
      <w:pPr>
        <w:pStyle w:val="CaseBody"/>
      </w:pPr>
      <w:r>
        <w:t xml:space="preserve">Here, neither Daimler nor MBUSA is incorporated in California, nor does either entity have its principal place of business there. If Daimler's California activities sufficed to allow adjudication of this Argentina-rooted case in California, the same global reach would presumably be available in every other State in which MBUSA's sales are sizable. Such exorbitant exercises of all-purpose jurisdiction would scarcely permit out-of-state defendants "to structure their primary conduct with some minimum assurance as to where that conduct will and will not render them liable to suit."</w:t>
      </w:r>
      <w:r>
        <w:t xml:space="preserve"> </w:t>
      </w:r>
      <w:r>
        <w:rPr>
          <w:rStyle w:val="Elision"/>
        </w:rPr>
        <w:t xml:space="preserve">[ … ]</w:t>
      </w:r>
    </w:p>
    <w:p>
      <w:pPr>
        <w:pStyle w:val="CaseBody"/>
      </w:pPr>
      <w:r>
        <w:t xml:space="preserve">It was therefore error for the Ninth Circuit to conclude that Daimler, even with MBUSA's contacts attributed to it, was at home in California, and hence subject to suit there on claims by foreign plaintiffs having nothing to do with anything that occurred or had its principal impact in California.</w:t>
      </w:r>
      <w:hyperlink w:anchor="X992f973d2df795283b56e41e8e37aaf28e54ac0">
        <w:r>
          <w:rPr>
            <w:rStyle w:val="ReplacementText"/>
          </w:rPr>
          <w:t xml:space="preserve">[In a critical footnote, the majority stated as follows: "To clarify in light of Justice SOTOMAYOR's opinion concurring in the judgment, the general jurisdiction inquiry does not 'focu[s] solely on the magnitude of the defendant's in-state contacts.' . . . General jurisdiction instead calls for an appraisal of a corporation's activities in their entirety, nationwide and worldwide. A corporation that operates in many places can scarcely be deemed at home in all of them. Otherwise, 'at home' would be synonymous with 'doing business' tests framed before specific jurisdiction evolved in the United States. . . . . Nothing in International Shoe and its progeny suggests that "a particular quantum of local activity" should give a State authority over a "far larger quantum of ... activity" having no connection to any in-state activity."</w:t>
        </w:r>
        <w:r>
          <w:rPr>
            <w:rStyle w:val="ReplacementText"/>
          </w:rPr>
          <w:t xml:space="preserve"> </w:t>
        </w:r>
        <w:r>
          <w:rPr>
            <w:rStyle w:val="ReplacementText"/>
          </w:rPr>
          <w:t xml:space="preserve">"</w:t>
        </w:r>
      </w:hyperlink>
    </w:p>
    <w:p>
      <w:pPr>
        <w:pStyle w:val="CaseBody"/>
      </w:pPr>
      <w:r>
        <w:t xml:space="preserve">C</w:t>
      </w:r>
    </w:p>
    <w:p>
      <w:pPr>
        <w:pStyle w:val="CaseBody"/>
      </w:pPr>
      <w:r>
        <w:rPr>
          <w:rStyle w:val="Elision"/>
        </w:rPr>
        <w:t xml:space="preserve">[ … ]</w:t>
      </w:r>
    </w:p>
    <w:p>
      <w:pPr>
        <w:pStyle w:val="CaseBody"/>
      </w:pPr>
      <w:r>
        <w:t xml:space="preserve">The Ninth Circuit, moreover, paid little heed to the risks to international comity its expansive view of general jurisdiction posed.</w:t>
      </w:r>
      <w:r>
        <w:t xml:space="preserve"> </w:t>
      </w:r>
      <w:r>
        <w:rPr>
          <w:rStyle w:val="Elision"/>
        </w:rPr>
        <w:t xml:space="preserve">[ … ]</w:t>
      </w:r>
      <w:r>
        <w:t xml:space="preserve">The Solicitor General informs us, in this regard, that "foreign governments' objections to some domestic courts' expansive views of general jurisdiction have in the past impeded negotiations of international agreements on the reciprocal recognition and enforcement of judgments."</w:t>
      </w:r>
      <w:r>
        <w:t xml:space="preserve"> </w:t>
      </w:r>
      <w:r>
        <w:rPr>
          <w:rStyle w:val="Elision"/>
        </w:rPr>
        <w:t xml:space="preserve">[ … ]</w:t>
      </w:r>
      <w:r>
        <w:rPr>
          <w:rStyle w:val="Elision"/>
        </w:rPr>
        <w:t xml:space="preserve">[ … ]</w:t>
      </w:r>
      <w:r>
        <w:t xml:space="preserve">Considerations of international rapport thus reinforce our determination that subjecting Daimler to the general jurisdiction of courts in California would not accord with the "fair play and substantial justice" due process demands.</w:t>
      </w:r>
      <w:r>
        <w:t xml:space="preserve"> </w:t>
      </w:r>
      <w:r>
        <w:rPr>
          <w:rStyle w:val="Elision"/>
        </w:rPr>
        <w:t xml:space="preserve">[ … ]</w:t>
      </w:r>
    </w:p>
    <w:p>
      <w:pPr>
        <w:pStyle w:val="CaseBody"/>
      </w:pPr>
      <w:r>
        <w:t xml:space="preserve">* * *</w:t>
      </w:r>
    </w:p>
    <w:p>
      <w:pPr>
        <w:pStyle w:val="CaseBody"/>
      </w:pPr>
      <w:r>
        <w:t xml:space="preserve">For the reasons stated, the judgment of the United States Court of Appeals for the Ninth Circuit is</w:t>
      </w:r>
    </w:p>
    <w:p>
      <w:pPr>
        <w:pStyle w:val="CaseBody"/>
      </w:pPr>
      <w:r>
        <w:rPr>
          <w:iCs/>
          <w:i/>
        </w:rPr>
        <w:t xml:space="preserve">Reversed.</w:t>
      </w:r>
    </w:p>
    <w:p>
      <w:pPr>
        <w:pStyle w:val="CaseBody"/>
      </w:pPr>
      <w:r>
        <w:t xml:space="preserve">Justice SOTOMAYOR, concurring in the judgment.</w:t>
      </w:r>
      <w:r>
        <w:rPr>
          <w:rStyle w:val="FootnoteReference"/>
        </w:rPr>
        <w:footnoteReference w:customMarkFollows="1" w:id="15"/>
        <w:t xml:space="preserve">*</w:t>
      </w:r>
    </w:p>
    <w:p>
      <w:pPr>
        <w:pStyle w:val="CaseBody"/>
      </w:pPr>
      <w:r>
        <w:t xml:space="preserve">I agree with the Court's conclusion that the Due Process Clause prohibits the exercise of personal jurisdiction over Daimler in light of the unique circumstances of this case. I concur only in the judgment, however, because I cannot agree with the path the Court takes to arrive at that result.</w:t>
      </w:r>
    </w:p>
    <w:p>
      <w:pPr>
        <w:pStyle w:val="CaseBody"/>
      </w:pPr>
      <w:r>
        <w:t xml:space="preserve">The Court acknowledges that Mercedes-Benz USA, LLC (MBUSA), Daimler's wholly owned subsidiary, has considerable contacts with California. It has multiple facilities in the State, including a regional headquarters. Each year, it distributes in California tens of thousands of cars, the sale of which generated billions of dollars in the year this suit was brought. And it provides service and sales support to customers throughout the State. Daimler has conceded that California courts may exercise general jurisdiction over MBUSA on the basis of these contacts, and the Court assumes that MBUSA's contacts may be attributed to Daimler for the purpose of deciding whether Daimler is also subject to general jurisdiction.</w:t>
      </w:r>
    </w:p>
    <w:p>
      <w:pPr>
        <w:pStyle w:val="CaseBody"/>
      </w:pPr>
      <w:r>
        <w:t xml:space="preserve">Are these contacts sufficient to permit the exercise of general jurisdiction over Daimler? The Court holds that they are not, for a reason wholly foreign to our due process jurisprudence. The problem, the Court says, is not that Daimler's contacts with California are too few, but that its contacts with other forums are too many. In other words, the Court does not dispute that the presence of multiple offices, the direct distribution of thousands of products accounting for billions of dollars in sales, and continuous interaction with customers throughout a State would be enough to support the exercise of general jurisdiction over some businesses. Daimler is just not one of those businesses, the Court concludes, because its California contacts must be viewed in the context of its extensive "nationwide and worldwide" operations.</w:t>
      </w:r>
      <w:r>
        <w:t xml:space="preserve"> </w:t>
      </w:r>
      <w:r>
        <w:rPr>
          <w:rStyle w:val="Elision"/>
        </w:rPr>
        <w:t xml:space="preserve">[ … ]</w:t>
      </w:r>
      <w:r>
        <w:t xml:space="preserve"> </w:t>
      </w:r>
      <w:r>
        <w:t xml:space="preserve">In recent years, Americans have grown accustomed to the concept of multinational corporations that are supposedly "too big to fail"; today the Court deems Daimler "too big for general jurisdiction."</w:t>
      </w:r>
    </w:p>
    <w:p>
      <w:pPr>
        <w:pStyle w:val="CaseBody"/>
      </w:pPr>
      <w:r>
        <w:rPr>
          <w:rStyle w:val="Elision"/>
        </w:rPr>
        <w:t xml:space="preserve">[ … ]</w:t>
      </w:r>
    </w:p>
    <w:p>
      <w:pPr>
        <w:pStyle w:val="CaseBody"/>
      </w:pPr>
      <w:r>
        <w:t xml:space="preserve">The Court can and should decide this case on the far simpler ground that, no matter how extensive Daimler's contacts with California, that State's exercise of jurisdiction would be unreasonable given that the case involves foreign plaintiffs suing a foreign defendant based on foreign conduct, and given that a more appropriate forum is available. Because I would reverse the judgment below on this ground, I concur in the judgment only.</w:t>
      </w:r>
    </w:p>
    <w:p>
      <w:pPr>
        <w:pStyle w:val="CaseBody"/>
      </w:pPr>
      <w:r>
        <w:rPr>
          <w:rStyle w:val="Elision"/>
        </w:rPr>
        <w:t xml:space="preserve">[ … ]</w:t>
      </w:r>
    </w:p>
    <w:p>
      <w:pPr>
        <w:pStyle w:val="CaseBody"/>
      </w:pPr>
      <w:r>
        <w:t xml:space="preserve">Until today, our precedents had established a straightforward test for general jurisdiction: Does the defendant have "continuous corporate operations within a state" that are "so substantial and of such a nature as to justify suit against it on causes of action arising from dealings entirely distinct from those activities"?</w:t>
      </w:r>
      <w:r>
        <w:t xml:space="preserve"> </w:t>
      </w:r>
      <w:r>
        <w:rPr>
          <w:rStyle w:val="Elision"/>
        </w:rPr>
        <w:t xml:space="preserve">[ … ]</w:t>
      </w:r>
      <w:r>
        <w:t xml:space="preserve"> </w:t>
      </w:r>
      <w:r>
        <w:t xml:space="preserve">In every case where we have applied this test, we have focused solely on the magnitude of the defendant's in-state contacts, not the relative magnitude of those contacts in comparison to the defendant's contacts with other States.</w:t>
      </w:r>
    </w:p>
    <w:p>
      <w:pPr>
        <w:pStyle w:val="CaseBody"/>
      </w:pPr>
      <w:r>
        <w:rPr>
          <w:rStyle w:val="Elision"/>
        </w:rPr>
        <w:t xml:space="preserve">[ … ]</w:t>
      </w:r>
    </w:p>
    <w:p>
      <w:pPr>
        <w:pStyle w:val="CaseBody"/>
      </w:pPr>
      <w:r>
        <w:t xml:space="preserve">The majority today concludes otherwise. Referring to the "continuous and systematic" contacts inquiry that has been taught to generations of first-year law students as "unacceptably grasping,"</w:t>
      </w:r>
      <w:r>
        <w:t xml:space="preserve"> </w:t>
      </w:r>
      <w:r>
        <w:rPr>
          <w:iCs/>
          <w:i/>
        </w:rPr>
        <w:t xml:space="preserve">ante,</w:t>
      </w:r>
      <w:r>
        <w:t xml:space="preserve"> </w:t>
      </w:r>
      <w:r>
        <w:t xml:space="preserve">at 760, the majority announces the new rule that in order for a foreign defendant to be subject to general jurisdiction, it must not only possess continuous and systematic contacts with a forum State, but those contacts must also surpass some unspecified level when viewed in comparison to the company's "nationwide and worldwide" activities.</w:t>
      </w:r>
      <w:r>
        <w:t xml:space="preserve"> </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t xml:space="preserve">The majority's concern for the consequences of its decision should have led it the other way, because the rule that it adopts will produce deep injustice in at least four respects.</w:t>
      </w:r>
    </w:p>
    <w:p>
      <w:pPr>
        <w:pStyle w:val="CaseBody"/>
      </w:pPr>
      <w:r>
        <w:t xml:space="preserve">First, the majority's approach unduly curtails the States' sovereign authority to adjudicate disputes against corporate defendants who have engaged in continuous and substantial business operations within their boundaries.</w:t>
      </w:r>
      <w:hyperlink w:anchor="Xc0c9fb633483eafaf6432259927a45339d5ee27">
        <w:r>
          <w:rPr>
            <w:rStyle w:val="Elision"/>
          </w:rPr>
          <w:t xml:space="preserve">[ … ]</w:t>
        </w:r>
      </w:hyperlink>
      <w:r>
        <w:t xml:space="preserve">.</w:t>
      </w:r>
      <w:r>
        <w:t xml:space="preserve"> </w:t>
      </w:r>
      <w:r>
        <w:rPr>
          <w:rStyle w:val="Elision"/>
        </w:rPr>
        <w:t xml:space="preserve">[ … ]</w:t>
      </w:r>
    </w:p>
    <w:p>
      <w:pPr>
        <w:pStyle w:val="CaseBody"/>
      </w:pPr>
      <w:r>
        <w:t xml:space="preserve">Second, the proportionality approach will treat small businesses unfairly in comparison to national and multinational conglomerates. Whereas a larger company will often be immunized from general jurisdiction in a State on account of its extensive contacts outside the forum, a small business will not be. For instance, the majority holds today that Daimler is not subject to general jurisdiction in California despite its multiple offices, continuous operations, and billions of dollars' worth of sales there. But imagine a small business that manufactures luxury vehicles principally targeting the California market and that has substantially all of its sales and operations in the State-even though those sales and operations may amount to one-thousandth of Daimler's. Under the majority's rule, that small business will be subject to suit in California on any cause of action involving any of its activities anywhere in the world, while its far more pervasive competitor, Daimler, will not be. That will be so even if the small business incorporates and sets up its headquarters elsewhere (as Daimler does), since the small business' California sales and operations would still predominate when "apprais[ed]" in proportion to its minimal "nationwide and worldwide" operations,</w:t>
      </w:r>
      <w:r>
        <w:t xml:space="preserve"> </w:t>
      </w:r>
      <w:r>
        <w:rPr>
          <w:rStyle w:val="Elision"/>
        </w:rPr>
        <w:t xml:space="preserve">[ … ]</w:t>
      </w:r>
      <w:r>
        <w:t xml:space="preserve">.</w:t>
      </w:r>
    </w:p>
    <w:p>
      <w:pPr>
        <w:pStyle w:val="CaseBody"/>
      </w:pPr>
      <w:r>
        <w:rPr>
          <w:rStyle w:val="Elision"/>
        </w:rPr>
        <w:t xml:space="preserve">[ … ]</w:t>
      </w:r>
    </w:p>
    <w:p>
      <w:pPr>
        <w:pStyle w:val="CaseBody"/>
      </w:pPr>
      <w:r>
        <w:t xml:space="preserve">Finally, it should be obvious that the ultimate effect of the majority's approach will be to shift the risk of loss from multinational corporations to the individuals harmed by their actions. Under the majority's rule, for example, a parent whose child is maimed due to the negligence of a foreign hotel owned by a multinational conglomerate will be unable to hold the hotel to account in a single U.S. court, even if the hotel company has a massive presence in multiple States.</w:t>
      </w:r>
      <w:r>
        <w:t xml:space="preserve"> </w:t>
      </w: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68" w:name="_auto_toc_68"/>
    <w:bookmarkEnd w:id="68"/>
    <w:p>
      <w:pPr>
        <w:pStyle w:val="ResourceNumber"/>
      </w:pPr>
      <w:r>
        <w:t xml:space="preserve">6.9</w:t>
      </w:r>
    </w:p>
    <w:p>
      <w:pPr>
        <w:pStyle w:val="ResourceTitle"/>
      </w:pPr>
      <w:r>
        <w:t xml:space="preserve">McGee v. International Life Insurance</w:t>
      </w:r>
    </w:p>
    <w:p>
      <w:pPr>
        <w:pStyle w:val="HeadFieldSeparator"/>
      </w:pPr>
      <w:r>
        <w:t xml:space="preserve"> </w:t>
      </w:r>
    </w:p>
    <w:p>
      <w:pPr>
        <w:pStyle w:val="ResourceHeadnote"/>
      </w:pPr>
      <w:r>
        <w:rPr>
          <w:iCs/>
          <w:i/>
        </w:rPr>
        <w:t xml:space="preserve">Daimler</w:t>
      </w:r>
      <w:r>
        <w:t xml:space="preserve"> </w:t>
      </w:r>
      <w:r>
        <w:t xml:space="preserve">was about general personal jurisdiction. Most of the remainder of our cases will be about specific personal jurisdiction. The first is</w:t>
      </w:r>
      <w:r>
        <w:t xml:space="preserve"> </w:t>
      </w:r>
      <w:r>
        <w:rPr>
          <w:iCs/>
          <w:i/>
        </w:rPr>
        <w:t xml:space="preserve">McGee</w:t>
      </w:r>
      <w:r>
        <w:t xml:space="preserve">.</w:t>
      </w:r>
    </w:p>
    <w:p>
      <w:pPr>
        <w:pStyle w:val="ResourceHeadnote"/>
      </w:pPr>
      <w:r>
        <w:t xml:space="preserve">The</w:t>
      </w:r>
      <w:r>
        <w:t xml:space="preserve"> </w:t>
      </w:r>
      <w:r>
        <w:rPr>
          <w:iCs/>
          <w:i/>
        </w:rPr>
        <w:t xml:space="preserve">McGee</w:t>
      </w:r>
      <w:r>
        <w:t xml:space="preserve"> </w:t>
      </w:r>
      <w:r>
        <w:t xml:space="preserve">opinion is short, and the case was 9-0 in favor of the plaintiff's assertion of personal jurisdiction. In other words, the Supreme Court thought this was an easy fact pattern to decide after</w:t>
      </w:r>
      <w:r>
        <w:t xml:space="preserve"> </w:t>
      </w:r>
      <w:r>
        <w:rPr>
          <w:iCs/>
          <w:i/>
        </w:rPr>
        <w:t xml:space="preserve">International Shoe</w:t>
      </w:r>
      <w:r>
        <w:t xml:space="preserve">. In isolation, it might seem so. The harder question might be what distinguishes</w:t>
      </w:r>
      <w:r>
        <w:t xml:space="preserve"> </w:t>
      </w:r>
      <w:r>
        <w:rPr>
          <w:iCs/>
          <w:i/>
        </w:rPr>
        <w:t xml:space="preserve">McGee</w:t>
      </w:r>
      <w:r>
        <w:t xml:space="preserve"> </w:t>
      </w:r>
      <w:r>
        <w:t xml:space="preserve">from the next case you will read,</w:t>
      </w:r>
      <w:r>
        <w:t xml:space="preserve"> </w:t>
      </w:r>
      <w:r>
        <w:rPr>
          <w:iCs/>
          <w:i/>
        </w:rPr>
        <w:t xml:space="preserve">Hanson v. Denckla</w:t>
      </w:r>
      <w:r>
        <w:t xml:space="preserve">, in which a 5-4 majority went the other way.</w:t>
      </w:r>
    </w:p>
    <w:p>
      <w:pPr>
        <w:pStyle w:val="HeadEnd"/>
      </w:pPr>
      <w:r>
        <w:t xml:space="preserve"> </w:t>
      </w:r>
    </w:p>
    <w:p>
      <w:pPr>
        <w:pStyle w:val="CaseHeader"/>
      </w:pPr>
      <w:r>
        <w:t xml:space="preserve">Supreme Court of the United States</w:t>
      </w:r>
    </w:p>
    <w:p>
      <w:pPr>
        <w:pStyle w:val="CaseHeader"/>
      </w:pPr>
      <w:r>
        <w:t xml:space="preserve">355 U.S. 220, 2 L. Ed. 2d 223, 78 S. Ct. 199, 1957 U.S. LEXIS 2, SCDB 1957-023</w:t>
      </w:r>
    </w:p>
    <w:p>
      <w:pPr>
        <w:pStyle w:val="CaseHeader"/>
      </w:pPr>
      <w:r>
        <w:t xml:space="preserve">No. 50</w:t>
      </w:r>
    </w:p>
    <w:p>
      <w:pPr>
        <w:pStyle w:val="CaseHeader"/>
      </w:pPr>
      <w:r>
        <w:t xml:space="preserve">1957-12-16</w:t>
      </w:r>
    </w:p>
    <w:p>
      <w:pPr>
        <w:pStyle w:val="CaseBody"/>
      </w:pPr>
      <w:r>
        <w:t xml:space="preserve">355 U.S. 220 (1957)</w:t>
      </w:r>
    </w:p>
    <w:p>
      <w:pPr>
        <w:pStyle w:val="CaseHeader"/>
      </w:pPr>
      <w:r>
        <w:t xml:space="preserve">McGEE</w:t>
      </w:r>
      <w:r>
        <w:br/>
      </w:r>
      <w:r>
        <w:t xml:space="preserve">v.</w:t>
      </w:r>
      <w:r>
        <w:br/>
      </w:r>
      <w:r>
        <w:t xml:space="preserve">INTERNATIONAL LIFE INSURANCE CO.</w:t>
      </w:r>
    </w:p>
    <w:p>
      <w:pPr>
        <w:pStyle w:val="CaseBody"/>
      </w:pPr>
      <w:r>
        <w:t xml:space="preserve">No. 50.</w:t>
      </w:r>
    </w:p>
    <w:p>
      <w:pPr>
        <w:pStyle w:val="CaseBody"/>
      </w:pPr>
      <w:r>
        <w:t xml:space="preserve">Supreme Court of United States.</w:t>
      </w:r>
    </w:p>
    <w:p>
      <w:pPr>
        <w:pStyle w:val="CaseBody"/>
      </w:pPr>
      <w:r>
        <w:t xml:space="preserve">Argued November 20, 1957.</w:t>
      </w:r>
    </w:p>
    <w:p>
      <w:pPr>
        <w:pStyle w:val="CaseBody"/>
      </w:pPr>
      <w:r>
        <w:t xml:space="preserve">Decided December 16, 1957.</w:t>
      </w:r>
    </w:p>
    <w:p>
      <w:pPr>
        <w:pStyle w:val="CaseBody"/>
      </w:pPr>
      <w:r>
        <w:rPr>
          <w:rStyle w:val="Elision"/>
        </w:rPr>
        <w:t xml:space="preserve">[ … ]</w:t>
      </w:r>
    </w:p>
    <w:bookmarkStart w:id="53" w:name="Xdca5c5d746bd96edb561f145ff1f0aeab240c6b"/>
    <w:p>
      <w:pPr>
        <w:pStyle w:val="Heading2"/>
      </w:pPr>
      <w:r>
        <w:t xml:space="preserve">Opinion of the Court by MR. JUSTICE BLACK, announced by MR. JUSTICE DOUGLAS.</w:t>
      </w:r>
    </w:p>
    <w:p>
      <w:pPr>
        <w:pStyle w:val="CaseBody"/>
      </w:pPr>
      <w:r>
        <w:t xml:space="preserve">Petitioner, Lulu B. McGee, recovered a judgment in a California state court against respondent, International Life Insurance Company, on a contract of insurance. Respondent was not served with process in California but by registered mail at its principal place of business in Texas. The California court based its jurisdiction on a state statute which subjects foreign corporations to suit in California on insurance contracts with residents of that State even though such corporations cannot be served with process within its borders.</w:t>
      </w:r>
      <w:hyperlink w:anchor="Xc622cfa4686e8cdcfb120c8a58ecba54d4bea1f">
        <w:r>
          <w:rPr>
            <w:rStyle w:val="Elision"/>
            <w:vertAlign w:val="superscript"/>
          </w:rPr>
          <w:t xml:space="preserve">[ … ]</w:t>
        </w:r>
      </w:hyperlink>
    </w:p>
    <w:p>
      <w:pPr>
        <w:pStyle w:val="CaseBody"/>
      </w:pPr>
      <w:r>
        <w:t xml:space="preserve">Unable to collect the judgment</w:t>
      </w:r>
      <w:r>
        <w:t xml:space="preserve"> </w:t>
      </w:r>
      <w:r>
        <w:rPr>
          <w:rStyle w:val="ReplacementText"/>
        </w:rPr>
        <w:t xml:space="preserve">in California,</w:t>
      </w:r>
      <w:r>
        <w:t xml:space="preserve">petitioner went to Texas where she filed suit on the judgment in a Texas court. But the Texas courts refused to enforce her judgment holding it was void under the Fourteenth Amendment because service of process outside California could not give the courts of that State jurisdiction over respondent.</w:t>
      </w:r>
      <w:r>
        <w:t xml:space="preserve"> </w:t>
      </w:r>
      <w:r>
        <w:rPr>
          <w:rStyle w:val="Elision"/>
        </w:rPr>
        <w:t xml:space="preserve">[ … ]</w:t>
      </w:r>
    </w:p>
    <w:p>
      <w:pPr>
        <w:pStyle w:val="CaseBody"/>
      </w:pPr>
      <w:r>
        <w:t xml:space="preserve">The material facts are relatively simple. In 1944, Lowell Franklin, a resident of California, purchased a life insurance policy from the Empire Mutual Insurance Company, an Arizona corporation.</w:t>
      </w:r>
      <w:r>
        <w:t xml:space="preserve"> </w:t>
      </w:r>
      <w:r>
        <w:rPr>
          <w:rStyle w:val="ReplacementText"/>
        </w:rPr>
        <w:t xml:space="preserve">International Life, a Texas corporation, later bought Empire Mutual, and thereby became responsible for its contracts, and the Mr. Franklin paid life insurance premiums to Empire in Texas.</w:t>
      </w:r>
      <w:r>
        <w:rPr>
          <w:rStyle w:val="Elision"/>
        </w:rPr>
        <w:t xml:space="preserve">[ … ]</w:t>
      </w:r>
      <w:r>
        <w:t xml:space="preserve">Petitioner, Franklin's mother, was the beneficiary under the policy. She sent proofs of his death to the respondent but it refused to pay claiming that he had committed suicide. It appears that neither Empire Mutual nor respondent has ever had any office or agent in California. And so far as the record before us shows, respondent has never solicited or done any insurance business in California apart from the policy involved here.</w:t>
      </w:r>
    </w:p>
    <w:p>
      <w:pPr>
        <w:pStyle w:val="CaseBody"/>
      </w:pPr>
      <w:r>
        <w:rPr>
          <w:rStyle w:val="Elision"/>
        </w:rPr>
        <w:t xml:space="preserve">[ … ]</w:t>
      </w:r>
    </w:p>
    <w:p>
      <w:pPr>
        <w:pStyle w:val="CaseBody"/>
      </w:pPr>
      <w:r>
        <w:t xml:space="preserve">Looking back over this long history of litigation a trend is clearly discernible toward expanding the permissible scope of state jurisdiction over foreign corporations and other nonresidents. In part this is attributable to the fundamental transformation of our national economy over the years. Today many commercial transactions</w:t>
      </w:r>
      <w:r>
        <w:t xml:space="preserve"> </w:t>
      </w:r>
      <w:r>
        <w:rPr>
          <w:rStyle w:val="Elision"/>
        </w:rPr>
        <w:t xml:space="preserve">[ … ]</w:t>
      </w:r>
      <w:r>
        <w:t xml:space="preserve"> </w:t>
      </w:r>
      <w:r>
        <w:t xml:space="preserve">touch two or more States and may involve parties separated by the full continent. With this increasing nationalization of commerce has come a great increase in the amount of business conducted by mail across state lines. At the same time modern transportation and communication have made it much less burdensome for a party sued to defend himself in a State where he engages in economic activity.</w:t>
      </w:r>
    </w:p>
    <w:p>
      <w:pPr>
        <w:pStyle w:val="CaseBody"/>
      </w:pPr>
      <w:r>
        <w:t xml:space="preserve">Turning to this case we think it apparent that the Due Process Clause did not preclude the California court from entering a judgment binding on respondent. It is sufficient for purposes of due process that the suit was based on a contract which had substantial connection with that State. Cf.</w:t>
      </w:r>
      <w:r>
        <w:t xml:space="preserve"> </w:t>
      </w:r>
      <w:r>
        <w:rPr>
          <w:iCs/>
          <w:i/>
        </w:rPr>
        <w:t xml:space="preserve">Hess</w:t>
      </w:r>
      <w:r>
        <w:t xml:space="preserve"> </w:t>
      </w:r>
      <w:r>
        <w:t xml:space="preserve">v.</w:t>
      </w:r>
      <w:r>
        <w:t xml:space="preserve"> </w:t>
      </w:r>
      <w:r>
        <w:rPr>
          <w:iCs/>
          <w:i/>
        </w:rPr>
        <w:t xml:space="preserve">Pawloski,</w:t>
      </w:r>
      <w:r>
        <w:t xml:space="preserve"> </w:t>
      </w:r>
      <w:r>
        <w:t xml:space="preserve">274 U. S. 352;</w:t>
      </w:r>
      <w:r>
        <w:t xml:space="preserve"> </w:t>
      </w:r>
      <w:r>
        <w:rPr>
          <w:rStyle w:val="Elision"/>
        </w:rPr>
        <w:t xml:space="preserve">[ … ]</w:t>
      </w:r>
      <w:r>
        <w:t xml:space="preserve"> </w:t>
      </w:r>
      <w:r>
        <w:rPr>
          <w:iCs/>
          <w:i/>
        </w:rPr>
        <w:t xml:space="preserve">Pennoyer</w:t>
      </w:r>
      <w:r>
        <w:t xml:space="preserve"> </w:t>
      </w:r>
      <w:r>
        <w:t xml:space="preserve">v.</w:t>
      </w:r>
      <w:r>
        <w:t xml:space="preserve"> </w:t>
      </w:r>
      <w:r>
        <w:rPr>
          <w:iCs/>
          <w:i/>
        </w:rPr>
        <w:t xml:space="preserve">Neff,</w:t>
      </w:r>
      <w:r>
        <w:t xml:space="preserve"> </w:t>
      </w:r>
      <w:r>
        <w:t xml:space="preserve">95 U. S. 714, 735.</w:t>
      </w:r>
      <w:hyperlink w:anchor="X764c9f213defacb80dcfdd813c9c067496c8bb7">
        <w:r>
          <w:rPr>
            <w:rStyle w:val="Elision"/>
            <w:vertAlign w:val="superscript"/>
          </w:rPr>
          <w:t xml:space="preserve">[ … ]</w:t>
        </w:r>
      </w:hyperlink>
      <w:r>
        <w:t xml:space="preserve">The contract was delivered in California, the premiums were mailed from there and the insured was a resident of that State when he died.</w:t>
      </w:r>
      <w:r>
        <w:t xml:space="preserve"> </w:t>
      </w:r>
      <w:r>
        <w:t xml:space="preserve">It cannot be denied that California has a manifest interest in providing effective means of redress for its residents when their insurers refuse to pay claims. These residents would be at a severe disadvantage if they were forced to follow the insurance company to a distant State in order to hold it legally accountable. When claims were small or moderate individual claimants frequently could not afford the cost of bringing an action in a foreign forum— thus in effect making the company judgment proof.</w:t>
      </w:r>
      <w:r>
        <w:rPr>
          <w:rStyle w:val="FootnoteReference"/>
        </w:rPr>
        <w:footnoteReference w:customMarkFollows="1" w:id="16"/>
        <w:t xml:space="preserve">*</w:t>
      </w:r>
      <w:r>
        <w:t xml:space="preserve"> </w:t>
      </w:r>
      <w:r>
        <w:t xml:space="preserve">Often the crucial witnesses—as here on the company's defense of suicide—will be found in the insured's locality</w:t>
      </w:r>
      <w:r>
        <w:rPr>
          <w:rStyle w:val="FootnoteReference"/>
        </w:rPr>
        <w:footnoteReference w:customMarkFollows="1" w:id="67"/>
        <w:t xml:space="preserve">**</w:t>
      </w:r>
      <w:r>
        <w:t xml:space="preserve">.</w:t>
      </w:r>
      <w:r>
        <w:t xml:space="preserve"> </w:t>
      </w:r>
      <w:r>
        <w:rPr>
          <w:rStyle w:val="Elision"/>
        </w:rPr>
        <w:t xml:space="preserve">[ … ]</w:t>
      </w:r>
      <w:r>
        <w:t xml:space="preserve"> </w:t>
      </w:r>
      <w:r>
        <w:t xml:space="preserve">Of course there may be inconvenience to the insurer if it is held amenable to suit in California where it had this contract but certainly nothing which amounts to a denial of due process.</w:t>
      </w:r>
      <w:r>
        <w:t xml:space="preserve"> </w:t>
      </w:r>
      <w:r>
        <w:rPr>
          <w:rStyle w:val="Elision"/>
        </w:rPr>
        <w:t xml:space="preserve">[ … ]</w:t>
      </w:r>
      <w:r>
        <w:t xml:space="preserve">There is no contention that respondent did not have adequate notice of the suit or sufficient time to prepare its defenses and appear.</w:t>
      </w:r>
    </w:p>
    <w:p>
      <w:pPr>
        <w:pStyle w:val="CaseBody"/>
      </w:pPr>
      <w:r>
        <w:rPr>
          <w:rStyle w:val="Elision"/>
        </w:rPr>
        <w:t xml:space="preserve">[ … ]</w:t>
      </w:r>
    </w:p>
    <w:p>
      <w:pPr>
        <w:pStyle w:val="CaseBody"/>
      </w:pPr>
      <w:r>
        <w:t xml:space="preserve">The judgment is reversed and the cause is remanded to the Court of Civil Appeals of the State of Texas, First Supreme Judicial District, for further proceedings not inconsistent with this opinion.</w:t>
      </w:r>
    </w:p>
    <w:p>
      <w:pPr>
        <w:pStyle w:val="CaseBody"/>
      </w:pPr>
      <w:r>
        <w:rPr>
          <w:iCs/>
          <w:i/>
        </w:rPr>
        <w:t xml:space="preserve">It is so ordered.</w:t>
      </w:r>
    </w:p>
    <w:bookmarkEnd w:id="53"/>
    <w:bookmarkStart w:id="54" w:name="section-2"/>
    <w:p>
      <w:pPr>
        <w:pStyle w:val="Heading2"/>
      </w:pPr>
      <w:r>
        <w:rPr>
          <w:rStyle w:val="Elision"/>
        </w:rPr>
        <w:t xml:space="preserve">[ … ]</w:t>
      </w:r>
    </w:p>
    <w:bookmarkEnd w:id="54"/>
    <w:p>
      <w:pPr>
        <w:pStyle w:val="NodeEnd"/>
      </w:pPr>
      <w:r>
        <w:t xml:space="preserve"> </w:t>
      </w:r>
    </w:p>
    <w:p>
      <w:pPr>
        <w:pStyle w:val="NodeStart"/>
      </w:pPr>
      <w:r>
        <w:t xml:space="preserve"> </w:t>
      </w:r>
    </w:p>
    <w:p>
      <w:pPr>
        <w:pStyle w:val="HeadSeparator"/>
      </w:pPr>
      <w:r>
        <w:t xml:space="preserve"> </w:t>
      </w:r>
    </w:p>
    <w:bookmarkStart w:id="69" w:name="_auto_toc_69"/>
    <w:bookmarkEnd w:id="69"/>
    <w:p>
      <w:pPr>
        <w:pStyle w:val="ResourceNumber"/>
      </w:pPr>
      <w:r>
        <w:t xml:space="preserve">6.10</w:t>
      </w:r>
    </w:p>
    <w:p>
      <w:pPr>
        <w:pStyle w:val="ResourceTitle"/>
      </w:pPr>
      <w:r>
        <w:t xml:space="preserve">Notes following McGee</w:t>
      </w:r>
    </w:p>
    <w:p>
      <w:pPr>
        <w:pStyle w:val="HeadEnd"/>
      </w:pPr>
      <w:r>
        <w:t xml:space="preserve"> </w:t>
      </w:r>
    </w:p>
    <w:p>
      <w:pPr>
        <w:pStyle w:val="BodyText"/>
      </w:pPr>
      <w:r>
        <w:t xml:space="preserve">1.</w:t>
      </w:r>
      <w:r>
        <w:t xml:space="preserve"> </w:t>
      </w:r>
      <w:r>
        <w:rPr>
          <w:bCs/>
          <w:b/>
        </w:rPr>
        <w:t xml:space="preserve">Contracts and purposeful availment</w:t>
      </w:r>
      <w:r>
        <w:t xml:space="preserve">: The court in </w:t>
      </w:r>
      <w:r>
        <w:rPr>
          <w:iCs/>
          <w:i/>
        </w:rPr>
        <w:t xml:space="preserve">McGee</w:t>
      </w:r>
      <w:r>
        <w:t xml:space="preserve"> </w:t>
      </w:r>
      <w:r>
        <w:t xml:space="preserve">notes that International Life Insurance Company never had an office or agent in California, nor had it solicited or done any insurance business in California apart from the one policy in this case. Compare this with the fact pattern in</w:t>
      </w:r>
      <w:r>
        <w:t xml:space="preserve"> </w:t>
      </w:r>
      <w:r>
        <w:rPr>
          <w:iCs/>
          <w:i/>
        </w:rPr>
        <w:t xml:space="preserve">International Shoe</w:t>
      </w:r>
      <w:r>
        <w:t xml:space="preserve">, in which the company had hired salespeople to make a sustained series of sales in Washington. What allows the</w:t>
      </w:r>
      <w:r>
        <w:t xml:space="preserve"> </w:t>
      </w:r>
      <w:r>
        <w:rPr>
          <w:iCs/>
          <w:i/>
        </w:rPr>
        <w:t xml:space="preserve">McGee</w:t>
      </w:r>
      <w:r>
        <w:t xml:space="preserve"> </w:t>
      </w:r>
      <w:r>
        <w:t xml:space="preserve">court to find sufficient contacts among the defendant, the subject matter of the litigation, and the forum? The court found it critical that the suit was based on a</w:t>
      </w:r>
      <w:r>
        <w:t xml:space="preserve"> </w:t>
      </w:r>
      <w:r>
        <w:t xml:space="preserve">contract that the defendant had mailed to the decedent in California. The defendant had thus purposefully availed itself of California and generated economic benefit from its activity.  Should there be any difference, for purposes of personal jurisdiction, between a contract lawsuit, a tax lawsuit (like</w:t>
      </w:r>
      <w:r>
        <w:t xml:space="preserve"> </w:t>
      </w:r>
      <w:r>
        <w:rPr>
          <w:iCs/>
          <w:i/>
        </w:rPr>
        <w:t xml:space="preserve">International Shoe</w:t>
      </w:r>
      <w:r>
        <w:t xml:space="preserve">), and an unintentional tort lawsuit?</w:t>
      </w:r>
    </w:p>
    <w:p>
      <w:pPr>
        <w:pStyle w:val="BodyText"/>
      </w:pPr>
      <w:r>
        <w:t xml:space="preserve">2.</w:t>
      </w:r>
      <w:r>
        <w:t xml:space="preserve"> </w:t>
      </w:r>
      <w:r>
        <w:rPr>
          <w:bCs/>
          <w:b/>
        </w:rPr>
        <w:t xml:space="preserve">Going beyond</w:t>
      </w:r>
      <w:r>
        <w:rPr>
          <w:bCs/>
          <w:b/>
        </w:rPr>
        <w:t xml:space="preserve"> </w:t>
      </w:r>
      <w:r>
        <w:rPr>
          <w:iCs/>
          <w:i/>
          <w:bCs/>
          <w:b/>
        </w:rPr>
        <w:t xml:space="preserve">International Shoe</w:t>
      </w:r>
      <w:r>
        <w:t xml:space="preserve">: Notice that the court in</w:t>
      </w:r>
      <w:r>
        <w:t xml:space="preserve"> </w:t>
      </w:r>
      <w:r>
        <w:rPr>
          <w:iCs/>
          <w:i/>
        </w:rPr>
        <w:t xml:space="preserve">McGee</w:t>
      </w:r>
      <w:r>
        <w:t xml:space="preserve">, following its reasoning in</w:t>
      </w:r>
      <w:r>
        <w:t xml:space="preserve"> </w:t>
      </w:r>
      <w:r>
        <w:rPr>
          <w:iCs/>
          <w:i/>
        </w:rPr>
        <w:t xml:space="preserve">International Shoe,</w:t>
      </w:r>
      <w:r>
        <w:t xml:space="preserve"> </w:t>
      </w:r>
      <w:r>
        <w:t xml:space="preserve">could have stopped after its discussion of the nature of the defendant’s contacts and its purposeful availment. Instead, the court considered additional factors, including California’s interest in having a convenient forum for residents to seek redress, the plaintiff’s interest in having a convenient location, and the availability of evidence within the forum.  In your view, was this a wise move?  Does it render personal jurisdiction doctrine more complex? What is the role of these three factors vis-a-vis purposeful availment?</w:t>
      </w:r>
    </w:p>
    <w:p>
      <w:pPr>
        <w:pStyle w:val="BodyText"/>
      </w:pPr>
      <w:r>
        <w:t xml:space="preserve">3.</w:t>
      </w:r>
      <w:r>
        <w:t xml:space="preserve"> </w:t>
      </w:r>
      <w:r>
        <w:rPr>
          <w:bCs/>
          <w:b/>
        </w:rPr>
        <w:t xml:space="preserve">Technology and expanding personal jurisdiction</w:t>
      </w:r>
      <w:r>
        <w:t xml:space="preserve">: Here, the court discusses the increasing amount of interstate commerce, particularly through mail. Additionally, the court discusses how the improvement in transportation technology makes it less burdensome for out-of-state defendants to defend themselves, particularly those that operate in many states.  But doesn't also this logic also suggest that it will be easier and cheaper for plaintiffs to travel to a defendant's home state?  If so, does ease and cheapness of transportation and communication suggest that personal jurisdiction doctrine should loosen or tighten?</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70" w:name="_auto_toc_70"/>
    <w:bookmarkEnd w:id="70"/>
    <w:p>
      <w:pPr>
        <w:pStyle w:val="ChapterNumber"/>
      </w:pPr>
      <w:r>
        <w:t xml:space="preserve">7</w:t>
      </w:r>
    </w:p>
    <w:p>
      <w:pPr>
        <w:pStyle w:val="ChapterTitle"/>
      </w:pPr>
      <w:r>
        <w:t xml:space="preserve">Day 7</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71" w:name="_auto_toc_71"/>
    <w:bookmarkEnd w:id="71"/>
    <w:p>
      <w:pPr>
        <w:pStyle w:val="ResourceNumber"/>
      </w:pPr>
      <w:r>
        <w:t xml:space="preserve">7.1</w:t>
      </w:r>
    </w:p>
    <w:p>
      <w:pPr>
        <w:pStyle w:val="ResourceTitle"/>
      </w:pPr>
      <w:r>
        <w:t xml:space="preserve">Rules and Constitutional Provisions</w:t>
      </w:r>
    </w:p>
    <w:p>
      <w:pPr>
        <w:pStyle w:val="HeadFieldSeparator"/>
      </w:pPr>
      <w:r>
        <w:t xml:space="preserve"> </w:t>
      </w:r>
    </w:p>
    <w:p>
      <w:pPr>
        <w:pStyle w:val="ResourceHeadnote"/>
      </w:pPr>
      <w:r>
        <w:t xml:space="preserve">Read the following Federal Rules of Civil Procedure and constitutional provisions. You can access them via the internet or the supplemental handout provided on Canvas.</w:t>
      </w:r>
    </w:p>
    <w:p>
      <w:pPr>
        <w:pStyle w:val="HeadEnd"/>
      </w:pPr>
      <w:r>
        <w:t xml:space="preserve"> </w:t>
      </w:r>
    </w:p>
    <w:p>
      <w:pPr>
        <w:numPr>
          <w:ilvl w:val="0"/>
          <w:numId w:val="1088"/>
        </w:numPr>
      </w:pPr>
      <w:r>
        <w:t xml:space="preserve">U.S. Const. art. IV § 1</w:t>
      </w:r>
    </w:p>
    <w:p>
      <w:pPr>
        <w:numPr>
          <w:ilvl w:val="0"/>
          <w:numId w:val="1088"/>
        </w:numPr>
      </w:pPr>
      <w:r>
        <w:t xml:space="preserve">U.S. Const. amend. XIV</w:t>
      </w:r>
    </w:p>
    <w:p>
      <w:pPr>
        <w:numPr>
          <w:ilvl w:val="0"/>
          <w:numId w:val="1088"/>
        </w:numPr>
      </w:pPr>
      <w:r>
        <w:t xml:space="preserve">Fed. R. Civ. P. 4, particularly 4(k)(1)(A)</w:t>
      </w:r>
    </w:p>
    <w:p>
      <w:pPr>
        <w:pStyle w:val="NodeEnd"/>
      </w:pPr>
      <w:r>
        <w:t xml:space="preserve"> </w:t>
      </w:r>
    </w:p>
    <w:p>
      <w:pPr>
        <w:pStyle w:val="NodeStart"/>
      </w:pPr>
      <w:r>
        <w:t xml:space="preserve"> </w:t>
      </w:r>
    </w:p>
    <w:p>
      <w:pPr>
        <w:pStyle w:val="HeadSeparator"/>
      </w:pPr>
      <w:r>
        <w:t xml:space="preserve"> </w:t>
      </w:r>
    </w:p>
    <w:bookmarkStart w:id="72" w:name="_auto_toc_72"/>
    <w:bookmarkEnd w:id="72"/>
    <w:p>
      <w:pPr>
        <w:pStyle w:val="ResourceNumber"/>
      </w:pPr>
      <w:r>
        <w:t xml:space="preserve">7.2</w:t>
      </w:r>
    </w:p>
    <w:p>
      <w:pPr>
        <w:pStyle w:val="ResourceTitle"/>
      </w:pPr>
      <w:r>
        <w:t xml:space="preserve">Video (13 min)</w:t>
      </w:r>
    </w:p>
    <w:p>
      <w:pPr>
        <w:pStyle w:val="HeadEnd"/>
      </w:pPr>
      <w:r>
        <w:t xml:space="preserve"> </w:t>
      </w:r>
    </w:p>
    <w:p>
      <w:pPr>
        <w:pStyle w:val="BodyText"/>
      </w:pPr>
      <w:r>
        <w:t xml:space="preserve">Watch the video located</w:t>
      </w:r>
      <w:r>
        <w:t xml:space="preserve"> </w:t>
      </w:r>
      <w:hyperlink r:id="rId55">
        <w:r>
          <w:rPr>
            <w:rStyle w:val="Hyperlink"/>
          </w:rPr>
          <w:t xml:space="preserve">here</w:t>
        </w:r>
      </w:hyperlink>
      <w:r>
        <w:t xml:space="preserve">. It is about 13 minutes long.</w:t>
      </w:r>
    </w:p>
    <w:p>
      <w:pPr>
        <w:pStyle w:val="NodeEnd"/>
      </w:pPr>
      <w:r>
        <w:t xml:space="preserve"> </w:t>
      </w:r>
    </w:p>
    <w:p>
      <w:pPr>
        <w:pStyle w:val="NodeStart"/>
      </w:pPr>
      <w:r>
        <w:t xml:space="preserve"> </w:t>
      </w:r>
    </w:p>
    <w:p>
      <w:pPr>
        <w:pStyle w:val="HeadSeparator"/>
      </w:pPr>
      <w:r>
        <w:t xml:space="preserve"> </w:t>
      </w:r>
    </w:p>
    <w:bookmarkStart w:id="73" w:name="_auto_toc_73"/>
    <w:bookmarkEnd w:id="73"/>
    <w:p>
      <w:pPr>
        <w:pStyle w:val="ResourceNumber"/>
      </w:pPr>
      <w:r>
        <w:t xml:space="preserve">7.3</w:t>
      </w:r>
    </w:p>
    <w:p>
      <w:pPr>
        <w:pStyle w:val="ResourceTitle"/>
      </w:pPr>
      <w:r>
        <w:t xml:space="preserve">Hanson v. Denckla</w:t>
      </w:r>
    </w:p>
    <w:p>
      <w:pPr>
        <w:pStyle w:val="HeadFieldSeparator"/>
      </w:pPr>
      <w:r>
        <w:t xml:space="preserve"> </w:t>
      </w:r>
    </w:p>
    <w:p>
      <w:pPr>
        <w:pStyle w:val="ResourceHeadnote"/>
      </w:pPr>
      <w:r>
        <w:t xml:space="preserve">The facts of</w:t>
      </w:r>
      <w:r>
        <w:t xml:space="preserve"> </w:t>
      </w:r>
      <w:r>
        <w:rPr>
          <w:iCs/>
          <w:i/>
        </w:rPr>
        <w:t xml:space="preserve">Hanson v. Denckla</w:t>
      </w:r>
      <w:r>
        <w:t xml:space="preserve"> </w:t>
      </w:r>
      <w:r>
        <w:t xml:space="preserve">are complicated.</w:t>
      </w:r>
    </w:p>
    <w:p>
      <w:pPr>
        <w:pStyle w:val="ResourceHeadnote"/>
      </w:pPr>
      <w:r>
        <w:t xml:space="preserve">Dora Donner, while domiciled in Pennsylvania, established a trust in Delaware. She put some money in the trust; by the time of her death, the trust was worth about $400,000. She appointed herself the beneficiary of the trust during her lifetime, meaning that she would receive the money that the $400,000 earned for as long as she lived. The trust allowed her to designate the beneficiary of the trust's assets upon her death at a later time, and to change that designation as she saw fit. Later, Donner moved to Florida, and while in Florida, she executed an instrument effectively (through the creation of still more trusts) designating two of her grandchildren -- the children of Daughter #1 -- as the beneficiaries of the trust upon her death. She executed these documents in Florida and mailed them to the Delaware trustee.</w:t>
      </w:r>
    </w:p>
    <w:p>
      <w:pPr>
        <w:pStyle w:val="ResourceHeadnote"/>
      </w:pPr>
      <w:r>
        <w:t xml:space="preserve">While in Florida, she also executed her will (outlining what would happen upon her death to the assets that she did not put into the trust), naming Daughter #1 as her executrix and leaving her non-trust possessions (worth $1 million) to be paid via her will equally to Daughters #2 and #3. After living eight years in Florida, during which time her income included checks (represented the money that her $400,000 trust earned) that the Delaware trustee mailed to her at her Florida address, Donner passed away.</w:t>
      </w:r>
    </w:p>
    <w:p>
      <w:pPr>
        <w:pStyle w:val="ResourceHeadnote"/>
      </w:pPr>
      <w:r>
        <w:t xml:space="preserve">Daughters #2 and #3, having received $500,000 each from the will, wanted more. They filed suit in Florida state court claiming that the appointment of the two grandchildren as beneficiaries of the Delaware trust was invalid. If the court agreed, then the $400,000 that had gone to the trust would revert back to Donnor, and, because Donnor was dead, that money would become part of her "estate" (her property upon her death), and would thus be divided equally among Daughters # 2 and #3. Under the Florida rules of civil procedure (which do not concern us here), the Florida case could not proceed unless the Delaware trustee was included in the litigation, and that depended on whether the Florida court could exercise personal jurisdiction over the Delaware trustee. The Florida court found that it could exercise jurisdiction over the Delaware trustee and ruled in favor of Daughters #2 and #3. Eventually, the Supreme Court of Florida upheld both decisions.</w:t>
      </w:r>
    </w:p>
    <w:p>
      <w:pPr>
        <w:pStyle w:val="ResourceHeadnote"/>
      </w:pPr>
      <w:r>
        <w:t xml:space="preserve">Meanwhile, Daughter #1 had filed a separate suit in Delaware after the Florida litigation began but before judgment had been entered, and the Delaware state court ruled that the Delaware trusts were valid. The Delaware Supreme Court affirmed, holding that the Florida judgment did not prevent the Delaware court from proceeding because Florida lacked jurisdiction over the Delaware trustee.</w:t>
      </w:r>
    </w:p>
    <w:p>
      <w:pPr>
        <w:pStyle w:val="HeadEnd"/>
      </w:pPr>
      <w:r>
        <w:t xml:space="preserve"> </w:t>
      </w:r>
    </w:p>
    <w:p>
      <w:pPr>
        <w:pStyle w:val="CaseHeader"/>
      </w:pPr>
      <w:r>
        <w:t xml:space="preserve">Supreme Court of the United States</w:t>
      </w:r>
    </w:p>
    <w:p>
      <w:pPr>
        <w:pStyle w:val="CaseHeader"/>
      </w:pPr>
      <w:r>
        <w:t xml:space="preserve">357 U.S. 235, 2 L. Ed. 2d 1283, 78 S. Ct. 1228, SCDB 1957-129, 1958 U.S. LEXIS 752</w:t>
      </w:r>
    </w:p>
    <w:p>
      <w:pPr>
        <w:pStyle w:val="CaseHeader"/>
      </w:pPr>
      <w:r>
        <w:t xml:space="preserve">No. 107</w:t>
      </w:r>
    </w:p>
    <w:p>
      <w:pPr>
        <w:pStyle w:val="CaseHeader"/>
      </w:pPr>
      <w:r>
        <w:t xml:space="preserve">1958-06-23</w:t>
      </w:r>
    </w:p>
    <w:p>
      <w:pPr>
        <w:pStyle w:val="CaseBody"/>
      </w:pPr>
      <w:r>
        <w:t xml:space="preserve">357 U.S. 235 (1958)</w:t>
      </w:r>
    </w:p>
    <w:p>
      <w:pPr>
        <w:pStyle w:val="CaseHeader"/>
      </w:pPr>
      <w:r>
        <w:t xml:space="preserve">HANSON, EXECUTRIX, ET AL.</w:t>
      </w:r>
      <w:r>
        <w:br/>
      </w:r>
      <w:r>
        <w:t xml:space="preserve">v.</w:t>
      </w:r>
      <w:r>
        <w:br/>
      </w:r>
      <w:r>
        <w:t xml:space="preserve">DENCKLA ET AL.</w:t>
      </w:r>
    </w:p>
    <w:p>
      <w:pPr>
        <w:pStyle w:val="CaseBody"/>
      </w:pPr>
      <w:r>
        <w:t xml:space="preserve">No. 107.</w:t>
      </w:r>
    </w:p>
    <w:p>
      <w:pPr>
        <w:pStyle w:val="CaseBody"/>
      </w:pPr>
      <w:r>
        <w:t xml:space="preserve">Supreme Court of United States.</w:t>
      </w:r>
    </w:p>
    <w:p>
      <w:pPr>
        <w:pStyle w:val="CaseBody"/>
      </w:pPr>
      <w:r>
        <w:t xml:space="preserve">Argued March 10-11, 1958.</w:t>
      </w:r>
    </w:p>
    <w:p>
      <w:pPr>
        <w:pStyle w:val="CaseBody"/>
      </w:pPr>
      <w:r>
        <w:t xml:space="preserve">Decided June 23, 1958.</w:t>
      </w:r>
      <w:hyperlink w:anchor="X53f052c65004db06f77565f30ad953a0cacc7be">
        <w:r>
          <w:rPr>
            <w:rStyle w:val="Hyperlink"/>
            <w:vertAlign w:val="superscript"/>
          </w:rPr>
          <w:t xml:space="preserve">[1]</w:t>
        </w:r>
      </w:hyperlink>
    </w:p>
    <w:p>
      <w:pPr>
        <w:pStyle w:val="CaseBody"/>
      </w:pPr>
      <w:r>
        <w:t xml:space="preserve">APPEAL FROM THE SUPREME COURT OF FLORIDA.</w:t>
      </w:r>
    </w:p>
    <w:p>
      <w:pPr>
        <w:pStyle w:val="CaseBody"/>
      </w:pPr>
      <w:r>
        <w:rPr>
          <w:rStyle w:val="Elision"/>
        </w:rPr>
        <w:t xml:space="preserve">[ … ]</w:t>
      </w:r>
    </w:p>
    <w:bookmarkStart w:id="56" w:name="Xa43e872d6b2ebf4854933e0d1f309e458e795f5"/>
    <w:p>
      <w:pPr>
        <w:pStyle w:val="Heading2"/>
      </w:pPr>
      <w:r>
        <w:t xml:space="preserve">MR. CHIEF JUSTICE WARREN delivered the opinion of the Court.</w:t>
      </w:r>
    </w:p>
    <w:p>
      <w:pPr>
        <w:pStyle w:val="CaseBody"/>
      </w:pPr>
      <w:r>
        <w:rPr>
          <w:rStyle w:val="Elision"/>
        </w:rPr>
        <w:t xml:space="preserve">[ … ]</w:t>
      </w:r>
    </w:p>
    <w:p>
      <w:pPr>
        <w:pStyle w:val="CaseBody"/>
      </w:pPr>
      <w:r>
        <w:rPr>
          <w:rStyle w:val="Elision"/>
        </w:rPr>
        <w:t xml:space="preserve">[ … ]</w:t>
      </w:r>
    </w:p>
    <w:p>
      <w:pPr>
        <w:pStyle w:val="CaseBody"/>
      </w:pPr>
      <w:r>
        <w:rPr>
          <w:iCs/>
          <w:i/>
        </w:rPr>
        <w:t xml:space="preserve">In personam jurisdiction.</w:t>
      </w:r>
      <w:r>
        <w:t xml:space="preserve"> </w:t>
      </w:r>
      <w:r>
        <w:t xml:space="preserve">Appellees' stronger argument is for</w:t>
      </w:r>
      <w:r>
        <w:t xml:space="preserve"> </w:t>
      </w:r>
      <w:r>
        <w:rPr>
          <w:iCs/>
          <w:i/>
        </w:rPr>
        <w:t xml:space="preserve">in personam</w:t>
      </w:r>
      <w:r>
        <w:t xml:space="preserve"> </w:t>
      </w:r>
      <w:r>
        <w:t xml:space="preserve">jurisdiction over the Delaware trustee. They urge that the circumstances of this case amount to sufficient affiliation with the State of Florida to empower its courts to exercise personal jurisdiction over this nonresident defendant. Principal reliance is placed upon</w:t>
      </w:r>
      <w:r>
        <w:t xml:space="preserve"> </w:t>
      </w:r>
      <w:r>
        <w:rPr>
          <w:iCs/>
          <w:i/>
        </w:rPr>
        <w:t xml:space="preserve">McGee</w:t>
      </w:r>
      <w:r>
        <w:t xml:space="preserve"> </w:t>
      </w:r>
      <w:r>
        <w:t xml:space="preserve">v.</w:t>
      </w:r>
      <w:r>
        <w:t xml:space="preserve"> </w:t>
      </w:r>
      <w:r>
        <w:rPr>
          <w:iCs/>
          <w:i/>
        </w:rPr>
        <w:t xml:space="preserve">International Life Ins. Co.,</w:t>
      </w:r>
      <w:r>
        <w:t xml:space="preserve"> </w:t>
      </w:r>
      <w:r>
        <w:t xml:space="preserve">355 U. S. 220. In</w:t>
      </w:r>
      <w:r>
        <w:t xml:space="preserve"> </w:t>
      </w:r>
      <w:r>
        <w:rPr>
          <w:iCs/>
          <w:i/>
        </w:rPr>
        <w:t xml:space="preserve">McGee</w:t>
      </w:r>
      <w:r>
        <w:t xml:space="preserve"> </w:t>
      </w:r>
      <w:r>
        <w:t xml:space="preserve">the Court noted the trend of expanding personal jurisdiction over nonresidents. As technological</w:t>
      </w:r>
      <w:r>
        <w:t xml:space="preserve"> </w:t>
      </w:r>
      <w:r>
        <w:rPr>
          <w:rStyle w:val="Elision"/>
        </w:rPr>
        <w:t xml:space="preserve">[ … ]</w:t>
      </w:r>
      <w:r>
        <w:t xml:space="preserve"> </w:t>
      </w:r>
      <w:r>
        <w:t xml:space="preserve">progress has increased the flow of commerce between States, the need for jurisdiction over nonresidents has undergone a similar increase. At the same time, progress in communications and transportation has made the defense of a suit in a foreign tribunal less burdensome. In response to these changes, the requirements for personal jurisdiction over nonresidents have evolved from the rigid rule of</w:t>
      </w:r>
      <w:r>
        <w:t xml:space="preserve"> </w:t>
      </w:r>
      <w:r>
        <w:rPr>
          <w:iCs/>
          <w:i/>
        </w:rPr>
        <w:t xml:space="preserve">Pennoyer</w:t>
      </w:r>
      <w:r>
        <w:t xml:space="preserve"> </w:t>
      </w:r>
      <w:r>
        <w:t xml:space="preserve">v.</w:t>
      </w:r>
      <w:r>
        <w:t xml:space="preserve"> </w:t>
      </w:r>
      <w:r>
        <w:rPr>
          <w:iCs/>
          <w:i/>
        </w:rPr>
        <w:t xml:space="preserve">Neff,</w:t>
      </w:r>
      <w:r>
        <w:t xml:space="preserve"> </w:t>
      </w:r>
      <w:r>
        <w:t xml:space="preserve">95 U. S. 714, to the flexible standard of</w:t>
      </w:r>
      <w:r>
        <w:t xml:space="preserve"> </w:t>
      </w:r>
      <w:r>
        <w:rPr>
          <w:iCs/>
          <w:i/>
        </w:rPr>
        <w:t xml:space="preserve">International Shoe Co.</w:t>
      </w:r>
      <w:r>
        <w:t xml:space="preserve"> </w:t>
      </w:r>
      <w:r>
        <w:t xml:space="preserve">v.</w:t>
      </w:r>
      <w:r>
        <w:t xml:space="preserve"> </w:t>
      </w:r>
      <w:r>
        <w:rPr>
          <w:iCs/>
          <w:i/>
        </w:rPr>
        <w:t xml:space="preserve">Washington,</w:t>
      </w:r>
      <w:r>
        <w:t xml:space="preserve"> </w:t>
      </w:r>
      <w:r>
        <w:t xml:space="preserve">326 U. S. 310. But it is a mistake to assume that this trend heralds the eventual demise of all restrictions on the personal jurisdiction of state courts.</w:t>
      </w:r>
      <w:r>
        <w:t xml:space="preserve"> </w:t>
      </w:r>
      <w:r>
        <w:rPr>
          <w:rStyle w:val="Elision"/>
        </w:rPr>
        <w:t xml:space="preserve">[ … ]</w:t>
      </w:r>
      <w:r>
        <w:t xml:space="preserve">Those restrictions are more than a guarantee of immunity from inconvenient or distant litigation. They are a consequence of territorial limitations on the power of the respective States. However minimal the burden of defending in a foreign tribunal, a defendant may not be called upon to do so unless he has had the "minimal contacts" with that State that are a prerequisite to its exercise of power over him. See</w:t>
      </w:r>
      <w:r>
        <w:t xml:space="preserve"> </w:t>
      </w:r>
      <w:r>
        <w:rPr>
          <w:iCs/>
          <w:i/>
        </w:rPr>
        <w:t xml:space="preserve">International Shoe Co.</w:t>
      </w:r>
      <w:r>
        <w:t xml:space="preserve"> </w:t>
      </w:r>
      <w:r>
        <w:t xml:space="preserve">v.</w:t>
      </w:r>
      <w:r>
        <w:t xml:space="preserve"> </w:t>
      </w:r>
      <w:r>
        <w:rPr>
          <w:iCs/>
          <w:i/>
        </w:rPr>
        <w:t xml:space="preserve">Washington,</w:t>
      </w:r>
      <w:r>
        <w:t xml:space="preserve"> </w:t>
      </w:r>
      <w:r>
        <w:t xml:space="preserve">326 U. S. 310, 319.</w:t>
      </w:r>
    </w:p>
    <w:p>
      <w:pPr>
        <w:pStyle w:val="CaseBody"/>
      </w:pPr>
      <w:r>
        <w:t xml:space="preserve">We fail to find such contacts in the circumstances of this case. The defendant trust company has no office in Florida, and transacts no business there. None of the trust assets has ever been held or administered in Florida, and the record discloses no solicitation of business in that State either in person or by mail. Cf.</w:t>
      </w:r>
      <w:r>
        <w:t xml:space="preserve">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w:t>
      </w:r>
      <w:r>
        <w:t xml:space="preserve"> </w:t>
      </w:r>
      <w:r>
        <w:rPr>
          <w:iCs/>
          <w:i/>
        </w:rPr>
        <w:t xml:space="preserve">McGee</w:t>
      </w:r>
      <w:r>
        <w:t xml:space="preserve"> </w:t>
      </w:r>
      <w:r>
        <w:t xml:space="preserve">v.</w:t>
      </w:r>
      <w:r>
        <w:t xml:space="preserve"> </w:t>
      </w:r>
      <w:r>
        <w:rPr>
          <w:iCs/>
          <w:i/>
        </w:rPr>
        <w:t xml:space="preserve">International Life Ins. Co.,</w:t>
      </w:r>
      <w:r>
        <w:t xml:space="preserve"> </w:t>
      </w:r>
      <w:r>
        <w:rPr>
          <w:rStyle w:val="Elision"/>
        </w:rPr>
        <w:t xml:space="preserve">[ … ]</w:t>
      </w:r>
      <w:r>
        <w:rPr>
          <w:rStyle w:val="Elision"/>
        </w:rPr>
        <w:t xml:space="preserve">[ … ]</w:t>
      </w:r>
    </w:p>
    <w:p>
      <w:pPr>
        <w:pStyle w:val="CaseBody"/>
      </w:pPr>
      <w:r>
        <w:t xml:space="preserve">The cause of action in this case is not one that arises out of an act done or transaction consummated in the forum State. In that respect, it differs from</w:t>
      </w:r>
      <w:r>
        <w:t xml:space="preserve"> </w:t>
      </w:r>
      <w:r>
        <w:rPr>
          <w:iCs/>
          <w:i/>
        </w:rPr>
        <w:t xml:space="preserve">McGee</w:t>
      </w:r>
      <w:r>
        <w:t xml:space="preserve"> </w:t>
      </w:r>
      <w:r>
        <w:t xml:space="preserve">v.</w:t>
      </w:r>
      <w:r>
        <w:t xml:space="preserve"> </w:t>
      </w:r>
      <w:r>
        <w:rPr>
          <w:iCs/>
          <w:i/>
        </w:rPr>
        <w:t xml:space="preserve">International Life Ins. Co.,</w:t>
      </w:r>
      <w:r>
        <w:rPr>
          <w:rStyle w:val="Elision"/>
        </w:rPr>
        <w:t xml:space="preserve">[ … ]</w:t>
      </w:r>
      <w:r>
        <w:t xml:space="preserve"> </w:t>
      </w:r>
      <w:r>
        <w:t xml:space="preserve">and the cases there cited. In</w:t>
      </w:r>
      <w:r>
        <w:t xml:space="preserve"> </w:t>
      </w:r>
      <w:r>
        <w:rPr>
          <w:iCs/>
          <w:i/>
        </w:rPr>
        <w:t xml:space="preserve">McGee,</w:t>
      </w:r>
      <w:r>
        <w:t xml:space="preserve"> </w:t>
      </w:r>
      <w:r>
        <w:t xml:space="preserve">the nonresident defendant solicited a reinsurance agreement with a resident of California.</w:t>
      </w:r>
      <w:r>
        <w:t xml:space="preserve"> </w:t>
      </w:r>
      <w:r>
        <w:rPr>
          <w:rStyle w:val="Elision"/>
        </w:rPr>
        <w:t xml:space="preserve">[ … ]</w:t>
      </w:r>
      <w:r>
        <w:t xml:space="preserve"> </w:t>
      </w:r>
      <w:r>
        <w:t xml:space="preserve">The offer was accepted in that State, and the insurance premiums were mailed from there until the insured's death.</w:t>
      </w:r>
      <w:r>
        <w:t xml:space="preserve"> </w:t>
      </w:r>
      <w:r>
        <w:rPr>
          <w:rStyle w:val="ReplacementText"/>
        </w:rPr>
        <w:t xml:space="preserve">Noting</w:t>
      </w:r>
      <w:r>
        <w:t xml:space="preserve"> </w:t>
      </w:r>
      <w:r>
        <w:t xml:space="preserve">the interest California has in providing effective redress for its residents when nonresident insurers refuse to pay claims on insurance they have solicited in that State, the Court upheld jurisdiction because the suit "was based on a contract which had substantial connection with that State." In contrast, this action involves the validity of an agreement that was entered without any connection with the forum State. The agreement was executed in Delaware by a trust company incorporated in that State and a settlor domiciled in Pennsylvania. The first relationship Florida had to the agreement was years later when the settlor became domiciled there, and the trustee remitted the trust income to her in that State. From Florida Mrs. Donner carried on several bits of trust administration that may be compared to the mailing of premiums in</w:t>
      </w:r>
      <w:r>
        <w:t xml:space="preserve"> </w:t>
      </w:r>
      <w:r>
        <w:rPr>
          <w:iCs/>
          <w:i/>
        </w:rPr>
        <w:t xml:space="preserve">McGee.</w:t>
      </w:r>
      <w:hyperlink w:anchor="Xa1fe3f57edb7b37a1383cb2b18502b70e7087bd">
        <w:r>
          <w:rPr>
            <w:rStyle w:val="Hyperlink"/>
            <w:vertAlign w:val="superscript"/>
          </w:rPr>
          <w:t xml:space="preserve">[25]</w:t>
        </w:r>
      </w:hyperlink>
      <w:r>
        <w:t xml:space="preserve"> </w:t>
      </w:r>
      <w:r>
        <w:t xml:space="preserve">But the record discloses no instance in which the</w:t>
      </w:r>
      <w:r>
        <w:t xml:space="preserve"> </w:t>
      </w:r>
      <w:r>
        <w:rPr>
          <w:iCs/>
          <w:i/>
        </w:rPr>
        <w:t xml:space="preserve">trustee</w:t>
      </w:r>
      <w:r>
        <w:t xml:space="preserve"> </w:t>
      </w:r>
      <w:r>
        <w:t xml:space="preserve">performed any acts in Florida that bear the same relationship to the agreement as the solicitation in</w:t>
      </w:r>
      <w:r>
        <w:t xml:space="preserve"> </w:t>
      </w:r>
      <w:r>
        <w:rPr>
          <w:iCs/>
          <w:i/>
        </w:rPr>
        <w:t xml:space="preserve">McGee.</w:t>
      </w:r>
      <w:r>
        <w:t xml:space="preserve"> </w:t>
      </w:r>
      <w:r>
        <w:t xml:space="preserve">Consequently, this suit cannot be said to be one to enforce an obligation that arose from a privilege the defendant exercised in Florida. Cf.</w:t>
      </w:r>
      <w:r>
        <w:t xml:space="preserve">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 This case is also different from</w:t>
      </w:r>
      <w:r>
        <w:t xml:space="preserve"> </w:t>
      </w:r>
      <w:r>
        <w:rPr>
          <w:iCs/>
          <w:i/>
        </w:rPr>
        <w:t xml:space="preserve">McGee</w:t>
      </w:r>
      <w:r>
        <w:t xml:space="preserve"> </w:t>
      </w:r>
      <w:r>
        <w:t xml:space="preserve">in that there the State had enacted special legislation (Unauthorized Insurers Process Act) to exercise what</w:t>
      </w:r>
      <w:r>
        <w:t xml:space="preserve"> </w:t>
      </w:r>
      <w:r>
        <w:rPr>
          <w:iCs/>
          <w:i/>
        </w:rPr>
        <w:t xml:space="preserve">McGee</w:t>
      </w:r>
      <w:r>
        <w:t xml:space="preserve"> </w:t>
      </w:r>
      <w:r>
        <w:t xml:space="preserve">called its "manifest interest" in providing effective redress for citizens who had been injured by nonresidents engaged in an activity that the State treats as exceptional and subjects to special regulation.</w:t>
      </w:r>
      <w:r>
        <w:t xml:space="preserve"> </w:t>
      </w:r>
      <w:r>
        <w:rPr>
          <w:rStyle w:val="Elision"/>
        </w:rPr>
        <w:t xml:space="preserve">[ … ]</w:t>
      </w:r>
      <w:r>
        <w:rPr>
          <w:iCs/>
          <w:i/>
        </w:rPr>
        <w:t xml:space="preserve">Hess</w:t>
      </w:r>
      <w:r>
        <w:t xml:space="preserve"> </w:t>
      </w:r>
      <w:r>
        <w:t xml:space="preserve">v.</w:t>
      </w:r>
      <w:r>
        <w:t xml:space="preserve"> </w:t>
      </w:r>
      <w:r>
        <w:rPr>
          <w:iCs/>
          <w:i/>
        </w:rPr>
        <w:t xml:space="preserve">Pawloski,</w:t>
      </w:r>
      <w:r>
        <w:t xml:space="preserve"> </w:t>
      </w:r>
      <w:r>
        <w:t xml:space="preserve">274 U. S. 352.</w:t>
      </w:r>
    </w:p>
    <w:p>
      <w:pPr>
        <w:pStyle w:val="CaseBody"/>
      </w:pPr>
      <w:r>
        <w:rPr>
          <w:rStyle w:val="Elision"/>
        </w:rPr>
        <w:t xml:space="preserve">[ … ]</w:t>
      </w:r>
      <w:r>
        <w:t xml:space="preserve">The unilateral activity of those who claim some relationship with a nonresident defendant cannot satisfy the requirement of contact with the forum State. The application of that rule will vary with the quality and nature of the defendant's activity, but it is essential in each case that there be some act by which the defendant purposefully avails itself of the privilege of conducting activities within the forum State, thus invoking the benefits and protections of its laws.</w:t>
      </w:r>
      <w:r>
        <w:t xml:space="preserve"> </w:t>
      </w:r>
      <w:r>
        <w:rPr>
          <w:iCs/>
          <w:i/>
        </w:rPr>
        <w:t xml:space="preserve">International Shoe Co.</w:t>
      </w:r>
      <w:r>
        <w:t xml:space="preserve"> </w:t>
      </w:r>
      <w:r>
        <w:t xml:space="preserve">v.</w:t>
      </w:r>
      <w:r>
        <w:t xml:space="preserve"> </w:t>
      </w:r>
      <w:r>
        <w:rPr>
          <w:iCs/>
          <w:i/>
        </w:rPr>
        <w:t xml:space="preserve">Washington,</w:t>
      </w:r>
      <w:r>
        <w:t xml:space="preserve"> </w:t>
      </w:r>
      <w:r>
        <w:t xml:space="preserve">326 U. S. 310, 319.</w:t>
      </w:r>
      <w:r>
        <w:t xml:space="preserve"> </w:t>
      </w:r>
      <w:r>
        <w:rPr>
          <w:rStyle w:val="Elision"/>
        </w:rPr>
        <w:t xml:space="preserve">[ … ]</w:t>
      </w:r>
      <w:r>
        <w:t xml:space="preserve"> </w:t>
      </w:r>
      <w:r>
        <w:t xml:space="preserve">The settlor's execution in Florida of her power of appointment cannot remedy the absence of such an act in this case.</w:t>
      </w:r>
    </w:p>
    <w:p>
      <w:pPr>
        <w:pStyle w:val="CaseBody"/>
      </w:pPr>
      <w:r>
        <w:rPr>
          <w:rStyle w:val="Elision"/>
        </w:rPr>
        <w:t xml:space="preserve">[ … ]</w:t>
      </w:r>
    </w:p>
    <w:p>
      <w:pPr>
        <w:pStyle w:val="CaseBody"/>
      </w:pPr>
      <w:r>
        <w:t xml:space="preserve">The judgment of the Delaware Supreme Court is affirmed, and the judgment of the Florida Supreme Court is reversed and the cause is remanded for proceedings not inconsistent with this opinion.</w:t>
      </w:r>
    </w:p>
    <w:p>
      <w:pPr>
        <w:pStyle w:val="CaseBody"/>
      </w:pPr>
      <w:r>
        <w:rPr>
          <w:iCs/>
          <w:i/>
        </w:rPr>
        <w:t xml:space="preserve">It is so ordered.</w:t>
      </w:r>
    </w:p>
    <w:bookmarkEnd w:id="56"/>
    <w:bookmarkStart w:id="57" w:name="Xa29a0860b2f5edac64dbc75274c094d1e540d4a"/>
    <w:p>
      <w:pPr>
        <w:pStyle w:val="Heading2"/>
      </w:pPr>
      <w:r>
        <w:t xml:space="preserve">MR. JUSTICE BLACK, whom MR. JUSTICE BURTON and MR. JUSTICE BRENNAN join, dissenting.</w:t>
      </w:r>
    </w:p>
    <w:p>
      <w:pPr>
        <w:pStyle w:val="CaseBody"/>
      </w:pPr>
      <w:r>
        <w:rPr>
          <w:rStyle w:val="Elision"/>
        </w:rPr>
        <w:t xml:space="preserve">[ … ]</w:t>
      </w:r>
    </w:p>
    <w:p>
      <w:pPr>
        <w:pStyle w:val="CaseBody"/>
      </w:pPr>
      <w:r>
        <w:rPr>
          <w:rStyle w:val="ReplacementText"/>
        </w:rPr>
        <w:t xml:space="preserve">[It]</w:t>
      </w:r>
      <w:r>
        <w:t xml:space="preserve"> </w:t>
      </w:r>
      <w:r>
        <w:t xml:space="preserve">seems quite clear to me that there is nothing in the Due Process Clause which denies Florida the right to determine whether Mrs. Donner's appointment was valid as against its statute of wills. This disposition, which was designed to take effect after her death, had very close and substantial connections with that State. Not only was the appointment made in Florida by a domiciliary of Florida, but the primary beneficiaries also lived in that State. In my view it could hardly be denied that Florida had sufficient interest so that a court with jurisdiction might properly apply Florida law, if it chose, to determine whether the appointment was effectual.</w:t>
      </w:r>
      <w:r>
        <w:t xml:space="preserve"> </w:t>
      </w:r>
      <w:r>
        <w:rPr>
          <w:rStyle w:val="Elision"/>
        </w:rPr>
        <w:t xml:space="preserve">[ … ]</w:t>
      </w:r>
      <w:r>
        <w:t xml:space="preserve"> </w:t>
      </w:r>
      <w:r>
        <w:t xml:space="preserve">True, the question whether the law of a State can be applied to a transaction is different from the question whether the courts of that State have jurisdiction to enter a judgment, but the two are often closely related and to a substantial degree depend upon similar considerations. It seems to me that where a transaction has as much relationship to a State as Mrs. Donner's appointment had to Florida its courts ought to have</w:t>
      </w:r>
      <w:r>
        <w:t xml:space="preserve"> </w:t>
      </w:r>
      <w:r>
        <w:rPr>
          <w:rStyle w:val="Elision"/>
        </w:rPr>
        <w:t xml:space="preserve">[ … ]</w:t>
      </w:r>
      <w:r>
        <w:t xml:space="preserve"> </w:t>
      </w:r>
      <w:r>
        <w:t xml:space="preserve">power to adjudicate controversies arising out of that transaction, unless litigation there would impose such a heavy and disproportionate burden on a nonresident defendant that it would offend what this Court has referred to as "traditional notions of fair play and substantial justice."</w:t>
      </w:r>
      <w:r>
        <w:t xml:space="preserve"> </w:t>
      </w:r>
      <w:r>
        <w:rPr>
          <w:rStyle w:val="Elision"/>
        </w:rPr>
        <w:t xml:space="preserve">[ …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 So far as the nonresident defendants here are concerned I can see nothing which approaches that degree of unfairness. Florida, the home of the principal contenders for Mrs. Donner's largess, was a reasonably convenient forum for all.</w:t>
      </w:r>
      <w:hyperlink w:anchor="Xae404b1cdddf8a5f4a387ce45d4913b329966f0">
        <w:r>
          <w:rPr>
            <w:rStyle w:val="Elision"/>
            <w:vertAlign w:val="superscript"/>
          </w:rPr>
          <w:t xml:space="preserve">[ … ]</w:t>
        </w:r>
      </w:hyperlink>
      <w:r>
        <w:t xml:space="preserve">Certainly there is nothing fundamentally unfair in subjecting the corporate trustee to the jurisdiction of the Florida courts. It chose to maintain business relations with Mrs. Donner in that State for eight years, regularly communicating with her with respect to the business of the trust including the very appointment in question.</w:t>
      </w:r>
    </w:p>
    <w:p>
      <w:pPr>
        <w:pStyle w:val="CaseBody"/>
      </w:pPr>
      <w:r>
        <w:t xml:space="preserve">Florida's interest in the validity of Mrs. Donner's appointment is made more emphatic by the fact that her will is being administered in that State. It has traditionally been the rule that the State where a person is domiciled at the time of his death is the proper place to determine the validity of his will, to construe its provisions and to marshal and distribute his personal property. Here Florida was seriously concerned with winding up Mrs. Donner's estate and with finally determining what property was to be distributed under her will. In fact this suit was brought for that very purpose.</w:t>
      </w:r>
    </w:p>
    <w:p>
      <w:pPr>
        <w:pStyle w:val="CaseBody"/>
      </w:pPr>
      <w:r>
        <w:rPr>
          <w:rStyle w:val="Elision"/>
        </w:rPr>
        <w:t xml:space="preserve">[ … ]</w:t>
      </w:r>
    </w:p>
    <w:bookmarkEnd w:id="57"/>
    <w:p>
      <w:pPr>
        <w:pStyle w:val="NodeEnd"/>
      </w:pPr>
      <w:r>
        <w:t xml:space="preserve"> </w:t>
      </w:r>
    </w:p>
    <w:p>
      <w:pPr>
        <w:pStyle w:val="NodeStart"/>
      </w:pPr>
      <w:r>
        <w:t xml:space="preserve"> </w:t>
      </w:r>
    </w:p>
    <w:p>
      <w:pPr>
        <w:pStyle w:val="HeadSeparator"/>
      </w:pPr>
      <w:r>
        <w:t xml:space="preserve"> </w:t>
      </w:r>
    </w:p>
    <w:bookmarkStart w:id="74" w:name="_auto_toc_74"/>
    <w:bookmarkEnd w:id="74"/>
    <w:p>
      <w:pPr>
        <w:pStyle w:val="ResourceNumber"/>
      </w:pPr>
      <w:r>
        <w:t xml:space="preserve">7.4</w:t>
      </w:r>
    </w:p>
    <w:p>
      <w:pPr>
        <w:pStyle w:val="ResourceTitle"/>
      </w:pPr>
      <w:r>
        <w:t xml:space="preserve">Note following Hanson</w:t>
      </w:r>
    </w:p>
    <w:p>
      <w:pPr>
        <w:pStyle w:val="HeadEnd"/>
      </w:pPr>
      <w:r>
        <w:t xml:space="preserve"> </w:t>
      </w:r>
    </w:p>
    <w:p>
      <w:pPr>
        <w:pStyle w:val="BodyText"/>
      </w:pPr>
      <w:r>
        <w:rPr>
          <w:bCs/>
          <w:b/>
        </w:rPr>
        <w:t xml:space="preserve">Competing state interests.</w:t>
      </w:r>
      <w:r>
        <w:t xml:space="preserve"> </w:t>
      </w:r>
      <w:r>
        <w:t xml:space="preserve">I</w:t>
      </w:r>
      <w:r>
        <w:t xml:space="preserve">n</w:t>
      </w:r>
      <w:r>
        <w:t xml:space="preserve"> </w:t>
      </w:r>
      <w:r>
        <w:rPr>
          <w:iCs/>
          <w:i/>
        </w:rPr>
        <w:t xml:space="preserve">Hanson</w:t>
      </w:r>
      <w:r>
        <w:t xml:space="preserve">, both Delaware and Florida had an interest in providing their respective residents with an opportunity for redress. More specifically, Delaware may have had an interest in ensuring that financial institutions and entities are able to handle litigation within its borders, an interest potentially made stronger by the state's unique approach to corporate and financial regulation. On the other hand, Florida, which has a large population of retirees, may have had a large interest in ensuring that its residents are able to handle litigation related to trusts and estates within its jurisdiction. When are these interests sufficiently strong to bolster the argument for the exercise of personal jurisdiction, and how should courts balance competing state interests? Which did the majority emphasize here, and which did the dissent find convincing?</w:t>
      </w:r>
    </w:p>
    <w:p>
      <w:pPr>
        <w:pStyle w:val="NodeEnd"/>
      </w:pPr>
      <w:r>
        <w:t xml:space="preserve"> </w:t>
      </w:r>
    </w:p>
    <w:p>
      <w:pPr>
        <w:pStyle w:val="NodeStart"/>
      </w:pPr>
      <w:r>
        <w:t xml:space="preserve"> </w:t>
      </w:r>
    </w:p>
    <w:p>
      <w:pPr>
        <w:pStyle w:val="HeadSeparator"/>
      </w:pPr>
      <w:r>
        <w:t xml:space="preserve"> </w:t>
      </w:r>
    </w:p>
    <w:bookmarkStart w:id="75" w:name="_auto_toc_75"/>
    <w:bookmarkEnd w:id="75"/>
    <w:p>
      <w:pPr>
        <w:pStyle w:val="ResourceNumber"/>
      </w:pPr>
      <w:r>
        <w:t xml:space="preserve">7.5</w:t>
      </w:r>
    </w:p>
    <w:p>
      <w:pPr>
        <w:pStyle w:val="ResourceTitle"/>
      </w:pPr>
      <w:r>
        <w:t xml:space="preserve">World-Wide Volkswagen Corp. v. Woodson</w:t>
      </w:r>
    </w:p>
    <w:p>
      <w:pPr>
        <w:pStyle w:val="HeadFieldSeparator"/>
      </w:pPr>
      <w:r>
        <w:t xml:space="preserve"> </w:t>
      </w:r>
    </w:p>
    <w:p>
      <w:pPr>
        <w:pStyle w:val="ResourceHeadnote"/>
      </w:pPr>
      <w:r>
        <w:rPr>
          <w:iCs/>
          <w:i/>
        </w:rPr>
        <w:t xml:space="preserve">McGee</w:t>
      </w:r>
      <w:r>
        <w:t xml:space="preserve"> </w:t>
      </w:r>
      <w:r>
        <w:t xml:space="preserve">and</w:t>
      </w:r>
      <w:r>
        <w:t xml:space="preserve"> </w:t>
      </w:r>
      <w:r>
        <w:rPr>
          <w:iCs/>
          <w:i/>
        </w:rPr>
        <w:t xml:space="preserve">Hanson</w:t>
      </w:r>
      <w:r>
        <w:t xml:space="preserve"> </w:t>
      </w:r>
      <w:r>
        <w:t xml:space="preserve">were both contracts cases. The intentional nature of contractual relationships produces fact patterns that provide an easier fit for the sorts of factors that the Supreme Court has wanted to emphasize in its personal jurisdiction cases, such as purposeful availment, the benefits gained from doing business in a state, voluntary defendant choices that do or do not make the exercise of personal jurisdiction over that defendant reasonable.</w:t>
      </w:r>
    </w:p>
    <w:p>
      <w:pPr>
        <w:pStyle w:val="ResourceHeadnote"/>
      </w:pPr>
      <w:r>
        <w:t xml:space="preserve">Lawsuits involving causes of action other than contracts provide a greater challenge. How do concepts emphasizing intentionality, such as "purposeful availment," fit when the plaintiff is alleging that the defendant should be liable for something unintentional, such as an unintentional tort? Worse still, how does a concept like the benefits from doing business in a state apply to a child support case or a divorce?</w:t>
      </w:r>
    </w:p>
    <w:p>
      <w:pPr>
        <w:pStyle w:val="ResourceHeadnote"/>
      </w:pPr>
      <w:r>
        <w:t xml:space="preserve">The next two cases,</w:t>
      </w:r>
      <w:r>
        <w:t xml:space="preserve"> </w:t>
      </w:r>
      <w:r>
        <w:rPr>
          <w:iCs/>
          <w:i/>
        </w:rPr>
        <w:t xml:space="preserve">World-Wide Volkswagen</w:t>
      </w:r>
      <w:r>
        <w:t xml:space="preserve"> </w:t>
      </w:r>
      <w:r>
        <w:t xml:space="preserve">and</w:t>
      </w:r>
      <w:r>
        <w:t xml:space="preserve"> </w:t>
      </w:r>
      <w:r>
        <w:rPr>
          <w:iCs/>
          <w:i/>
        </w:rPr>
        <w:t xml:space="preserve">J. McIntyre</w:t>
      </w:r>
      <w:r>
        <w:t xml:space="preserve">, involve products liability lawsuits. As you will learn in your torts class, products liability, though a tort, is analogous to a breach of contract cause of action. In such a setting, one might characterize the Supreme Court's insistence on business concepts strained but not crazy. See what you think. Then, see if you think that the Supreme Court has wandered into the world of crazy when, in</w:t>
      </w:r>
      <w:r>
        <w:t xml:space="preserve"> </w:t>
      </w:r>
      <w:r>
        <w:rPr>
          <w:iCs/>
          <w:i/>
        </w:rPr>
        <w:t xml:space="preserve">Kulko</w:t>
      </w:r>
      <w:r>
        <w:t xml:space="preserve"> </w:t>
      </w:r>
      <w:r>
        <w:t xml:space="preserve">(see below), it tries to apply concepts such as "purposeful availment" to child support litigation.</w:t>
      </w:r>
    </w:p>
    <w:p>
      <w:pPr>
        <w:pStyle w:val="ResourceHeadnote"/>
      </w:pPr>
      <w:r>
        <w:t xml:space="preserve">Meanwhile, since the industrial revolution, many (perhaps most) consumer products that are the subject of litigation are mass produced. Thus, by articulating law regarding where a plaintiff can sue a mass-producing defendant, the Supreme Court regulates the national and global economies. We will return repeatedly in this course to the idea that in articulating Civil Procedure concepts, the court system regulates economic activity.</w:t>
      </w:r>
    </w:p>
    <w:p>
      <w:pPr>
        <w:pStyle w:val="HeadEnd"/>
      </w:pPr>
      <w:r>
        <w:t xml:space="preserve"> </w:t>
      </w:r>
    </w:p>
    <w:p>
      <w:pPr>
        <w:pStyle w:val="CaseHeader"/>
      </w:pPr>
      <w:r>
        <w:t xml:space="preserve">Supreme Court of the United States</w:t>
      </w:r>
    </w:p>
    <w:p>
      <w:pPr>
        <w:pStyle w:val="CaseHeader"/>
      </w:pPr>
      <w:r>
        <w:t xml:space="preserve">444 U.S. 286, 62 L. Ed. 2d 490, 100 S. Ct. 559, 1980 U.S. LEXIS 65, SCDB 1979-019</w:t>
      </w:r>
    </w:p>
    <w:p>
      <w:pPr>
        <w:pStyle w:val="CaseHeader"/>
      </w:pPr>
      <w:r>
        <w:t xml:space="preserve">No. 78-1078</w:t>
      </w:r>
    </w:p>
    <w:p>
      <w:pPr>
        <w:pStyle w:val="CaseHeader"/>
      </w:pPr>
      <w:r>
        <w:t xml:space="preserve">1980-01-21</w:t>
      </w:r>
    </w:p>
    <w:p>
      <w:pPr>
        <w:pStyle w:val="CaseBody"/>
      </w:pPr>
      <w:r>
        <w:t xml:space="preserve">444 U.S. 286 (1980)</w:t>
      </w:r>
    </w:p>
    <w:p>
      <w:pPr>
        <w:pStyle w:val="CaseHeader"/>
      </w:pPr>
      <w:r>
        <w:t xml:space="preserve">WORLD-WIDE VOLKSWAGEN CORP. ET AL.</w:t>
      </w:r>
      <w:r>
        <w:br/>
      </w:r>
      <w:r>
        <w:t xml:space="preserve">v.</w:t>
      </w:r>
      <w:r>
        <w:br/>
      </w:r>
      <w:r>
        <w:t xml:space="preserve">WOODSON, DISTRICT JUDGE OF CREEK COUNTY, OKLAHOMA, ET. AL.</w:t>
      </w:r>
    </w:p>
    <w:p>
      <w:pPr>
        <w:pStyle w:val="CaseBody"/>
      </w:pPr>
      <w:r>
        <w:t xml:space="preserve">No. 78-1078.</w:t>
      </w:r>
    </w:p>
    <w:p>
      <w:pPr>
        <w:pStyle w:val="CaseBody"/>
      </w:pPr>
      <w:r>
        <w:t xml:space="preserve">Supreme Court of United States.</w:t>
      </w:r>
    </w:p>
    <w:p>
      <w:pPr>
        <w:pStyle w:val="CaseBody"/>
      </w:pPr>
      <w:r>
        <w:t xml:space="preserve">Argued October 3, 1979.</w:t>
      </w:r>
    </w:p>
    <w:p>
      <w:pPr>
        <w:pStyle w:val="CaseBody"/>
      </w:pPr>
      <w:r>
        <w:t xml:space="preserve">Decided January 21, 1980.</w:t>
      </w:r>
    </w:p>
    <w:p>
      <w:pPr>
        <w:pStyle w:val="CaseBody"/>
      </w:pPr>
      <w:r>
        <w:t xml:space="preserve">CERTIORARI TO THE SUPREME COURT OF OKLAHOMA.</w:t>
      </w:r>
    </w:p>
    <w:p>
      <w:pPr>
        <w:pStyle w:val="CaseBody"/>
      </w:pPr>
      <w:r>
        <w:rPr>
          <w:rStyle w:val="Elision"/>
        </w:rPr>
        <w:t xml:space="preserve">[ … ]</w:t>
      </w:r>
    </w:p>
    <w:bookmarkStart w:id="58" w:name="Xc1007c59cf313fa94886ce195f0793d81932a96"/>
    <w:p>
      <w:pPr>
        <w:pStyle w:val="Heading2"/>
      </w:pPr>
      <w:r>
        <w:t xml:space="preserve">MR. JUSTICE WHITE delivered the opinion of the Court.</w:t>
      </w:r>
    </w:p>
    <w:p>
      <w:pPr>
        <w:pStyle w:val="CaseBody"/>
      </w:pPr>
      <w:r>
        <w:t xml:space="preserve">The issue before us is whether, consistently with the Due Process Clause of the Fourteenth Amendment, an Oklahoma court may exercise</w:t>
      </w:r>
      <w:r>
        <w:t xml:space="preserve"> </w:t>
      </w:r>
      <w:r>
        <w:rPr>
          <w:iCs/>
          <w:i/>
        </w:rPr>
        <w:t xml:space="preserve">in personam</w:t>
      </w:r>
      <w:r>
        <w:t xml:space="preserve"> </w:t>
      </w:r>
      <w:r>
        <w:t xml:space="preserve">jurisdiction over a nonresident automobile retailer and its wholesale distributor in a products-liability action, when the defendants' only connection with Oklahoma is the fact that an automobile sold in New York to New York residents became involved in an accident in Oklahoma.</w:t>
      </w:r>
    </w:p>
    <w:bookmarkEnd w:id="58"/>
    <w:bookmarkStart w:id="59" w:name="i-1"/>
    <w:p>
      <w:pPr>
        <w:pStyle w:val="Heading2"/>
      </w:pPr>
      <w:r>
        <w:rPr>
          <w:rStyle w:val="Elision"/>
        </w:rPr>
        <w:t xml:space="preserve">[ … ]</w:t>
      </w:r>
      <w:r>
        <w:t xml:space="preserve"> </w:t>
      </w:r>
      <w:r>
        <w:t xml:space="preserve">I</w:t>
      </w:r>
    </w:p>
    <w:p>
      <w:pPr>
        <w:pStyle w:val="CaseBody"/>
      </w:pPr>
      <w:r>
        <w:t xml:space="preserve">Respondents Harry and Kay Robinson purchased a new Audi automobile from petitioner Seaway Volkswagen, Inc. (Seaway), in Massena, N. Y., in 1976. The following year the Robinson family, who resided in New York, left that State for a new home in Arizona. As they passed through the State of Oklahoma, another car struck their Audi in the rear, causing a fire which severely burned Kay Robinson and her two children.</w:t>
      </w:r>
      <w:hyperlink w:anchor="X9dd5835eb72ec60ed81a7177084acb8af04fb08">
        <w:r>
          <w:rPr>
            <w:rStyle w:val="Elision"/>
            <w:vertAlign w:val="superscript"/>
          </w:rPr>
          <w:t xml:space="preserve">[ … ]</w:t>
        </w:r>
      </w:hyperlink>
    </w:p>
    <w:p>
      <w:pPr>
        <w:pStyle w:val="CaseBody"/>
      </w:pPr>
      <w:r>
        <w:t xml:space="preserve">The Robinsons</w:t>
      </w:r>
      <w:hyperlink w:anchor="X93c165f8fbf8d7d3b372622f8d451b17f8b9d0e">
        <w:r>
          <w:rPr>
            <w:rStyle w:val="Elision"/>
            <w:vertAlign w:val="superscript"/>
          </w:rPr>
          <w:t xml:space="preserve">[ … ]</w:t>
        </w:r>
      </w:hyperlink>
      <w:r>
        <w:t xml:space="preserve">subsequently brought a products-liability action in the District Court for Creek County, Okla., claiming that their injuries resulted from defective design and placement of the Audi's gas tank and fuel system.</w:t>
      </w:r>
      <w:r>
        <w:t xml:space="preserve"> </w:t>
      </w:r>
      <w:r>
        <w:t xml:space="preserve">They joined as defendants the automobile's manufacturer, Audi NSU Auto Union Aktiengesellschaft (Audi); its importer, Volkswagen of America, Inc. (Volkswagen); its regional distributor, petitioner World-Wide Volkswagen Corp. (World-Wide); and its retail dealer, petitioner Seaway. Seaway and World-Wide entered special appearances,</w:t>
      </w:r>
      <w:hyperlink w:anchor="X1ab39a0bd4a0fb978fa7e3254a80e499f2fe79e">
        <w:r>
          <w:rPr>
            <w:rStyle w:val="Elision"/>
            <w:vertAlign w:val="superscript"/>
          </w:rPr>
          <w:t xml:space="preserve">[ … ]</w:t>
        </w:r>
        <w:r>
          <w:rPr>
            <w:rStyle w:val="FootnoteReference"/>
            <w:vertAlign w:val="superscript"/>
          </w:rPr>
          <w:footnoteReference w:customMarkFollows="1" w:id="17"/>
          <w:t xml:space="preserve">*</w:t>
        </w:r>
      </w:hyperlink>
      <w:r>
        <w:t xml:space="preserve"> </w:t>
      </w:r>
      <w:r>
        <w:t xml:space="preserve">claiming that Oklahoma's exercise of jurisdiction over them would offend the limitations on the State's jurisdiction imposed by the Due Process Clause of the Fourteenth Amendment.</w:t>
      </w:r>
      <w:hyperlink w:anchor="Xdf200a1e9e64346432a284ec165c16be831cc76">
        <w:r>
          <w:rPr>
            <w:rStyle w:val="Elision"/>
            <w:vertAlign w:val="superscript"/>
          </w:rPr>
          <w:t xml:space="preserve">[ … ]</w:t>
        </w:r>
      </w:hyperlink>
    </w:p>
    <w:p>
      <w:pPr>
        <w:pStyle w:val="CaseBody"/>
      </w:pPr>
      <w:r>
        <w:t xml:space="preserve">The facts presented to the District Court showed that World-Wide is incorporated and has its business office in New</w:t>
      </w:r>
      <w:r>
        <w:t xml:space="preserve"> </w:t>
      </w:r>
      <w:r>
        <w:rPr>
          <w:rStyle w:val="Elision"/>
        </w:rPr>
        <w:t xml:space="preserve">[ … ]</w:t>
      </w:r>
      <w:r>
        <w:t xml:space="preserve"> </w:t>
      </w:r>
      <w:r>
        <w:t xml:space="preserve">York. It distributes vehicles, parts, and accessories, under contract with Volkswagen, to retail dealers in New York, New Jersey, and Connecticut. Seaway, one of these retail dealers, is incorporated and has its place of business in New York. Insofar as the record reveals, Seaway and World-Wide are fully independent corporations whose relations with each other and with Volkswagen and Audi are contractual only. Respondents adduced no evidence that either World-Wide or Seaway does any business in Oklahoma, ships or sells any products to or in that State, has an agent to receive process there, or purchases advertisements in any media calculated to reach Oklahoma. In fact, as respondents' counsel conceded at oral argument,</w:t>
      </w:r>
      <w:r>
        <w:t xml:space="preserve"> </w:t>
      </w:r>
      <w:r>
        <w:rPr>
          <w:rStyle w:val="Elision"/>
        </w:rPr>
        <w:t xml:space="preserve">[ … ]</w:t>
      </w:r>
      <w:r>
        <w:t xml:space="preserve"> </w:t>
      </w:r>
      <w:r>
        <w:t xml:space="preserve">there was no showing that any automobile sold by World-Wide or Seaway has ever entered Oklahoma with the single exception of the vehicle involved in the present case.</w:t>
      </w:r>
    </w:p>
    <w:p>
      <w:pPr>
        <w:pStyle w:val="CaseBody"/>
      </w:pPr>
      <w:r>
        <w:t xml:space="preserve">Despite the apparent paucity of contacts between petitioners and Oklahoma, the District Court rejected their constitutional claim and reaffirmed that ruling in denying petitioners' motion for reconsideration.</w:t>
      </w:r>
      <w:hyperlink w:anchor="X4ce123be22736e1bf37f3eb04a7c7970631d023">
        <w:r>
          <w:rPr>
            <w:rStyle w:val="Elision"/>
            <w:vertAlign w:val="superscript"/>
          </w:rPr>
          <w:t xml:space="preserve">[ … ]</w:t>
        </w:r>
      </w:hyperlink>
      <w:r>
        <w:t xml:space="preserve"> </w:t>
      </w:r>
      <w:r>
        <w:t xml:space="preserve">Petitioners then sought a writ of prohibition in the Supreme Court of Oklahoma to restrain the District Judge, respondent Charles S. Woodson, from exercising</w:t>
      </w:r>
      <w:r>
        <w:t xml:space="preserve"> </w:t>
      </w:r>
      <w:r>
        <w:rPr>
          <w:iCs/>
          <w:i/>
        </w:rPr>
        <w:t xml:space="preserve">in personam</w:t>
      </w:r>
      <w:r>
        <w:t xml:space="preserve"> </w:t>
      </w:r>
      <w:r>
        <w:t xml:space="preserve">jurisdiction over them. They renewed their contention that, because they had no "minimal contacts,"</w:t>
      </w:r>
      <w:r>
        <w:t xml:space="preserve"> </w:t>
      </w:r>
      <w:r>
        <w:rPr>
          <w:rStyle w:val="Elision"/>
        </w:rPr>
        <w:t xml:space="preserve">[ … ]</w:t>
      </w:r>
      <w:r>
        <w:t xml:space="preserve"> </w:t>
      </w:r>
      <w:r>
        <w:t xml:space="preserve">with the State of Oklahoma, the actions of the District Judge were in violation of their rights under the Due Process Clause.</w:t>
      </w:r>
    </w:p>
    <w:p>
      <w:pPr>
        <w:pStyle w:val="CaseBody"/>
      </w:pPr>
      <w:r>
        <w:t xml:space="preserve">The Supreme Court of Oklahoma denied the writ</w:t>
      </w:r>
      <w:r>
        <w:rPr>
          <w:rStyle w:val="Elision"/>
        </w:rPr>
        <w:t xml:space="preserve">[ … ]</w:t>
      </w:r>
      <w:r>
        <w:t xml:space="preserve"> </w:t>
      </w:r>
      <w:r>
        <w:t xml:space="preserve">holding that personal jurisdiction over petitioners was authorized by Oklahoma's "long-arm" statute,</w:t>
      </w:r>
      <w:r>
        <w:t xml:space="preserve"> </w:t>
      </w:r>
      <w:r>
        <w:rPr>
          <w:rStyle w:val="Elision"/>
        </w:rPr>
        <w:t xml:space="preserve">[ … ]</w:t>
      </w:r>
      <w:r>
        <w:t xml:space="preserve">Although the court noted that the proper approach was to test jurisdiction against both statutory and constitutional standards, its analysis did not distinguish these questions, probably because</w:t>
      </w:r>
      <w:r>
        <w:t xml:space="preserve"> </w:t>
      </w:r>
      <w:r>
        <w:rPr>
          <w:rStyle w:val="ReplacementText"/>
        </w:rPr>
        <w:t xml:space="preserve">Oklahoma's long-arm</w:t>
      </w:r>
      <w:r>
        <w:t xml:space="preserve">has been interpreted as conferring jurisdiction to the limits permitted by the United States Constitution.</w:t>
      </w:r>
      <w:hyperlink w:anchor="X22f3b8380c5f32b7dde2a1900f34df7d75d3bd8">
        <w:r>
          <w:rPr>
            <w:rStyle w:val="Elision"/>
            <w:vertAlign w:val="superscript"/>
          </w:rPr>
          <w:t xml:space="preserve">[ … ]</w:t>
        </w:r>
      </w:hyperlink>
      <w:r>
        <w:t xml:space="preserve">The court's rationale was contained in the following paragraph</w:t>
      </w:r>
      <w:r>
        <w:rPr>
          <w:rStyle w:val="Elision"/>
        </w:rPr>
        <w:t xml:space="preserve">[ … ]</w:t>
      </w:r>
      <w:r>
        <w:t xml:space="preserve">:</w:t>
      </w:r>
    </w:p>
    <w:p>
      <w:pPr>
        <w:pStyle w:val="BlockText"/>
      </w:pPr>
      <w:r>
        <w:t xml:space="preserve">"In the case before us, the product being sold and distributed by the petitioners is by its very design and purpose so mobile that petitioners can foresee its possible use in Oklahoma.</w:t>
      </w:r>
      <w:r>
        <w:t xml:space="preserve"> </w:t>
      </w:r>
      <w:r>
        <w:rPr>
          <w:rStyle w:val="Elision"/>
        </w:rPr>
        <w:t xml:space="preserve">[ … ]</w:t>
      </w:r>
      <w:r>
        <w:t xml:space="preserve"> </w:t>
      </w:r>
      <w:r>
        <w:t xml:space="preserve">The evidence presented below demonstrated that goods sold and distributed by the petitioners were used in the State of Oklahoma, and under the facts we believe it reasonable to infer, given the retail value of the automobile, that the petitioners derive substantial income from automobiles which from time to time are used in the State of Oklahoma.</w:t>
      </w:r>
      <w:r>
        <w:t xml:space="preserve"> </w:t>
      </w:r>
      <w:r>
        <w:rPr>
          <w:rStyle w:val="Elision"/>
        </w:rPr>
        <w:t xml:space="preserve">[ … ]</w:t>
      </w:r>
      <w:r>
        <w:t xml:space="preserve">"</w:t>
      </w:r>
    </w:p>
    <w:p>
      <w:pPr>
        <w:pStyle w:val="CaseBody"/>
      </w:pPr>
      <w:r>
        <w:t xml:space="preserve">We granted certiorari</w:t>
      </w:r>
      <w:r>
        <w:rPr>
          <w:rStyle w:val="Elision"/>
        </w:rPr>
        <w:t xml:space="preserve">[ … ]</w:t>
      </w:r>
      <w:r>
        <w:t xml:space="preserve">to consider an important constitutional question with respect to state-court jurisdiction and to resolve a conflict between the Supreme Court of Oklahoma and the highest courts of at least four other States</w:t>
      </w:r>
      <w:r>
        <w:rPr>
          <w:rStyle w:val="Elision"/>
        </w:rPr>
        <w:t xml:space="preserve">[ … ]</w:t>
      </w:r>
      <w:r>
        <w:t xml:space="preserve"> </w:t>
      </w:r>
      <w:r>
        <w:t xml:space="preserve">We reverse.</w:t>
      </w:r>
    </w:p>
    <w:bookmarkEnd w:id="59"/>
    <w:bookmarkStart w:id="60" w:name="ii-1"/>
    <w:p>
      <w:pPr>
        <w:pStyle w:val="Heading2"/>
      </w:pPr>
      <w:r>
        <w:t xml:space="preserve">II</w:t>
      </w:r>
    </w:p>
    <w:p>
      <w:pPr>
        <w:pStyle w:val="CaseBody"/>
      </w:pPr>
      <w:r>
        <w:rPr>
          <w:rStyle w:val="Elision"/>
        </w:rPr>
        <w:t xml:space="preserve">[ … ]</w:t>
      </w:r>
      <w:r>
        <w:t xml:space="preserve">Due process requires that the defendant</w:t>
      </w:r>
      <w:r>
        <w:t xml:space="preserve"> </w:t>
      </w:r>
      <w:r>
        <w:rPr>
          <w:rStyle w:val="Elision"/>
        </w:rPr>
        <w:t xml:space="preserve">[ … ]</w:t>
      </w:r>
      <w:r>
        <w:t xml:space="preserve"> </w:t>
      </w:r>
      <w:r>
        <w:t xml:space="preserve">be subject to the personal jurisdiction of the court,</w:t>
      </w:r>
      <w:r>
        <w:t xml:space="preserve">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 In the present case</w:t>
      </w:r>
      <w:r>
        <w:rPr>
          <w:rStyle w:val="Elision"/>
        </w:rPr>
        <w:t xml:space="preserve">[ … ]</w:t>
      </w:r>
      <w:r>
        <w:t xml:space="preserve">the only question is whether these particular petitioners were subject to the jurisdiction of the Oklahoma courts.</w:t>
      </w:r>
    </w:p>
    <w:p>
      <w:pPr>
        <w:pStyle w:val="CaseBody"/>
      </w:pPr>
      <w:r>
        <w:t xml:space="preserve">As has long been settled, and as we reaffirm today, a state court may exercise personal jurisdiction over a nonresident defendant only so long as there exist "minimum contacts" between the defendant and the forum State.</w:t>
      </w:r>
      <w:r>
        <w:t xml:space="preserve">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 The concept of minimum contacts, in turn, can be seen to perform two related, but</w:t>
      </w:r>
      <w:r>
        <w:t xml:space="preserve"> </w:t>
      </w:r>
      <w:r>
        <w:rPr>
          <w:rStyle w:val="Elision"/>
        </w:rPr>
        <w:t xml:space="preserve">[ … ]</w:t>
      </w:r>
      <w:r>
        <w:t xml:space="preserve">distinguishable, functions. It protects the defendant against the burdens of litigating in a distant or inconvenient forum. And it acts to ensure that the States, through their courts, do not reach out beyond the limits imposed on them by their status as coequal sovereigns in a federal system.</w:t>
      </w:r>
    </w:p>
    <w:p>
      <w:pPr>
        <w:pStyle w:val="CaseBody"/>
      </w:pPr>
      <w:r>
        <w:t xml:space="preserve">The protection against inconvenient litigation is typically described in terms of "reasonableness" or "fairness." We have said that the defendant's contacts with the forum State must be such that maintenance of the suit "does not offend `traditional notions of fair play and substantial justice.'"</w:t>
      </w:r>
      <w:r>
        <w:t xml:space="preserve"> </w:t>
      </w:r>
      <w:r>
        <w:rPr>
          <w:iCs/>
          <w:i/>
        </w:rPr>
        <w:t xml:space="preserve">International Shoe Co.</w:t>
      </w:r>
      <w:r>
        <w:t xml:space="preserve"> </w:t>
      </w:r>
      <w:r>
        <w:t xml:space="preserve">v.</w:t>
      </w:r>
      <w:r>
        <w:t xml:space="preserve"> </w:t>
      </w:r>
      <w:r>
        <w:rPr>
          <w:iCs/>
          <w:i/>
        </w:rPr>
        <w:t xml:space="preserve">Washington,</w:t>
      </w:r>
      <w:r>
        <w:t xml:space="preserve"> </w:t>
      </w:r>
      <w:r>
        <w:rPr>
          <w:rStyle w:val="Elision"/>
        </w:rPr>
        <w:t xml:space="preserve">[ … ]</w:t>
      </w:r>
      <w:r>
        <w:rPr>
          <w:rStyle w:val="Elision"/>
        </w:rPr>
        <w:t xml:space="preserve">[ … ]</w:t>
      </w:r>
      <w:r>
        <w:t xml:space="preserve">. The relationship between the defendant and the forum must be such that it is "reasonable . . . to require the corporation to defend the particular suit which is brought there."</w:t>
      </w:r>
      <w:r>
        <w:t xml:space="preserve"> </w:t>
      </w:r>
      <w:r>
        <w:rPr>
          <w:rStyle w:val="Elision"/>
        </w:rPr>
        <w:t xml:space="preserve">[ … ]</w:t>
      </w:r>
      <w:r>
        <w:t xml:space="preserve">. Implicit in this emphasis on reasonableness is the understanding that the burden on the defendant, while always a primary concern, will in an appropriate case be considered in light of other relevant factors, including the forum State's interest in adjudicating the dispute, see</w:t>
      </w:r>
      <w:r>
        <w:t xml:space="preserve"> </w:t>
      </w:r>
      <w:r>
        <w:rPr>
          <w:iCs/>
          <w:i/>
        </w:rPr>
        <w:t xml:space="preserve">McGee</w:t>
      </w:r>
      <w:r>
        <w:t xml:space="preserve"> </w:t>
      </w:r>
      <w:r>
        <w:t xml:space="preserve">v.</w:t>
      </w:r>
      <w:r>
        <w:t xml:space="preserve"> </w:t>
      </w:r>
      <w:r>
        <w:rPr>
          <w:iCs/>
          <w:i/>
        </w:rPr>
        <w:t xml:space="preserve">International Life Ins. Co.</w:t>
      </w:r>
      <w:r>
        <w:rPr>
          <w:rStyle w:val="Elision"/>
        </w:rPr>
        <w:t xml:space="preserve">[ … ]</w:t>
      </w:r>
      <w:r>
        <w:t xml:space="preserve">; the plaintiff's interest in obtaining convenient and effective relief,</w:t>
      </w:r>
      <w:r>
        <w:t xml:space="preserve"> </w:t>
      </w:r>
      <w:r>
        <w:rPr>
          <w:rStyle w:val="Elision"/>
        </w:rPr>
        <w:t xml:space="preserve">[ … ]</w:t>
      </w:r>
      <w:r>
        <w:t xml:space="preserve"> </w:t>
      </w:r>
      <w:r>
        <w:t xml:space="preserve">at least when that interest is not adequately protected by the plaintiff's power to choose the forum,</w:t>
      </w:r>
      <w:r>
        <w:t xml:space="preserve"> </w:t>
      </w:r>
      <w:r>
        <w:rPr>
          <w:rStyle w:val="Elision"/>
        </w:rPr>
        <w:t xml:space="preserve">[ … ]</w:t>
      </w:r>
      <w:r>
        <w:t xml:space="preserve"> </w:t>
      </w:r>
      <w:r>
        <w:t xml:space="preserve">the interstate judicial system's interest in obtaining the most efficient resolution of controversies; and the shared interest of the several States in furthering fundamental substantive social policies</w:t>
      </w:r>
      <w:r>
        <w:rPr>
          <w:rStyle w:val="Elision"/>
        </w:rPr>
        <w:t xml:space="preserve">[ … ]</w:t>
      </w:r>
    </w:p>
    <w:p>
      <w:pPr>
        <w:pStyle w:val="CaseBody"/>
      </w:pPr>
      <w:r>
        <w:t xml:space="preserve">The limits imposed on state jurisdiction by the Due Process Clause, in its role as a guarantor against inconvenient litigation, have been substantially relaxed over the years. As we noted in</w:t>
      </w:r>
      <w:r>
        <w:t xml:space="preserve"> </w:t>
      </w:r>
      <w:r>
        <w:rPr>
          <w:iCs/>
          <w:i/>
        </w:rPr>
        <w:t xml:space="preserve">McGee</w:t>
      </w:r>
      <w:r>
        <w:t xml:space="preserve"> </w:t>
      </w:r>
      <w:r>
        <w:t xml:space="preserve">v.</w:t>
      </w:r>
      <w:r>
        <w:t xml:space="preserve"> </w:t>
      </w:r>
      <w:r>
        <w:rPr>
          <w:iCs/>
          <w:i/>
        </w:rPr>
        <w:t xml:space="preserve">International Life Ins. Co.</w:t>
      </w:r>
      <w:r>
        <w:rPr>
          <w:rStyle w:val="Elision"/>
        </w:rPr>
        <w:t xml:space="preserve">[ … ]</w:t>
      </w:r>
      <w:r>
        <w:t xml:space="preserve"> </w:t>
      </w:r>
      <w:r>
        <w:t xml:space="preserve">this trend is largely attributable to a fundamental transformation in the American economy:</w:t>
      </w:r>
    </w:p>
    <w:p>
      <w:pPr>
        <w:pStyle w:val="BlockText"/>
      </w:pPr>
      <w:r>
        <w:t xml:space="preserve">"Today many commercial transactions touch two or more States and may involve parties separated by the full continent. With this increasing nationalization of commerce has come a great increase in the amount of business conducted by mail across state lines. At the same time modern transportation and communication have made it much less burdensome for a party sued to defend himself in a State where he engages in economic activity."</w:t>
      </w:r>
    </w:p>
    <w:p>
      <w:pPr>
        <w:pStyle w:val="CaseBody"/>
      </w:pPr>
      <w:r>
        <w:t xml:space="preserve">The historical developments noted in</w:t>
      </w:r>
      <w:r>
        <w:t xml:space="preserve"> </w:t>
      </w:r>
      <w:r>
        <w:rPr>
          <w:iCs/>
          <w:i/>
        </w:rPr>
        <w:t xml:space="preserve">McGee,</w:t>
      </w:r>
      <w:r>
        <w:t xml:space="preserve"> </w:t>
      </w:r>
      <w:r>
        <w:t xml:space="preserve">of course, have only accelerated in the generation since that case was decided.</w:t>
      </w:r>
    </w:p>
    <w:p>
      <w:pPr>
        <w:pStyle w:val="CaseBody"/>
      </w:pPr>
      <w:r>
        <w:t xml:space="preserve">Nevertheless, we have never accepted the proposition that state lines are irrelevant for jurisdictional purposes, nor could we, and remain faithful to the principles of interstate federalism embodied in the Constitution. The economic interdependence of the States was foreseen and desired by the Framers.</w:t>
      </w:r>
      <w:r>
        <w:t xml:space="preserve"> </w:t>
      </w:r>
      <w:r>
        <w:rPr>
          <w:rStyle w:val="Elision"/>
        </w:rPr>
        <w:t xml:space="preserve">[ … ]</w:t>
      </w:r>
      <w:r>
        <w:t xml:space="preserve"> </w:t>
      </w:r>
      <w:r>
        <w:t xml:space="preserve">But the Framers also intended that the States retain many essential attributes of sovereignty, including, in particular, the sovereign power to try causes in their courts. The sovereignty of each State, in turn, implied a limitation on the sovereignty of all of its sister States—a limitation express or implicit in both the original scheme of the Constitution and the Fourteenth Amendment.</w:t>
      </w:r>
    </w:p>
    <w:p>
      <w:pPr>
        <w:pStyle w:val="CaseBody"/>
      </w:pPr>
      <w:r>
        <w:rPr>
          <w:rStyle w:val="Elision"/>
        </w:rPr>
        <w:t xml:space="preserve">[ … ]</w:t>
      </w:r>
      <w:r>
        <w:rPr>
          <w:rStyle w:val="Elision"/>
        </w:rPr>
        <w:t xml:space="preserve">[ … ]</w:t>
      </w:r>
    </w:p>
    <w:p>
      <w:pPr>
        <w:pStyle w:val="CaseBody"/>
      </w:pPr>
      <w:r>
        <w:t xml:space="preserve">Thus, the Due Process Clause "does not contemplate that a state may make binding a judgment</w:t>
      </w:r>
      <w:r>
        <w:t xml:space="preserve"> </w:t>
      </w:r>
      <w:r>
        <w:rPr>
          <w:iCs/>
          <w:i/>
        </w:rPr>
        <w:t xml:space="preserve">in personam</w:t>
      </w:r>
      <w:r>
        <w:t xml:space="preserve"> </w:t>
      </w:r>
      <w:r>
        <w:t xml:space="preserve">against an individual or corporate defendant with which the state has no contacts, ties, or relations."</w:t>
      </w:r>
      <w:r>
        <w:t xml:space="preserve">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 Even if the defendant would suffer minimal or no inconvenience from being forced to litigate before the tribunals of another State; even if the forum State has a strong interest in applying its law to the controversy; even if the forum State is the most convenient location for litigation, the Due Process Clause, acting as an instrument of interstate federalism, may sometimes act to divest the State of its power to render a valid judgment.</w:t>
      </w:r>
      <w:r>
        <w:t xml:space="preserve"> </w:t>
      </w:r>
      <w:r>
        <w:rPr>
          <w:iCs/>
          <w:i/>
        </w:rPr>
        <w:t xml:space="preserve">Hanson</w:t>
      </w:r>
      <w:r>
        <w:t xml:space="preserve"> </w:t>
      </w:r>
      <w:r>
        <w:t xml:space="preserve">v.</w:t>
      </w:r>
      <w:r>
        <w:t xml:space="preserve"> </w:t>
      </w:r>
      <w:r>
        <w:rPr>
          <w:iCs/>
          <w:i/>
        </w:rPr>
        <w:t xml:space="preserve">Denckla</w:t>
      </w:r>
      <w:r>
        <w:rPr>
          <w:rStyle w:val="Elision"/>
        </w:rPr>
        <w:t xml:space="preserve">[ … ]</w:t>
      </w:r>
      <w:r>
        <w:t xml:space="preserve">.</w:t>
      </w:r>
    </w:p>
    <w:bookmarkEnd w:id="60"/>
    <w:bookmarkStart w:id="61" w:name="iii-1"/>
    <w:p>
      <w:pPr>
        <w:pStyle w:val="Heading2"/>
      </w:pPr>
      <w:r>
        <w:rPr>
          <w:rStyle w:val="Elision"/>
        </w:rPr>
        <w:t xml:space="preserve">[ … ]</w:t>
      </w:r>
      <w:r>
        <w:t xml:space="preserve"> </w:t>
      </w:r>
      <w:r>
        <w:t xml:space="preserve">III</w:t>
      </w:r>
    </w:p>
    <w:p>
      <w:pPr>
        <w:pStyle w:val="CaseBody"/>
      </w:pPr>
      <w:r>
        <w:t xml:space="preserve">Applying these principles to the case at hand,</w:t>
      </w:r>
      <w:hyperlink w:anchor="Xd049ddf36ddfa9ed00e9d4994e50b4d9deb7a81">
        <w:r>
          <w:rPr>
            <w:rStyle w:val="Elision"/>
            <w:vertAlign w:val="superscript"/>
          </w:rPr>
          <w:t xml:space="preserve">[ … ]</w:t>
        </w:r>
      </w:hyperlink>
      <w:r>
        <w:t xml:space="preserve"> </w:t>
      </w:r>
      <w:r>
        <w:t xml:space="preserve">we find in the record before us a total absence of those affiliating circumstances that are a necessary predicate to any exercise of state-court jurisdiction. Petitioners carry on no activity whatsoever in Oklahoma. They close no sales and perform no services there. They avail themselves of none of the privileges and benefits of Oklahoma law. They solicit no business there either through salespersons or through advertising reasonably calculated to reach the State. Nor does the record show that they regularly sell cars at wholesale or retail to Oklahoma customers or residents or that they indirectly, through others, serve or seek to serve the Oklahoma market. In short, respondents seek to base jurisdiction on one, isolated occurrence and whatever inferences can be drawn therefrom: the fortuitous circumstance that a single Audi automobile, sold in New York to New York residents, happened to suffer an accident while passing through Oklahoma.</w:t>
      </w:r>
    </w:p>
    <w:p>
      <w:pPr>
        <w:pStyle w:val="CaseBody"/>
      </w:pPr>
      <w:r>
        <w:t xml:space="preserve">It is argued, however, that because an automobile is mobile by its very design and purpose it was "foreseeable" that the Robinsons' Audi would cause injury in Oklahoma. Yet "foreseeability" alone has never been a sufficient benchmark for personal jurisdiction under the Due Process Clause. In</w:t>
      </w:r>
      <w:r>
        <w:t xml:space="preserve"> </w:t>
      </w:r>
      <w:r>
        <w:rPr>
          <w:iCs/>
          <w:i/>
        </w:rPr>
        <w:t xml:space="preserve">Hanson</w:t>
      </w:r>
      <w:r>
        <w:t xml:space="preserve"> </w:t>
      </w:r>
      <w:r>
        <w:t xml:space="preserve">v.</w:t>
      </w:r>
      <w:r>
        <w:t xml:space="preserve"> </w:t>
      </w:r>
      <w:r>
        <w:rPr>
          <w:iCs/>
          <w:i/>
        </w:rPr>
        <w:t xml:space="preserve">Denckla, supra,</w:t>
      </w:r>
      <w:r>
        <w:t xml:space="preserve"> </w:t>
      </w:r>
      <w:r>
        <w:t xml:space="preserve">it was no doubt foreseeable that the settlor of a Delaware trust would subsequently move to Florida and seek to exercise a power of appointment there; yet we held that Florida courts could not constitutionally</w:t>
      </w:r>
      <w:r>
        <w:t xml:space="preserve"> </w:t>
      </w:r>
      <w:r>
        <w:rPr>
          <w:rStyle w:val="Elision"/>
        </w:rPr>
        <w:t xml:space="preserve">[ … ]</w:t>
      </w:r>
      <w:r>
        <w:t xml:space="preserve"> </w:t>
      </w:r>
      <w:r>
        <w:t xml:space="preserve">exercise jurisdiction over a Delaware trustee that had no other contacts with the forum State.</w:t>
      </w:r>
      <w:r>
        <w:t xml:space="preserve"> </w:t>
      </w:r>
      <w:r>
        <w:rPr>
          <w:rStyle w:val="Elision"/>
        </w:rPr>
        <w:t xml:space="preserve">[ … ]</w:t>
      </w:r>
    </w:p>
    <w:p>
      <w:pPr>
        <w:pStyle w:val="CaseBody"/>
      </w:pPr>
      <w:r>
        <w:t xml:space="preserve">If foreseeability were the criterion, a local California tire retailer could be forced to defend in Pennsylvania when a blowout occurs there,</w:t>
      </w:r>
      <w:r>
        <w:t xml:space="preserve"> </w:t>
      </w:r>
      <w:r>
        <w:rPr>
          <w:rStyle w:val="Elision"/>
        </w:rPr>
        <w:t xml:space="preserve">[ … ]</w:t>
      </w:r>
      <w:r>
        <w:t xml:space="preserve">; a Wisconsin seller of a defective automobile jack could be haled before a distant court for damage caused in New Jersey,</w:t>
      </w:r>
      <w:r>
        <w:t xml:space="preserve"> </w:t>
      </w:r>
      <w:r>
        <w:rPr>
          <w:rStyle w:val="Elision"/>
        </w:rPr>
        <w:t xml:space="preserve">[ … ]</w:t>
      </w:r>
      <w:r>
        <w:t xml:space="preserve">; or a Florida soft-drink concessionaire could be summoned to Alaska to account for injuries happening there</w:t>
      </w:r>
      <w:r>
        <w:rPr>
          <w:rStyle w:val="Elision"/>
        </w:rPr>
        <w:t xml:space="preserve">[ … ]</w:t>
      </w:r>
      <w:r>
        <w:t xml:space="preserve">. Every seller of chattels would in effect appoint the chattel his agent for service of process. His amenability to suit would travel with the chattel.</w:t>
      </w:r>
      <w:r>
        <w:t xml:space="preserve"> </w:t>
      </w:r>
      <w:r>
        <w:rPr>
          <w:rStyle w:val="Elision"/>
        </w:rPr>
        <w:t xml:space="preserve">[ … ]</w:t>
      </w:r>
    </w:p>
    <w:p>
      <w:pPr>
        <w:pStyle w:val="CaseBody"/>
      </w:pPr>
      <w:r>
        <w:rPr>
          <w:rStyle w:val="Elision"/>
        </w:rPr>
        <w:t xml:space="preserve">[ … ]</w:t>
      </w:r>
      <w:r>
        <w:t xml:space="preserve">This is not to say, of course, that foreseeability is wholly irrelevant. But the foreseeability that is critical to due process analysis is not the mere likelihood that a product will find its way into the forum State. Rather,</w:t>
      </w:r>
      <w:r>
        <w:t xml:space="preserve"> </w:t>
      </w:r>
      <w:r>
        <w:t xml:space="preserve">it is that the defendant's conduct and connection with the forum State are such that he should reasonably anticipate being haled into court there</w:t>
      </w:r>
      <w:r>
        <w:rPr>
          <w:rStyle w:val="FootnoteReference"/>
        </w:rPr>
        <w:footnoteReference w:customMarkFollows="1" w:id="68"/>
        <w:t xml:space="preserve">**</w:t>
      </w:r>
      <w:r>
        <w:t xml:space="preserve">.</w:t>
      </w:r>
      <w:r>
        <w:t xml:space="preserve"> </w:t>
      </w:r>
      <w:r>
        <w:rPr>
          <w:rStyle w:val="Elision"/>
        </w:rPr>
        <w:t xml:space="preserve">[ … ]</w:t>
      </w:r>
      <w:r>
        <w:t xml:space="preserve"> </w:t>
      </w:r>
      <w:r>
        <w:t xml:space="preserve">The Due Process Clause, by ensuring the "orderly administration of the laws,"</w:t>
      </w:r>
      <w:r>
        <w:t xml:space="preserve">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 gives a degree of predictability to the legal system that allows potential defendants to structure their primary conduct with some minimum assurance as to where that conduct will and will not render them liable to suit.</w:t>
      </w:r>
    </w:p>
    <w:p>
      <w:pPr>
        <w:pStyle w:val="CaseBody"/>
      </w:pPr>
      <w:r>
        <w:t xml:space="preserve">When a corporation "purposefully avails itself of the privilege of conducting activities within the forum State,"</w:t>
      </w:r>
      <w:r>
        <w:t xml:space="preserve"> </w:t>
      </w:r>
      <w:r>
        <w:rPr>
          <w:iCs/>
          <w:i/>
        </w:rPr>
        <w:t xml:space="preserve">Hanson</w:t>
      </w:r>
      <w:r>
        <w:t xml:space="preserve"> </w:t>
      </w:r>
      <w:r>
        <w:t xml:space="preserve">v.</w:t>
      </w:r>
      <w:r>
        <w:t xml:space="preserve"> </w:t>
      </w:r>
      <w:r>
        <w:rPr>
          <w:iCs/>
          <w:i/>
        </w:rPr>
        <w:t xml:space="preserve">Denckla</w:t>
      </w:r>
      <w:r>
        <w:rPr>
          <w:rStyle w:val="Elision"/>
        </w:rPr>
        <w:t xml:space="preserve">[ … ]</w:t>
      </w:r>
      <w:r>
        <w:t xml:space="preserve">, it has clear notice that it is subject to suit there, and can act to alleviate the risk of burdensome litigation by procuring insurance, passing the expected costs on to customers, or, if the risks are too great, severing its connection with the State. Hence if the sale of a product of a manufacturer or distributor such as Audi or Volkswagen is not simply an isolated occurrence, but arises from the efforts of the manufacturer or distributor to serve, directly or indirectly, the market for its product in other States, it is not unreasonable to subject it to suit in one of those States if its allegedly defective merchandise has there been the source of injury to its owner or to others. The forum State does not</w:t>
      </w:r>
      <w:r>
        <w:rPr>
          <w:rStyle w:val="Elision"/>
        </w:rPr>
        <w:t xml:space="preserve">[ … ]</w:t>
      </w:r>
      <w:r>
        <w:t xml:space="preserve">exceed its powers under the Due Process Clause if it asserts personal jurisdiction over a corporation that delivers its products into the stream of commerce with the expectation that they will be purchased by consumers in the forum State.</w:t>
      </w:r>
      <w:r>
        <w:t xml:space="preserve"> </w:t>
      </w:r>
      <w:r>
        <w:rPr>
          <w:rStyle w:val="Elision"/>
        </w:rPr>
        <w:t xml:space="preserve">[ … ]</w:t>
      </w:r>
    </w:p>
    <w:p>
      <w:pPr>
        <w:pStyle w:val="CaseBody"/>
      </w:pPr>
      <w:r>
        <w:t xml:space="preserve">But there is no such or similar basis for Oklahoma jurisdiction over World-Wide or Seaway in this case. Seaway's sales are made in Massena, N. Y. World-Wide's market, although substantially larger, is limited to dealers in New York, New Jersey, and Connecticut. There is no evidence of record that any automobiles distributed by World-Wide are sold to retail customers outside this tristate area. It is foreseeable that the purchasers of automobiles sold by World-Wide and Seaway may take them to Oklahoma. But the mere "unilateral activity of those who claim some relationship with a nonresident defendant cannot satisfy the requirement of contact with the forum State."</w:t>
      </w:r>
      <w:r>
        <w:t xml:space="preserve"> </w:t>
      </w:r>
      <w:r>
        <w:rPr>
          <w:iCs/>
          <w:i/>
        </w:rPr>
        <w:t xml:space="preserve">Hanson</w:t>
      </w:r>
      <w:r>
        <w:t xml:space="preserve"> </w:t>
      </w:r>
      <w:r>
        <w:t xml:space="preserve">v.</w:t>
      </w:r>
      <w:r>
        <w:t xml:space="preserve"> </w:t>
      </w:r>
      <w:r>
        <w:rPr>
          <w:iCs/>
          <w:i/>
        </w:rPr>
        <w:t xml:space="preserve">Denckla</w:t>
      </w:r>
      <w:r>
        <w:rPr>
          <w:rStyle w:val="Elision"/>
        </w:rPr>
        <w:t xml:space="preserve">[ … ]</w:t>
      </w:r>
      <w:r>
        <w:t xml:space="preserve">.</w:t>
      </w:r>
    </w:p>
    <w:p>
      <w:pPr>
        <w:pStyle w:val="CaseBody"/>
      </w:pPr>
      <w:r>
        <w:t xml:space="preserve">In a variant on the previous argument, it is contended that jurisdiction can be supported by the fact that petitioners earn substantial revenue from goods used in Oklahoma. The Oklahoma Supreme Court so found,</w:t>
      </w:r>
      <w:r>
        <w:t xml:space="preserve"> </w:t>
      </w:r>
      <w:r>
        <w:rPr>
          <w:rStyle w:val="Elision"/>
        </w:rPr>
        <w:t xml:space="preserve">[ … ]</w:t>
      </w:r>
      <w:r>
        <w:t xml:space="preserve">drawing the inference that because one automobile sold by petitioners had been used in Oklahoma, others might have been used there also. While this inference seems less than compelling on the facts of the instant case, we need not question the court's factual findings in order to reject its reasoning.</w:t>
      </w:r>
    </w:p>
    <w:p>
      <w:pPr>
        <w:pStyle w:val="CaseBody"/>
      </w:pPr>
      <w:r>
        <w:t xml:space="preserve">This argument seems to make the point that the purchase of automobiles in New York, from which the petitioners earn substantial revenue, would not occur</w:t>
      </w:r>
      <w:r>
        <w:t xml:space="preserve"> </w:t>
      </w:r>
      <w:r>
        <w:rPr>
          <w:iCs/>
          <w:i/>
        </w:rPr>
        <w:t xml:space="preserve">but for</w:t>
      </w:r>
      <w:r>
        <w:t xml:space="preserve"> </w:t>
      </w:r>
      <w:r>
        <w:t xml:space="preserve">the fact that the automobiles are capable of use in distant States like Oklahoma. Respondents observe that the very purpose of an automobile is to travel, and that travel of automobiles sold by petitioners is facilitated by an extensive chain of Volkswagen service centers throughout the country, including some in Oklahoma.</w:t>
      </w:r>
      <w:hyperlink w:anchor="X5673e2e5b9f5d45d4320766e6b5d4bc0e43ddd3">
        <w:r>
          <w:rPr>
            <w:rStyle w:val="Elision"/>
            <w:vertAlign w:val="superscript"/>
          </w:rPr>
          <w:t xml:space="preserve">[ … ]</w:t>
        </w:r>
      </w:hyperlink>
      <w:r>
        <w:t xml:space="preserve"> </w:t>
      </w:r>
      <w:r>
        <w:rPr>
          <w:rStyle w:val="Elision"/>
        </w:rPr>
        <w:t xml:space="preserve">[ … ]</w:t>
      </w:r>
      <w:r>
        <w:t xml:space="preserve"> </w:t>
      </w:r>
      <w:r>
        <w:t xml:space="preserve">However, financial benefits accruing to the defendant from a collateral relation to the forum State will not support jurisdiction if they do not stem from a constitutionally cognizable contact with that State. See</w:t>
      </w:r>
      <w:r>
        <w:t xml:space="preserve"> </w:t>
      </w:r>
      <w:r>
        <w:rPr>
          <w:iCs/>
          <w:i/>
        </w:rPr>
        <w:t xml:space="preserve">Kulko</w:t>
      </w:r>
      <w:r>
        <w:t xml:space="preserve"> </w:t>
      </w:r>
      <w:r>
        <w:t xml:space="preserve">v.</w:t>
      </w:r>
      <w:r>
        <w:t xml:space="preserve"> </w:t>
      </w:r>
      <w:r>
        <w:rPr>
          <w:iCs/>
          <w:i/>
        </w:rPr>
        <w:t xml:space="preserve">California Superior Court</w:t>
      </w:r>
      <w:r>
        <w:rPr>
          <w:rStyle w:val="Elision"/>
        </w:rPr>
        <w:t xml:space="preserve">[ … ]</w:t>
      </w:r>
      <w:r>
        <w:t xml:space="preserve">. In our view, whatever marginal revenues petitioners may receive by virtue of the fact that their products are capable of use in Oklahoma is far too attenuated a contact to justify that State's exercise of</w:t>
      </w:r>
      <w:r>
        <w:t xml:space="preserve"> </w:t>
      </w:r>
      <w:r>
        <w:rPr>
          <w:iCs/>
          <w:i/>
        </w:rPr>
        <w:t xml:space="preserve">in personam</w:t>
      </w:r>
      <w:r>
        <w:t xml:space="preserve"> </w:t>
      </w:r>
      <w:r>
        <w:t xml:space="preserve">jurisdiction over them.</w:t>
      </w:r>
    </w:p>
    <w:p>
      <w:pPr>
        <w:pStyle w:val="CaseBody"/>
      </w:pPr>
      <w:r>
        <w:t xml:space="preserve">Because we find that petitioners have no "contacts, ties, or relations" with the State of Oklahoma,</w:t>
      </w:r>
      <w:r>
        <w:t xml:space="preserve">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 the judgment of the Supreme Court of Oklahoma is</w:t>
      </w:r>
    </w:p>
    <w:p>
      <w:pPr>
        <w:pStyle w:val="CaseBody"/>
      </w:pPr>
      <w:r>
        <w:rPr>
          <w:iCs/>
          <w:i/>
        </w:rPr>
        <w:t xml:space="preserve">Reversed.</w:t>
      </w:r>
    </w:p>
    <w:bookmarkEnd w:id="61"/>
    <w:bookmarkStart w:id="62" w:name="mr.-justice-brennan-dissenting."/>
    <w:p>
      <w:pPr>
        <w:pStyle w:val="Heading2"/>
      </w:pPr>
      <w:r>
        <w:t xml:space="preserve">MR. JUSTICE BRENNAN, dissenting.</w:t>
      </w:r>
      <w:hyperlink w:anchor="Xa2b328463eeca1d12b30e0cb941976d0b3be404">
        <w:r>
          <w:rPr>
            <w:rStyle w:val="Elision"/>
            <w:vertAlign w:val="superscript"/>
          </w:rPr>
          <w:t xml:space="preserve">[ … ]</w:t>
        </w:r>
        <w:r>
          <w:rPr>
            <w:rStyle w:val="FootnoteReference"/>
            <w:vertAlign w:val="superscript"/>
          </w:rPr>
          <w:footnoteReference w:customMarkFollows="1" w:id="101"/>
          <w:t xml:space="preserve">***</w:t>
        </w:r>
      </w:hyperlink>
    </w:p>
    <w:p>
      <w:pPr>
        <w:pStyle w:val="CaseBody"/>
      </w:pPr>
      <w:r>
        <w:t xml:space="preserve">The Court holds that the Due Process Clause of the Fourteenth Amendment bars the States from asserting jurisdiction over the defendants in these two cases. In each case the Court so decides because it fails to find the "minimum contacts" that have been required since</w:t>
      </w:r>
      <w:r>
        <w:t xml:space="preserve">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 Because I believe that the Court reads</w:t>
      </w:r>
      <w:r>
        <w:t xml:space="preserve"> </w:t>
      </w:r>
      <w:r>
        <w:rPr>
          <w:iCs/>
          <w:i/>
        </w:rPr>
        <w:t xml:space="preserve">International Shoe</w:t>
      </w:r>
      <w:r>
        <w:t xml:space="preserve"> </w:t>
      </w:r>
      <w:r>
        <w:t xml:space="preserve">and its progeny too narrowly, and because I believe that the standards enunciated by those cases may already be obsolete as constitutional boundaries, I dissent.</w:t>
      </w:r>
    </w:p>
    <w:bookmarkEnd w:id="62"/>
    <w:bookmarkStart w:id="63" w:name="i-2"/>
    <w:p>
      <w:pPr>
        <w:pStyle w:val="Heading2"/>
      </w:pPr>
      <w:r>
        <w:t xml:space="preserve">I</w:t>
      </w:r>
    </w:p>
    <w:p>
      <w:pPr>
        <w:pStyle w:val="CaseBody"/>
      </w:pPr>
      <w:r>
        <w:t xml:space="preserve">The Court's opinions focus tightly on the existence of contacts between the forum and the defendant. In so doing, they accord too little weight to the strength of the forum State's interest in the case and fail to explore whether there</w:t>
      </w:r>
      <w:r>
        <w:t xml:space="preserve"> </w:t>
      </w:r>
      <w:r>
        <w:rPr>
          <w:rStyle w:val="Elision"/>
        </w:rPr>
        <w:t xml:space="preserve">[ … ]</w:t>
      </w:r>
      <w:r>
        <w:t xml:space="preserve"> </w:t>
      </w:r>
      <w:r>
        <w:t xml:space="preserve">would be any actual inconvenience to the defendant. The essential inquiry in locating the constitutional limits on state-court jurisdiction over absent defendants is whether the particular exercise of jurisdiction offends "`traditional notions of fair play and substantial justice.'"</w:t>
      </w:r>
      <w:r>
        <w:t xml:space="preserve"> </w:t>
      </w:r>
      <w:r>
        <w:rPr>
          <w:iCs/>
          <w:i/>
        </w:rPr>
        <w:t xml:space="preserve">International Shoe, supra,</w:t>
      </w:r>
      <w:r>
        <w:t xml:space="preserve"> </w:t>
      </w:r>
      <w:r>
        <w:t xml:space="preserve">at 316</w:t>
      </w:r>
      <w:r>
        <w:rPr>
          <w:rStyle w:val="Elision"/>
        </w:rPr>
        <w:t xml:space="preserve">[ … ]</w:t>
      </w:r>
      <w:r>
        <w:t xml:space="preserve">. The clear focus in</w:t>
      </w:r>
      <w:r>
        <w:t xml:space="preserve"> </w:t>
      </w:r>
      <w:r>
        <w:rPr>
          <w:iCs/>
          <w:i/>
        </w:rPr>
        <w:t xml:space="preserve">International Shoe</w:t>
      </w:r>
      <w:r>
        <w:t xml:space="preserve"> </w:t>
      </w:r>
      <w:r>
        <w:t xml:space="preserve">was on fairness and reasonableness.</w:t>
      </w:r>
      <w:r>
        <w:t xml:space="preserve"> </w:t>
      </w:r>
      <w:r>
        <w:rPr>
          <w:rStyle w:val="Elision"/>
        </w:rPr>
        <w:t xml:space="preserve">[ … ]</w:t>
      </w:r>
    </w:p>
    <w:p>
      <w:pPr>
        <w:pStyle w:val="CaseBody"/>
      </w:pPr>
      <w:r>
        <w:t xml:space="preserve">The existence of contacts, so long as there were some, was merely one way of giving content to the determination of fairness and reasonableness.</w:t>
      </w:r>
    </w:p>
    <w:p>
      <w:pPr>
        <w:pStyle w:val="CaseBody"/>
      </w:pPr>
      <w:r>
        <w:t xml:space="preserve">Surely</w:t>
      </w:r>
      <w:r>
        <w:t xml:space="preserve"> </w:t>
      </w:r>
      <w:r>
        <w:rPr>
          <w:iCs/>
          <w:i/>
        </w:rPr>
        <w:t xml:space="preserve">International Shoe</w:t>
      </w:r>
      <w:r>
        <w:t xml:space="preserve"> </w:t>
      </w:r>
      <w:r>
        <w:t xml:space="preserve">contemplated that the significance of the contacts necessary to support jurisdiction would diminish if some other consideration helped establish that jurisdiction would be fair and reasonable. The interests of the State and other parties in proceeding with the case in a particular forum are such considerations.</w:t>
      </w:r>
      <w:r>
        <w:t xml:space="preserve"> </w:t>
      </w:r>
      <w:r>
        <w:rPr>
          <w:iCs/>
          <w:i/>
        </w:rPr>
        <w:t xml:space="preserve">McGee</w:t>
      </w:r>
      <w:r>
        <w:t xml:space="preserve"> </w:t>
      </w:r>
      <w:r>
        <w:t xml:space="preserve">v.</w:t>
      </w:r>
      <w:r>
        <w:t xml:space="preserve"> </w:t>
      </w:r>
      <w:r>
        <w:rPr>
          <w:iCs/>
          <w:i/>
        </w:rPr>
        <w:t xml:space="preserve">International Life Ins. Co.</w:t>
      </w:r>
      <w:r>
        <w:rPr>
          <w:rStyle w:val="Elision"/>
        </w:rPr>
        <w:t xml:space="preserve">[ … ]</w:t>
      </w:r>
      <w:r>
        <w:t xml:space="preserve">, for instance, accorded great importance to a State's "manifest interest in providing effective means of redress" for its citizens. See also</w:t>
      </w:r>
      <w:r>
        <w:t xml:space="preserve"> </w:t>
      </w:r>
      <w:r>
        <w:rPr>
          <w:iCs/>
          <w:i/>
        </w:rPr>
        <w:t xml:space="preserve">Kulko</w:t>
      </w:r>
      <w:r>
        <w:t xml:space="preserve"> </w:t>
      </w:r>
      <w:r>
        <w:t xml:space="preserve">v.</w:t>
      </w:r>
      <w:r>
        <w:t xml:space="preserve"> </w:t>
      </w:r>
      <w:r>
        <w:rPr>
          <w:iCs/>
          <w:i/>
        </w:rPr>
        <w:t xml:space="preserve">California Superior Court, supra,</w:t>
      </w:r>
      <w:r>
        <w:t xml:space="preserve"> </w:t>
      </w:r>
      <w:r>
        <w:t xml:space="preserve">at 92;</w:t>
      </w:r>
      <w:r>
        <w:t xml:space="preserve"> </w:t>
      </w:r>
      <w:r>
        <w:rPr>
          <w:iCs/>
          <w:i/>
        </w:rPr>
        <w:t xml:space="preserve">Shaffer</w:t>
      </w:r>
      <w:r>
        <w:t xml:space="preserve"> </w:t>
      </w:r>
      <w:r>
        <w:t xml:space="preserve">v.</w:t>
      </w:r>
      <w:r>
        <w:t xml:space="preserve"> </w:t>
      </w:r>
      <w:r>
        <w:rPr>
          <w:iCs/>
          <w:i/>
        </w:rPr>
        <w:t xml:space="preserve">Heitner,</w:t>
      </w:r>
      <w:r>
        <w:t xml:space="preserve"> </w:t>
      </w:r>
      <w:r>
        <w:t xml:space="preserve">433 U. S. 186, 208 (1977);</w:t>
      </w:r>
      <w:r>
        <w:t xml:space="preserve"> </w:t>
      </w:r>
      <w:r>
        <w:rPr>
          <w:iCs/>
          <w:i/>
        </w:rPr>
        <w:t xml:space="preserve">Mullane</w:t>
      </w:r>
      <w:r>
        <w:t xml:space="preserve"> </w:t>
      </w:r>
      <w:r>
        <w:t xml:space="preserve">v.</w:t>
      </w:r>
      <w:r>
        <w:t xml:space="preserve"> </w:t>
      </w:r>
      <w:r>
        <w:rPr>
          <w:iCs/>
          <w:i/>
        </w:rPr>
        <w:t xml:space="preserve">Central Hanover Trust Co.,</w:t>
      </w:r>
      <w:r>
        <w:t xml:space="preserve"> </w:t>
      </w:r>
      <w:r>
        <w:t xml:space="preserve">339 U. S. 306, 313 (1950).</w:t>
      </w:r>
      <w:r>
        <w:rPr>
          <w:rStyle w:val="FootnoteReference"/>
        </w:rPr>
        <w:footnoteReference w:customMarkFollows="1" w:id="123"/>
        <w:t xml:space="preserve">****</w:t>
      </w:r>
    </w:p>
    <w:p>
      <w:pPr>
        <w:pStyle w:val="CaseBody"/>
      </w:pPr>
      <w:r>
        <w:t xml:space="preserve">Another consideration is the actual burden a defendant</w:t>
      </w:r>
      <w:r>
        <w:rPr>
          <w:rStyle w:val="Elision"/>
        </w:rPr>
        <w:t xml:space="preserve">[ … ]</w:t>
      </w:r>
      <w:r>
        <w:t xml:space="preserve"> </w:t>
      </w:r>
      <w:r>
        <w:t xml:space="preserve">must bear in defending the suit in the forum.</w:t>
      </w:r>
      <w:r>
        <w:t xml:space="preserve"> </w:t>
      </w:r>
      <w:r>
        <w:rPr>
          <w:iCs/>
          <w:i/>
        </w:rPr>
        <w:t xml:space="preserve">McGee, supra.</w:t>
      </w:r>
      <w:r>
        <w:t xml:space="preserve"> </w:t>
      </w:r>
      <w:r>
        <w:t xml:space="preserve">Because lesser burdens reduce the unfairness to the defendant, jurisdiction may be justified despite less significant contacts. The burden, of course, must be of constitutional dimension. Due process limits on jurisdiction do not protect a defendant from all inconvenience of travel,</w:t>
      </w:r>
      <w:r>
        <w:t xml:space="preserve"> </w:t>
      </w:r>
      <w:r>
        <w:rPr>
          <w:iCs/>
          <w:i/>
        </w:rPr>
        <w:t xml:space="preserve">McGee</w:t>
      </w:r>
      <w:r>
        <w:rPr>
          <w:rStyle w:val="Elision"/>
        </w:rPr>
        <w:t xml:space="preserve">[ … ]</w:t>
      </w:r>
      <w:r>
        <w:t xml:space="preserve">, and it would not be sensible to make the constitutional rule turn solely on the number of miles the defendant must travel to the courtroom.</w:t>
      </w:r>
      <w:hyperlink w:anchor="X2886d1bbc55860c838b928f5123e1dfe517072e">
        <w:r>
          <w:rPr>
            <w:rStyle w:val="Elision"/>
            <w:vertAlign w:val="superscript"/>
          </w:rPr>
          <w:t xml:space="preserve">[ … ]</w:t>
        </w:r>
      </w:hyperlink>
      <w:r>
        <w:t xml:space="preserve">Instead, the constitutionally significant "burden" to be analyzed relates to the mobility of the defendant's defense. For instance, if having to travel to a foreign forum would hamper the defense because witnesses or evidence or the defendant himself were immobile, or if there were a disproportionately large number of witnesses or amount of evidence that would have to be transported at the defendant's expense, or if being away from home for the duration of the trial would work some special hardship on the defendant, then the Constitution would require special consideration for the defendant's interests.</w:t>
      </w:r>
    </w:p>
    <w:p>
      <w:pPr>
        <w:pStyle w:val="CaseBody"/>
      </w:pPr>
      <w:r>
        <w:t xml:space="preserve">That considerations other than contacts between the forum and the defendant are relevant necessarily means that the Constitution does not require that trial be held in the State which has the "best contacts" with the defendant.</w:t>
      </w:r>
      <w:r>
        <w:t xml:space="preserve"> </w:t>
      </w:r>
      <w:r>
        <w:rPr>
          <w:rStyle w:val="Elision"/>
        </w:rPr>
        <w:t xml:space="preserve">[ … ]</w:t>
      </w:r>
      <w:r>
        <w:t xml:space="preserve"> </w:t>
      </w:r>
      <w:r>
        <w:t xml:space="preserve">The defendant has no constitutional entitlement to the best forum or, for that matter, to any particular forum. Under even the most restrictive view of</w:t>
      </w:r>
      <w:r>
        <w:t xml:space="preserve"> </w:t>
      </w:r>
      <w:r>
        <w:rPr>
          <w:iCs/>
          <w:i/>
        </w:rPr>
        <w:t xml:space="preserve">International Shoe,</w:t>
      </w:r>
      <w:r>
        <w:t xml:space="preserve"> </w:t>
      </w:r>
      <w:r>
        <w:t xml:space="preserve">several States could have jurisdiction over a particular cause of action. We need only determine whether the forum States in these cases satisfy the constitutional minimum.</w:t>
      </w:r>
      <w:hyperlink w:anchor="Xeb9cf752d374a03e389891252e72f4161f3baaf">
        <w:r>
          <w:rPr>
            <w:rStyle w:val="Elision"/>
            <w:vertAlign w:val="superscript"/>
          </w:rPr>
          <w:t xml:space="preserve">[ … ]</w:t>
        </w:r>
      </w:hyperlink>
    </w:p>
    <w:bookmarkEnd w:id="63"/>
    <w:bookmarkStart w:id="64" w:name="ii-2"/>
    <w:p>
      <w:pPr>
        <w:pStyle w:val="Heading2"/>
      </w:pPr>
      <w:r>
        <w:rPr>
          <w:rStyle w:val="Elision"/>
        </w:rPr>
        <w:t xml:space="preserve">[ … ]</w:t>
      </w:r>
      <w:r>
        <w:t xml:space="preserve"> </w:t>
      </w:r>
      <w:r>
        <w:t xml:space="preserve">II</w:t>
      </w:r>
    </w:p>
    <w:p>
      <w:pPr>
        <w:pStyle w:val="CaseBody"/>
      </w:pPr>
      <w:r>
        <w:rPr>
          <w:rStyle w:val="Elision"/>
        </w:rPr>
        <w:t xml:space="preserve">[ … ]</w:t>
      </w:r>
      <w:r>
        <w:t xml:space="preserve"> </w:t>
      </w:r>
      <w:r>
        <w:t xml:space="preserve">I would find that the forum State has an interest in permitting the litigation to go forward, the litigation is connected to the forum, the defendant is linked to the forum, and the burden of defending is not unreasonable. Accordingly, I would hold that it is neither unfair nor unreasonable to require these defendants to defend in the forum State.</w:t>
      </w:r>
    </w:p>
    <w:bookmarkEnd w:id="64"/>
    <w:bookmarkStart w:id="65" w:name="a-1"/>
    <w:p>
      <w:pPr>
        <w:pStyle w:val="Heading2"/>
      </w:pPr>
      <w:r>
        <w:t xml:space="preserve">A</w:t>
      </w:r>
    </w:p>
    <w:p>
      <w:pPr>
        <w:pStyle w:val="CaseBody"/>
      </w:pPr>
      <w:r>
        <w:rPr>
          <w:rStyle w:val="Elision"/>
        </w:rPr>
        <w:t xml:space="preserve">[ … ]</w:t>
      </w:r>
    </w:p>
    <w:p>
      <w:pPr>
        <w:pStyle w:val="CaseBody"/>
      </w:pPr>
      <w:r>
        <w:rPr>
          <w:rStyle w:val="ReplacementText"/>
        </w:rPr>
        <w:t xml:space="preserve">[T]he interest</w:t>
      </w:r>
      <w:r>
        <w:t xml:space="preserve"> </w:t>
      </w:r>
      <w:r>
        <w:t xml:space="preserve">of the forum State and its connection to the litigation is strong. The automobile accident underlying the litigation occurred in Oklahoma. The plaintiffs were hospitalized in Oklahoma when they brought suit. Essential witnesses and evidence were in Oklahoma.</w:t>
      </w:r>
      <w:r>
        <w:t xml:space="preserve"> </w:t>
      </w:r>
      <w:r>
        <w:rPr>
          <w:rStyle w:val="Elision"/>
        </w:rPr>
        <w:t xml:space="preserve">[ … ]</w:t>
      </w:r>
      <w:r>
        <w:t xml:space="preserve"> </w:t>
      </w:r>
      <w:r>
        <w:t xml:space="preserve">The State has a legitimate interest in enforcing its laws designed to keep its highway system safe, and the trial can proceed at least as efficiently in Oklahoma as anywhere else.</w:t>
      </w:r>
    </w:p>
    <w:p>
      <w:pPr>
        <w:pStyle w:val="CaseBody"/>
      </w:pPr>
      <w:r>
        <w:t xml:space="preserve">The petitioners are not unconnected with the forum. Although both sell automobiles within limited sales territories, each sold the automobile which in fact was driven to Oklahoma where it was involved in an accident.</w:t>
      </w:r>
      <w:hyperlink w:anchor="X7ae379324cf14d867a31aa8bf04d446cf151e84">
        <w:r>
          <w:rPr>
            <w:rStyle w:val="Elision"/>
            <w:vertAlign w:val="superscript"/>
          </w:rPr>
          <w:t xml:space="preserve">[ … ]</w:t>
        </w:r>
      </w:hyperlink>
      <w:r>
        <w:t xml:space="preserve"> </w:t>
      </w:r>
      <w:r>
        <w:t xml:space="preserve">It may be true, as the Court suggests, that each sincerely intended to limit its commercial impact to the limited territory, and that each intended to accept the benefits and protection of the laws only of those States within the territory. But obviously these were unrealistic hopes that cannot be treated as an automatic constitutional shield.</w:t>
      </w:r>
      <w:hyperlink w:anchor="Xbf979c0090ed2a4d7ada33df527d830f99475e7">
        <w:r>
          <w:rPr>
            <w:rStyle w:val="Elision"/>
            <w:vertAlign w:val="superscript"/>
          </w:rPr>
          <w:t xml:space="preserve">[ … ]</w:t>
        </w:r>
      </w:hyperlink>
    </w:p>
    <w:p>
      <w:pPr>
        <w:pStyle w:val="CaseBody"/>
      </w:pPr>
      <w:r>
        <w:rPr>
          <w:rStyle w:val="Elision"/>
        </w:rPr>
        <w:t xml:space="preserve">[ … ]</w:t>
      </w:r>
      <w:r>
        <w:t xml:space="preserve"> </w:t>
      </w:r>
      <w:r>
        <w:t xml:space="preserve">An automobile simply is not a stationary item or one designed to be used in one place. An automobile is</w:t>
      </w:r>
      <w:r>
        <w:t xml:space="preserve"> </w:t>
      </w:r>
      <w:r>
        <w:rPr>
          <w:iCs/>
          <w:i/>
        </w:rPr>
        <w:t xml:space="preserve">intended</w:t>
      </w:r>
      <w:r>
        <w:t xml:space="preserve"> </w:t>
      </w:r>
      <w:r>
        <w:t xml:space="preserve">to be moved around. Someone in the business of selling large numbers of automobiles can hardly plead ignorance of their mobility or pretend that the automobiles stay put after they are sold. It is not merely that a dealer in automobiles foresees that they will move.</w:t>
      </w:r>
      <w:r>
        <w:t xml:space="preserve"> </w:t>
      </w:r>
      <w:r>
        <w:rPr>
          <w:iCs/>
          <w:i/>
        </w:rPr>
        <w:t xml:space="preserve">Ante,</w:t>
      </w:r>
      <w:r>
        <w:t xml:space="preserve"> </w:t>
      </w:r>
      <w:r>
        <w:t xml:space="preserve">at 295. The dealer actually intends that the purchasers will use the automobiles to travel to distant States where the dealer does not directly "do business." The sale of an automobile does</w:t>
      </w:r>
      <w:r>
        <w:t xml:space="preserve"> </w:t>
      </w:r>
      <w:r>
        <w:rPr>
          <w:iCs/>
          <w:i/>
        </w:rPr>
        <w:t xml:space="preserve">purposefully</w:t>
      </w:r>
      <w:r>
        <w:t xml:space="preserve"> </w:t>
      </w:r>
      <w:r>
        <w:t xml:space="preserve">inject the vehicle into the stream of interstate commerce so that it can travel to distant States. See</w:t>
      </w:r>
      <w:r>
        <w:t xml:space="preserve"> </w:t>
      </w:r>
      <w:r>
        <w:rPr>
          <w:iCs/>
          <w:i/>
        </w:rPr>
        <w:t xml:space="preserve">Kulko,</w:t>
      </w:r>
      <w:r>
        <w:t xml:space="preserve"> </w:t>
      </w:r>
      <w:r>
        <w:t xml:space="preserve">436 U. S., at 94;</w:t>
      </w:r>
      <w:r>
        <w:t xml:space="preserve"> </w:t>
      </w:r>
      <w:r>
        <w:rPr>
          <w:iCs/>
          <w:i/>
        </w:rPr>
        <w:t xml:space="preserve">Hanson</w:t>
      </w:r>
      <w:r>
        <w:t xml:space="preserve"> </w:t>
      </w:r>
      <w:r>
        <w:t xml:space="preserve">v.</w:t>
      </w:r>
      <w:r>
        <w:t xml:space="preserve"> </w:t>
      </w:r>
      <w:r>
        <w:rPr>
          <w:iCs/>
          <w:i/>
        </w:rPr>
        <w:t xml:space="preserve">Denckla,</w:t>
      </w:r>
      <w:r>
        <w:t xml:space="preserve"> </w:t>
      </w:r>
      <w:r>
        <w:t xml:space="preserve">357 U. S. 235, 253 (1958).</w:t>
      </w:r>
    </w:p>
    <w:p>
      <w:pPr>
        <w:pStyle w:val="CaseBody"/>
      </w:pPr>
      <w:r>
        <w:rPr>
          <w:rStyle w:val="Elision"/>
        </w:rPr>
        <w:t xml:space="preserve">[ … ]</w:t>
      </w:r>
    </w:p>
    <w:p>
      <w:pPr>
        <w:pStyle w:val="CaseBody"/>
      </w:pPr>
      <w:r>
        <w:t xml:space="preserve">The Court accepts that a State may exercise jurisdiction over a distributor which "serves" that State "indirectly" by "deliver[ing] its products into the stream of commerce with the expectation that they will be purchased by consumers in the forum State."</w:t>
      </w:r>
      <w:r>
        <w:t xml:space="preserve"> </w:t>
      </w:r>
      <w:r>
        <w:rPr>
          <w:iCs/>
          <w:i/>
        </w:rPr>
        <w:t xml:space="preserve">Ante,</w:t>
      </w:r>
      <w:r>
        <w:t xml:space="preserve"> </w:t>
      </w:r>
      <w:r>
        <w:t xml:space="preserve">at 297-298. It is difficult to see why the Constitution should distinguish between a case involving</w:t>
      </w:r>
      <w:r>
        <w:t xml:space="preserve"> </w:t>
      </w:r>
      <w:r>
        <w:rPr>
          <w:rStyle w:val="Elision"/>
        </w:rPr>
        <w:t xml:space="preserve">[ … ]</w:t>
      </w:r>
      <w:r>
        <w:t xml:space="preserve"> </w:t>
      </w:r>
      <w:r>
        <w:t xml:space="preserve">goods which reach a distant State through a chain of distribution and a case involving goods which reach the same State because a consumer, using them as the dealer knew the customer would, took them there.</w:t>
      </w:r>
      <w:hyperlink w:anchor="X2a933e230e72668b4494ad2560df067430129f3">
        <w:r>
          <w:rPr>
            <w:rStyle w:val="Elision"/>
            <w:vertAlign w:val="superscript"/>
          </w:rPr>
          <w:t xml:space="preserve">[ … ]</w:t>
        </w:r>
      </w:hyperlink>
      <w:r>
        <w:t xml:space="preserve"> </w:t>
      </w:r>
      <w:r>
        <w:t xml:space="preserve">In each case the seller purposefully injects the goods into the stream of commerce and those goods predictably are used in the forum State.</w:t>
      </w:r>
      <w:hyperlink w:anchor="X58eef7dbf9ade3cdb104023f88ce3fb4a8bcc4e">
        <w:r>
          <w:rPr>
            <w:rStyle w:val="Hyperlink"/>
            <w:vertAlign w:val="superscript"/>
          </w:rPr>
          <w:t xml:space="preserve">[25]</w:t>
        </w:r>
      </w:hyperlink>
    </w:p>
    <w:p>
      <w:pPr>
        <w:pStyle w:val="CaseBody"/>
      </w:pPr>
      <w:r>
        <w:rPr>
          <w:rStyle w:val="Elision"/>
        </w:rPr>
        <w:t xml:space="preserve">[ … ]</w:t>
      </w:r>
    </w:p>
    <w:p>
      <w:pPr>
        <w:pStyle w:val="CaseBody"/>
      </w:pPr>
      <w:r>
        <w:t xml:space="preserve">Thus, the Court errs in its conclusion</w:t>
      </w:r>
      <w:r>
        <w:rPr>
          <w:rStyle w:val="Elision"/>
        </w:rPr>
        <w:t xml:space="preserve">[ … ]</w:t>
      </w:r>
      <w:r>
        <w:t xml:space="preserve">, that "petitioners have</w:t>
      </w:r>
      <w:r>
        <w:t xml:space="preserve"> </w:t>
      </w:r>
      <w:r>
        <w:rPr>
          <w:iCs/>
          <w:i/>
        </w:rPr>
        <w:t xml:space="preserve">no</w:t>
      </w:r>
      <w:r>
        <w:t xml:space="preserve"> </w:t>
      </w:r>
      <w:r>
        <w:t xml:space="preserve">`contacts, ties, or relations'" with Oklahoma. There obviously are contacts, and, given Oklahoma's connection to the litigation, the contacts are sufficiently significant to make it fair and reasonable for the petitioners to submit to Oklahoma's jurisdiction.</w:t>
      </w:r>
    </w:p>
    <w:bookmarkEnd w:id="65"/>
    <w:bookmarkStart w:id="66" w:name="iii-2"/>
    <w:p>
      <w:pPr>
        <w:pStyle w:val="Heading2"/>
      </w:pPr>
      <w:r>
        <w:t xml:space="preserve">III</w:t>
      </w:r>
    </w:p>
    <w:p>
      <w:pPr>
        <w:pStyle w:val="CaseBody"/>
      </w:pPr>
      <w:r>
        <w:t xml:space="preserve">It may be that affirmance of the judgments in these cases would approach the outer limits of</w:t>
      </w:r>
      <w:r>
        <w:t xml:space="preserve"> </w:t>
      </w:r>
      <w:r>
        <w:rPr>
          <w:iCs/>
          <w:i/>
        </w:rPr>
        <w:t xml:space="preserve">International Shoe's</w:t>
      </w:r>
      <w:r>
        <w:t xml:space="preserve"> </w:t>
      </w:r>
      <w:r>
        <w:t xml:space="preserve">jurisdictional</w:t>
      </w:r>
      <w:r>
        <w:t xml:space="preserve"> </w:t>
      </w:r>
      <w:r>
        <w:rPr>
          <w:rStyle w:val="Elision"/>
        </w:rPr>
        <w:t xml:space="preserve">[ … ]</w:t>
      </w:r>
      <w:r>
        <w:t xml:space="preserve"> </w:t>
      </w:r>
      <w:r>
        <w:t xml:space="preserve">principle. But that principle, with its almost exclusive focus on the rights of defendants, may be outdated.</w:t>
      </w:r>
      <w:r>
        <w:t xml:space="preserve"> </w:t>
      </w:r>
      <w:r>
        <w:rPr>
          <w:rStyle w:val="Elision"/>
        </w:rPr>
        <w:t xml:space="preserve">[ … ]</w:t>
      </w:r>
    </w:p>
    <w:p>
      <w:pPr>
        <w:pStyle w:val="CaseBody"/>
      </w:pPr>
      <w:r>
        <w:rPr>
          <w:iCs/>
          <w:i/>
        </w:rPr>
        <w:t xml:space="preserve">International Shoe</w:t>
      </w:r>
      <w:r>
        <w:t xml:space="preserve"> </w:t>
      </w:r>
      <w:r>
        <w:t xml:space="preserve">inherited its defendant focus from</w:t>
      </w:r>
      <w:r>
        <w:t xml:space="preserve"> </w:t>
      </w:r>
      <w:r>
        <w:rPr>
          <w:iCs/>
          <w:i/>
        </w:rPr>
        <w:t xml:space="preserve">Pennoyer</w:t>
      </w:r>
      <w:r>
        <w:t xml:space="preserve"> </w:t>
      </w:r>
      <w:r>
        <w:t xml:space="preserve">v.</w:t>
      </w:r>
      <w:r>
        <w:t xml:space="preserve"> </w:t>
      </w:r>
      <w:r>
        <w:rPr>
          <w:iCs/>
          <w:i/>
        </w:rPr>
        <w:t xml:space="preserve">Neff</w:t>
      </w:r>
      <w:r>
        <w:rPr>
          <w:rStyle w:val="Elision"/>
        </w:rPr>
        <w:t xml:space="preserve">[ … ]</w:t>
      </w:r>
      <w:r>
        <w:t xml:space="preserve">, and represented the last major step this Court has taken in the long process of liberalizing the doctrine of personal jurisdiction. Though its flexible approach represented a major advance, the structure of our society has changed in many significant ways since</w:t>
      </w:r>
      <w:r>
        <w:t xml:space="preserve"> </w:t>
      </w:r>
      <w:r>
        <w:rPr>
          <w:iCs/>
          <w:i/>
        </w:rPr>
        <w:t xml:space="preserve">International Shoe</w:t>
      </w:r>
      <w:r>
        <w:t xml:space="preserve"> </w:t>
      </w:r>
      <w:r>
        <w:t xml:space="preserve">was decided in 1945. Mr. Justice Black, writing for the Court in</w:t>
      </w:r>
      <w:r>
        <w:t xml:space="preserve"> </w:t>
      </w:r>
      <w:r>
        <w:rPr>
          <w:iCs/>
          <w:i/>
        </w:rPr>
        <w:t xml:space="preserve">McGee</w:t>
      </w:r>
      <w:r>
        <w:t xml:space="preserve"> </w:t>
      </w:r>
      <w:r>
        <w:t xml:space="preserve">v.</w:t>
      </w:r>
      <w:r>
        <w:t xml:space="preserve"> </w:t>
      </w:r>
      <w:r>
        <w:rPr>
          <w:iCs/>
          <w:i/>
        </w:rPr>
        <w:t xml:space="preserve">International Life Ins. Co.</w:t>
      </w:r>
      <w:r>
        <w:rPr>
          <w:rStyle w:val="Elision"/>
        </w:rPr>
        <w:t xml:space="preserve">[ … ]</w:t>
      </w:r>
      <w:r>
        <w:t xml:space="preserve">, recognized that "a trend is clearly discernible toward expanding the permissible scope of state jurisdiction over foreign corporations and other nonresidents."</w:t>
      </w:r>
      <w:r>
        <w:t xml:space="preserve"> </w:t>
      </w:r>
      <w:r>
        <w:rPr>
          <w:rStyle w:val="Elision"/>
        </w:rPr>
        <w:t xml:space="preserve">[ … ]</w:t>
      </w:r>
    </w:p>
    <w:p>
      <w:pPr>
        <w:pStyle w:val="CaseBody"/>
      </w:pPr>
      <w:r>
        <w:t xml:space="preserve">As the Court acknowledges</w:t>
      </w:r>
      <w:r>
        <w:rPr>
          <w:rStyle w:val="Elision"/>
        </w:rPr>
        <w:t xml:space="preserve">[ … ]</w:t>
      </w:r>
      <w:r>
        <w:t xml:space="preserve">, both the nationalization of commerce and the ease of transportation and communication have accelerated in the generation since 1957.</w:t>
      </w:r>
      <w:hyperlink w:anchor="Xcf2d41155e05991bf2c6c4d92565b1e5fbbbfae">
        <w:r>
          <w:rPr>
            <w:rStyle w:val="Elision"/>
            <w:vertAlign w:val="superscript"/>
          </w:rPr>
          <w:t xml:space="preserve">[ … ]</w:t>
        </w:r>
      </w:hyperlink>
      <w:r>
        <w:rPr>
          <w:rStyle w:val="Elision"/>
        </w:rPr>
        <w:t xml:space="preserve">[ … ]</w:t>
      </w:r>
      <w:r>
        <w:t xml:space="preserve"> </w:t>
      </w:r>
      <w:r>
        <w:t xml:space="preserve">The model of society on which the</w:t>
      </w:r>
      <w:r>
        <w:t xml:space="preserve"> </w:t>
      </w:r>
      <w:r>
        <w:rPr>
          <w:iCs/>
          <w:i/>
        </w:rPr>
        <w:t xml:space="preserve">International Shoe</w:t>
      </w:r>
      <w:r>
        <w:t xml:space="preserve"> </w:t>
      </w:r>
      <w:r>
        <w:t xml:space="preserve">Court based its opinion is no longer accurate. Business people, no matter how local their businesses, cannot assume that goods remain in the business' locality. Customers and goods can be anywhere else in the country usually in a matter of hours and always in a matter of a very few days.</w:t>
      </w:r>
    </w:p>
    <w:p>
      <w:pPr>
        <w:pStyle w:val="CaseBody"/>
      </w:pPr>
      <w:r>
        <w:t xml:space="preserve">In answering the question whether or not it is fair and reasonable to allow a particular forum to hold a trial binding on a particular defendant, the interests of the forum State and other parties loom large in today's world and surely are entitled to as much weight as are the interests of the defendant. The "orderly administration of the laws" provides a firm basis for according some protection to the interests of plaintiffs and States as well as of defendants.</w:t>
      </w:r>
      <w:hyperlink w:anchor="Xf5345761dce9a1c63bb7e85975213a4f3060da7">
        <w:r>
          <w:rPr>
            <w:rStyle w:val="Elision"/>
            <w:vertAlign w:val="superscript"/>
          </w:rPr>
          <w:t xml:space="preserve">[ … ]</w:t>
        </w:r>
      </w:hyperlink>
      <w:r>
        <w:t xml:space="preserve"> </w:t>
      </w:r>
      <w:r>
        <w:t xml:space="preserve">Certainly, I cannot see how a defendant's right to due process is violated if the defendant suffers no inconvenience.</w:t>
      </w:r>
      <w:r>
        <w:t xml:space="preserve"> </w:t>
      </w:r>
      <w:r>
        <w:rPr>
          <w:rStyle w:val="Elision"/>
        </w:rPr>
        <w:t xml:space="preserve">[ … ]</w:t>
      </w:r>
    </w:p>
    <w:p>
      <w:pPr>
        <w:pStyle w:val="CaseBody"/>
      </w:pPr>
      <w:r>
        <w:t xml:space="preserve">The conclusion I draw is that constitutional concepts of fairness no longer require the extreme concern for defendants that was once necessary. Rather,</w:t>
      </w:r>
      <w:r>
        <w:t xml:space="preserve"> </w:t>
      </w:r>
      <w:r>
        <w:rPr>
          <w:rStyle w:val="Elision"/>
        </w:rPr>
        <w:t xml:space="preserve">[ … ]</w:t>
      </w:r>
      <w:r>
        <w:t xml:space="preserve"> </w:t>
      </w:r>
      <w:r>
        <w:t xml:space="preserve">minimum</w:t>
      </w:r>
      <w:r>
        <w:t xml:space="preserve"> </w:t>
      </w:r>
      <w:r>
        <w:rPr>
          <w:rStyle w:val="Elision"/>
        </w:rPr>
        <w:t xml:space="preserve">[ … ]</w:t>
      </w:r>
      <w:r>
        <w:t xml:space="preserve"> </w:t>
      </w:r>
      <w:r>
        <w:t xml:space="preserve">contacts must exist "among the</w:t>
      </w:r>
      <w:r>
        <w:t xml:space="preserve"> </w:t>
      </w:r>
      <w:r>
        <w:rPr>
          <w:iCs/>
          <w:i/>
        </w:rPr>
        <w:t xml:space="preserve">parties,</w:t>
      </w:r>
      <w:r>
        <w:t xml:space="preserve"> </w:t>
      </w:r>
      <w:r>
        <w:t xml:space="preserve">the contested transaction, and the forum State."</w:t>
      </w:r>
      <w:hyperlink w:anchor="X161389c5b823da9db8ea8a52846c01e94848ed3">
        <w:r>
          <w:rPr>
            <w:rStyle w:val="Elision"/>
            <w:vertAlign w:val="superscript"/>
          </w:rPr>
          <w:t xml:space="preserve">[ … ]</w:t>
        </w:r>
      </w:hyperlink>
      <w:r>
        <w:t xml:space="preserve"> </w:t>
      </w:r>
      <w:r>
        <w:t xml:space="preserve">The contacts between any two of these should not be determinate. "</w:t>
      </w:r>
      <w:r>
        <w:rPr>
          <w:rStyle w:val="Elision"/>
        </w:rPr>
        <w:t xml:space="preserve">[ … ]</w:t>
      </w:r>
      <w:r>
        <w:t xml:space="preserve"> </w:t>
      </w:r>
      <w:r>
        <w:t xml:space="preserve">Assuming</w:t>
      </w:r>
      <w:r>
        <w:t xml:space="preserve"> </w:t>
      </w:r>
      <w:r>
        <w:rPr>
          <w:rStyle w:val="Elision"/>
        </w:rPr>
        <w:t xml:space="preserve">[ … ]</w:t>
      </w:r>
      <w:r>
        <w:t xml:space="preserve"> </w:t>
      </w:r>
      <w:r>
        <w:t xml:space="preserve">that a State gives a nonresident defendant adequate notice and opportunity to defend, I do not think the Due Process Clause is offended merely because the defendant has to board a plane to get to the site of the trial.</w:t>
      </w:r>
    </w:p>
    <w:p>
      <w:pPr>
        <w:pStyle w:val="CaseBody"/>
      </w:pPr>
      <w:r>
        <w:rPr>
          <w:rStyle w:val="Elision"/>
        </w:rPr>
        <w:t xml:space="preserve">[ … ]</w:t>
      </w:r>
      <w:r>
        <w:rPr>
          <w:rStyle w:val="Elision"/>
        </w:rPr>
        <w:t xml:space="preserve">[ … ]</w:t>
      </w:r>
    </w:p>
    <w:p>
      <w:pPr>
        <w:pStyle w:val="CaseBody"/>
      </w:pPr>
      <w:r>
        <w:t xml:space="preserve">In effect the Court is allowing defendants to assert the sovereign</w:t>
      </w:r>
      <w:r>
        <w:rPr>
          <w:rStyle w:val="Elision"/>
        </w:rPr>
        <w:t xml:space="preserve">[ … ]</w:t>
      </w:r>
      <w:r>
        <w:t xml:space="preserve">rights of their home States. The expressed fear is that otherwise all limits on personal jurisdiction would disappear. But the argument's premise is wrong. I would not abolish limits on jurisdiction or strip state boundaries of all significance, see</w:t>
      </w:r>
      <w:r>
        <w:t xml:space="preserve"> </w:t>
      </w:r>
      <w:r>
        <w:rPr>
          <w:iCs/>
          <w:i/>
        </w:rPr>
        <w:t xml:space="preserve">Hanson, supra,</w:t>
      </w:r>
      <w:r>
        <w:t xml:space="preserve"> </w:t>
      </w:r>
      <w:r>
        <w:t xml:space="preserve">at 260 (Black, J., dissenting); I would still require the plaintiff to demonstrate sufficient contacts among the parties, the forum, and the litigation to make the forum a reasonable State in which to hold the trial.</w:t>
      </w:r>
      <w:hyperlink w:anchor="X928d938917d483b58473c27f609938355efb1d7">
        <w:r>
          <w:rPr>
            <w:rStyle w:val="Elision"/>
            <w:vertAlign w:val="superscript"/>
          </w:rPr>
          <w:t xml:space="preserve">[ … ]</w:t>
        </w:r>
      </w:hyperlink>
    </w:p>
    <w:p>
      <w:pPr>
        <w:pStyle w:val="CaseBody"/>
      </w:pPr>
      <w:r>
        <w:t xml:space="preserve">I would also, however, strip the defendant of an unjustified veto power over certain very appropriate fora—a power the defendant justifiably enjoyed long ago when communication and travel over long distances were slow and unpredictable and when notions of state sovereignty were impractical and exaggerated. But I repeat that that is not today's world. If a plaintiff can show that his chosen forum State has a sufficient interest in the litigation (or sufficient contacts with the defendant), then the defendant who cannot show some real injury to a constitutionally protected interest</w:t>
      </w:r>
      <w:r>
        <w:rPr>
          <w:rStyle w:val="Elision"/>
        </w:rPr>
        <w:t xml:space="preserve">[ … ]</w:t>
      </w:r>
      <w:r>
        <w:t xml:space="preserve"> </w:t>
      </w:r>
      <w:r>
        <w:t xml:space="preserve">should have no constitutional excuse not to appear.</w:t>
      </w:r>
      <w:hyperlink w:anchor="X9158b643cecbb6d97b416026d5dffd7570cd4be">
        <w:r>
          <w:rPr>
            <w:rStyle w:val="Elision"/>
            <w:vertAlign w:val="superscript"/>
          </w:rPr>
          <w:t xml:space="preserve">[ … ]</w:t>
        </w:r>
      </w:hyperlink>
    </w:p>
    <w:p>
      <w:pPr>
        <w:pStyle w:val="CaseBody"/>
      </w:pPr>
      <w:r>
        <w:rPr>
          <w:rStyle w:val="Elision"/>
        </w:rPr>
        <w:t xml:space="preserve">[ … ]</w:t>
      </w:r>
    </w:p>
    <w:bookmarkEnd w:id="66"/>
    <w:bookmarkStart w:id="67" w:name="X8ade66a72b03e8188bafa0c4847f74188cc4580"/>
    <w:p>
      <w:pPr>
        <w:pStyle w:val="Heading2"/>
      </w:pPr>
      <w:r>
        <w:rPr>
          <w:rStyle w:val="ReplacementText"/>
        </w:rPr>
        <w:t xml:space="preserve">[Additional dissenting opinions by Justices Marshall and Blackmun are omitted.]</w:t>
      </w:r>
    </w:p>
    <w:bookmarkEnd w:id="67"/>
    <w:p>
      <w:pPr>
        <w:pStyle w:val="NodeEnd"/>
      </w:pPr>
      <w:r>
        <w:t xml:space="preserve"> </w:t>
      </w:r>
    </w:p>
    <w:p>
      <w:pPr>
        <w:pStyle w:val="NodeStart"/>
      </w:pPr>
      <w:r>
        <w:t xml:space="preserve"> </w:t>
      </w:r>
    </w:p>
    <w:p>
      <w:pPr>
        <w:pStyle w:val="HeadSeparator"/>
      </w:pPr>
      <w:r>
        <w:t xml:space="preserve"> </w:t>
      </w:r>
    </w:p>
    <w:bookmarkStart w:id="76" w:name="_auto_toc_76"/>
    <w:bookmarkEnd w:id="76"/>
    <w:p>
      <w:pPr>
        <w:pStyle w:val="ResourceNumber"/>
      </w:pPr>
      <w:r>
        <w:t xml:space="preserve">7.6</w:t>
      </w:r>
    </w:p>
    <w:p>
      <w:pPr>
        <w:pStyle w:val="ResourceTitle"/>
      </w:pPr>
      <w:r>
        <w:t xml:space="preserve">Notes following WW Volkswagen</w:t>
      </w:r>
    </w:p>
    <w:p>
      <w:pPr>
        <w:pStyle w:val="HeadEnd"/>
      </w:pPr>
      <w:r>
        <w:t xml:space="preserve"> </w:t>
      </w:r>
    </w:p>
    <w:p>
      <w:pPr>
        <w:pStyle w:val="BodyText"/>
      </w:pPr>
      <w:r>
        <w:t xml:space="preserve">1.</w:t>
      </w:r>
      <w:r>
        <w:t xml:space="preserve"> </w:t>
      </w:r>
      <w:r>
        <w:rPr>
          <w:bCs/>
          <w:b/>
        </w:rPr>
        <w:t xml:space="preserve">Injuries and Plaintiff's Interest in Convenience</w:t>
      </w:r>
      <w:r>
        <w:t xml:space="preserve">: Consider how the injuries sustained by plaintiffs could affect the analysis of a plaintiff’s interest in litigating in a convenient forum.</w:t>
      </w:r>
    </w:p>
    <w:p>
      <w:pPr>
        <w:pStyle w:val="BodyText"/>
      </w:pPr>
      <w:r>
        <w:t xml:space="preserve">“Since Kay Robinson had been trapped in the burning car the longest, her burns were the most horrible of all. She had burns on forty-eight percent of her body—thirty-five percent of which were third degree. Kay was in the intensive care unit for seventy-seven days and was hospitalized in Tulsa for another several months. She underwent thirty-four operations, all but two of which were under general anesthetic, for skin grafts and other reconstructive surgery. Most of her fingers were amputated, and she had severe scarring over the entire part of her body. Eva and Kay also suffered severe psychological trauma both from the ordeal and from their permanent disfigurement.”</w:t>
      </w:r>
    </w:p>
    <w:p>
      <w:pPr>
        <w:pStyle w:val="BodyText"/>
      </w:pPr>
      <w:r>
        <w:t xml:space="preserve">Adams, World-Wide Volkswagen v. Woodson — The Rest of the Story, 72 Neb.L.Rev. 1122, 1126 (1993).</w:t>
      </w:r>
    </w:p>
    <w:p>
      <w:pPr>
        <w:pStyle w:val="BodyText"/>
      </w:pPr>
      <w:r>
        <w:t xml:space="preserve">2.</w:t>
      </w:r>
      <w:r>
        <w:t xml:space="preserve"> </w:t>
      </w:r>
      <w:r>
        <w:rPr>
          <w:bCs/>
          <w:b/>
        </w:rPr>
        <w:t xml:space="preserve">Judgment-proof defendants</w:t>
      </w:r>
      <w:r>
        <w:t xml:space="preserve">. The driver who caused the injuries to the Robinsons had no insurance and was "judgment-proof" – the driver simply did not have the money to compensate the Robinsons for their injuries. This is not a rare occurrence, especially for cases involving serious injuries requiring significant compensation. For this reason, the Robinsons joined the auto-manufacturer, the importer, the regional distributor (WW Volkswagen), and the retail dealer in this case.</w:t>
      </w:r>
    </w:p>
    <w:p>
      <w:pPr>
        <w:pStyle w:val="BodyText"/>
      </w:pPr>
      <w:r>
        <w:t xml:space="preserve">3. </w:t>
      </w:r>
      <w:r>
        <w:t xml:space="preserve"> </w:t>
      </w:r>
      <w:r>
        <w:rPr>
          <w:bCs/>
          <w:b/>
        </w:rPr>
        <w:t xml:space="preserve">Defendant forum shopping</w:t>
      </w:r>
      <w:r>
        <w:t xml:space="preserve">.  According to a report that I have never verified, the manufacturer and the importer/exporter, who did not object to the Oklahoma court's exercise of personal jurisdiction over them, were intensely interested in the outcome of the distributor and retailer's objections to personal jurisdiction over them.  The reason was that they wanted to remove the case from Oklahoma state court to Oklahoma federal court, thinking that they could get a more favorable judge and jury in federal court.  They could not do so while the distributor and retailer, both New York corporations, remained in the litigation because the plaintiffs were still New York domiciliaries (why?).  After the Oklahoma state court, effectuating the Supreme Court opinion you just read, dismissed the distributor and retailer from the case, the manufacturer and the importer/exporter removed to federal court. A jury drawn from a larger federal jury pool eventually ruled in their favor.</w:t>
      </w:r>
    </w:p>
    <w:p>
      <w:pPr>
        <w:pStyle w:val="NodeEnd"/>
      </w:pPr>
      <w:r>
        <w:t xml:space="preserve"> </w:t>
      </w:r>
    </w:p>
    <w:p>
      <w:pPr>
        <w:pStyle w:val="NodeStart"/>
      </w:pPr>
      <w:r>
        <w:t xml:space="preserve"> </w:t>
      </w:r>
    </w:p>
    <w:p>
      <w:pPr>
        <w:pStyle w:val="HeadSeparator"/>
      </w:pPr>
      <w:r>
        <w:t xml:space="preserve"> </w:t>
      </w:r>
    </w:p>
    <w:bookmarkStart w:id="77" w:name="_auto_toc_77"/>
    <w:bookmarkEnd w:id="77"/>
    <w:p>
      <w:pPr>
        <w:pStyle w:val="ResourceNumber"/>
      </w:pPr>
      <w:r>
        <w:t xml:space="preserve">7.7</w:t>
      </w:r>
    </w:p>
    <w:p>
      <w:pPr>
        <w:pStyle w:val="ResourceTitle"/>
      </w:pPr>
      <w:r>
        <w:t xml:space="preserve">J. McIntyre Machinery, Ltd. v. Nicastro</w:t>
      </w:r>
    </w:p>
    <w:p>
      <w:pPr>
        <w:pStyle w:val="HeadFieldSeparator"/>
      </w:pPr>
      <w:r>
        <w:t xml:space="preserve"> </w:t>
      </w:r>
    </w:p>
    <w:p>
      <w:pPr>
        <w:pStyle w:val="ResourceHeadnote"/>
      </w:pPr>
      <w:r>
        <w:t xml:space="preserve">In class, I will ask one of you (that the randomizer chooses) to answer the following question: You are a general counsel of a corporation located abroad. Your boss, the CEO of the company, comes into your office one day to say the following: "Counsel, our company manufactures and sells dangerous products. I want our company to sell our dangerous products to United States customers, as many as possible. But, United States law? United States courts? Who needs them? I do not want our company to get sued in any United States court. What should our business do?".</w:t>
      </w:r>
    </w:p>
    <w:p>
      <w:pPr>
        <w:pStyle w:val="ResourceHeadnote"/>
      </w:pPr>
      <w:r>
        <w:t xml:space="preserve">Does the plurality opinion in this case map an easy way for you to answer your CEO's question? If so, and if you do not like this result, what branch of government, according to the plurality, can address this problem, and how can it do so?</w:t>
      </w:r>
    </w:p>
    <w:p>
      <w:pPr>
        <w:pStyle w:val="HeadEnd"/>
      </w:pPr>
      <w:r>
        <w:t xml:space="preserve"> </w:t>
      </w:r>
    </w:p>
    <w:p>
      <w:pPr>
        <w:pStyle w:val="CaseHeader"/>
      </w:pPr>
      <w:r>
        <w:t xml:space="preserve">Supreme Court of the United States</w:t>
      </w:r>
    </w:p>
    <w:p>
      <w:pPr>
        <w:pStyle w:val="CaseHeader"/>
      </w:pPr>
      <w:r>
        <w:t xml:space="preserve">180 L. Ed. 2d 765, 564 U.S. 873, 2011 U.S. LEXIS 4800, 131 S. Ct. 2780</w:t>
      </w:r>
    </w:p>
    <w:p>
      <w:pPr>
        <w:pStyle w:val="CaseHeader"/>
      </w:pPr>
      <w:r>
        <w:t xml:space="preserve">No. 09-1343</w:t>
      </w:r>
    </w:p>
    <w:p>
      <w:pPr>
        <w:pStyle w:val="CaseHeader"/>
      </w:pPr>
      <w:r>
        <w:t xml:space="preserve">2011-06-27</w:t>
      </w:r>
    </w:p>
    <w:p>
      <w:pPr>
        <w:pStyle w:val="CaseBody"/>
      </w:pPr>
      <w:r>
        <w:rPr>
          <w:rStyle w:val="Elision"/>
        </w:rPr>
        <w:t xml:space="preserve">[ … ]</w:t>
      </w:r>
    </w:p>
    <w:p>
      <w:pPr>
        <w:pStyle w:val="CaseBody"/>
      </w:pPr>
      <w:r>
        <w:t xml:space="preserve">Argued January 11, 2011.</w:t>
      </w:r>
    </w:p>
    <w:p>
      <w:pPr>
        <w:pStyle w:val="CaseBody"/>
      </w:pPr>
      <w:r>
        <w:rPr>
          <w:rStyle w:val="Elision"/>
        </w:rPr>
        <w:t xml:space="preserve">[ … ]</w:t>
      </w:r>
    </w:p>
    <w:p>
      <w:pPr>
        <w:pStyle w:val="CaseBody"/>
      </w:pPr>
      <w:r>
        <w:t xml:space="preserve">Kennedy, J., announced the judgment of the Court and delivered an opinion, in which Roberts, C. J., and Scalia and Thomas, JJ., joined, Breyer, J., filed an opinion concurring in the judgment, in which Alito, J., joined. Ginsburg, J., filed a dissenting opinion, in which Sotomayor and</w:t>
      </w:r>
      <w:r>
        <w:t xml:space="preserve"> </w:t>
      </w:r>
      <w:r>
        <w:rPr>
          <w:rStyle w:val="ReplacementText"/>
        </w:rPr>
        <w:t xml:space="preserve">Kagan</w:t>
      </w:r>
      <w:r>
        <w:t xml:space="preserve">, JJ., joined.</w:t>
      </w:r>
    </w:p>
    <w:p>
      <w:pPr>
        <w:pStyle w:val="CaseBody"/>
      </w:pPr>
      <w:r>
        <w:rPr>
          <w:rStyle w:val="Elision"/>
        </w:rPr>
        <w:t xml:space="preserve">[ … ]</w:t>
      </w:r>
    </w:p>
    <w:p>
      <w:pPr>
        <w:pStyle w:val="CaseBody"/>
      </w:pPr>
      <w:r>
        <w:t xml:space="preserve">Justice Kennedy</w:t>
      </w:r>
    </w:p>
    <w:p>
      <w:pPr>
        <w:pStyle w:val="CaseBody"/>
      </w:pPr>
      <w:r>
        <w:t xml:space="preserve">announced the judgment of the Court and delivered an opinion, in which the Chief Justice, Justice Scalia, and Justice Thomas join.</w:t>
      </w:r>
    </w:p>
    <w:p>
      <w:pPr>
        <w:pStyle w:val="CaseBody"/>
      </w:pPr>
      <w:r>
        <w:t xml:space="preserve">Whether a person or entity is subject to the jurisdiction of a state court despite not having been present in the State either at the time of suit or at the time of the alleged injury, and despite not having consented to the exercise of jurisdiction, is a question that arises with great frequency in the routine course of litigation.</w:t>
      </w:r>
      <w:r>
        <w:t xml:space="preserve"> </w:t>
      </w:r>
      <w:r>
        <w:rPr>
          <w:rStyle w:val="Elision"/>
        </w:rPr>
        <w:t xml:space="preserve">[ … ]</w:t>
      </w:r>
    </w:p>
    <w:p>
      <w:pPr>
        <w:pStyle w:val="CaseBody"/>
      </w:pPr>
      <w:r>
        <w:t xml:space="preserve">Here, the Supreme Court of New Jersey</w:t>
      </w:r>
      <w:r>
        <w:rPr>
          <w:rStyle w:val="Elision"/>
        </w:rPr>
        <w:t xml:space="preserve">[ … ]</w:t>
      </w:r>
      <w:r>
        <w:t xml:space="preserve"> </w:t>
      </w:r>
      <w:r>
        <w:t xml:space="preserve"> </w:t>
      </w:r>
      <w:r>
        <w:t xml:space="preserve">held that New Jersey’s courts can exercise jurisdiction over a foreign manufacturer of a product so long as the manufacturer “knows or reasonably should know that its products are distributed through a nationwide distribution system that might lead to those products being sold in any of the fifty states.”</w:t>
      </w:r>
      <w:r>
        <w:t xml:space="preserve"> </w:t>
      </w:r>
      <w:r>
        <w:rPr>
          <w:rStyle w:val="Elision"/>
        </w:rPr>
        <w:t xml:space="preserve">[ … ]</w:t>
      </w:r>
      <w:r>
        <w:t xml:space="preserve">Applying that test, the court concluded that a British manufacturer of scrap metal machines was subject to jurisdiction in New Jersey, even though at no time had it advertised in, sent goods to, or in any relevant sense targeted the State.</w:t>
      </w:r>
    </w:p>
    <w:p>
      <w:pPr>
        <w:pStyle w:val="CaseBody"/>
      </w:pPr>
      <w:r>
        <w:t xml:space="preserve">That decision cannot be sustained.</w:t>
      </w:r>
      <w:r>
        <w:t xml:space="preserve"> </w:t>
      </w:r>
      <w:r>
        <w:rPr>
          <w:rStyle w:val="Elision"/>
        </w:rPr>
        <w:t xml:space="preserve">[ … ]</w:t>
      </w:r>
      <w:r>
        <w:t xml:space="preserve"> </w:t>
      </w:r>
      <w:r>
        <w:t xml:space="preserve">Due process protects the defendant’s right not to be coerced except by lawful judicial power. As a general rule, the exercise of judicial power is not lawful unless the defendant “purposefully avails itself of the privilege of conducting activities within the forum State, thus invoking the benefits and protections of its laws.”</w:t>
      </w:r>
      <w:r>
        <w:t xml:space="preserve"> </w:t>
      </w:r>
      <w:r>
        <w:rPr>
          <w:iCs/>
          <w:i/>
        </w:rPr>
        <w:t xml:space="preserve">Hanson</w:t>
      </w:r>
      <w:r>
        <w:t xml:space="preserve"> </w:t>
      </w:r>
      <w:r>
        <w:t xml:space="preserve">v.</w:t>
      </w:r>
      <w:r>
        <w:t xml:space="preserve"> </w:t>
      </w:r>
      <w:r>
        <w:rPr>
          <w:iCs/>
          <w:i/>
        </w:rPr>
        <w:t xml:space="preserve">Denckla,</w:t>
      </w:r>
      <w:r>
        <w:t xml:space="preserve"> </w:t>
      </w:r>
      <w:r>
        <w:rPr>
          <w:rStyle w:val="Elision"/>
        </w:rPr>
        <w:t xml:space="preserve">[ … ]</w:t>
      </w:r>
      <w:r>
        <w:t xml:space="preserve"> </w:t>
      </w:r>
      <w:r>
        <w:rPr>
          <w:rStyle w:val="Elision"/>
        </w:rPr>
        <w:t xml:space="preserve">[ … ]</w:t>
      </w:r>
    </w:p>
    <w:p>
      <w:pPr>
        <w:pStyle w:val="CaseBody"/>
      </w:pPr>
      <w:r>
        <w:rPr>
          <w:rStyle w:val="Elision"/>
        </w:rPr>
        <w:t xml:space="preserve">[ … ]</w:t>
      </w:r>
    </w:p>
    <w:p>
      <w:pPr>
        <w:pStyle w:val="CaseBody"/>
      </w:pPr>
      <w:r>
        <w:t xml:space="preserve">I</w:t>
      </w:r>
    </w:p>
    <w:p>
      <w:pPr>
        <w:pStyle w:val="CaseBody"/>
      </w:pPr>
      <w:r>
        <w:t xml:space="preserve">This case arises from a products-liability suit filed in New Jersey state court. Robert Nicastro seriously injured his hand while using a metal-shearing machine manufactured by J. McIntyre Machinery, Ltd. (J. McIntyre). The accident occurred in New Jersey, but the machine was manufactured in England, where J. McIntyre is incorporated and operates. The question here is whether the New Jersey courts have jurisdiction over J. McIntyre, notwithstanding the fact that the company at no time either marketed goods in the State or shipped them there.</w:t>
      </w:r>
      <w:r>
        <w:t xml:space="preserve"> </w:t>
      </w:r>
      <w:r>
        <w:rPr>
          <w:rStyle w:val="Elision"/>
        </w:rPr>
        <w:t xml:space="preserve">[ … ]</w:t>
      </w:r>
    </w:p>
    <w:p>
      <w:pPr>
        <w:pStyle w:val="CaseBody"/>
      </w:pPr>
      <w:r>
        <w:t xml:space="preserve">At oral argument in this Court, Nicastro’s counsel stressed three primary facts in defense of New Jersey’s assertion of jurisdiction over J. McIntyre.</w:t>
      </w:r>
      <w:r>
        <w:t xml:space="preserve"> </w:t>
      </w:r>
      <w:r>
        <w:rPr>
          <w:rStyle w:val="Elision"/>
        </w:rPr>
        <w:t xml:space="preserve">[ … ]</w:t>
      </w:r>
    </w:p>
    <w:p>
      <w:pPr>
        <w:pStyle w:val="CaseBody"/>
      </w:pPr>
      <w:r>
        <w:t xml:space="preserve">First, an independent company agreed to sell J. McIntyre’s machines in the United States. J. McIntyre itself did not sell its machines to buyers in this country beyond the U. S. distributor, and there is no allegation that the distributor was under J. McIntyre’s control.</w:t>
      </w:r>
    </w:p>
    <w:p>
      <w:pPr>
        <w:pStyle w:val="CaseBody"/>
      </w:pPr>
      <w:r>
        <w:t xml:space="preserve">Second, J. McIntyre officials attended annual conventions for the scrap recycling industry to advertise J. McIntyre’s machines alongside the distributor. The conventions took place in various States, but never in New Jersey.</w:t>
      </w:r>
    </w:p>
    <w:p>
      <w:pPr>
        <w:pStyle w:val="CaseBody"/>
      </w:pPr>
      <w:r>
        <w:t xml:space="preserve">Third, no more than four machines (the record suggests only one,</w:t>
      </w:r>
      <w:r>
        <w:t xml:space="preserve"> </w:t>
      </w:r>
      <w:r>
        <w:rPr>
          <w:rStyle w:val="Elision"/>
        </w:rPr>
        <w:t xml:space="preserve">[ … ]</w:t>
      </w:r>
      <w:r>
        <w:t xml:space="preserve">), including the machine that caused the injuries that are the basis for this suit, ended up in New Jersey.</w:t>
      </w:r>
    </w:p>
    <w:p>
      <w:pPr>
        <w:pStyle w:val="CaseBody"/>
      </w:pPr>
      <w:r>
        <w:t xml:space="preserve">In addition to these facts emphasized by respondent, the New Jersey Supreme Court noted that J. McIntyre held both United States and European patents on its recycling technology.</w:t>
      </w:r>
    </w:p>
    <w:p>
      <w:pPr>
        <w:pStyle w:val="CaseBody"/>
      </w:pPr>
      <w:r>
        <w:rPr>
          <w:rStyle w:val="Elision"/>
        </w:rPr>
        <w:t xml:space="preserve">[ … ]</w:t>
      </w:r>
    </w:p>
    <w:p>
      <w:pPr>
        <w:pStyle w:val="CaseBody"/>
      </w:pPr>
      <w:r>
        <w:rPr>
          <w:rStyle w:val="Elision"/>
        </w:rPr>
        <w:t xml:space="preserve">[ … ]</w:t>
      </w:r>
      <w:r>
        <w:t xml:space="preserve"> </w:t>
      </w:r>
      <w:r>
        <w:t xml:space="preserve">It also noted that the U. S. distributor “structured [its] advertising and sales efforts in accordance with” J. McIntyre’s “direction and guidance whenever possible,” and that “at least some of the machines were sold on consignment to” the distributor.</w:t>
      </w:r>
      <w:r>
        <w:t xml:space="preserve"> </w:t>
      </w:r>
      <w:r>
        <w:rPr>
          <w:iCs/>
          <w:i/>
        </w:rPr>
        <w:t xml:space="preserve">I</w:t>
      </w:r>
      <w:r>
        <w:rPr>
          <w:rStyle w:val="Elision"/>
        </w:rPr>
        <w:t xml:space="preserve">[ … ]</w:t>
      </w:r>
    </w:p>
    <w:p>
      <w:pPr>
        <w:pStyle w:val="CaseBody"/>
      </w:pPr>
      <w:r>
        <w:t xml:space="preserve">In light of these facts, the New Jersey Supreme Court concluded that New Jersey courts could exercise jurisdiction over petitioner without contravention of the Due Process Clause</w:t>
      </w:r>
      <w:r>
        <w:rPr>
          <w:rStyle w:val="Elision"/>
        </w:rPr>
        <w:t xml:space="preserve">[ … ]</w:t>
      </w:r>
      <w:r>
        <w:t xml:space="preserve">because the injury occurred in New Jersey; because petitioner knew or reasonably should have known “that its products are distributed through a nationwide distribution system that might lead to those products being sold in any of the fifty states”; and because petitioner failed to “take some reasonable step to prevent the distribution of its products in this State.”</w:t>
      </w:r>
      <w:r>
        <w:t xml:space="preserve"> </w:t>
      </w:r>
      <w:r>
        <w:rPr>
          <w:rStyle w:val="Elision"/>
        </w:rPr>
        <w:t xml:space="preserve">[ … ]</w:t>
      </w:r>
    </w:p>
    <w:p>
      <w:pPr>
        <w:pStyle w:val="CaseBody"/>
      </w:pPr>
      <w:r>
        <w:t xml:space="preserve">Both the New Jersey Supreme Court’s holding and its account of what it called “ [t]he stream-of-commerce doctrine of jurisdiction,”</w:t>
      </w:r>
      <w:r>
        <w:t xml:space="preserve"> </w:t>
      </w:r>
      <w:r>
        <w:rPr>
          <w:iCs/>
          <w:i/>
        </w:rPr>
        <w:t xml:space="preserve">i</w:t>
      </w:r>
      <w:r>
        <w:rPr>
          <w:rStyle w:val="Elision"/>
        </w:rPr>
        <w:t xml:space="preserve">[ … ]</w:t>
      </w:r>
      <w:r>
        <w:t xml:space="preserve"> </w:t>
      </w:r>
      <w:r>
        <w:t xml:space="preserve">were incorrect, however.</w:t>
      </w:r>
      <w:r>
        <w:t xml:space="preserve"> </w:t>
      </w:r>
      <w:r>
        <w:rPr>
          <w:rStyle w:val="Elision"/>
        </w:rPr>
        <w:t xml:space="preserve">[ … ]</w:t>
      </w:r>
    </w:p>
    <w:p>
      <w:pPr>
        <w:pStyle w:val="CaseBody"/>
      </w:pPr>
      <w:r>
        <w:t xml:space="preserve">II</w:t>
      </w:r>
    </w:p>
    <w:p>
      <w:pPr>
        <w:pStyle w:val="CaseBody"/>
      </w:pPr>
      <w:r>
        <w:rPr>
          <w:rStyle w:val="Elision"/>
        </w:rPr>
        <w:t xml:space="preserve">[ … ]</w:t>
      </w:r>
    </w:p>
    <w:p>
      <w:pPr>
        <w:pStyle w:val="CaseBody"/>
      </w:pPr>
      <w:r>
        <w:t xml:space="preserve">A court may subject a defendant to judgment only when the defendant has sufficient contacts with the sovereign “such that the maintenance of the suit does not offend ‘traditional notions of fair play and substantial justice.’ ”</w:t>
      </w:r>
      <w:r>
        <w:t xml:space="preserve"> </w:t>
      </w:r>
      <w:r>
        <w:rPr>
          <w:iCs/>
          <w:i/>
        </w:rPr>
        <w:t xml:space="preserve">International Shoe Co.</w:t>
      </w:r>
      <w:r>
        <w:t xml:space="preserve"> </w:t>
      </w:r>
      <w:r>
        <w:t xml:space="preserve">v.</w:t>
      </w:r>
      <w:r>
        <w:t xml:space="preserve"> </w:t>
      </w:r>
      <w:r>
        <w:rPr>
          <w:iCs/>
          <w:i/>
        </w:rPr>
        <w:t xml:space="preserve">Washington,</w:t>
      </w:r>
      <w:r>
        <w:t xml:space="preserve"> </w:t>
      </w:r>
      <w:r>
        <w:rPr>
          <w:rStyle w:val="Elision"/>
        </w:rPr>
        <w:t xml:space="preserve">[ … ]</w:t>
      </w:r>
      <w:r>
        <w:rPr>
          <w:rStyle w:val="Elision"/>
        </w:rPr>
        <w:t xml:space="preserve">[ … ]</w:t>
      </w:r>
      <w:r>
        <w:t xml:space="preserve"> </w:t>
      </w:r>
      <w:r>
        <w:t xml:space="preserve">Freeform notions of fundamental fairness divorced from traditional practice cannot transform a judgment rendered in the absence of authority into law. As a general rule, the sovereign’s exercise of power requires some act by which the defendant “purposefully avails itself of the privilege of conducting activities within the forum State, thus invoking the benefits and protections of its laws,”</w:t>
      </w:r>
      <w:r>
        <w:t xml:space="preserve"> </w:t>
      </w:r>
      <w:r>
        <w:rPr>
          <w:iCs/>
          <w:i/>
        </w:rPr>
        <w:t xml:space="preserve">Hanson</w:t>
      </w:r>
      <w:r>
        <w:rPr>
          <w:rStyle w:val="Elision"/>
        </w:rPr>
        <w:t xml:space="preserve">[ … ]</w:t>
      </w:r>
      <w:r>
        <w:t xml:space="preserve">, though in some cases, as with an intentional tort, the defendant might well fall within the State’s authority by reason of his attempt to obstruct its laws. In products-liability cases like this one, it is the defendant’s purposeful availment that makes jurisdiction consistent with “traditional notions of fair play and substantial justice.”</w:t>
      </w:r>
    </w:p>
    <w:p>
      <w:pPr>
        <w:pStyle w:val="CaseBody"/>
      </w:pPr>
      <w:r>
        <w:t xml:space="preserve">A person may submit to a State’s authority in a number of ways. There is, of course, explicit consent.</w:t>
      </w:r>
      <w:r>
        <w:t xml:space="preserve"> </w:t>
      </w:r>
      <w:r>
        <w:rPr>
          <w:rStyle w:val="Elision"/>
        </w:rPr>
        <w:t xml:space="preserve">[ … ]</w:t>
      </w:r>
      <w:r>
        <w:t xml:space="preserve"> </w:t>
      </w:r>
      <w:r>
        <w:t xml:space="preserve">Presence within a State at the time suit commences through service of process is another example.</w:t>
      </w:r>
      <w:r>
        <w:t xml:space="preserve"> </w:t>
      </w:r>
      <w:r>
        <w:rPr>
          <w:rStyle w:val="Elision"/>
        </w:rPr>
        <w:t xml:space="preserve">[ … ]</w:t>
      </w:r>
      <w:r>
        <w:t xml:space="preserve">Citizenship or domicile—or, by analogy, incorporation or principal place of business for corporations—also indicates general submission to a State’s powers.</w:t>
      </w:r>
      <w:r>
        <w:t xml:space="preserve"> </w:t>
      </w:r>
      <w:r>
        <w:rPr>
          <w:rStyle w:val="Elision"/>
        </w:rPr>
        <w:t xml:space="preserve">[ … ]</w:t>
      </w:r>
    </w:p>
    <w:p>
      <w:pPr>
        <w:pStyle w:val="CaseBody"/>
      </w:pPr>
      <w:r>
        <w:t xml:space="preserve">Each of these examples reveals circumstances, or a course of conduct, from which it is proper to infer an intention to benefit from and thus an intention to submit to the laws of the forum State.</w:t>
      </w:r>
      <w:r>
        <w:t xml:space="preserve"> </w:t>
      </w:r>
      <w:r>
        <w:rPr>
          <w:rStyle w:val="Elision"/>
        </w:rPr>
        <w:t xml:space="preserve">[ … ]</w:t>
      </w:r>
    </w:p>
    <w:p>
      <w:pPr>
        <w:pStyle w:val="CaseBody"/>
      </w:pPr>
      <w:r>
        <w:t xml:space="preserve">There is also a more limited form of submission to a State’s authority for disputes that “arise out of or are connected with the activities within the</w:t>
      </w:r>
      <w:r>
        <w:t xml:space="preserve"> </w:t>
      </w:r>
      <w:r>
        <w:rPr>
          <w:iCs/>
          <w:i/>
        </w:rPr>
        <w:t xml:space="preserve">state.” International Shoe Co., supra,</w:t>
      </w:r>
      <w:r>
        <w:t xml:space="preserve"> </w:t>
      </w:r>
      <w:r>
        <w:t xml:space="preserve">at 319, 66 S. Ct. 154, 90 L. Ed. 95. Where a defendant “purposefully avails itself of the privilege of conducting activities within the forum State, thus invoking the benefits and protections of its laws,”</w:t>
      </w:r>
      <w:r>
        <w:t xml:space="preserve"> </w:t>
      </w:r>
      <w:r>
        <w:rPr>
          <w:iCs/>
          <w:i/>
        </w:rPr>
        <w:t xml:space="preserve">Hanson, su</w:t>
      </w:r>
      <w:r>
        <w:t xml:space="preserve">pra, at 253, 78 S. Ct. 1228, 2 L. Ed. 2d 1283, it submits to the judicial power of an otherwise foreign sovereign to the extent that power is exercised in connection with the defendant’s activities touching on the State. In other words, submission through contact with and activity directed at a sovereign may justify specific jurisdiction “in a suit arising out of or related to the defendant’s contacts with the forum.” Hel</w:t>
      </w:r>
      <w:r>
        <w:rPr>
          <w:iCs/>
          <w:i/>
        </w:rPr>
        <w:t xml:space="preserve">icopteros, supra,</w:t>
      </w:r>
      <w:r>
        <w:t xml:space="preserve"> </w:t>
      </w:r>
      <w:r>
        <w:t xml:space="preserve">at 414, n. 8, 104 S. Ct. 1868, 80 L. Ed. 2d 404; see also</w:t>
      </w:r>
      <w:r>
        <w:t xml:space="preserve"> </w:t>
      </w:r>
      <w:r>
        <w:rPr>
          <w:iCs/>
          <w:i/>
        </w:rPr>
        <w:t xml:space="preserve">Goodyear, post,</w:t>
      </w:r>
      <w:r>
        <w:t xml:space="preserve"> </w:t>
      </w:r>
      <w:r>
        <w:t xml:space="preserve">at 919, 131 S. Ct. 2846, 180 L. Ed. 2d 796.</w:t>
      </w:r>
    </w:p>
    <w:p>
      <w:pPr>
        <w:pStyle w:val="CaseBody"/>
      </w:pPr>
      <w:r>
        <w:t xml:space="preserve">The imprecision arising from</w:t>
      </w:r>
      <w:r>
        <w:t xml:space="preserve"> </w:t>
      </w:r>
      <w:r>
        <w:rPr>
          <w:iCs/>
          <w:i/>
        </w:rPr>
        <w:t xml:space="preserve">Asahi,</w:t>
      </w:r>
      <w:r>
        <w:t xml:space="preserve"> </w:t>
      </w:r>
      <w:r>
        <w:t xml:space="preserve">for the most part, results from its statement of the relation between jurisdiction and the “stream of commerce.” The stream of commerce, like other metaphors, has its deficiencies as well as its utility. It refers to the movement of goods from manufacturers through distributors to consumers, yet beyond that descriptive purpose its meaning is far from exact. This Court has stated that a defendant’s placing goods into the stream of commerce “with the expectation that they will be purchased</w:t>
      </w:r>
    </w:p>
    <w:p>
      <w:pPr>
        <w:pStyle w:val="CaseBody"/>
      </w:pPr>
      <w:r>
        <w:rPr>
          <w:rStyle w:val="Elision"/>
        </w:rPr>
        <w:t xml:space="preserve">[ … ]</w:t>
      </w:r>
    </w:p>
    <w:p>
      <w:pPr>
        <w:pStyle w:val="CaseBody"/>
      </w:pPr>
      <w:r>
        <w:t xml:space="preserve">by consumers in the forum State” may indicate purposeful availment.</w:t>
      </w:r>
      <w:r>
        <w:t xml:space="preserve"> </w:t>
      </w:r>
      <w:r>
        <w:rPr>
          <w:iCs/>
          <w:i/>
        </w:rPr>
        <w:t xml:space="preserve">World-Wide Volkswagen Corp.</w:t>
      </w:r>
      <w:r>
        <w:t xml:space="preserve"> </w:t>
      </w:r>
      <w:r>
        <w:t xml:space="preserve">v.</w:t>
      </w:r>
      <w:r>
        <w:t xml:space="preserve"> </w:t>
      </w:r>
      <w:r>
        <w:rPr>
          <w:iCs/>
          <w:i/>
        </w:rPr>
        <w:t xml:space="preserve">Woodson</w:t>
      </w:r>
      <w:r>
        <w:rPr>
          <w:rStyle w:val="Elision"/>
        </w:rPr>
        <w:t xml:space="preserve">[ … ]</w:t>
      </w:r>
      <w:r>
        <w:t xml:space="preserve">(finding that expectation lacking). But that statement does not amend the general rule of personal jurisdiction. It merely observes that a defendant may in an appropriate case be subject to jurisdiction without entering the forum—itself an unexceptional proposition—as where manufacturers or distributors “seek to serve” a given State’s market.</w:t>
      </w:r>
      <w:r>
        <w:t xml:space="preserve"> </w:t>
      </w:r>
      <w:r>
        <w:rPr>
          <w:iCs/>
          <w:i/>
        </w:rPr>
        <w:t xml:space="preserve">Id.</w:t>
      </w:r>
      <w:r>
        <w:rPr>
          <w:rStyle w:val="Elision"/>
        </w:rPr>
        <w:t xml:space="preserve">[ … ]</w:t>
      </w:r>
      <w:r>
        <w:t xml:space="preserve">. The principal inquiry in cases of this sort is whether the defendant’s activities manifest an intention to submit to the power of a sovereign. In other words, the defendant must “purposefully avai[l] itself of the privilege of conducting activities within the forum State, thus invoking the benefits and protections of its laws.”</w:t>
      </w:r>
      <w:r>
        <w:t xml:space="preserve"> </w:t>
      </w:r>
      <w:r>
        <w:rPr>
          <w:iCs/>
          <w:i/>
        </w:rPr>
        <w:t xml:space="preserve">Hanson</w:t>
      </w:r>
      <w:r>
        <w:rPr>
          <w:rStyle w:val="Elision"/>
        </w:rPr>
        <w:t xml:space="preserve">[ … ]</w:t>
      </w:r>
      <w:r>
        <w:rPr>
          <w:rStyle w:val="Elision"/>
        </w:rPr>
        <w:t xml:space="preserve">[ … ]</w:t>
      </w:r>
      <w:r>
        <w:t xml:space="preserve"> </w:t>
      </w:r>
      <w:r>
        <w:t xml:space="preserve">Sometimes a defendant does so by sending its goods rather than its agents. The defendant’s transmission of goods permits the exercise of jurisdiction only where the defendant can be said to have targeted the forum; as a general rule, it is not enough that the defendant might have predicted that its goods will reach the forum State.</w:t>
      </w:r>
    </w:p>
    <w:p>
      <w:pPr>
        <w:pStyle w:val="CaseBody"/>
      </w:pPr>
      <w:r>
        <w:rPr>
          <w:rStyle w:val="Elision"/>
        </w:rPr>
        <w:t xml:space="preserve">[ … ]</w:t>
      </w:r>
    </w:p>
    <w:p>
      <w:pPr>
        <w:pStyle w:val="CaseBody"/>
      </w:pPr>
      <w:r>
        <w:rPr>
          <w:rStyle w:val="Elision"/>
        </w:rPr>
        <w:t xml:space="preserve">[ … ]</w:t>
      </w:r>
    </w:p>
    <w:p>
      <w:pPr>
        <w:pStyle w:val="CaseBody"/>
      </w:pPr>
      <w:r>
        <w:t xml:space="preserve">This Court’s precedents make clear that it is the defendant’s actions, not his expectations, that empower a State’s courts to subject him to judgment.</w:t>
      </w:r>
    </w:p>
    <w:p>
      <w:pPr>
        <w:pStyle w:val="CaseBody"/>
      </w:pPr>
      <w:r>
        <w:rPr>
          <w:rStyle w:val="Elision"/>
        </w:rPr>
        <w:t xml:space="preserve">[ … ]</w:t>
      </w:r>
      <w:r>
        <w:t xml:space="preserve"> </w:t>
      </w:r>
      <w:r>
        <w:rPr>
          <w:rStyle w:val="ReplacementText"/>
        </w:rPr>
        <w:t xml:space="preserve">W</w:t>
      </w:r>
      <w:r>
        <w:t xml:space="preserve">ere general fairness considerations the touchstone of jurisdiction, a lack of purposeful availment might be excused where carefully crafted judicial procedures could otherwise protect the defendant’s interests, or where the plaintiff would suffer substantial hardship if forced to litigate in a foreign forum.</w:t>
      </w:r>
    </w:p>
    <w:p>
      <w:pPr>
        <w:pStyle w:val="CaseBody"/>
      </w:pPr>
      <w:r>
        <w:rPr>
          <w:rStyle w:val="Elision"/>
        </w:rPr>
        <w:t xml:space="preserve">[ … ]</w:t>
      </w:r>
    </w:p>
    <w:p>
      <w:pPr>
        <w:pStyle w:val="CaseBody"/>
      </w:pPr>
      <w:r>
        <w:t xml:space="preserve">That such considerations have not been deemed controlling is instructive. See,</w:t>
      </w:r>
      <w:r>
        <w:t xml:space="preserve"> </w:t>
      </w:r>
      <w:r>
        <w:rPr>
          <w:iCs/>
          <w:i/>
        </w:rPr>
        <w:t xml:space="preserve">e.g., World-Wide Volkswagen</w:t>
      </w:r>
      <w:r>
        <w:rPr>
          <w:rStyle w:val="Elision"/>
        </w:rPr>
        <w:t xml:space="preserve">[ … ]</w:t>
      </w:r>
      <w:r>
        <w:t xml:space="preserve">.</w:t>
      </w:r>
    </w:p>
    <w:p>
      <w:pPr>
        <w:pStyle w:val="CaseBody"/>
      </w:pPr>
      <w:r>
        <w:t xml:space="preserve">Two principles are implicit in the foregoing. First, personal jurisdiction requires a forum-by-forum, or sovereign-by-sovereign, analysis. The question is whether a defendant has followed a course of conduct directed at the society or economy existing within the jurisdiction of a given sovereign, so that the sovereign has the power to subject the defendant to judgment concerning that conduct. Personal jurisdiction, of course, restricts “judicial power not as a matter of sovereignty, but as a matter of individual liberty,” for due process protects the individual’s right to be subject only to lawful power.</w:t>
      </w:r>
      <w:r>
        <w:t xml:space="preserve"> </w:t>
      </w:r>
      <w:r>
        <w:rPr>
          <w:rStyle w:val="Elision"/>
        </w:rPr>
        <w:t xml:space="preserve">[ … ]</w:t>
      </w:r>
      <w:r>
        <w:t xml:space="preserve">But whether a judicial judgment is lawful depends on whether the sovereign has authority to render it.</w:t>
      </w:r>
    </w:p>
    <w:p>
      <w:pPr>
        <w:pStyle w:val="CaseBody"/>
      </w:pPr>
      <w:r>
        <w:t xml:space="preserve">The second principle is a corollary of the first. Because the United States is a distinct sovereign, a defendant may in principle be subject to the jurisdiction of the courts of the United States but not of any particular State. This is consistent with the premises and unique genius of our Constitution.</w:t>
      </w:r>
      <w:r>
        <w:t xml:space="preserve"> </w:t>
      </w:r>
      <w:r>
        <w:rPr>
          <w:rStyle w:val="Elision"/>
        </w:rPr>
        <w:t xml:space="preserve">[ … ]</w:t>
      </w:r>
      <w:r>
        <w:t xml:space="preserve"> </w:t>
      </w:r>
      <w:r>
        <w:t xml:space="preserve">For jurisdiction, a litigant may have the requisite relationship with the United States Government but not with the government of any individual State. That would be an exceptional case, however. If the defendant is a domestic domiciliary, the courts of its home State are available and can exercise general jurisdiction. And if another State were to assert jurisdiction in an inappropriate case, it would upset the federal balance, which posits that each State has a sovereignty that is not subject to unlawful intrusion by other States. Furthermore,</w:t>
      </w:r>
    </w:p>
    <w:p>
      <w:pPr>
        <w:pStyle w:val="CaseBody"/>
      </w:pPr>
      <w:r>
        <w:rPr>
          <w:rStyle w:val="Elision"/>
        </w:rPr>
        <w:t xml:space="preserve">[ … ]</w:t>
      </w:r>
    </w:p>
    <w:p>
      <w:pPr>
        <w:pStyle w:val="CaseBody"/>
      </w:pPr>
      <w:r>
        <w:t xml:space="preserve">foreign corporations will often target or concentrate on particular States, subjecting them to specific jurisdiction in those forums.</w:t>
      </w:r>
    </w:p>
    <w:p>
      <w:pPr>
        <w:pStyle w:val="CaseBody"/>
      </w:pPr>
      <w:r>
        <w:t xml:space="preserve">It must be remembered, however, that although this case</w:t>
      </w:r>
      <w:r>
        <w:t xml:space="preserve"> </w:t>
      </w:r>
      <w:r>
        <w:rPr>
          <w:rStyle w:val="Elision"/>
        </w:rPr>
        <w:t xml:space="preserve">[ … ]</w:t>
      </w:r>
      <w:r>
        <w:t xml:space="preserve"> </w:t>
      </w:r>
      <w:r>
        <w:t xml:space="preserve"> </w:t>
      </w:r>
      <w:r>
        <w:t xml:space="preserve">both involve foreign manufacturers, the undesirable consequences of</w:t>
      </w:r>
      <w:r>
        <w:t xml:space="preserve"> </w:t>
      </w:r>
      <w:r>
        <w:rPr>
          <w:rStyle w:val="ReplacementText"/>
        </w:rPr>
        <w:t xml:space="preserve">a conclusion that selling goods into the stream of commerce, when such goods foreseeably end up in the forum and cause injury there, is sufficient for personal jurisdiction</w:t>
      </w:r>
      <w:r>
        <w:t xml:space="preserve"> </w:t>
      </w:r>
      <w:r>
        <w:t xml:space="preserve">are no less significant for domestic producers. The owner of a small Florida farm might sell crops to a large nearby distributor, for example, who might then distribute them to grocers across the country. If foreseeability were the controlling criterion, the farmer could be sued in Alaska or any number of other States’ courts without ever leaving town. And the issue of foreseeability may itself be contested so that significant expenses are incurred just on the preliminary issue of jurisdiction. Jurisdictional rules should avoid these costs whenever possible.</w:t>
      </w:r>
    </w:p>
    <w:p>
      <w:pPr>
        <w:pStyle w:val="CaseBody"/>
      </w:pPr>
      <w:r>
        <w:t xml:space="preserve">The conclusion that the authority to subject a defendant to judgment depends on purposeful availment</w:t>
      </w:r>
      <w:r>
        <w:rPr>
          <w:rStyle w:val="Elision"/>
        </w:rPr>
        <w:t xml:space="preserve">[ … ]</w:t>
      </w:r>
      <w:r>
        <w:t xml:space="preserve">does not by itself resolve many difficult questions of jurisdiction that will arise in particular cases. The defendant’s conduct and the economic realities of the market the defendant seeks to serve will differ across cases, and judicial exposition will, in common-law fashion, clarify the contours of that principle.</w:t>
      </w:r>
    </w:p>
    <w:p>
      <w:pPr>
        <w:pStyle w:val="CaseBody"/>
      </w:pPr>
      <w:r>
        <w:t xml:space="preserve">Ill</w:t>
      </w:r>
    </w:p>
    <w:p>
      <w:pPr>
        <w:pStyle w:val="CaseBody"/>
      </w:pPr>
      <w:r>
        <w:t xml:space="preserve">In this case, petitioner directed marketing and sales efforts at the United States. It may be that, assuming it were otherwise empowered to legislate on the subject, the Congress could authorize the exercise of jurisdiction in appropriate courts. That circumstance is not presented in this case, however, and it is neither necessary nor appropriate to address here any constitutional concerns that might be attendant to that exercise of power.</w:t>
      </w:r>
      <w:r>
        <w:t xml:space="preserve"> </w:t>
      </w:r>
      <w:r>
        <w:rPr>
          <w:rStyle w:val="Elision"/>
        </w:rPr>
        <w:t xml:space="preserve">[ … ]</w:t>
      </w:r>
      <w:r>
        <w:t xml:space="preserve">Nor is it necessary to determine what substantive law might apply were Congress to authorize jurisdiction in</w:t>
      </w:r>
    </w:p>
    <w:p>
      <w:pPr>
        <w:pStyle w:val="CaseBody"/>
      </w:pPr>
      <w:r>
        <w:rPr>
          <w:rStyle w:val="Elision"/>
        </w:rPr>
        <w:t xml:space="preserve">[ … ]</w:t>
      </w:r>
    </w:p>
    <w:p>
      <w:pPr>
        <w:pStyle w:val="CaseBody"/>
      </w:pPr>
      <w:r>
        <w:t xml:space="preserve">a federal court in New Jersey. See</w:t>
      </w:r>
      <w:r>
        <w:t xml:space="preserve"> </w:t>
      </w:r>
      <w:r>
        <w:rPr>
          <w:iCs/>
          <w:i/>
        </w:rPr>
        <w:t xml:space="preserve">Hanson</w:t>
      </w:r>
      <w:r>
        <w:rPr>
          <w:rStyle w:val="Elision"/>
        </w:rPr>
        <w:t xml:space="preserve">[ … ]</w:t>
      </w:r>
      <w:r>
        <w:t xml:space="preserve">(“The issue is personal jurisdiction, not choice of law”). A sovereign’s legislative authority to regulate conduct may present considerations different from those presented by its authority to subject a defendant to judgment in its courts. Here the question concerns the authority of a New Jersey state court to exercise jurisdiction, so it is petitioner’s purposeful contacts with New Jersey, not with the United States, that alone are relevant.</w:t>
      </w:r>
    </w:p>
    <w:p>
      <w:pPr>
        <w:pStyle w:val="CaseBody"/>
      </w:pPr>
      <w:r>
        <w:t xml:space="preserve">Respondent has not established that J. McIntyre engaged in conduct purposefully directed at New Jersey.</w:t>
      </w:r>
      <w:r>
        <w:t xml:space="preserve"> </w:t>
      </w:r>
      <w:r>
        <w:rPr>
          <w:rStyle w:val="Elision"/>
        </w:rPr>
        <w:t xml:space="preserve">[ … ]</w:t>
      </w:r>
      <w:r>
        <w:t xml:space="preserve"> </w:t>
      </w:r>
      <w:r>
        <w:t xml:space="preserve">Indeed, after discovery the trial court found that the “defendant does not have a single contact with New Jersey short of the machine in question ending up in this state.”</w:t>
      </w:r>
      <w:r>
        <w:t xml:space="preserve"> </w:t>
      </w:r>
      <w:r>
        <w:rPr>
          <w:rStyle w:val="Elision"/>
        </w:rPr>
        <w:t xml:space="preserve">[ … ]</w:t>
      </w:r>
      <w:r>
        <w:t xml:space="preserve">These facts may reveal an intent to serve the U. S. market, but they do not show that J. McIntyre purposefully availed itself of the New Jersey market.</w:t>
      </w:r>
    </w:p>
    <w:p>
      <w:pPr>
        <w:pStyle w:val="CaseBody"/>
      </w:pPr>
      <w:r>
        <w:t xml:space="preserve">It is notable that the New Jersey Supreme Court appears to agree, for it could “not find that J. McIntyre had a presence or minimum contacts in this State—in any jurisprudential sense—that would justify a New Jersey court to exercise jurisdiction in this case.”</w:t>
      </w:r>
      <w:r>
        <w:t xml:space="preserve"> </w:t>
      </w:r>
      <w:r>
        <w:rPr>
          <w:rStyle w:val="Elision"/>
        </w:rPr>
        <w:t xml:space="preserve">[ … ]</w:t>
      </w:r>
      <w:r>
        <w:t xml:space="preserve"> </w:t>
      </w:r>
      <w:r>
        <w:t xml:space="preserve">The court nonetheless held that petitioner could be sued in New Jersey based on a “stream-of-commerce theory of jurisdiction.”</w:t>
      </w:r>
      <w:r>
        <w:t xml:space="preserve"> </w:t>
      </w:r>
      <w:r>
        <w:rPr>
          <w:rStyle w:val="Elision"/>
        </w:rPr>
        <w:t xml:space="preserve">[ … ]</w:t>
      </w:r>
      <w:r>
        <w:t xml:space="preserve"> </w:t>
      </w:r>
      <w:r>
        <w:t xml:space="preserve"> </w:t>
      </w:r>
      <w:r>
        <w:t xml:space="preserve">As discussed, however, the stream-of-commerce metaphor cannot supersede either the mandate of the Due Process Clause or the limits on judicial authority that Clause ensures. The New Jersey Supreme Court also</w:t>
      </w:r>
    </w:p>
    <w:p>
      <w:pPr>
        <w:pStyle w:val="CaseBody"/>
      </w:pPr>
      <w:r>
        <w:rPr>
          <w:rStyle w:val="Elision"/>
        </w:rPr>
        <w:t xml:space="preserve">[ … ]</w:t>
      </w:r>
    </w:p>
    <w:p>
      <w:pPr>
        <w:pStyle w:val="CaseBody"/>
      </w:pPr>
      <w:r>
        <w:t xml:space="preserve">cited “significant policy reasons” to justify its holding, including the State’s “strong interest in protecting its citizens from defective products.”</w:t>
      </w:r>
      <w:r>
        <w:t xml:space="preserve"> </w:t>
      </w:r>
      <w:r>
        <w:rPr>
          <w:rStyle w:val="Elision"/>
        </w:rPr>
        <w:t xml:space="preserve">[ … ]</w:t>
      </w:r>
      <w:r>
        <w:t xml:space="preserve"> </w:t>
      </w:r>
      <w:r>
        <w:t xml:space="preserve">That interest is doubtless strong, but the Constitution commands restraint before discarding liberty in the name of expediency.</w:t>
      </w:r>
    </w:p>
    <w:p>
      <w:pPr>
        <w:pStyle w:val="CaseBody"/>
      </w:pPr>
      <w:r>
        <w:drawing>
          <wp:inline>
            <wp:extent cx="2695575" cy="419100"/>
            <wp:effectExtent b="0" l="0" r="0" t="0"/>
            <wp:docPr descr="" title="" id="1" name="Picture"/>
            <a:graphic>
              <a:graphicData uri="http://schemas.openxmlformats.org/drawingml/2006/picture">
                <pic:pic>
                  <pic:nvPicPr>
                    <pic:cNvPr descr="data:image/png;base64,iVBORw0KGgoAAAANSUhEUgAAARsAAAAsAQAAAAB9XiEtAAAAm0lEQVR4nO2UsQ0CMQxFX6z0QA0Fo9wADMYKbHMlYyRDQBViOmzpLB1Fyrh7Lz+KHUVJym5V2c/ADI0ONW8CEIC39wGM7ekjTxMRCNDuvtUABMjraj6CpMAlF1vYQkVVtairLRQBOPlRAhCAh/cRqGo/H+yAAEoG+vVmeyMQoC2Lu5oAkoK+2vHnA6gCpG46hHGvIM0PY4b+C30BZI13kbYgsvUAAAAASUVORK5CYII=" id="0" name="Picture"/>
                    <pic:cNvPicPr>
                      <a:picLocks noChangeArrowheads="1" noChangeAspect="1"/>
                    </pic:cNvPicPr>
                  </pic:nvPicPr>
                  <pic:blipFill>
                    <a:blip r:embed="rId68"/>
                    <a:stretch>
                      <a:fillRect/>
                    </a:stretch>
                  </pic:blipFill>
                  <pic:spPr bwMode="auto">
                    <a:xfrm>
                      <a:off x="0" y="0"/>
                      <a:ext cx="2695575" cy="419100"/>
                    </a:xfrm>
                    <a:prstGeom prst="rect">
                      <a:avLst/>
                    </a:prstGeom>
                    <a:noFill/>
                    <a:ln w="9525">
                      <a:noFill/>
                      <a:headEnd/>
                      <a:tailEnd/>
                    </a:ln>
                  </pic:spPr>
                </pic:pic>
              </a:graphicData>
            </a:graphic>
          </wp:inline>
        </w:drawing>
      </w:r>
    </w:p>
    <w:p>
      <w:pPr>
        <w:pStyle w:val="CaseBody"/>
      </w:pPr>
      <w:r>
        <w:t xml:space="preserve">Due process protects petitioner’s right to be subject only to lawful authority. At no time did petitioner engage in any activities in New Jersey that reveal an intent to invoke or benefit from the protection of its laws. New Jersey is without power to adjudge the rights and liabilities of J. McIntyre, and its exercise of jurisdiction would violate due process. The contrary judgment of the New Jersey Supreme Court is reversed.</w:t>
      </w:r>
    </w:p>
    <w:p>
      <w:pPr>
        <w:pStyle w:val="CaseBody"/>
      </w:pPr>
      <w:r>
        <w:t xml:space="preserve">Justice Breyer,</w:t>
      </w:r>
    </w:p>
    <w:p>
      <w:pPr>
        <w:pStyle w:val="CaseBody"/>
      </w:pPr>
      <w:r>
        <w:t xml:space="preserve">with whom Justice Alito joins, concurring in the judgment.</w:t>
      </w:r>
      <w:r>
        <w:rPr>
          <w:rStyle w:val="FootnoteReference"/>
        </w:rPr>
        <w:footnoteReference w:customMarkFollows="1" w:id="18"/>
        <w:t xml:space="preserve">*</w:t>
      </w:r>
    </w:p>
    <w:p>
      <w:pPr>
        <w:pStyle w:val="CaseBody"/>
      </w:pPr>
      <w:r>
        <w:t xml:space="preserve">The Supreme Court of New Jersey adopted a broad understanding of the scope of personal jurisdiction based on its view that “ [t]he increasingly fast-paced globalization of the world economy has removed national borders as barriers to trade.”</w:t>
      </w:r>
      <w:r>
        <w:t xml:space="preserve"> </w:t>
      </w:r>
      <w:r>
        <w:rPr>
          <w:rStyle w:val="Elision"/>
        </w:rPr>
        <w:t xml:space="preserve">[ … ]</w:t>
      </w:r>
      <w:r>
        <w:t xml:space="preserve"> </w:t>
      </w:r>
      <w:r>
        <w:t xml:space="preserve">I do not doubt that there have been many recent changes in commerce and communication, many of which are not anticipated by our precedents. But this case does not present any of those issues. So I think it unwise to announce a rule of broad applicability without full consideration of the modern-day consequences.</w:t>
      </w:r>
    </w:p>
    <w:p>
      <w:pPr>
        <w:pStyle w:val="CaseBody"/>
      </w:pPr>
      <w:r>
        <w:t xml:space="preserve">In my view, the outcome of this case is determined by our precedents. Based on the facts found by the New Jersey courts, respondent Robert Ni-castro failed to meet his burden to demonstrate that it was constitutionally proper to exercise jurisdiction over petitioner J. McIntyre Machinery, Ltd. (British Manufacturer), a British firm that manufactures</w:t>
      </w:r>
    </w:p>
    <w:p>
      <w:pPr>
        <w:pStyle w:val="CaseBody"/>
      </w:pPr>
      <w:r>
        <w:rPr>
          <w:rStyle w:val="Elision"/>
        </w:rPr>
        <w:t xml:space="preserve">[ … ]</w:t>
      </w:r>
    </w:p>
    <w:p>
      <w:pPr>
        <w:pStyle w:val="CaseBody"/>
      </w:pPr>
      <w:r>
        <w:t xml:space="preserve">scrap-metal machines in Great Britain and sells them through an independent distributor in the United States (American Distributor). On that basis, I agree with the plurality that the contrary judgment of the Supreme Court of New Jersey should be reversed.</w:t>
      </w:r>
    </w:p>
    <w:p>
      <w:pPr>
        <w:pStyle w:val="CaseBody"/>
      </w:pPr>
      <w:r>
        <w:t xml:space="preserve">I</w:t>
      </w:r>
    </w:p>
    <w:p>
      <w:pPr>
        <w:pStyle w:val="CaseBody"/>
      </w:pPr>
      <w:r>
        <w:t xml:space="preserve">In asserting jurisdiction over the British Manufacturer, the Supreme Court of New Jersey relied most heavily on three primary facts as providing constitutionally sufficient “contacts” with New Jersey, thereby making it fundamentally fair to hale the British Manufacturer before its courts: (1) The American Distributor on one occasion sold and shipped one machine to a New Jersey customer, namely, Mr. Nicastro’s employer, Mr. Curcio; (2) the British Manufacturer permitted, indeed wanted, its independent American Distributor to sell its machines to anyone in America willing to buy them; and (3) representatives of the British Manufacturer attended trade shows in “such cities as Chicago, Las Vegas, New Orleans, Orlando, San Diego, and San Francisco.”</w:t>
      </w:r>
      <w:r>
        <w:t xml:space="preserve"> </w:t>
      </w:r>
      <w:r>
        <w:rPr>
          <w:rStyle w:val="Elision"/>
        </w:rPr>
        <w:t xml:space="preserve">[ … ]</w:t>
      </w:r>
      <w:r>
        <w:t xml:space="preserve"> </w:t>
      </w:r>
      <w:r>
        <w:t xml:space="preserve">In my view, these facts do not provide contacts between the British firm and the State of New Jersey constitutionally sufficient to support New Jersey’s assertion of jurisdiction in this case.</w:t>
      </w:r>
    </w:p>
    <w:p>
      <w:pPr>
        <w:pStyle w:val="CaseBody"/>
      </w:pPr>
      <w:r>
        <w:t xml:space="preserve">None of our precedents finds that a single isolated sale, even if accompanied by the kind of sales effort indicated here, is sufficient. Rather, this Court’s previous holdings suggest the contrary. The Court has held that a single sale to a customer who takes an accident-causing product to a different State (where the accident takes place) is not a sufficient basis for asserting jurisdiction. See</w:t>
      </w:r>
      <w:r>
        <w:t xml:space="preserve"> </w:t>
      </w:r>
      <w:r>
        <w:rPr>
          <w:iCs/>
          <w:i/>
        </w:rPr>
        <w:t xml:space="preserve">World-Wide Volkswagen Corp.</w:t>
      </w:r>
      <w:r>
        <w:t xml:space="preserve"> </w:t>
      </w:r>
      <w:r>
        <w:t xml:space="preserve">v.</w:t>
      </w:r>
      <w:r>
        <w:t xml:space="preserve"> </w:t>
      </w:r>
      <w:r>
        <w:rPr>
          <w:iCs/>
          <w:i/>
        </w:rPr>
        <w:t xml:space="preserve">Woodson</w:t>
      </w:r>
      <w:r>
        <w:rPr>
          <w:rStyle w:val="Elision"/>
        </w:rPr>
        <w:t xml:space="preserve">[ … ]</w:t>
      </w:r>
      <w:r>
        <w:t xml:space="preserve">. And the Court, in separate opinions, has strongly suggested that a single sale of a product in a State does not constitute an adequate basis for asserting jurisdiction over an out-of-state defendant, even if that defendant places his goods in the</w:t>
      </w:r>
    </w:p>
    <w:p>
      <w:pPr>
        <w:pStyle w:val="CaseBody"/>
      </w:pPr>
      <w:r>
        <w:rPr>
          <w:rStyle w:val="Elision"/>
        </w:rPr>
        <w:t xml:space="preserve">[ … ]</w:t>
      </w:r>
    </w:p>
    <w:p>
      <w:pPr>
        <w:pStyle w:val="CaseBody"/>
      </w:pPr>
      <w:r>
        <w:t xml:space="preserve">stream of commerce, fully aware (and hoping) that such a sale will take place.</w:t>
      </w:r>
      <w:r>
        <w:t xml:space="preserve"> </w:t>
      </w:r>
      <w:r>
        <w:rPr>
          <w:rStyle w:val="Elision"/>
        </w:rPr>
        <w:t xml:space="preserve">[ … ]</w:t>
      </w:r>
      <w:r>
        <w:rPr>
          <w:rStyle w:val="Elision"/>
        </w:rPr>
        <w:t xml:space="preserve">[ … ]</w:t>
      </w:r>
    </w:p>
    <w:p>
      <w:pPr>
        <w:pStyle w:val="CaseBody"/>
      </w:pPr>
      <w:r>
        <w:t xml:space="preserve">Here, the relevant facts found by the New Jersey Supreme Court show no “regular . . . flow” or “regular course” of sales in New Jersey; and there is no “something more,” such as special state-related design, advertising, advice, marketing, or anything else. Mr. Nicastro, who here bears the burden of proving jurisdiction, has shown no specific effort by the British Manufacturer to sell in New Jersey. He has introduced no list of potential New Jersey customers who might, for example, have regularly attended trade shows. And he has not otherwise shown that the British Manufacturer “purposefully avail[ed] itself of the privilege of conducting activities” within New Jersey, or that it delivered its goods in the stream of commerce “with the expectation that they will be purchased” by New Jersey users.</w:t>
      </w:r>
      <w:r>
        <w:t xml:space="preserve"> </w:t>
      </w:r>
      <w:r>
        <w:rPr>
          <w:iCs/>
          <w:i/>
        </w:rPr>
        <w:t xml:space="preserve">World-Wide Volkswagen</w:t>
      </w:r>
      <w:r>
        <w:rPr>
          <w:rStyle w:val="Elision"/>
        </w:rPr>
        <w:t xml:space="preserve">[ … ]</w:t>
      </w:r>
      <w:r>
        <w:t xml:space="preserve">.</w:t>
      </w:r>
    </w:p>
    <w:p>
      <w:pPr>
        <w:pStyle w:val="CaseBody"/>
      </w:pPr>
      <w:r>
        <w:t xml:space="preserve">There may well have been other facts that Mr. Nicastro could have demonstrated in support of jurisdiction. And the dissent considers some of those facts. See</w:t>
      </w:r>
      <w:r>
        <w:t xml:space="preserve"> </w:t>
      </w:r>
      <w:r>
        <w:rPr>
          <w:rStyle w:val="Elision"/>
        </w:rPr>
        <w:t xml:space="preserve">[ … ]</w:t>
      </w:r>
      <w:r>
        <w:t xml:space="preserve">opinion of Ginsburg, J.) (describing the size and scope of New Jersey’s scrap-metal business</w:t>
      </w:r>
      <w:r>
        <w:rPr>
          <w:rStyle w:val="Elision"/>
        </w:rPr>
        <w:t xml:space="preserve">[ … ]</w:t>
      </w:r>
      <w:r>
        <w:t xml:space="preserve">. But the plaintiff bears</w:t>
      </w:r>
    </w:p>
    <w:p>
      <w:pPr>
        <w:pStyle w:val="CaseBody"/>
      </w:pPr>
      <w:r>
        <w:rPr>
          <w:rStyle w:val="Elision"/>
        </w:rPr>
        <w:t xml:space="preserve">[ … ]</w:t>
      </w:r>
    </w:p>
    <w:p>
      <w:pPr>
        <w:pStyle w:val="CaseBody"/>
      </w:pPr>
      <w:r>
        <w:t xml:space="preserve">the burden of establishing jurisdiction, and here I would take the facts precisely as the New Jersey Supreme Court stated them.</w:t>
      </w:r>
      <w:r>
        <w:t xml:space="preserve"> </w:t>
      </w:r>
      <w:r>
        <w:rPr>
          <w:rStyle w:val="Elision"/>
        </w:rPr>
        <w:t xml:space="preserve">[ … ]</w:t>
      </w:r>
    </w:p>
    <w:p>
      <w:pPr>
        <w:pStyle w:val="CaseBody"/>
      </w:pPr>
      <w:r>
        <w:t xml:space="preserve">Accordingly, on the record present here, resolving this case requires no more than adhering to our precedents.</w:t>
      </w:r>
    </w:p>
    <w:p>
      <w:pPr>
        <w:pStyle w:val="CaseBody"/>
      </w:pPr>
      <w:r>
        <w:t xml:space="preserve">II</w:t>
      </w:r>
    </w:p>
    <w:p>
      <w:pPr>
        <w:pStyle w:val="CaseBody"/>
      </w:pPr>
      <w:r>
        <w:t xml:space="preserve">I would not go further. Because the incident at issue in this case does not implicate modern concerns, and because the factual record leaves many open questions, this is an unsuitable vehicle for making broad pronouncements that refashion basic jurisdictional rules.</w:t>
      </w:r>
    </w:p>
    <w:p>
      <w:pPr>
        <w:pStyle w:val="CaseBody"/>
      </w:pPr>
      <w:r>
        <w:t xml:space="preserve">A</w:t>
      </w:r>
    </w:p>
    <w:p>
      <w:pPr>
        <w:pStyle w:val="CaseBody"/>
      </w:pPr>
      <w:r>
        <w:t xml:space="preserve">The plurality seems to state strict rules that limit jurisdiction where a defendant does not “inten[d] to submit to the power of a sovereign” and cannot “be said to have targeted the forum.”</w:t>
      </w:r>
      <w:r>
        <w:t xml:space="preserve"> </w:t>
      </w:r>
      <w:r>
        <w:rPr>
          <w:rStyle w:val="Elision"/>
        </w:rPr>
        <w:t xml:space="preserve">[ … ]</w:t>
      </w:r>
      <w:r>
        <w:t xml:space="preserve"> </w:t>
      </w:r>
      <w:r>
        <w:t xml:space="preserve">But what do those standards mean when a company targets the world by selling products from its Web site? And does it matter if, instead of shipping the products directly, a company consigns the products through an intermediary (say, Amazon.com) who then receives and fulfills the orders? And what if the company markets its products through popup advertisements that it knows will be viewed in a forum? Those issues have serious commercial consequences but are totally absent in this case.</w:t>
      </w:r>
    </w:p>
    <w:p>
      <w:pPr>
        <w:pStyle w:val="CaseBody"/>
      </w:pPr>
      <w:r>
        <w:t xml:space="preserve">B</w:t>
      </w:r>
    </w:p>
    <w:p>
      <w:pPr>
        <w:pStyle w:val="CaseBody"/>
      </w:pPr>
      <w:r>
        <w:t xml:space="preserve">But though I do not agree with the plurality’s seemingly strict no-jurisdiction rule, I am not persuaded by the absolute approach adopted by the New Jersey Supreme Court and urged by respondent and his</w:t>
      </w:r>
      <w:r>
        <w:t xml:space="preserve"> </w:t>
      </w:r>
      <w:r>
        <w:rPr>
          <w:iCs/>
          <w:i/>
        </w:rPr>
        <w:t xml:space="preserve">amici.</w:t>
      </w:r>
      <w:r>
        <w:t xml:space="preserve"> </w:t>
      </w:r>
      <w:r>
        <w:t xml:space="preserve">Under that view,</w:t>
      </w:r>
    </w:p>
    <w:p>
      <w:pPr>
        <w:pStyle w:val="CaseBody"/>
      </w:pPr>
      <w:r>
        <w:rPr>
          <w:rStyle w:val="Elision"/>
        </w:rPr>
        <w:t xml:space="preserve">[ … ]</w:t>
      </w:r>
    </w:p>
    <w:p>
      <w:pPr>
        <w:pStyle w:val="CaseBody"/>
      </w:pPr>
      <w:r>
        <w:t xml:space="preserve">a producer is subject to jurisdiction for a products-liability action so long as it “knows or reasonably should know that its products are distributed through a nationwide distribution system that</w:t>
      </w:r>
      <w:r>
        <w:t xml:space="preserve"> </w:t>
      </w:r>
      <w:r>
        <w:rPr>
          <w:iCs/>
          <w:i/>
        </w:rPr>
        <w:t xml:space="preserve">might</w:t>
      </w:r>
      <w:r>
        <w:t xml:space="preserve"> </w:t>
      </w:r>
      <w:r>
        <w:t xml:space="preserve">lead to those products being sold in any of the fifty states.”</w:t>
      </w:r>
      <w:r>
        <w:t xml:space="preserve"> </w:t>
      </w:r>
      <w:r>
        <w:rPr>
          <w:rStyle w:val="Elision"/>
        </w:rPr>
        <w:t xml:space="preserve">[ … ]</w:t>
      </w:r>
      <w:r>
        <w:t xml:space="preserve"> </w:t>
      </w:r>
      <w:r>
        <w:t xml:space="preserve">(emphasis added). In the context of this case, I cannot agree.</w:t>
      </w:r>
    </w:p>
    <w:p>
      <w:pPr>
        <w:pStyle w:val="CaseBody"/>
      </w:pPr>
      <w:r>
        <w:t xml:space="preserve">For one thing, to adopt this view would abandon the heretofore accepted inquiry of whether, focusing upon the relationship between “the defendant, the</w:t>
      </w:r>
      <w:r>
        <w:t xml:space="preserve"> </w:t>
      </w:r>
      <w:r>
        <w:rPr>
          <w:iCs/>
          <w:i/>
        </w:rPr>
        <w:t xml:space="preserve">forum,</w:t>
      </w:r>
      <w:r>
        <w:t xml:space="preserve"> </w:t>
      </w:r>
      <w:r>
        <w:t xml:space="preserve">and the litigation,” it is fair, in light of the defendant’s contacts</w:t>
      </w:r>
      <w:r>
        <w:t xml:space="preserve"> </w:t>
      </w:r>
      <w:r>
        <w:rPr>
          <w:iCs/>
          <w:i/>
        </w:rPr>
        <w:t xml:space="preserve">with that</w:t>
      </w:r>
      <w:r>
        <w:t xml:space="preserve"> </w:t>
      </w:r>
      <w:r>
        <w:t xml:space="preserve">forum, to subject the defendant to suit there.</w:t>
      </w:r>
      <w:r>
        <w:t xml:space="preserve"> </w:t>
      </w:r>
      <w:r>
        <w:rPr>
          <w:rStyle w:val="Elision"/>
        </w:rPr>
        <w:t xml:space="preserve">[ … ]</w:t>
      </w:r>
      <w:r>
        <w:t xml:space="preserve"> </w:t>
      </w:r>
      <w:r>
        <w:t xml:space="preserve">It would ordinarily rest jurisdiction instead upon no more than the occurrence of a product-based accident in the forum State. But this Court has rejected the notion that a defendant’s amenability to suit “travel [s] with the chattel.”</w:t>
      </w:r>
      <w:r>
        <w:t xml:space="preserve"> </w:t>
      </w:r>
      <w:r>
        <w:rPr>
          <w:iCs/>
          <w:i/>
        </w:rPr>
        <w:t xml:space="preserve">World-Wide Volkswagen</w:t>
      </w:r>
      <w:r>
        <w:rPr>
          <w:rStyle w:val="Elision"/>
        </w:rPr>
        <w:t xml:space="preserve">[ … ]</w:t>
      </w:r>
      <w:r>
        <w:t xml:space="preserve">.</w:t>
      </w:r>
    </w:p>
    <w:p>
      <w:pPr>
        <w:pStyle w:val="CaseBody"/>
      </w:pPr>
      <w:r>
        <w:t xml:space="preserve">For another, I cannot reconcile so automatic a rule with the constitutional demand for “minimum contacts” and “purposeful!] avail[ment],” each of which rests upon a particular notion of defendant-focused fairness.</w:t>
      </w:r>
      <w:r>
        <w:t xml:space="preserve"> </w:t>
      </w:r>
      <w:r>
        <w:rPr>
          <w:iCs/>
          <w:i/>
        </w:rPr>
        <w:t xml:space="preserve">Id.</w:t>
      </w:r>
      <w:r>
        <w:rPr>
          <w:rStyle w:val="Elision"/>
        </w:rPr>
        <w:t xml:space="preserve">[ … ]</w:t>
      </w:r>
      <w:r>
        <w:t xml:space="preserve">. A rule like the New Jersey Supreme Court’s would permit every State to assert jurisdiction in a products-liability suit against any domestic manufacturer who sells its products (made anywhere in the United States) to a national distributor, no matter how large or small the manufacturer, no matter how distant the forum, and no matter how few the number of items that end up in the particular forum at issue. What might appear fair in the case of a large manufacturer which specifically seeks, or expects, an equal-sized distributor to sell its product in a distant State might seem unfair in the case of a small manufacturer (say, an Appalachian potter) who sells his product (cups and saucers) exclusively to a large distributor, who resells a single item (a coffee mug) to a buyer from a distant</w:t>
      </w:r>
    </w:p>
    <w:p>
      <w:pPr>
        <w:pStyle w:val="CaseBody"/>
      </w:pPr>
      <w:r>
        <w:rPr>
          <w:rStyle w:val="Elision"/>
        </w:rPr>
        <w:t xml:space="preserve">[ … ]</w:t>
      </w:r>
    </w:p>
    <w:p>
      <w:pPr>
        <w:pStyle w:val="CaseBody"/>
      </w:pPr>
      <w:r>
        <w:t xml:space="preserve">State (Hawaii). I know too little about the range of these or in-between possibilities to abandon in favor of the more absolute rule what has previously been this Court’s less absolute approach.</w:t>
      </w:r>
    </w:p>
    <w:p>
      <w:pPr>
        <w:pStyle w:val="CaseBody"/>
      </w:pPr>
      <w:r>
        <w:t xml:space="preserve">Further, the fact that the defendant is a foreign, rather than a domestic, manufacturer makes the basic fairness of an absolute rule yet more uncertain. I am again less certain than is the New Jersey Supreme Court that the nature of international commerce has changed so significantly as to require a new approach to personal jurisdiction.</w:t>
      </w:r>
    </w:p>
    <w:p>
      <w:pPr>
        <w:pStyle w:val="CaseBody"/>
      </w:pPr>
      <w:r>
        <w:t xml:space="preserve">It may be that a larger firm can readily “alleviate the risk of burdensome litigation by procuring insurance, passing the expected costs on to customers, or, if the risks are too great, severing its connection with the State.”</w:t>
      </w:r>
      <w:r>
        <w:t xml:space="preserve"> </w:t>
      </w:r>
      <w:r>
        <w:rPr>
          <w:iCs/>
          <w:i/>
        </w:rPr>
        <w:t xml:space="preserve">World-Wide Volkswagen</w:t>
      </w:r>
      <w:r>
        <w:rPr>
          <w:rStyle w:val="Elision"/>
        </w:rPr>
        <w:t xml:space="preserve">[ … ]</w:t>
      </w:r>
      <w:r>
        <w:t xml:space="preserve">. But manufacturers come in many shapes and sizes. It may be fundamentally unfair to require a small Egyptian shirtmaker, a Brazilian manufacturing cooperative, or a Kenyan coffee farmer, selling its products through international distributors, to respond to products-liability tort suits in virtually every State in the United States, even those in respect to which the foreign firm has no connection at all but the sale of a single (allegedly defective) good. And a rule like the New Jersey Supreme Court suggests would require every product manufacturer, large or small, selling to American distributors to understand not only the tort law of every State, but also the wide variance in the way courts within different States apply that law.</w:t>
      </w:r>
      <w:r>
        <w:t xml:space="preserve"> </w:t>
      </w:r>
      <w:r>
        <w:rPr>
          <w:rStyle w:val="Elision"/>
        </w:rPr>
        <w:t xml:space="preserve">[ … ]</w:t>
      </w:r>
    </w:p>
    <w:p>
      <w:pPr>
        <w:pStyle w:val="CaseBody"/>
      </w:pPr>
      <w:r>
        <w:t xml:space="preserve">C</w:t>
      </w:r>
    </w:p>
    <w:p>
      <w:pPr>
        <w:pStyle w:val="CaseBody"/>
      </w:pPr>
      <w:r>
        <w:t xml:space="preserve">At a minimum, I would not work such a change to the law in the way either the plurality or the New Jersey Supreme Court suggests without a better understanding of the relevant</w:t>
      </w:r>
    </w:p>
    <w:p>
      <w:pPr>
        <w:pStyle w:val="CaseBody"/>
      </w:pPr>
      <w:r>
        <w:rPr>
          <w:rStyle w:val="Elision"/>
        </w:rPr>
        <w:t xml:space="preserve">[ … ]</w:t>
      </w:r>
    </w:p>
    <w:p>
      <w:pPr>
        <w:pStyle w:val="CaseBody"/>
      </w:pPr>
      <w:r>
        <w:t xml:space="preserve">contemporary commercial circumstances.</w:t>
      </w:r>
      <w:r>
        <w:rPr>
          <w:rStyle w:val="Elision"/>
        </w:rPr>
        <w:t xml:space="preserve">[ … ]</w:t>
      </w:r>
    </w:p>
    <w:p>
      <w:pPr>
        <w:pStyle w:val="CaseBody"/>
      </w:pPr>
      <w:r>
        <w:t xml:space="preserve">I again reiterate that I would adhere strictly to our precedents and the limited facts found by the New Jersey Supreme Court. And on those grounds, I do not think we can find jurisdiction in this case. Accordingly, though I agree with the plurality as to the outcome of this case, I concur only in the judgment of that opinion and not its reasoning.</w:t>
      </w:r>
    </w:p>
    <w:p>
      <w:pPr>
        <w:pStyle w:val="CaseBody"/>
      </w:pPr>
      <w:r>
        <w:t xml:space="preserve">Justice Ginsburg,</w:t>
      </w:r>
    </w:p>
    <w:p>
      <w:pPr>
        <w:pStyle w:val="CaseBody"/>
      </w:pPr>
      <w:r>
        <w:t xml:space="preserve">with whom Justice Sotomayor and Justice Kagan join, dissenting.</w:t>
      </w:r>
      <w:r>
        <w:rPr>
          <w:rStyle w:val="FootnoteReference"/>
        </w:rPr>
        <w:footnoteReference w:customMarkFollows="1" w:id="69"/>
        <w:t xml:space="preserve">**</w:t>
      </w:r>
    </w:p>
    <w:p>
      <w:pPr>
        <w:pStyle w:val="CaseBody"/>
      </w:pPr>
      <w:r>
        <w:t xml:space="preserve">A foreign industrialist seeks to develop a market in the United States for machines it manufactures. It hopes to derive substantial revenue from sales it makes to United States purchasers. Where in the United States buyers reside does not matter to this manufacturer. Its goal is simply to sell as much as it can, wherever it can. It excludes no region or State from the market it wishes to reach. But, all things considered, it prefers to avoid products liability litigation in the United States. To that end, it engages a U. S. distributor to ship its machines stateside. Has it succeeded in escaping personal jurisdiction in a State where one of its products is sold and causes injury or even death to a local user?</w:t>
      </w:r>
    </w:p>
    <w:p>
      <w:pPr>
        <w:pStyle w:val="CaseBody"/>
      </w:pPr>
      <w:r>
        <w:t xml:space="preserve">Under this Court’s pathmarking precedent in</w:t>
      </w:r>
      <w:r>
        <w:t xml:space="preserve">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 and subsequent decisions, one would expect the answer to be unequivocally, “No.” But instead, six Justices of this Court, in divergent opinions, tell us that the manufacturer has avoided the jurisdiction of our state courts, except perhaps in States where its products are sold in sizeable quantities. Inconceivable</w:t>
      </w:r>
    </w:p>
    <w:p>
      <w:pPr>
        <w:pStyle w:val="CaseBody"/>
      </w:pPr>
      <w:r>
        <w:rPr>
          <w:rStyle w:val="Elision"/>
        </w:rPr>
        <w:t xml:space="preserve">[ … ]</w:t>
      </w:r>
    </w:p>
    <w:p>
      <w:pPr>
        <w:pStyle w:val="CaseBody"/>
      </w:pPr>
      <w:r>
        <w:t xml:space="preserve">as it may have seemed yesterday, the splintered majority today “turn[sj the clock back to the days before modern long-arm statutes when a manufacturer, to avoid being haled into court where a user is injured, need only Pilate-like wash its hands of a product by having independent distributors market it.”</w:t>
      </w:r>
      <w:r>
        <w:t xml:space="preserve"> </w:t>
      </w:r>
      <w:r>
        <w:rPr>
          <w:rStyle w:val="Elision"/>
        </w:rPr>
        <w:t xml:space="preserve">[ … ]</w:t>
      </w:r>
    </w:p>
    <w:p>
      <w:pPr>
        <w:pStyle w:val="CaseBody"/>
      </w:pPr>
      <w:r>
        <w:t xml:space="preserve">I</w:t>
      </w:r>
    </w:p>
    <w:p>
      <w:pPr>
        <w:pStyle w:val="CaseBody"/>
      </w:pPr>
      <w:r>
        <w:rPr>
          <w:rStyle w:val="Elision"/>
        </w:rPr>
        <w:t xml:space="preserve">[ … ]</w:t>
      </w:r>
    </w:p>
    <w:p>
      <w:pPr>
        <w:pStyle w:val="CaseBody"/>
      </w:pPr>
      <w:r>
        <w:t xml:space="preserve">The machine that injured Nicastro, a “McIntyre Model 640 Shear,” sold in the United States for $24,900 in 1995</w:t>
      </w:r>
      <w:r>
        <w:rPr>
          <w:rStyle w:val="Elision"/>
        </w:rPr>
        <w:t xml:space="preserve">[ … ]</w:t>
      </w:r>
      <w:r>
        <w:t xml:space="preserve">, and features a “massive cutting capacity,”</w:t>
      </w:r>
      <w:r>
        <w:t xml:space="preserve"> </w:t>
      </w:r>
      <w:r>
        <w:rPr>
          <w:rStyle w:val="Elision"/>
        </w:rPr>
        <w:t xml:space="preserve">[ … ]</w:t>
      </w:r>
      <w:r>
        <w:t xml:space="preserve">. According to McIntyre UK’s product brochure, the machine is “use[d] throughout the [w]orld.”</w:t>
      </w:r>
      <w:r>
        <w:t xml:space="preserve"> </w:t>
      </w:r>
      <w:r>
        <w:rPr>
          <w:rStyle w:val="Elision"/>
        </w:rPr>
        <w:t xml:space="preserve">[ … ]</w:t>
      </w:r>
      <w:r>
        <w:t xml:space="preserve"> </w:t>
      </w:r>
      <w:r>
        <w:t xml:space="preserve"> </w:t>
      </w:r>
      <w:r>
        <w:t xml:space="preserve">McIntyre UK represented in the brochure that, by “incorporat[ing] off-the-shelf hydraulic parts from suppliers with international sales outlets,” the 640 Shear’s design guarantees serviceability “wherever [its customers] may be based.”</w:t>
      </w:r>
      <w:r>
        <w:t xml:space="preserve"> </w:t>
      </w:r>
      <w:r>
        <w:rPr>
          <w:rStyle w:val="ReplacementText"/>
          <w:iCs/>
          <w:i/>
        </w:rPr>
        <w:t xml:space="preserve">The</w:t>
      </w:r>
    </w:p>
    <w:p>
      <w:pPr>
        <w:pStyle w:val="CaseBody"/>
      </w:pPr>
      <w:r>
        <w:t xml:space="preserve">instruction manual advises “owner[s] and operators of a 640 Shear [to] make themselves aware of [applicable health and safety regulations],” including “the American National Standards Institute Regulations (USA) for the use of Scrap Metal Processing Equipment.”</w:t>
      </w:r>
      <w:r>
        <w:t xml:space="preserve"> </w:t>
      </w:r>
      <w:r>
        <w:rPr>
          <w:rStyle w:val="Elision"/>
        </w:rPr>
        <w:t xml:space="preserve">[ … ]</w:t>
      </w:r>
    </w:p>
    <w:p>
      <w:pPr>
        <w:pStyle w:val="CaseBody"/>
      </w:pPr>
      <w:r>
        <w:t xml:space="preserve">Nicastro operated the 640 Shear in the course of his employment at Cur-do Scrap Metal (CSM) in Saddle Brook, New Jersey.</w:t>
      </w:r>
      <w:r>
        <w:t xml:space="preserve"> </w:t>
      </w:r>
      <w:r>
        <w:rPr>
          <w:rStyle w:val="Elision"/>
        </w:rPr>
        <w:t xml:space="preserve">[ … ]</w:t>
      </w:r>
      <w:r>
        <w:t xml:space="preserve"> </w:t>
      </w:r>
      <w:r>
        <w:t xml:space="preserve">43a. “New Jersey has long been a hotbed of scrap-metal businesses . . . .” Drake, The Scrap-Heap Rollup Hits New Jersey, Business News New Jersey, June 1, 1998, p. 1. In 2008, New Jersey recycling facilities processed 2,013,730 tons of scrap iron, steel, aluminum, and other metals—more than any other State—outpacing Kentucky, its nearest competitor, by nearly 30 percent. Van Haaren, Themelis, &amp; Goldstein, The State of Garbage in America, 51 BioCycle, No. 10, pp. 16, 19 (Oct. 2010).</w:t>
      </w:r>
    </w:p>
    <w:p>
      <w:pPr>
        <w:pStyle w:val="CaseBody"/>
      </w:pPr>
      <w:r>
        <w:t xml:space="preserve">CSM’s owner, Frank Curcio, “first heard of [McIntyre UK’s] machine while attending an Institute of Scrap [Recycling] Industries [(ISRI)] convention in Las Vegas in 1994 or 1995, where [McIntyre UK] was an exhibitor.”</w:t>
      </w:r>
      <w:r>
        <w:t xml:space="preserve"> </w:t>
      </w:r>
      <w:r>
        <w:rPr>
          <w:rStyle w:val="Elision"/>
        </w:rPr>
        <w:t xml:space="preserve">[ … ]</w:t>
      </w:r>
      <w:r>
        <w:t xml:space="preserve"> </w:t>
      </w:r>
      <w:r>
        <w:t xml:space="preserve">ISRI “presents the world’s largest scrap recycling industry trade show each year.”</w:t>
      </w:r>
      <w:r>
        <w:t xml:space="preserve"> </w:t>
      </w:r>
      <w:r>
        <w:rPr>
          <w:rStyle w:val="Elision"/>
        </w:rPr>
        <w:t xml:space="preserve">[ … ]</w:t>
      </w:r>
    </w:p>
    <w:p>
      <w:pPr>
        <w:pStyle w:val="CaseBody"/>
      </w:pPr>
      <w:r>
        <w:rPr>
          <w:rStyle w:val="Elision"/>
        </w:rPr>
        <w:t xml:space="preserve">[ … ]</w:t>
      </w:r>
      <w:r>
        <w:t xml:space="preserve"> </w:t>
      </w:r>
      <w:r>
        <w:t xml:space="preserve">McIntyre UK exhibited its products at ISRI trade shows, the company acknowledged, hoping to reach “anyone interested in the machine from anywhere in the United States.”</w:t>
      </w:r>
      <w:r>
        <w:t xml:space="preserve"> </w:t>
      </w:r>
      <w:r>
        <w:rPr>
          <w:rStyle w:val="Elision"/>
        </w:rPr>
        <w:t xml:space="preserve">[ … ]</w:t>
      </w:r>
    </w:p>
    <w:p>
      <w:pPr>
        <w:pStyle w:val="CaseBody"/>
      </w:pPr>
      <w:r>
        <w:t xml:space="preserve">Although McIntyre UK’s U. S. sales figures are not in the record, it appears that for several years in the 1990’s, earnings from sales of McIntyre UK products in the United States “ha[d] been good” in comparison to “the rest of the world.”</w:t>
      </w:r>
      <w:r>
        <w:t xml:space="preserve"> </w:t>
      </w:r>
      <w:r>
        <w:rPr>
          <w:rStyle w:val="Elision"/>
        </w:rPr>
        <w:t xml:space="preserve">[ … ]</w:t>
      </w:r>
      <w:r>
        <w:t xml:space="preserve"> </w:t>
      </w:r>
      <w:r>
        <w:t xml:space="preserve">(Letter from Sally Johnson, McIntyre UK’s Managing Director, to Gary and Mary Gaither, officers of McIntyre UK’s exclusive distributor in the United States (Jan. 13, 1999)). In response to interrogatories, McIntyre UK stated that its commissioning engineer had installed the company’s equipment in several States—Illinois, Iowa, Kentucky, Virginia, and Washington.</w:t>
      </w:r>
      <w:r>
        <w:t xml:space="preserve"> </w:t>
      </w:r>
      <w:r>
        <w:rPr>
          <w:rStyle w:val="Elision"/>
        </w:rPr>
        <w:t xml:space="preserve">[ … ]</w:t>
      </w:r>
    </w:p>
    <w:p>
      <w:pPr>
        <w:pStyle w:val="CaseBody"/>
      </w:pPr>
      <w:r>
        <w:t xml:space="preserve">From at least 1995 until 2001, McIntyre UK retained an Ohio-based company, McIntyre Machinery America, Ltd. (McIntyre America), “as its exclusive distributor for the entire United States.”</w:t>
      </w:r>
      <w:r>
        <w:t xml:space="preserve"> </w:t>
      </w:r>
      <w:r>
        <w:rPr>
          <w:rStyle w:val="Elision"/>
        </w:rPr>
        <w:t xml:space="preserve">[ … ]</w:t>
      </w:r>
      <w:r>
        <w:t xml:space="preserve"> </w:t>
      </w:r>
      <w:r>
        <w:t xml:space="preserve">Though similarly named, the two companies were separate and independent entities with “no commonality</w:t>
      </w:r>
    </w:p>
    <w:p>
      <w:pPr>
        <w:pStyle w:val="CaseBody"/>
      </w:pPr>
      <w:r>
        <w:rPr>
          <w:rStyle w:val="Elision"/>
        </w:rPr>
        <w:t xml:space="preserve">[ … ]</w:t>
      </w:r>
    </w:p>
    <w:p>
      <w:pPr>
        <w:pStyle w:val="CaseBody"/>
      </w:pPr>
      <w:r>
        <w:t xml:space="preserve">of ownership or management.”</w:t>
      </w:r>
      <w:r>
        <w:t xml:space="preserve"> </w:t>
      </w:r>
      <w:r>
        <w:rPr>
          <w:rStyle w:val="Elision"/>
        </w:rPr>
        <w:t xml:space="preserve">[ … ]</w:t>
      </w:r>
      <w:r>
        <w:t xml:space="preserve"> </w:t>
      </w:r>
      <w:r>
        <w:t xml:space="preserve">In invoices and other written communications, McIntyre America described itself as McIntyre UK’s national distributor, “America’s Link” to “Quality Metal Processing Equipment” from England.</w:t>
      </w:r>
      <w:r>
        <w:t xml:space="preserve"> </w:t>
      </w:r>
      <w:r>
        <w:rPr>
          <w:rStyle w:val="Elision"/>
        </w:rPr>
        <w:t xml:space="preserve">[ … ]</w:t>
      </w:r>
    </w:p>
    <w:p>
      <w:pPr>
        <w:pStyle w:val="CaseBody"/>
      </w:pPr>
      <w:r>
        <w:t xml:space="preserve">In a November 23, 1999 letter to McIntyre America, McIntyre UK’s president spoke plainly about the manufacturer’s objective in authorizing the exclusive distributorship: “All we wish to do is sell our products in the [United] States—and get paid!”</w:t>
      </w:r>
      <w:r>
        <w:t xml:space="preserve"> </w:t>
      </w:r>
      <w:r>
        <w:rPr>
          <w:rStyle w:val="Elision"/>
        </w:rPr>
        <w:t xml:space="preserve">[ … ]</w:t>
      </w:r>
      <w:r>
        <w:t xml:space="preserve"> </w:t>
      </w:r>
      <w:r>
        <w:t xml:space="preserve">Notably, McIntyre America was concerned about U. S. litigation involving McIntyre UK products, in which the distributor had been named as a defendant. McIntyre UK counseled McIntyre America to respond personally to the litigation, but reassured its distributor that “the product was built and designed by McIntyre Machinery in the UK and the buck stops here—if there’s something wrong with the machine.”</w:t>
      </w:r>
      <w:r>
        <w:t xml:space="preserve"> </w:t>
      </w:r>
      <w:r>
        <w:rPr>
          <w:rStyle w:val="Elision"/>
        </w:rPr>
        <w:t xml:space="preserve">[ … ]</w:t>
      </w:r>
      <w:r>
        <w:t xml:space="preserve"> </w:t>
      </w:r>
      <w:r>
        <w:t xml:space="preserve">Answering jurisdictional interrogatories, McIntyre UK stated that it had been named as a defendant in lawsuits in Illinois, Kentucky, Massachusetts, and West Virginia.</w:t>
      </w:r>
      <w:r>
        <w:t xml:space="preserve"> </w:t>
      </w:r>
      <w:r>
        <w:rPr>
          <w:rStyle w:val="Elision"/>
        </w:rPr>
        <w:t xml:space="preserve">[ … ]</w:t>
      </w:r>
      <w:r>
        <w:t xml:space="preserve"> </w:t>
      </w:r>
      <w:r>
        <w:t xml:space="preserve">And in correspondence with McIntyre America, McIntyre UK noted that the manufacturer had products liability insurance coverage.</w:t>
      </w:r>
      <w:r>
        <w:t xml:space="preserve"> </w:t>
      </w:r>
      <w:r>
        <w:rPr>
          <w:iCs/>
          <w:i/>
        </w:rPr>
        <w:t xml:space="preserve">I</w:t>
      </w:r>
      <w:r>
        <w:rPr>
          <w:rStyle w:val="Elision"/>
        </w:rPr>
        <w:t xml:space="preserve">[ … ]</w:t>
      </w:r>
    </w:p>
    <w:p>
      <w:pPr>
        <w:pStyle w:val="CaseBody"/>
      </w:pPr>
      <w:r>
        <w:rPr>
          <w:rStyle w:val="Elision"/>
        </w:rPr>
        <w:t xml:space="preserve">[ … ]</w:t>
      </w:r>
      <w:r>
        <w:t xml:space="preserve"> </w:t>
      </w:r>
      <w:r>
        <w:t xml:space="preserve">In promoting McIntyre UK’s products at conventions and demonstration sites and in trade journal advertisements, McIntyre America looked to McIntyre UK for direction and guidance.</w:t>
      </w:r>
      <w:r>
        <w:t xml:space="preserve"> </w:t>
      </w:r>
      <w:r>
        <w:rPr>
          <w:rStyle w:val="Elision"/>
        </w:rPr>
        <w:t xml:space="preserve">[ … ]</w:t>
      </w:r>
      <w:r>
        <w:t xml:space="preserve"> </w:t>
      </w:r>
      <w:r>
        <w:t xml:space="preserve"> </w:t>
      </w:r>
      <w:r>
        <w:t xml:space="preserve">To achieve McIntyre UK’s objective,</w:t>
      </w:r>
      <w:r>
        <w:t xml:space="preserve"> </w:t>
      </w:r>
      <w:r>
        <w:rPr>
          <w:iCs/>
          <w:i/>
        </w:rPr>
        <w:t xml:space="preserve">i.e.,</w:t>
      </w:r>
      <w:r>
        <w:t xml:space="preserve"> </w:t>
      </w:r>
      <w:r>
        <w:t xml:space="preserve">“to sell [its] machines to customers throughout the United States,”</w:t>
      </w:r>
      <w:r>
        <w:t xml:space="preserve"> </w:t>
      </w:r>
      <w:r>
        <w:rPr>
          <w:rStyle w:val="Elision"/>
        </w:rPr>
        <w:t xml:space="preserve">[ … ]</w:t>
      </w:r>
      <w:r>
        <w:t xml:space="preserve"> </w:t>
      </w:r>
      <w:r>
        <w:t xml:space="preserve">“the two companies were acting closely in concert with each other,”</w:t>
      </w:r>
      <w:r>
        <w:t xml:space="preserve"> </w:t>
      </w:r>
      <w:r>
        <w:rPr>
          <w:rStyle w:val="Elision"/>
        </w:rPr>
        <w:t xml:space="preserve">[ … ]</w:t>
      </w:r>
      <w:r>
        <w:rPr>
          <w:iCs/>
          <w:i/>
        </w:rPr>
        <w:t xml:space="preserve">-</w:t>
      </w:r>
      <w:r>
        <w:t xml:space="preserve"> </w:t>
      </w:r>
      <w:r>
        <w:t xml:space="preserve">McIntyre UK never instructed its distributor to avoid certain States or regions of the country; rather, as just</w:t>
      </w:r>
    </w:p>
    <w:p>
      <w:pPr>
        <w:pStyle w:val="CaseBody"/>
      </w:pPr>
      <w:r>
        <w:rPr>
          <w:rStyle w:val="Elision"/>
        </w:rPr>
        <w:t xml:space="preserve">[ … ]</w:t>
      </w:r>
    </w:p>
    <w:p>
      <w:pPr>
        <w:pStyle w:val="CaseBody"/>
      </w:pPr>
      <w:r>
        <w:t xml:space="preserve">noted, the manufacturer engaged McIntyre America to attract customers “from anywhere in the United States.”</w:t>
      </w:r>
      <w:r>
        <w:t xml:space="preserve"> </w:t>
      </w:r>
      <w:r>
        <w:rPr>
          <w:rStyle w:val="Elision"/>
        </w:rPr>
        <w:t xml:space="preserve">[ … ]</w:t>
      </w:r>
    </w:p>
    <w:p>
      <w:pPr>
        <w:pStyle w:val="CaseBody"/>
      </w:pPr>
      <w:r>
        <w:t xml:space="preserve">In sum, McIntyre UK’s regular attendance and exhibitions at ISRI conventions was surely a purposeful step to reach customers for its products “anywhere in the United States.”</w:t>
      </w:r>
      <w:r>
        <w:t xml:space="preserve"> </w:t>
      </w:r>
      <w:r>
        <w:rPr>
          <w:rStyle w:val="Elision"/>
        </w:rPr>
        <w:t xml:space="preserve">[ … ]</w:t>
      </w:r>
      <w:r>
        <w:t xml:space="preserve">Given McIntyre UK’s endeavors to reach and profit from the United States market as a whole, Nicastro’s suit, I would hold, has been brought in a forum entirely appropriate for the adjudication of his claim. He alleges that McIntyre UK’s shear machine was defectively designed or manufactured and, as a result, caused injury to him at his workplace. The machine arrived in Nicastro’s New Jersey workplace not randomly or fortuitously, but as a result of the U. S. connections and distribution system that McIntyre UK deliberately arranged.</w:t>
      </w:r>
      <w:hyperlink w:anchor="X57cf5a278a333dd80c1640b87063dfc94b46e32">
        <w:r>
          <w:rPr>
            <w:rStyle w:val="Elision"/>
          </w:rPr>
          <w:t xml:space="preserve">[ … ]</w:t>
        </w:r>
      </w:hyperlink>
      <w:r>
        <w:t xml:space="preserve"> </w:t>
      </w:r>
      <w:r>
        <w:t xml:space="preserve">On what sensible view of the allocation of adjudicatory authority could the place of Nicastro’s injury within the United States be deemed off limits for his products liability claim against a foreign manufacturer who targeted the United States (including all the States that constitute the Nation) as the territory it sought to develop?</w:t>
      </w:r>
    </w:p>
    <w:p>
      <w:pPr>
        <w:pStyle w:val="CaseBody"/>
      </w:pPr>
      <w:r>
        <w:rPr>
          <w:rStyle w:val="Elision"/>
        </w:rPr>
        <w:t xml:space="preserve">[ … ]</w:t>
      </w:r>
    </w:p>
    <w:p>
      <w:pPr>
        <w:pStyle w:val="CaseBody"/>
      </w:pPr>
      <w:r>
        <w:t xml:space="preserve">II</w:t>
      </w:r>
    </w:p>
    <w:p>
      <w:pPr>
        <w:pStyle w:val="CaseBody"/>
      </w:pPr>
      <w:r>
        <w:rPr>
          <w:rStyle w:val="Elision"/>
        </w:rPr>
        <w:t xml:space="preserve">[ … ]</w:t>
      </w:r>
      <w:r>
        <w:t xml:space="preserve"> </w:t>
      </w:r>
      <w:r>
        <w:t xml:space="preserve">The question, rather, is one of specific jurisdiction, which turns on an “affiliatio[n] between the forum and the underlying controversy.”</w:t>
      </w:r>
      <w:r>
        <w:t xml:space="preserve"> </w:t>
      </w:r>
      <w:r>
        <w:rPr>
          <w:rStyle w:val="Elision"/>
        </w:rPr>
        <w:t xml:space="preserve">[ … ]</w:t>
      </w:r>
    </w:p>
    <w:p>
      <w:pPr>
        <w:pStyle w:val="CaseBody"/>
      </w:pPr>
      <w:r>
        <w:rPr>
          <w:rStyle w:val="ReplacementText"/>
        </w:rPr>
        <w:t xml:space="preserve">[No]</w:t>
      </w:r>
      <w:r>
        <w:t xml:space="preserve"> </w:t>
      </w:r>
      <w:r>
        <w:t xml:space="preserve">issue of the fair and reasonable allocation of adjudicatory authority among States of the United States is present in this case. New Jersey’s exercise of personal jurisdiction over a foreign manufacturer whose dangerous product caused a workplace injury in New Jersey does not tread on the domain, or diminish the sovereignty, of any other State. Indeed, among States of the United States, the State in which the injury occurred would seem most suitable for litigation of a products liability tort claim. See</w:t>
      </w:r>
      <w:r>
        <w:t xml:space="preserve"> </w:t>
      </w:r>
      <w:r>
        <w:rPr>
          <w:iCs/>
          <w:i/>
        </w:rPr>
        <w:t xml:space="preserve">World-Wide Volkswagen Corp.</w:t>
      </w:r>
      <w:r>
        <w:t xml:space="preserve"> </w:t>
      </w:r>
      <w:r>
        <w:t xml:space="preserve">v.</w:t>
      </w:r>
      <w:r>
        <w:t xml:space="preserve"> </w:t>
      </w:r>
      <w:r>
        <w:rPr>
          <w:iCs/>
          <w:i/>
        </w:rPr>
        <w:t xml:space="preserve">Woodson</w:t>
      </w:r>
      <w:r>
        <w:rPr>
          <w:rStyle w:val="Elision"/>
        </w:rPr>
        <w:t xml:space="preserve">[ … ]</w:t>
      </w:r>
      <w:r>
        <w:rPr>
          <w:rStyle w:val="Elision"/>
        </w:rPr>
        <w:t xml:space="preserve">[ … ]</w:t>
      </w:r>
    </w:p>
    <w:p>
      <w:pPr>
        <w:pStyle w:val="CaseBody"/>
      </w:pPr>
      <w:r>
        <w:rPr>
          <w:rStyle w:val="ReplacementText"/>
        </w:rPr>
        <w:t xml:space="preserve">[T]he</w:t>
      </w:r>
      <w:r>
        <w:t xml:space="preserve"> </w:t>
      </w:r>
      <w:r>
        <w:t xml:space="preserve">constitutional limits on a state court’s adjudicatory authority derive from considerations of due process, not state sovereignty.</w:t>
      </w:r>
      <w:r>
        <w:t xml:space="preserve"> </w:t>
      </w:r>
      <w:r>
        <w:rPr>
          <w:rStyle w:val="Elision"/>
        </w:rPr>
        <w:t xml:space="preserve">[ … ]</w:t>
      </w:r>
    </w:p>
    <w:p>
      <w:pPr>
        <w:pStyle w:val="CaseBody"/>
      </w:pPr>
      <w:r>
        <w:t xml:space="preserve">Finally, in</w:t>
      </w:r>
      <w:r>
        <w:t xml:space="preserve"> </w:t>
      </w:r>
      <w:r>
        <w:rPr>
          <w:iCs/>
          <w:i/>
        </w:rPr>
        <w:t xml:space="preserve">International Shoe</w:t>
      </w:r>
      <w:r>
        <w:t xml:space="preserve"> </w:t>
      </w:r>
      <w:r>
        <w:t xml:space="preserve">itself, and decisions thereafter, the Court has made plain that legal fictions, notably “presence” and “implied consent,” should be discarded, for they conceal the actual bases on which jurisdiction rests.</w:t>
      </w:r>
      <w:r>
        <w:t xml:space="preserve"> </w:t>
      </w:r>
      <w:r>
        <w:rPr>
          <w:rStyle w:val="Elision"/>
        </w:rPr>
        <w:t xml:space="preserve">[ … ]</w:t>
      </w:r>
    </w:p>
    <w:p>
      <w:pPr>
        <w:pStyle w:val="CaseBody"/>
      </w:pPr>
      <w:r>
        <w:t xml:space="preserve">Whatever the state of academic debate over the role of consent in modern jurisdictional doctrines,</w:t>
      </w:r>
      <w:hyperlink w:anchor="X3931181b69dc960529283db1ff07ee00f917788">
        <w:r>
          <w:rPr>
            <w:rStyle w:val="Elision"/>
          </w:rPr>
          <w:t xml:space="preserve">[ … ]</w:t>
        </w:r>
      </w:hyperlink>
      <w:r>
        <w:t xml:space="preserve"> </w:t>
      </w:r>
      <w:r>
        <w:t xml:space="preserve">the plurality’s notion that consent is the animating concept draws no support from controlling decisions of this Court. Quite the contrary, the Court has explained, a forum can exercise jurisdiction when its contacts with the controversy are sufficient; invocation of a fictitious consent, the Court has repeatedly said, is unnecessary and unhelpful. See,</w:t>
      </w:r>
      <w:r>
        <w:t xml:space="preserve"> </w:t>
      </w:r>
      <w:r>
        <w:rPr>
          <w:iCs/>
          <w:i/>
        </w:rPr>
        <w:t xml:space="preserve">e.g.</w:t>
      </w:r>
      <w:r>
        <w:rPr>
          <w:rStyle w:val="Elision"/>
        </w:rPr>
        <w:t xml:space="preserve">[ … ]</w:t>
      </w:r>
      <w:r>
        <w:rPr>
          <w:iCs/>
          <w:i/>
        </w:rPr>
        <w:t xml:space="preserve">McGee</w:t>
      </w:r>
      <w:r>
        <w:t xml:space="preserve"> </w:t>
      </w:r>
      <w:r>
        <w:t xml:space="preserve">v.</w:t>
      </w:r>
      <w:r>
        <w:t xml:space="preserve"> </w:t>
      </w:r>
      <w:r>
        <w:rPr>
          <w:iCs/>
          <w:i/>
        </w:rPr>
        <w:t xml:space="preserve">International Life Ins.Co.</w:t>
      </w:r>
      <w:r>
        <w:rPr>
          <w:rStyle w:val="Elision"/>
        </w:rPr>
        <w:t xml:space="preserve">[ … ]</w:t>
      </w:r>
      <w:r>
        <w:t xml:space="preserve"> </w:t>
      </w:r>
      <w:r>
        <w:t xml:space="preserve">(“[T]his Court [has] abandoned ‘consent,’ ‘doing business,’ and ‘presence’ as the standard for measuring the extent of state judicial power over [out-of-state] corporations.”).</w:t>
      </w:r>
      <w:hyperlink w:anchor="X1f998d94e87c0f0c5067b685f015e883b8bb303">
        <w:r>
          <w:rPr>
            <w:rStyle w:val="Elision"/>
          </w:rPr>
          <w:t xml:space="preserve">[ … ]</w:t>
        </w:r>
      </w:hyperlink>
    </w:p>
    <w:p>
      <w:pPr>
        <w:pStyle w:val="CaseBody"/>
      </w:pPr>
      <w:r>
        <w:t xml:space="preserve">III</w:t>
      </w:r>
    </w:p>
    <w:p>
      <w:pPr>
        <w:pStyle w:val="CaseBody"/>
      </w:pPr>
      <w:r>
        <w:t xml:space="preserve">This case is illustrative of marketing arrangements for sales in the United States common in today’s commercial world.</w:t>
      </w:r>
      <w:hyperlink w:anchor="X99a38d12ffbe9728d6cfd51ffa0da7d3c747fea">
        <w:r>
          <w:rPr>
            <w:rStyle w:val="Elision"/>
          </w:rPr>
          <w:t xml:space="preserve">[ … ]</w:t>
        </w:r>
      </w:hyperlink>
      <w:r>
        <w:t xml:space="preserve"> </w:t>
      </w:r>
      <w:r>
        <w:t xml:space="preserve">A foreign-country manufacturer engages a U. S. company to promote and distribute the manufacturer’s products, not in any particular State, but anywhere and everywhere in the United States the distributor can attract purchasers. The product proves defective and injures a user in the State where the user lives or works. Often, as here, the manufacturer will have liability insurance covering personal injuries caused by its products.</w:t>
      </w:r>
      <w:r>
        <w:t xml:space="preserve"> </w:t>
      </w:r>
      <w:r>
        <w:rPr>
          <w:rStyle w:val="Elision"/>
        </w:rPr>
        <w:t xml:space="preserve">[ … ]</w:t>
      </w:r>
    </w:p>
    <w:p>
      <w:pPr>
        <w:pStyle w:val="CaseBody"/>
      </w:pPr>
      <w:r>
        <w:t xml:space="preserve">When industrial accidents happen, a long-arm statute in the State where the injury occurs generally permits assertion of jurisdiction, upon giving proper notice, over the foreign manufacturer.</w:t>
      </w:r>
      <w:r>
        <w:rPr>
          <w:rStyle w:val="Elision"/>
        </w:rPr>
        <w:t xml:space="preserve">[ … ]</w:t>
      </w:r>
    </w:p>
    <w:p>
      <w:pPr>
        <w:pStyle w:val="CaseBody"/>
      </w:pPr>
      <w:r>
        <w:t xml:space="preserve">The modern approach to jurisdiction over corporations and other legal entities, ushered in by</w:t>
      </w:r>
      <w:r>
        <w:t xml:space="preserve"> </w:t>
      </w:r>
      <w:r>
        <w:rPr>
          <w:iCs/>
          <w:i/>
        </w:rPr>
        <w:t xml:space="preserve">International Shoe,</w:t>
      </w:r>
      <w:r>
        <w:t xml:space="preserve"> </w:t>
      </w:r>
      <w:r>
        <w:t xml:space="preserve">gave prime place to reason and fairness. Is it not fair and reasonable, given the mode of trading of which this case is an example, to require the international seller to defend at the place its products cause injury?</w:t>
      </w:r>
      <w:hyperlink w:anchor="Xab638e50fbce2dfd4a66697c361694981b84509">
        <w:r>
          <w:rPr>
            <w:rStyle w:val="Elision"/>
          </w:rPr>
          <w:t xml:space="preserve">[ … ]</w:t>
        </w:r>
      </w:hyperlink>
      <w:r>
        <w:t xml:space="preserve"> </w:t>
      </w:r>
      <w:r>
        <w:t xml:space="preserve">Do not litigational convenience</w:t>
      </w:r>
      <w:r>
        <w:rPr>
          <w:rStyle w:val="FootnoteReference"/>
        </w:rPr>
        <w:footnoteReference w:customMarkFollows="1" w:id="167"/>
        <w:t xml:space="preserve">1</w:t>
      </w:r>
      <w:r>
        <w:t xml:space="preserve"> </w:t>
      </w:r>
      <w:r>
        <w:t xml:space="preserve">and choice-of-law considerations</w:t>
      </w:r>
      <w:hyperlink w:anchor="X2bd0a4830642a6bd33fed693fec8c8fdbe7d1c6">
        <w:r>
          <w:rPr>
            <w:rStyle w:val="Elision"/>
          </w:rPr>
          <w:t xml:space="preserve">[ … ]</w:t>
        </w:r>
      </w:hyperlink>
      <w:r>
        <w:t xml:space="preserve"> </w:t>
      </w:r>
      <w:r>
        <w:t xml:space="preserve">point in that direction?</w:t>
      </w:r>
    </w:p>
    <w:p>
      <w:pPr>
        <w:pStyle w:val="CaseBody"/>
      </w:pPr>
      <w:r>
        <w:rPr>
          <w:rStyle w:val="Elision"/>
        </w:rPr>
        <w:t xml:space="preserve">[ … ]</w:t>
      </w:r>
    </w:p>
    <w:p>
      <w:pPr>
        <w:pStyle w:val="CaseBody"/>
      </w:pPr>
      <w:r>
        <w:t xml:space="preserve">On what measure of reason and fairness can it be considered undue to require McIntyre UK to defend in New Jersey as an incident of its efforts to develop a market for its industrial machines anywhere and everywhere in the United States?</w:t>
      </w:r>
      <w:r>
        <w:t xml:space="preserve"> </w:t>
      </w:r>
      <w:hyperlink w:anchor="X885048f540b7954838ea846486b52b7ebc92170">
        <w:r>
          <w:rPr>
            <w:rStyle w:val="Elision"/>
          </w:rPr>
          <w:t xml:space="preserve">[ … ]</w:t>
        </w:r>
      </w:hyperlink>
      <w:r>
        <w:t xml:space="preserve"> </w:t>
      </w:r>
      <w:r>
        <w:t xml:space="preserve">Is not the burden on McIntyre UK to defend in New Jersey fair,</w:t>
      </w:r>
      <w:r>
        <w:t xml:space="preserve"> </w:t>
      </w:r>
      <w:r>
        <w:rPr>
          <w:iCs/>
          <w:i/>
        </w:rPr>
        <w:t xml:space="preserve">i.e.,</w:t>
      </w:r>
      <w:r>
        <w:t xml:space="preserve"> </w:t>
      </w:r>
      <w:r>
        <w:t xml:space="preserve">a reasonable cost of transacting business internationally, in comparison to the burden on Nicastro to go to Nottingham, England, to gain recompense for an injury he sustained using McIntyre’s product at his workplace in Saddle Brook, New Jersey?</w:t>
      </w:r>
    </w:p>
    <w:p>
      <w:pPr>
        <w:pStyle w:val="CaseBody"/>
      </w:pPr>
      <w:r>
        <w:t xml:space="preserve">McIntyre UK dealt with the United States as a single market. Like most foreign manufacturers, it was concerned not with the prospect of suit in State X as opposed to State Y, but rather with its subjection to suit anywhere in the United States.</w:t>
      </w:r>
      <w:r>
        <w:t xml:space="preserve"> </w:t>
      </w:r>
      <w:r>
        <w:rPr>
          <w:rStyle w:val="Elision"/>
        </w:rPr>
        <w:t xml:space="preserve">[ … ]</w:t>
      </w:r>
      <w:r>
        <w:t xml:space="preserve"> </w:t>
      </w:r>
      <w:r>
        <w:t xml:space="preserve">As a McIntyre UK officer wrote in an e-mail to McIntyre America: “American law—who needs it?!”</w:t>
      </w:r>
      <w:r>
        <w:t xml:space="preserve"> </w:t>
      </w:r>
      <w:r>
        <w:rPr>
          <w:rStyle w:val="Elision"/>
        </w:rPr>
        <w:t xml:space="preserve">[ … ]</w:t>
      </w:r>
      <w:r>
        <w:t xml:space="preserve">. If McIntyre UK is answerable in the United States at all, is it not “perfectly appropriate to permit the exercise of that jurisdiction ... at the place of injury”?</w:t>
      </w:r>
      <w:r>
        <w:t xml:space="preserve"> </w:t>
      </w:r>
      <w:r>
        <w:rPr>
          <w:rStyle w:val="Elision"/>
        </w:rPr>
        <w:t xml:space="preserve">[ … ]</w:t>
      </w:r>
    </w:p>
    <w:p>
      <w:pPr>
        <w:pStyle w:val="CaseBody"/>
      </w:pPr>
      <w:r>
        <w:t xml:space="preserve">In sum, McIntyre UK, by engaging McIntyre America to promote and sell its machines in the United States, “purposefully availed itself’ of the United States market nationwide, not a market in a single State or a discrete collection of States. McIntyre UK thereby availed itself of the market of all States in which its products were sold by its exclusive distributor. “Th[e] ‘purposeful availment’ requirement,” this Court has explained, simply “ensures that a defendant will not be haled into a jurisdiction solely as a result of ‘random,’ ‘fortuitous,’ or ‘attenuated’ contacts.”</w:t>
      </w:r>
      <w:r>
        <w:t xml:space="preserve"> </w:t>
      </w:r>
      <w:r>
        <w:rPr>
          <w:rStyle w:val="Elision"/>
        </w:rPr>
        <w:t xml:space="preserve">[ … ]</w:t>
      </w:r>
      <w:r>
        <w:t xml:space="preserve">Adjudicatory authority is appropriately exercised where “actions by the defendant</w:t>
      </w:r>
      <w:r>
        <w:t xml:space="preserve"> </w:t>
      </w:r>
      <w:r>
        <w:rPr>
          <w:iCs/>
          <w:i/>
        </w:rPr>
        <w:t xml:space="preserve">himself’</w:t>
      </w:r>
      <w:r>
        <w:t xml:space="preserve"> </w:t>
      </w:r>
      <w:r>
        <w:t xml:space="preserve">give rise to the affiliation with the forum.</w:t>
      </w:r>
      <w:r>
        <w:t xml:space="preserve"> </w:t>
      </w:r>
      <w:r>
        <w:rPr>
          <w:iCs/>
          <w:i/>
        </w:rPr>
        <w:t xml:space="preserve">Ibid.</w:t>
      </w:r>
      <w:r>
        <w:t xml:space="preserve"> </w:t>
      </w:r>
      <w:r>
        <w:t xml:space="preserve">How could McIntyre UK not have intended, by its actions targeting a national market, to sell products in the fourth-largest destination for imports among all States of the United States and the largest scrap metal market?</w:t>
      </w:r>
      <w:r>
        <w:rPr>
          <w:rStyle w:val="Elision"/>
        </w:rPr>
        <w:t xml:space="preserve">[ … ]</w:t>
      </w:r>
    </w:p>
    <w:p>
      <w:pPr>
        <w:pStyle w:val="CaseBody"/>
      </w:pPr>
      <w:r>
        <w:t xml:space="preserve">Courts, both state and federal, confronting facts similar to those here, have rightly rejected the conclusion that a manufacturer selling its products across the USA may evade jurisdiction in any and all States, including the State where its defective product is distributed and causes injury. They have held, instead, that it would undermine principles of fundamental fairness to insulate the foreign manufacturer from accountability in court at the place within the United States where the manufacturer’s products caused injury.</w:t>
      </w:r>
      <w:r>
        <w:t xml:space="preserve"> </w:t>
      </w:r>
      <w:r>
        <w:rPr>
          <w:rStyle w:val="Elision"/>
        </w:rPr>
        <w:t xml:space="preserve">[ … ]</w:t>
      </w:r>
    </w:p>
    <w:p>
      <w:pPr>
        <w:pStyle w:val="CaseBody"/>
      </w:pPr>
      <w:r>
        <w:t xml:space="preserve">IV</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t xml:space="preserve">B</w:t>
      </w:r>
    </w:p>
    <w:p>
      <w:pPr>
        <w:pStyle w:val="CaseBody"/>
      </w:pPr>
      <w:r>
        <w:t xml:space="preserve">The Court’s judgment also puts United States plaintiffs at a disadvantage in comparison to similarly situated complainants elsewhere in the world. Of particular note, within the European Union, in which the United Kingdom is a participant, the jurisdiction New Jersey would have exercised is not at all exceptional. The European Regulation on Jurisdiction and the Recognition and Enforcement of Judgments provides for the exercise of specific jurisdiction “in matters relating to tort... in the courts for the place where the harmful event occurred.” Council Reg. 44/2001, Art. 5, 2001 O. J. (L. 12) 4.</w:t>
      </w:r>
      <w:hyperlink w:anchor="X1bfb89354e4327a931a6483ce4f86ab6f0b45c8">
        <w:r>
          <w:rPr>
            <w:rStyle w:val="Elision"/>
          </w:rPr>
          <w:t xml:space="preserve">[ … ]</w:t>
        </w:r>
      </w:hyperlink>
      <w:r>
        <w:t xml:space="preserve"> </w:t>
      </w:r>
      <w:r>
        <w:t xml:space="preserve">The European Court of Justice has interpreted this prescription to authorize jurisdiction either where the harmful act occurred or at the place of injury.</w:t>
      </w:r>
      <w:r>
        <w:t xml:space="preserve"> </w:t>
      </w:r>
      <w:r>
        <w:rPr>
          <w:rStyle w:val="Elision"/>
        </w:rPr>
        <w:t xml:space="preserve">[ … ]</w:t>
      </w:r>
    </w:p>
    <w:p>
      <w:pPr>
        <w:pStyle w:val="CaseBody"/>
      </w:pPr>
      <w:r>
        <w:rPr>
          <w:rStyle w:val="Elision"/>
        </w:rPr>
        <w:t xml:space="preserve">[ … ]</w:t>
      </w:r>
    </w:p>
    <w:p>
      <w:pPr>
        <w:pStyle w:val="CaseBody"/>
      </w:pPr>
      <w:r>
        <w:rPr>
          <w:rStyle w:val="ReplacementText"/>
        </w:rPr>
        <w:t xml:space="preserve">litigational</w:t>
      </w:r>
    </w:p>
    <w:p>
      <w:pPr>
        <w:pStyle w:val="CaseBody"/>
      </w:pPr>
      <w:r>
        <w:rPr>
          <w:rStyle w:val="Elision"/>
        </w:rPr>
        <w:t xml:space="preserve">[ … ]</w:t>
      </w:r>
    </w:p>
    <w:p>
      <w:pPr>
        <w:pStyle w:val="CaseBody"/>
      </w:pPr>
      <w:r>
        <w:rPr>
          <w:rStyle w:val="ReplacementText"/>
        </w:rPr>
        <w:t xml:space="preserve">Litigational</w:t>
      </w:r>
      <w:r>
        <w:rPr>
          <w:rStyle w:val="Elision"/>
        </w:rPr>
        <w:t xml:space="preserve">[ … ]</w:t>
      </w:r>
      <w:r>
        <w:rPr>
          <w:rStyle w:val="ReplacementText"/>
        </w:rPr>
        <w:t xml:space="preserve">[C]ourts</w:t>
      </w:r>
    </w:p>
    <w:p>
      <w:pPr>
        <w:pStyle w:val="CaseBody"/>
      </w:pPr>
      <w:r>
        <w:drawing>
          <wp:inline>
            <wp:extent cx="2695575" cy="314325"/>
            <wp:effectExtent b="0" l="0" r="0" t="0"/>
            <wp:docPr descr="" title="" id="1" name="Picture"/>
            <a:graphic>
              <a:graphicData uri="http://schemas.openxmlformats.org/drawingml/2006/picture">
                <pic:pic>
                  <pic:nvPicPr>
                    <pic:cNvPr descr="data:image/png;base64,iVBORw0KGgoAAAANSUhEUgAAARwAAAAiAQAAAACliFskAAAAmElEQVR4nO3TsQkCQRCF4f8GAwPBEjS3CQULsQR7sDBDQ1OrOObASMFnuBM8OIPjIif7hnkwu+x2YrSGGJ+Bn4eyNhwCeNS+w6Q7PZfbZouAvrQ9Atb1Pi0WsDqfWt9D0kWlDDKAYz2JhfTZlaxDBrwO+5b1kLLftLBDBgxd2cJDet+vLeyQSLrVUxvkdK+gm/8j/IfmHPoCcGrHzHcnRVQAAAAASUVORK5CYII=" id="0" name="Picture"/>
                    <pic:cNvPicPr>
                      <a:picLocks noChangeArrowheads="1" noChangeAspect="1"/>
                    </pic:cNvPicPr>
                  </pic:nvPicPr>
                  <pic:blipFill>
                    <a:blip r:embed="rId69"/>
                    <a:stretch>
                      <a:fillRect/>
                    </a:stretch>
                  </pic:blipFill>
                  <pic:spPr bwMode="auto">
                    <a:xfrm>
                      <a:off x="0" y="0"/>
                      <a:ext cx="2695575" cy="314325"/>
                    </a:xfrm>
                    <a:prstGeom prst="rect">
                      <a:avLst/>
                    </a:prstGeom>
                    <a:noFill/>
                    <a:ln w="9525">
                      <a:noFill/>
                      <a:headEnd/>
                      <a:tailEnd/>
                    </a:ln>
                  </pic:spPr>
                </pic:pic>
              </a:graphicData>
            </a:graphic>
          </wp:inline>
        </w:drawing>
      </w:r>
    </w:p>
    <w:p>
      <w:pPr>
        <w:pStyle w:val="CaseBody"/>
      </w:pPr>
      <w:r>
        <w:t xml:space="preserve">For the reasons stated, I would hold McIntyre UK answerable in New Jersey for the harm Nicastro suffered at his workplace in that State using McIntyre UK’s shearing machine. While I dissent from the Court’s judgment, I take heart that the plurality opinion does not speak for the Court, for that opinion would take a giant step away from the “notions of fair play and substantial justice” underlying</w:t>
      </w:r>
      <w:r>
        <w:t xml:space="preserve"> </w:t>
      </w:r>
      <w:r>
        <w:rPr>
          <w:iCs/>
          <w:i/>
        </w:rPr>
        <w:t xml:space="preserve">International Shoe.</w:t>
      </w:r>
      <w:r>
        <w:t xml:space="preserve"> </w:t>
      </w:r>
      <w:r>
        <w:t xml:space="preserve">326 U.S.</w:t>
      </w:r>
      <w:r>
        <w:rPr>
          <w:rStyle w:val="Elision"/>
        </w:rPr>
        <w:t xml:space="preserve">[ … ]</w:t>
      </w:r>
      <w:r>
        <w:t xml:space="preserve">.</w:t>
      </w:r>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78" w:name="_auto_toc_78"/>
    <w:bookmarkEnd w:id="78"/>
    <w:p>
      <w:pPr>
        <w:pStyle w:val="ResourceNumber"/>
      </w:pPr>
      <w:r>
        <w:t xml:space="preserve">7.8</w:t>
      </w:r>
    </w:p>
    <w:p>
      <w:pPr>
        <w:pStyle w:val="ResourceTitle"/>
      </w:pPr>
      <w:r>
        <w:t xml:space="preserve">Notes following J.McIntyre</w:t>
      </w:r>
    </w:p>
    <w:p>
      <w:pPr>
        <w:pStyle w:val="HeadEnd"/>
      </w:pPr>
      <w:r>
        <w:t xml:space="preserve"> </w:t>
      </w:r>
    </w:p>
    <w:p>
      <w:pPr>
        <w:pStyle w:val="BodyText"/>
      </w:pPr>
      <w:r>
        <w:rPr>
          <w:bCs/>
          <w:b/>
        </w:rPr>
        <w:t xml:space="preserve">1. The Narrowest Holding</w:t>
      </w:r>
      <w:r>
        <w:t xml:space="preserve">: Given that no opinion in this case has the support of a majority of Supreme Court members, lower courts view the position taken by concurring members on the narrowest grounds to be the holding of the court. Here, Justice Breyer’s concurrence seems to be the narrowest and thus the holding. Justice Breyer writes that “none of our precedents finds that a single isolated sale...is sufficient” to form contacts sufficient for specific in personam jurisdiction. Justice Breyer does note a lack of “special state-related design, advertising, advice, marketing” or anything else that indicates “something more” than the regular course of sales.</w:t>
      </w:r>
    </w:p>
    <w:p>
      <w:pPr>
        <w:pStyle w:val="BodyText"/>
      </w:pPr>
      <w:r>
        <w:rPr>
          <w:bCs/>
          <w:b/>
        </w:rPr>
        <w:t xml:space="preserve">2. Sovereignty and Personal Jurisdiction</w:t>
      </w:r>
      <w:r>
        <w:t xml:space="preserve">: Justice Kennedy’s plurality opinion focuses on sovereigns as opposed to defendants' rights. That is, he would require that a company’s activities “manifest an intention to submit to the power of a sovereign” before holding it subject to in personam jurisdiction. While one could argue that J. McIntyre did manifest an intent to submit to the United States generally, the sovereign at issue in this case is New Jersey. Additionally, federal courts sitting in diversity have personal jurisdiction only insofar as the state in which they are located has personal jurisdiction under FRCP 4(k)(1)(a). As Justice Kennedy mentioned, Congress could enact a long-arm statute for federal courts authorizing the exercise of personal jurisdiction over defendants and their contacts with the United States as a country, resolving this issue.</w:t>
      </w:r>
    </w:p>
    <w:p>
      <w:pPr>
        <w:pStyle w:val="BodyText"/>
      </w:pPr>
      <w:r>
        <w:rPr>
          <w:bCs/>
          <w:b/>
        </w:rPr>
        <w:t xml:space="preserve">3. The Legal Fictions of Implied Consent</w:t>
      </w:r>
      <w:r>
        <w:t xml:space="preserve">: Justice Kennedy’s plurality opinion states, "</w:t>
      </w:r>
      <w:r>
        <w:t xml:space="preserve">The principal inquiry in cases of this sort is whether the defendant’s activities manifest an intention to submit to the power of a sovereign.</w:t>
      </w:r>
      <w:r>
        <w:t xml:space="preserve">" The plurality further makes clear that its "intention to submit" language means "consent." Weren't these the very fictions that the </w:t>
      </w:r>
      <w:r>
        <w:rPr>
          <w:iCs/>
          <w:i/>
        </w:rPr>
        <w:t xml:space="preserve">International Shoe</w:t>
      </w:r>
      <w:r>
        <w:t xml:space="preserve"> </w:t>
      </w:r>
      <w:r>
        <w:t xml:space="preserve">majority rejected?</w:t>
      </w:r>
    </w:p>
    <w:p>
      <w:pPr>
        <w:pStyle w:val="BodyText"/>
      </w:pPr>
      <w:r>
        <w:t xml:space="preserve">The plurality also highlights the importance of “presence within a state at the time suit commences through service of process is another example” as a critical concept. Isn't this a reference the requirement of the</w:t>
      </w:r>
      <w:r>
        <w:t xml:space="preserve"> </w:t>
      </w:r>
      <w:r>
        <w:rPr>
          <w:iCs/>
          <w:i/>
        </w:rPr>
        <w:t xml:space="preserve">Pennoyer</w:t>
      </w:r>
      <w:r>
        <w:t xml:space="preserve"> </w:t>
      </w:r>
      <w:r>
        <w:t xml:space="preserve">in-state tag? While</w:t>
      </w:r>
      <w:r>
        <w:t xml:space="preserve"> </w:t>
      </w:r>
      <w:r>
        <w:rPr>
          <w:iCs/>
          <w:i/>
        </w:rPr>
        <w:t xml:space="preserve">International Shoe</w:t>
      </w:r>
      <w:r>
        <w:t xml:space="preserve"> </w:t>
      </w:r>
      <w:r>
        <w:t xml:space="preserve">seemed to move away from concepts like implied consent and the requirement of presence during service of process, Justice Kenney's pluraity opinion transparently seeks to turn back the clock, no? Why would the plurality want to turn back the clock in this way?</w:t>
      </w:r>
    </w:p>
    <w:p>
      <w:pPr>
        <w:pStyle w:val="NodeEnd"/>
      </w:pPr>
      <w:r>
        <w:t xml:space="preserve"> </w:t>
      </w:r>
    </w:p>
    <w:p>
      <w:pPr>
        <w:pStyle w:val="NodeStart"/>
      </w:pPr>
      <w:r>
        <w:t xml:space="preserve"> </w:t>
      </w:r>
    </w:p>
    <w:p>
      <w:pPr>
        <w:pStyle w:val="HeadSeparator"/>
      </w:pPr>
      <w:r>
        <w:t xml:space="preserve"> </w:t>
      </w:r>
    </w:p>
    <w:bookmarkStart w:id="79" w:name="_auto_toc_79"/>
    <w:bookmarkEnd w:id="79"/>
    <w:p>
      <w:pPr>
        <w:pStyle w:val="ResourceNumber"/>
      </w:pPr>
      <w:r>
        <w:t xml:space="preserve">7.9</w:t>
      </w:r>
    </w:p>
    <w:p>
      <w:pPr>
        <w:pStyle w:val="ResourceTitle"/>
      </w:pPr>
      <w:r>
        <w:t xml:space="preserve">Kulko v. Superior Court</w:t>
      </w:r>
    </w:p>
    <w:p>
      <w:pPr>
        <w:pStyle w:val="HeadFieldSeparator"/>
      </w:pPr>
      <w:r>
        <w:t xml:space="preserve"> </w:t>
      </w:r>
    </w:p>
    <w:p>
      <w:pPr>
        <w:pStyle w:val="ResourceHeadnote"/>
      </w:pPr>
      <w:r>
        <w:t xml:space="preserve">So far, after</w:t>
      </w:r>
      <w:r>
        <w:t xml:space="preserve"> </w:t>
      </w:r>
      <w:r>
        <w:rPr>
          <w:iCs/>
          <w:i/>
        </w:rPr>
        <w:t xml:space="preserve">International Shoe</w:t>
      </w:r>
      <w:r>
        <w:t xml:space="preserve">, we have read two contracts and two products liability cases. All of these cases, including</w:t>
      </w:r>
      <w:r>
        <w:t xml:space="preserve"> </w:t>
      </w:r>
      <w:r>
        <w:rPr>
          <w:iCs/>
          <w:i/>
        </w:rPr>
        <w:t xml:space="preserve">International Shoe</w:t>
      </w:r>
      <w:r>
        <w:t xml:space="preserve">, concerned the implications of business transactions. The next case explores how the overall doctrine of "minimum contacts" applies in cases involving family law. As noted previously, it is not clear how well doctrines developed in the commercial context fit to fact patterns featuring actors motivated by non-commercial concerns.</w:t>
      </w:r>
    </w:p>
    <w:p>
      <w:pPr>
        <w:pStyle w:val="ResourceHeadnote"/>
      </w:pPr>
      <w:r>
        <w:t xml:space="preserve">Husband and wife, both then New York domiciliaries, were married in 1959 in California during husband's three-day stopover while he was en route to overseas military duty. After the marriage, wife returned to New York, as did husband following his tour of duty and a 24-hour stopover in California. In 1961 and 1962, a son and daughter were born to them in New York, where the family resided together until March, 1972, when husband and wife separated. Wife then moved to California; the children stayed with husband in New York, and a New York court entered an order for child support reflecting the fact that both children resided with husband.</w:t>
      </w:r>
    </w:p>
    <w:p>
      <w:pPr>
        <w:pStyle w:val="ResourceHeadnote"/>
      </w:pPr>
      <w:r>
        <w:t xml:space="preserve">In December, 1973, the daughter, at her request and with her father's consent, joined her mother in California, and remained there during the school year, spending vacations with her father. Wife, without appellant's consent, arranged for the son to join her in California about two years later.</w:t>
      </w:r>
    </w:p>
    <w:p>
      <w:pPr>
        <w:pStyle w:val="ResourceHeadnote"/>
      </w:pPr>
      <w:r>
        <w:t xml:space="preserve">Wife then brought this action against husband in California to modify the child support arrangement. Husband, resisting the claim for increased support, appeared specially, claiming that he lacked sufficient "minimum contacts" to warrant California's assertion of personal jurisdiction over him.</w:t>
      </w:r>
    </w:p>
    <w:p>
      <w:pPr>
        <w:pStyle w:val="ResourceHeadnote"/>
      </w:pPr>
      <w:r>
        <w:t xml:space="preserve">The California Supreme Court, upholding lower court determinations adverse to husband, concluded that, where a nonresident defendant has caused an "effect" in the State by an act or omission outside the State, personal jurisdiction over the defendant arising from that effect may be exercised whenever "reasonable," and that such exercise was "reasonable" here because appellant had "purposely availed himself of the benefits and protections of California" by sending the daughter to live with her mother there, and that it was "fair and reasonable" for the defendant to be subject to personal jurisdiction for the support of both children.</w:t>
      </w:r>
    </w:p>
    <w:p>
      <w:pPr>
        <w:pStyle w:val="ResourceHeadnote"/>
      </w:pPr>
      <w:r>
        <w:t xml:space="preserve">The Supreme Court granted certiorari.</w:t>
      </w:r>
    </w:p>
    <w:p>
      <w:pPr>
        <w:pStyle w:val="HeadEnd"/>
      </w:pPr>
      <w:r>
        <w:t xml:space="preserve"> </w:t>
      </w:r>
    </w:p>
    <w:p>
      <w:pPr>
        <w:pStyle w:val="CaseHeader"/>
      </w:pPr>
      <w:r>
        <w:t xml:space="preserve">Supreme Court of the United States</w:t>
      </w:r>
    </w:p>
    <w:p>
      <w:pPr>
        <w:pStyle w:val="CaseHeader"/>
      </w:pPr>
      <w:r>
        <w:t xml:space="preserve">436 U.S. 84, 56 L. Ed. 2d 132, 98 S. Ct. 1690, 1978 U.S. LEXIS 87, SCDB 1977-080</w:t>
      </w:r>
    </w:p>
    <w:p>
      <w:pPr>
        <w:pStyle w:val="CaseHeader"/>
      </w:pPr>
      <w:r>
        <w:t xml:space="preserve">No. 77-293</w:t>
      </w:r>
    </w:p>
    <w:p>
      <w:pPr>
        <w:pStyle w:val="CaseHeader"/>
      </w:pPr>
      <w:r>
        <w:t xml:space="preserve">1978-05-15</w:t>
      </w:r>
    </w:p>
    <w:p>
      <w:pPr>
        <w:pStyle w:val="CaseBody"/>
      </w:pPr>
      <w:r>
        <w:t xml:space="preserve">Argued March 29, 1978</w:t>
      </w:r>
    </w:p>
    <w:p>
      <w:pPr>
        <w:pStyle w:val="CaseBody"/>
      </w:pPr>
      <w:r>
        <w:rPr>
          <w:rStyle w:val="Elision"/>
        </w:rPr>
        <w:t xml:space="preserve">[ … ]</w:t>
      </w:r>
    </w:p>
    <w:p>
      <w:pPr>
        <w:pStyle w:val="CaseBody"/>
      </w:pPr>
      <w:r>
        <w:t xml:space="preserve">Mr. Justice Marshall</w:t>
      </w:r>
    </w:p>
    <w:p>
      <w:pPr>
        <w:pStyle w:val="CaseBody"/>
      </w:pPr>
      <w:r>
        <w:t xml:space="preserve">delivered the opinion of the Court.</w:t>
      </w:r>
    </w:p>
    <w:p>
      <w:pPr>
        <w:pStyle w:val="CaseBody"/>
      </w:pPr>
      <w:r>
        <w:rPr>
          <w:rStyle w:val="Elision"/>
        </w:rPr>
        <w:t xml:space="preserve">[ … ]</w:t>
      </w:r>
    </w:p>
    <w:p>
      <w:pPr>
        <w:pStyle w:val="CaseBody"/>
      </w:pPr>
      <w:r>
        <w:t xml:space="preserve">The “purposeful act” that the California Supreme Court believed did warrant the exercise of personal jurisdiction over appellant in California was his “actively and fully consent [ing] to</w:t>
      </w:r>
      <w:r>
        <w:t xml:space="preserve"> </w:t>
      </w:r>
      <w:r>
        <w:rPr>
          <w:rStyle w:val="ReplacementText"/>
        </w:rPr>
        <w:t xml:space="preserve">the daughter's</w:t>
      </w:r>
      <w:r>
        <w:t xml:space="preserve">living in California for the school year . . . and . . . sen [ding] her to California for that purpose.”</w:t>
      </w:r>
      <w:r>
        <w:t xml:space="preserve"> </w:t>
      </w:r>
      <w:r>
        <w:rPr>
          <w:rStyle w:val="Elision"/>
        </w:rPr>
        <w:t xml:space="preserve">[ … ]</w:t>
      </w:r>
      <w:r>
        <w:t xml:space="preserve"> </w:t>
      </w:r>
      <w:r>
        <w:t xml:space="preserve">We cannot accept the proposition that appellant’s acquiescence in</w:t>
      </w:r>
      <w:r>
        <w:t xml:space="preserve"> </w:t>
      </w:r>
      <w:r>
        <w:rPr>
          <w:rStyle w:val="ReplacementText"/>
        </w:rPr>
        <w:t xml:space="preserve">the daughter's</w:t>
      </w:r>
      <w:r>
        <w:t xml:space="preserve"> </w:t>
      </w:r>
      <w:r>
        <w:t xml:space="preserve">desire to live with her mother conferred jurisdiction over appellant in the California courts in this action. A father who agrees, in the interests of family harmony and his children’s preferences, to allow them to spend more time in California than was required under a separation agreement can hardly be said to have “purposefully availed himself” of the “benefits and protections” of California’s laws.</w:t>
      </w:r>
      <w:r>
        <w:t xml:space="preserve"> </w:t>
      </w:r>
      <w:r>
        <w:rPr>
          <w:rStyle w:val="Elision"/>
        </w:rPr>
        <w:t xml:space="preserve">[ … ]</w:t>
      </w:r>
    </w:p>
    <w:p>
      <w:pPr>
        <w:pStyle w:val="CaseBody"/>
      </w:pPr>
      <w:r>
        <w:t xml:space="preserve">Nor can we agree with the assertion of the court below that the exercise of</w:t>
      </w:r>
      <w:r>
        <w:t xml:space="preserve"> </w:t>
      </w:r>
      <w:r>
        <w:rPr>
          <w:iCs/>
          <w:i/>
        </w:rPr>
        <w:t xml:space="preserve">in personam</w:t>
      </w:r>
      <w:r>
        <w:t xml:space="preserve"> </w:t>
      </w:r>
      <w:r>
        <w:t xml:space="preserve">jurisdiction here was warranted by the financial benefit appellant derived from his daughter’s presence in California for nine months of the year.</w:t>
      </w:r>
      <w:r>
        <w:t xml:space="preserve"> </w:t>
      </w:r>
      <w:r>
        <w:rPr>
          <w:rStyle w:val="Elision"/>
        </w:rPr>
        <w:t xml:space="preserve">[ … ]</w:t>
      </w:r>
      <w:r>
        <w:t xml:space="preserve"> </w:t>
      </w:r>
      <w:r>
        <w:t xml:space="preserve">This argument rests on the premise that, while appellant’s liability for support payments remained unchanged, his yearly expenses for supporting the child in New York decreased. But this circumstance, even if true, does not support California’s assertion of jurisdiction here. Any diminution in appellant’s household costs resulted, not from the child’s presence in California, but rather from her absence from appellant’s home. Moreover, an action by</w:t>
      </w:r>
      <w:r>
        <w:t xml:space="preserve"> </w:t>
      </w:r>
      <w:r>
        <w:rPr>
          <w:rStyle w:val="ReplacementText"/>
        </w:rPr>
        <w:t xml:space="preserve">the wife</w:t>
      </w:r>
      <w:r>
        <w:t xml:space="preserve"> </w:t>
      </w:r>
      <w:r>
        <w:t xml:space="preserve">to increase support payments could now be brought, and could have been brought when</w:t>
      </w:r>
      <w:r>
        <w:t xml:space="preserve"> </w:t>
      </w:r>
      <w:r>
        <w:rPr>
          <w:rStyle w:val="ReplacementText"/>
        </w:rPr>
        <w:t xml:space="preserve">the daughter</w:t>
      </w:r>
      <w:r>
        <w:t xml:space="preserve"> </w:t>
      </w:r>
      <w:r>
        <w:t xml:space="preserve">first moved to California, in the State of New York;</w:t>
      </w:r>
      <w:hyperlink w:anchor="X41b5c174a8f316aae3da68c22483427b537ff11">
        <w:r>
          <w:rPr>
            <w:rStyle w:val="Elision"/>
          </w:rPr>
          <w:t xml:space="preserve">[ … ]</w:t>
        </w:r>
      </w:hyperlink>
      <w:r>
        <w:t xml:space="preserve"> </w:t>
      </w:r>
      <w:r>
        <w:t xml:space="preserve">a New York court would clearly have personal jurisdiction over appellant and, if a judgment were entered by a New York court increasing appellant’s child-support obligations, it could properly be enforced against him in both New York and California.</w:t>
      </w:r>
      <w:hyperlink w:anchor="Xa58cb23a826421dcbd575a34f78def2c35cf020">
        <w:r>
          <w:rPr>
            <w:rStyle w:val="Elision"/>
          </w:rPr>
          <w:t xml:space="preserve">[ … ]</w:t>
        </w:r>
      </w:hyperlink>
      <w:r>
        <w:t xml:space="preserve"> </w:t>
      </w:r>
      <w:r>
        <w:t xml:space="preserve">Any ultimate financial advantage to appellant thus results not from the child’s presence in California, but from appellee’s failure earlier to seek an increase in payments under the separation agreement.</w:t>
      </w:r>
      <w:hyperlink w:anchor="X6ee12d1768a226035b9becad5f5b16c7e6518ce">
        <w:r>
          <w:rPr>
            <w:rStyle w:val="Elision"/>
          </w:rPr>
          <w:t xml:space="preserve">[ … ]</w:t>
        </w:r>
      </w:hyperlink>
      <w:r>
        <w:t xml:space="preserve">The argument below to the contrary, in our view, confuses the question of appellant’s liability with that of the proper forum in which to determine that liability.</w:t>
      </w:r>
    </w:p>
    <w:p>
      <w:pPr>
        <w:pStyle w:val="CaseBody"/>
      </w:pPr>
      <w:r>
        <w:rPr>
          <w:rStyle w:val="Elision"/>
        </w:rPr>
        <w:t xml:space="preserve">[ … ]</w:t>
      </w:r>
    </w:p>
    <w:p>
      <w:pPr>
        <w:pStyle w:val="CaseBody"/>
      </w:pPr>
      <w:r>
        <w:rPr>
          <w:rStyle w:val="ReplacementText"/>
        </w:rPr>
        <w:t xml:space="preserve">[B]asic</w:t>
      </w:r>
      <w:r>
        <w:t xml:space="preserve"> </w:t>
      </w:r>
      <w:r>
        <w:t xml:space="preserve">considerations of fairness point decisively in favor of appellant’s State of domicile as the proper forum for adjudication of this case, whatever the merits of appellee’s underlying claim. It is appellant who has remained in the State of the marital domicile, whereas it is appellee who has moved across the continent.</w:t>
      </w:r>
      <w:r>
        <w:t xml:space="preserve"> </w:t>
      </w:r>
      <w:r>
        <w:rPr>
          <w:rStyle w:val="Elision"/>
        </w:rPr>
        <w:t xml:space="preserve">[ … ]</w:t>
      </w:r>
      <w:r>
        <w:t xml:space="preserve"> </w:t>
      </w:r>
      <w:r>
        <w:t xml:space="preserve">Appellant has at all times resided in New York State, and, until the separation and appellee’s move to California, his entire family resided there as well. As noted above, appellant did no more than acquiesce in the stated preference of one of his children to live with her mother in California. This single act is surely not one that a reasonable parent would expect to result in the substantial financial burden and personal strain of litigating a child-support suit in a forum 3,000 miles away, and we therefore see no basis on which it can be said that appellant could reasonably have anticipated being “haled before a [California] court,"</w:t>
      </w:r>
      <w:r>
        <w:t xml:space="preserve"> </w:t>
      </w:r>
      <w:r>
        <w:rPr>
          <w:rStyle w:val="Elision"/>
        </w:rPr>
        <w:t xml:space="preserve">[ … ]</w:t>
      </w:r>
      <w:r>
        <w:t xml:space="preserve"> </w:t>
      </w:r>
      <w:r>
        <w:t xml:space="preserve">To make jurisdiction in a case such as this turn on whether appellant bought his daughter her ticket or instead unsuccessfully sought to prevent her departure would impose an unreasonable burden on family relations, and one wholly unjustified by the “quality and nature” of appellant’s activities in or relating to the State of California.</w:t>
      </w:r>
      <w:r>
        <w:t xml:space="preserve"> </w:t>
      </w:r>
      <w:r>
        <w:rPr>
          <w:iCs/>
          <w:i/>
        </w:rPr>
        <w:t xml:space="preserve">International Shoe</w:t>
      </w:r>
      <w:r>
        <w:t xml:space="preserve"> </w:t>
      </w:r>
      <w:r>
        <w:rPr>
          <w:rStyle w:val="Elision"/>
        </w:rPr>
        <w:t xml:space="preserve">[ … ]</w:t>
      </w:r>
      <w:r>
        <w:t xml:space="preserve">.</w:t>
      </w:r>
    </w:p>
    <w:p>
      <w:pPr>
        <w:pStyle w:val="CaseBody"/>
      </w:pPr>
      <w:r>
        <w:t xml:space="preserve">Ill</w:t>
      </w:r>
    </w:p>
    <w:p>
      <w:pPr>
        <w:pStyle w:val="CaseBody"/>
      </w:pPr>
      <w:r>
        <w:t xml:space="preserve">In seeking to justify the burden that would be imposed on appellant were the exercise of</w:t>
      </w:r>
      <w:r>
        <w:t xml:space="preserve"> </w:t>
      </w:r>
      <w:r>
        <w:rPr>
          <w:iCs/>
          <w:i/>
        </w:rPr>
        <w:t xml:space="preserve">in personam</w:t>
      </w:r>
      <w:r>
        <w:t xml:space="preserve"> </w:t>
      </w:r>
      <w:r>
        <w:t xml:space="preserve">jurisdiction in California sustained, appellee argues that California has substantial interests in protecting the welfare of its minor residents and in promoting to the fullest extent possible a healthy and supportive family environment in which the children of the State are to be raised. These interests are unquestionably important. But while the presence of the children and one parent in California arguably might favor application of California law in a lawsuit in New York, the fact that California may be the “ 'center of gravity’ ” for choice-of-law purposes does not mean that California has personal jurisdiction over the defendant.</w:t>
      </w:r>
      <w:r>
        <w:t xml:space="preserve"> </w:t>
      </w:r>
      <w:r>
        <w:rPr>
          <w:iCs/>
          <w:i/>
        </w:rPr>
        <w:t xml:space="preserve">Hanson</w:t>
      </w:r>
      <w:r>
        <w:rPr>
          <w:rStyle w:val="Elision"/>
        </w:rPr>
        <w:t xml:space="preserve">[ … ]</w:t>
      </w:r>
      <w:r>
        <w:t xml:space="preserve"> </w:t>
      </w:r>
      <w:r>
        <w:t xml:space="preserve">And California has not attempted to assert any particularized interest in trying such cases in its courts by,</w:t>
      </w:r>
      <w:r>
        <w:t xml:space="preserve"> </w:t>
      </w:r>
      <w:r>
        <w:rPr>
          <w:iCs/>
          <w:i/>
        </w:rPr>
        <w:t xml:space="preserve">e. g.,</w:t>
      </w:r>
      <w:r>
        <w:t xml:space="preserve"> </w:t>
      </w:r>
      <w:r>
        <w:t xml:space="preserve">enacting a special jurisdictional statute. Cf.</w:t>
      </w:r>
      <w:r>
        <w:t xml:space="preserve"> </w:t>
      </w:r>
      <w:r>
        <w:rPr>
          <w:iCs/>
          <w:i/>
        </w:rPr>
        <w:t xml:space="preserve">McGee</w:t>
      </w:r>
      <w:r>
        <w:t xml:space="preserve"> </w:t>
      </w:r>
      <w:r>
        <w:t xml:space="preserve">v.</w:t>
      </w:r>
      <w:r>
        <w:t xml:space="preserve"> </w:t>
      </w:r>
      <w:r>
        <w:rPr>
          <w:iCs/>
          <w:i/>
        </w:rPr>
        <w:t xml:space="preserve">International Life Ins. Co.</w:t>
      </w:r>
      <w:r>
        <w:rPr>
          <w:rStyle w:val="Elision"/>
        </w:rPr>
        <w:t xml:space="preserve">[ … ]</w:t>
      </w:r>
      <w:r>
        <w:t xml:space="preserve">.</w:t>
      </w:r>
    </w:p>
    <w:p>
      <w:pPr>
        <w:pStyle w:val="CaseBody"/>
      </w:pPr>
      <w:r>
        <w:rPr>
          <w:rStyle w:val="Elision"/>
        </w:rPr>
        <w:t xml:space="preserve">[ … ]</w:t>
      </w:r>
    </w:p>
    <w:p>
      <w:pPr>
        <w:pStyle w:val="CaseBody"/>
      </w:pPr>
      <w:r>
        <w:rPr>
          <w:rStyle w:val="Elision"/>
        </w:rPr>
        <w:t xml:space="preserve">[ … ]</w:t>
      </w:r>
    </w:p>
    <w:p>
      <w:pPr>
        <w:pStyle w:val="CaseBody"/>
      </w:pPr>
      <w:hyperlink w:anchor="Xbc8021f12306f1fec1ebe589d23b807edf50497">
        <w:r>
          <w:rPr>
            <w:rStyle w:val="Elision"/>
          </w:rPr>
          <w:t xml:space="preserve">[ … ]</w:t>
        </w:r>
      </w:hyperlink>
    </w:p>
    <w:p>
      <w:pPr>
        <w:pStyle w:val="NodeEnd"/>
      </w:pPr>
      <w:r>
        <w:t xml:space="preserve"> </w:t>
      </w:r>
    </w:p>
    <w:p>
      <w:pPr>
        <w:pStyle w:val="NodeStart"/>
      </w:pPr>
      <w:r>
        <w:t xml:space="preserve"> </w:t>
      </w:r>
    </w:p>
    <w:p>
      <w:pPr>
        <w:pStyle w:val="HeadSeparator"/>
      </w:pPr>
      <w:r>
        <w:t xml:space="preserve"> </w:t>
      </w:r>
    </w:p>
    <w:bookmarkStart w:id="80" w:name="_auto_toc_80"/>
    <w:bookmarkEnd w:id="80"/>
    <w:p>
      <w:pPr>
        <w:pStyle w:val="ResourceNumber"/>
      </w:pPr>
      <w:r>
        <w:t xml:space="preserve">7.10</w:t>
      </w:r>
    </w:p>
    <w:p>
      <w:pPr>
        <w:pStyle w:val="ResourceTitle"/>
      </w:pPr>
      <w:r>
        <w:t xml:space="preserve">Harris v. Balk</w:t>
      </w:r>
    </w:p>
    <w:p>
      <w:pPr>
        <w:pStyle w:val="HeadFieldSeparator"/>
      </w:pPr>
      <w:r>
        <w:t xml:space="preserve"> </w:t>
      </w:r>
    </w:p>
    <w:p>
      <w:pPr>
        <w:pStyle w:val="ResourceHeadnote"/>
      </w:pPr>
      <w:r>
        <w:t xml:space="preserve">The developments in personal jurisdiction doctrine had implications for the exercise of quasi-in-rem and in-rem jurisdiction. To understand those, we need to trace the history of the constitutional limits on quasi-in-rem jurisdiction. We begin with an old case. In some sense,</w:t>
      </w:r>
      <w:r>
        <w:t xml:space="preserve"> </w:t>
      </w:r>
      <w:r>
        <w:rPr>
          <w:iCs/>
          <w:i/>
        </w:rPr>
        <w:t xml:space="preserve">Harris v. Balk</w:t>
      </w:r>
      <w:r>
        <w:t xml:space="preserve"> </w:t>
      </w:r>
      <w:r>
        <w:t xml:space="preserve">is the</w:t>
      </w:r>
      <w:r>
        <w:t xml:space="preserve"> </w:t>
      </w:r>
      <w:r>
        <w:rPr>
          <w:iCs/>
          <w:i/>
        </w:rPr>
        <w:t xml:space="preserve">Pennoyer v. Neff</w:t>
      </w:r>
      <w:r>
        <w:t xml:space="preserve"> </w:t>
      </w:r>
      <w:r>
        <w:t xml:space="preserve">of quasi-in-rem jurisdiction, and</w:t>
      </w:r>
      <w:r>
        <w:t xml:space="preserve"> </w:t>
      </w:r>
      <w:r>
        <w:rPr>
          <w:iCs/>
          <w:i/>
        </w:rPr>
        <w:t xml:space="preserve">Shaffer v. Heitner</w:t>
      </w:r>
      <w:r>
        <w:t xml:space="preserve"> </w:t>
      </w:r>
      <w:r>
        <w:t xml:space="preserve">(the next case) is somewhat like the</w:t>
      </w:r>
      <w:r>
        <w:t xml:space="preserve"> </w:t>
      </w:r>
      <w:r>
        <w:rPr>
          <w:iCs/>
          <w:i/>
        </w:rPr>
        <w:t xml:space="preserve">International Shoe</w:t>
      </w:r>
      <w:r>
        <w:t xml:space="preserve"> </w:t>
      </w:r>
      <w:r>
        <w:t xml:space="preserve">of quasi-in-rem.</w:t>
      </w:r>
    </w:p>
    <w:p>
      <w:pPr>
        <w:pStyle w:val="ResourceHeadnote"/>
      </w:pPr>
      <w:r>
        <w:t xml:space="preserve">Harris, a resident of North Carolina, owed a debt to Balk, also of North Carolina, in the sum of $180. Balk allegedly owed Epstein, a resident of Maryland, the sum of over $300. On August 6, 1896, while Harris was in Baltimore for the purpose of purchasing merchandise, Epstein induced a Maryland court to "garnish" (meaning to exercise jurisdiction over) Harris’ debt to Balk. Harris was personally served with the writ of attachment and summons. A writ of summons and a short declaration against Balk (as provided by the Maryland statute) were also posted on the courthouse door, as required by the law of Maryland.</w:t>
      </w:r>
    </w:p>
    <w:p>
      <w:pPr>
        <w:pStyle w:val="ResourceHeadnote"/>
      </w:pPr>
      <w:r>
        <w:t xml:space="preserve">Harris consented to a judgment for $180 and paid Epstein that amount, completed his Maryland business, and returned to North Carolina. On August 11, 1896, Balk sued Harris in a North Carolina state court to recover the $180 that he alleged that Harris owed him. Harris argued that the Maryland judgment against him, entitled to full faith and credit in North Carolina, was the full debt payment. The North Carolina trial court ruled in favor of Balk. The Supreme Court of North Carolina affirmed on the ground that the Maryland court obtained no jurisdiction to attach or garnish the debt due from Harris to Balk, because Harris was but temporarily in the state, and the debt was in North Carolina. The United States Supreme Court reversed.</w:t>
      </w:r>
    </w:p>
    <w:p>
      <w:pPr>
        <w:pStyle w:val="HeadEnd"/>
      </w:pPr>
      <w:r>
        <w:t xml:space="preserve"> </w:t>
      </w:r>
    </w:p>
    <w:p>
      <w:pPr>
        <w:pStyle w:val="CaseHeader"/>
      </w:pPr>
      <w:r>
        <w:t xml:space="preserve">Supreme Court of the United States</w:t>
      </w:r>
    </w:p>
    <w:p>
      <w:pPr>
        <w:pStyle w:val="CaseHeader"/>
      </w:pPr>
      <w:r>
        <w:t xml:space="preserve">198 U.S. 215, 49 L. Ed. 1023, 25 S. Ct. 625, 1905 U.S. LEXIS 1122, SCDB 1904-083</w:t>
      </w:r>
    </w:p>
    <w:p>
      <w:pPr>
        <w:pStyle w:val="CaseHeader"/>
      </w:pPr>
      <w:r>
        <w:t xml:space="preserve">No. 191</w:t>
      </w:r>
    </w:p>
    <w:p>
      <w:pPr>
        <w:pStyle w:val="CaseHeader"/>
      </w:pPr>
      <w:r>
        <w:t xml:space="preserve">1905-05-08</w:t>
      </w:r>
    </w:p>
    <w:p>
      <w:pPr>
        <w:pStyle w:val="CaseBody"/>
      </w:pPr>
      <w:r>
        <w:t xml:space="preserve">ERROR TO THE SUPREME COURT OF THE STATE OF NORTH CAROLINA.</w:t>
      </w:r>
    </w:p>
    <w:p>
      <w:pPr>
        <w:pStyle w:val="CaseBody"/>
      </w:pPr>
      <w:r>
        <w:t xml:space="preserve">Argued April 4, 1905.</w:t>
      </w:r>
    </w:p>
    <w:p>
      <w:pPr>
        <w:pStyle w:val="CaseBody"/>
      </w:pPr>
      <w:r>
        <w:rPr>
          <w:rStyle w:val="Elision"/>
        </w:rPr>
        <w:t xml:space="preserve">[ … ]</w:t>
      </w:r>
    </w:p>
    <w:p>
      <w:pPr>
        <w:pStyle w:val="CaseBody"/>
      </w:pPr>
      <w:r>
        <w:t xml:space="preserve">Mr. Justice Peckham,</w:t>
      </w:r>
    </w:p>
    <w:p>
      <w:pPr>
        <w:pStyle w:val="CaseBody"/>
      </w:pPr>
      <w:r>
        <w:rPr>
          <w:rStyle w:val="Elision"/>
        </w:rPr>
        <w:t xml:space="preserve">[ … ]</w:t>
      </w:r>
      <w:r>
        <w:t xml:space="preserve"> </w:t>
      </w:r>
      <w:r>
        <w:t xml:space="preserve">delivered the opinion of the court.</w:t>
      </w:r>
    </w:p>
    <w:p>
      <w:pPr>
        <w:pStyle w:val="CaseBody"/>
      </w:pPr>
      <w:r>
        <w:rPr>
          <w:rStyle w:val="Elision"/>
        </w:rPr>
        <w:t xml:space="preserve">[ … ]</w:t>
      </w:r>
    </w:p>
    <w:p>
      <w:pPr>
        <w:pStyle w:val="CaseBody"/>
      </w:pPr>
      <w:r>
        <w:t xml:space="preserve">Attachment is the creature of the local law; that is, unless there is a law of the State providing for and permitting the attachment it Cannot be levied there. If there be</w:t>
      </w:r>
      <w:r>
        <w:t xml:space="preserve"> </w:t>
      </w:r>
      <w:r>
        <w:rPr>
          <w:rStyle w:val="ReplacementText"/>
        </w:rPr>
        <w:t xml:space="preserve">a</w:t>
      </w:r>
      <w:r>
        <w:t xml:space="preserve">law of the State providing for the attachment of the debt, then if the garnishee be found in that State, and process be personally served upon him therein, we think the court thereby acquires jurisdiction over him, and can garnish the debt due from him to the debtor of the plaintiff and condemn it, provided the garnishee could himself be sued by his creditor in that State. We do not see how the question of jurisdiction</w:t>
      </w:r>
      <w:r>
        <w:t xml:space="preserve"> </w:t>
      </w:r>
      <w:r>
        <w:rPr>
          <w:iCs/>
          <w:i/>
        </w:rPr>
        <w:t xml:space="preserve">vel non</w:t>
      </w:r>
      <w:r>
        <w:t xml:space="preserve"> </w:t>
      </w:r>
      <w:r>
        <w:t xml:space="preserve">can properly be made to depend upon the so-called original</w:t>
      </w:r>
      <w:r>
        <w:t xml:space="preserve"> </w:t>
      </w:r>
      <w:r>
        <w:rPr>
          <w:iCs/>
          <w:i/>
        </w:rPr>
        <w:t xml:space="preserve">situs</w:t>
      </w:r>
      <w:r>
        <w:t xml:space="preserve"> </w:t>
      </w:r>
      <w:r>
        <w:t xml:space="preserve">of the debt, or upon the character of the stay of the garnishee, whether temporary or permanent, in the State where the attachment is issuéd. Power over the person of the garnishee confers jurisdiction on the courts of the State where the writ issues.</w:t>
      </w:r>
      <w:r>
        <w:t xml:space="preserve"> </w:t>
      </w:r>
      <w:r>
        <w:rPr>
          <w:rStyle w:val="Elision"/>
        </w:rPr>
        <w:t xml:space="preserve">[ … ]</w:t>
      </w:r>
      <w:r>
        <w:t xml:space="preserve"> </w:t>
      </w:r>
      <w:r>
        <w:t xml:space="preserve">If, while temporarily there, his creditor might sue him there and recover the debt, then he is liable to process of garnishment,</w:t>
      </w:r>
      <w:r>
        <w:t xml:space="preserve"> </w:t>
      </w:r>
      <w:r>
        <w:rPr>
          <w:rStyle w:val="ReplacementText"/>
        </w:rPr>
        <w:t xml:space="preserve">no</w:t>
      </w:r>
      <w:r>
        <w:t xml:space="preserve"> </w:t>
      </w:r>
      <w:r>
        <w:t xml:space="preserve">matter where the</w:t>
      </w:r>
      <w:r>
        <w:t xml:space="preserve"> </w:t>
      </w:r>
      <w:r>
        <w:rPr>
          <w:iCs/>
          <w:i/>
        </w:rPr>
        <w:t xml:space="preserve">situs</w:t>
      </w:r>
      <w:r>
        <w:t xml:space="preserve"> </w:t>
      </w:r>
      <w:r>
        <w:t xml:space="preserve">of the debt was originally. We do not see the materiality of the expression</w:t>
      </w:r>
      <w:r>
        <w:t xml:space="preserve"> </w:t>
      </w:r>
      <w:r>
        <w:rPr>
          <w:iCs/>
          <w:i/>
        </w:rPr>
        <w:t xml:space="preserve">“situs</w:t>
      </w:r>
      <w:r>
        <w:t xml:space="preserve"> </w:t>
      </w:r>
      <w:r>
        <w:t xml:space="preserve">of the debt,” when used in connection with attachment proceedings. If by</w:t>
      </w:r>
      <w:r>
        <w:t xml:space="preserve"> </w:t>
      </w:r>
      <w:r>
        <w:rPr>
          <w:iCs/>
          <w:i/>
        </w:rPr>
        <w:t xml:space="preserve">situs</w:t>
      </w:r>
      <w:r>
        <w:t xml:space="preserve"> </w:t>
      </w:r>
      <w:r>
        <w:t xml:space="preserve">is meant the place of the creation of the debt, that fact is. immaterial. If it be meant that the obligation to pay the debt can only be enforced at the</w:t>
      </w:r>
      <w:r>
        <w:t xml:space="preserve"> </w:t>
      </w:r>
      <w:r>
        <w:rPr>
          <w:iCs/>
          <w:i/>
        </w:rPr>
        <w:t xml:space="preserve">situs</w:t>
      </w:r>
      <w:r>
        <w:t xml:space="preserve"> </w:t>
      </w:r>
      <w:r>
        <w:t xml:space="preserve">thus fixed, we think it plainly untrue. The obligation of the debtor to pay his debt clings to and accompanies him wherever he goes. He is,, as much bound to pay his debt in a foreign State when therein sued upon his obligation- by his creditor, as he was in the State where the debt was contracted. We speak of ordinary debts, such as the one in this case. It would be no defense to such suit for the debtor to plead that he was only in the foreign State casually or temporarily. His obligation to pay would be the same whether he .was there in that way or with an inténtion to remain. It is nothing but the obligation to pay which is garnished or attached. This obligation can be enforced by the courts of the foreign State after personal service ’of process therein, just as well as by the courts of the domicil of the-debtor.</w:t>
      </w:r>
      <w:r>
        <w:rPr>
          <w:rStyle w:val="Elision"/>
        </w:rPr>
        <w:t xml:space="preserve">[ … ]</w:t>
      </w:r>
    </w:p>
    <w:p>
      <w:pPr>
        <w:pStyle w:val="CaseBody"/>
      </w:pPr>
      <w:r>
        <w:t xml:space="preserve">There can be no doubt that Balk, as a citizen of the State of North Carolina, had the right to sue Harris in Maryland to recover the debt which Harris owed him.</w:t>
      </w:r>
      <w:r>
        <w:t xml:space="preserve"> </w:t>
      </w:r>
      <w:r>
        <w:rPr>
          <w:rStyle w:val="Elision"/>
        </w:rPr>
        <w:t xml:space="preserve">[ … ]</w:t>
      </w:r>
    </w:p>
    <w:p>
      <w:pPr>
        <w:pStyle w:val="CaseBody"/>
      </w:pPr>
      <w:r>
        <w:t xml:space="preserve">The judgment of the Supreme Court of North Carolina must be reversed and the cause remanded for further proceedings not inconsistent with the opinion of this court.</w:t>
      </w:r>
    </w:p>
    <w:p>
      <w:pPr>
        <w:pStyle w:val="CaseBody"/>
      </w:pPr>
      <w:r>
        <w:rPr>
          <w:iCs/>
          <w:i/>
        </w:rPr>
        <w:t xml:space="preserve">Reversed.</w:t>
      </w:r>
    </w:p>
    <w:p>
      <w:pPr>
        <w:pStyle w:val="CaseBody"/>
      </w:pPr>
      <w:r>
        <w:t xml:space="preserve">Mr. Justice Harlan and Mr. Justice Day dissented.</w:t>
      </w:r>
    </w:p>
    <w:p>
      <w:pPr>
        <w:pStyle w:val="NodeEnd"/>
      </w:pPr>
      <w:r>
        <w:t xml:space="preserve"> </w:t>
      </w:r>
    </w:p>
    <w:p>
      <w:pPr>
        <w:pStyle w:val="NodeStart"/>
      </w:pPr>
      <w:r>
        <w:t xml:space="preserve"> </w:t>
      </w:r>
    </w:p>
    <w:p>
      <w:pPr>
        <w:pStyle w:val="HeadSeparator"/>
      </w:pPr>
      <w:r>
        <w:t xml:space="preserve"> </w:t>
      </w:r>
    </w:p>
    <w:bookmarkStart w:id="81" w:name="_auto_toc_81"/>
    <w:bookmarkEnd w:id="81"/>
    <w:p>
      <w:pPr>
        <w:pStyle w:val="ResourceNumber"/>
      </w:pPr>
      <w:r>
        <w:t xml:space="preserve">7.11</w:t>
      </w:r>
    </w:p>
    <w:p>
      <w:pPr>
        <w:pStyle w:val="ResourceTitle"/>
      </w:pPr>
      <w:r>
        <w:t xml:space="preserve">Note following Harris</w:t>
      </w:r>
    </w:p>
    <w:p>
      <w:pPr>
        <w:pStyle w:val="HeadEnd"/>
      </w:pPr>
      <w:r>
        <w:t xml:space="preserve"> </w:t>
      </w:r>
    </w:p>
    <w:p>
      <w:pPr>
        <w:pStyle w:val="BodyText"/>
      </w:pPr>
      <w:r>
        <w:t xml:space="preserve">1.  Professor Lowenfield gives some interesting background information on this case. “Epstein...was an importer of general merchandise; Balk, a retailer in Washington, North Carolina, was his regular customer.” Lowenfeld,</w:t>
      </w:r>
      <w:r>
        <w:t xml:space="preserve"> </w:t>
      </w:r>
      <w:r>
        <w:rPr>
          <w:iCs/>
          <w:i/>
        </w:rPr>
        <w:t xml:space="preserve">In Search of the Intangible: A Comment on Shaffer v. Heitner</w:t>
      </w:r>
      <w:r>
        <w:t xml:space="preserve">, 53 N.Y.U.L.Rev. 102, 104 (1978). Epstein had made four deliveries to Balk for a total of $569, but there was payment of only $225, leaving a debt of $344. Harris was a “dry goods merchant in Washington, North Carolina. He had borrowed money from Balk on several occasions, the last $10 just before he took his fateful trip to Baltimore.”</w:t>
      </w:r>
      <w:r>
        <w:t xml:space="preserve"> </w:t>
      </w:r>
      <w:r>
        <w:rPr>
          <w:iCs/>
          <w:i/>
        </w:rPr>
        <w:t xml:space="preserve">Id</w:t>
      </w:r>
      <w:r>
        <w:t xml:space="preserve"> </w:t>
      </w:r>
      <w:r>
        <w:t xml:space="preserve">at 106. Balk apparently sent a message to Epstein via Harris, who swore he did not tell Epstein about his debt to Balk, that he would come to Baltimore soon. </w:t>
      </w:r>
      <w:r>
        <w:rPr>
          <w:iCs/>
          <w:i/>
        </w:rPr>
        <w:t xml:space="preserve">Id.</w:t>
      </w:r>
    </w:p>
    <w:p>
      <w:pPr>
        <w:pStyle w:val="BodyText"/>
      </w:pPr>
      <w:r>
        <w:t xml:space="preserve">2.  One of the features of enforcing territorial limits on where a plaintiff can sue is the requirement that, at times, we will have to locate incorporeal "objects."  That process is, by its nature, incoherent.</w:t>
      </w:r>
    </w:p>
    <w:p>
      <w:pPr>
        <w:pStyle w:val="BodyText"/>
      </w:pPr>
      <w:r>
        <w:t xml:space="preserve">a.  What incorporeal object did this case require the Supreme Court to locate?</w:t>
      </w:r>
    </w:p>
    <w:p>
      <w:pPr>
        <w:pStyle w:val="BodyText"/>
      </w:pPr>
      <w:r>
        <w:t xml:space="preserve">b.  Sometimes, case law will provide guidance on where to locate an incorporeal object.  Sometimes, statutes might help.  When both fail, court systems can turn to policy considerations.  In this case, we needed to locate the debt that Harris owed Balk.  What are the advantages and disadvantages to saying that the debt's location is the same as Harris' location?  What are the advantages and disadvantages to saying that the debt's location is where the events that gave rise to the debt took place?  Are there any other possibilities?</w:t>
      </w:r>
    </w:p>
    <w:p>
      <w:pPr>
        <w:pStyle w:val="BodyText"/>
      </w:pPr>
      <w:r>
        <w:t xml:space="preserve">3. This case involved a personal debt. But the world is chock full of debts.  Bonds are one kind of debt.  What are possibilities for locating bonds?  Does it matter whether the bond's issuer was a corporation, a government, or something else?</w:t>
      </w:r>
    </w:p>
    <w:p>
      <w:pPr>
        <w:pStyle w:val="BodyText"/>
      </w:pPr>
      <w:r>
        <w:t xml:space="preserve">4.  What about financial instruments other than debts or bonds?  Stocks?  The Supreme Court tries to dodge the question of the location of a stock in its next case.  Do you think that it is successful?</w:t>
      </w:r>
    </w:p>
    <w:p>
      <w:pPr>
        <w:pStyle w:val="NodeEnd"/>
      </w:pPr>
      <w:r>
        <w:t xml:space="preserve"> </w:t>
      </w:r>
    </w:p>
    <w:p>
      <w:pPr>
        <w:pStyle w:val="NodeStart"/>
      </w:pPr>
      <w:r>
        <w:t xml:space="preserve"> </w:t>
      </w:r>
    </w:p>
    <w:p>
      <w:pPr>
        <w:pStyle w:val="HeadSeparator"/>
      </w:pPr>
      <w:r>
        <w:t xml:space="preserve"> </w:t>
      </w:r>
    </w:p>
    <w:bookmarkStart w:id="82" w:name="_auto_toc_82"/>
    <w:bookmarkEnd w:id="82"/>
    <w:p>
      <w:pPr>
        <w:pStyle w:val="ResourceNumber"/>
      </w:pPr>
      <w:r>
        <w:t xml:space="preserve">7.12</w:t>
      </w:r>
    </w:p>
    <w:p>
      <w:pPr>
        <w:pStyle w:val="ResourceTitle"/>
      </w:pPr>
      <w:r>
        <w:t xml:space="preserve">Shaffer v. Heitner</w:t>
      </w:r>
    </w:p>
    <w:p>
      <w:pPr>
        <w:pStyle w:val="HeadEnd"/>
      </w:pPr>
      <w:r>
        <w:t xml:space="preserve"> </w:t>
      </w:r>
    </w:p>
    <w:p>
      <w:pPr>
        <w:pStyle w:val="CaseHeader"/>
      </w:pPr>
      <w:r>
        <w:t xml:space="preserve">Supreme Court of the United States</w:t>
      </w:r>
    </w:p>
    <w:p>
      <w:pPr>
        <w:pStyle w:val="CaseHeader"/>
      </w:pPr>
      <w:r>
        <w:t xml:space="preserve">433 U.S. 186, 53 L. Ed. 2d 683, 97 S. Ct. 2569, 1977 U.S. LEXIS 139, SCDB 1976-166</w:t>
      </w:r>
    </w:p>
    <w:p>
      <w:pPr>
        <w:pStyle w:val="CaseHeader"/>
      </w:pPr>
      <w:r>
        <w:t xml:space="preserve">No. 75-1812</w:t>
      </w:r>
    </w:p>
    <w:p>
      <w:pPr>
        <w:pStyle w:val="CaseHeader"/>
      </w:pPr>
      <w:r>
        <w:t xml:space="preserve">1977-06-24</w:t>
      </w:r>
    </w:p>
    <w:p>
      <w:pPr>
        <w:pStyle w:val="CaseBody"/>
      </w:pPr>
      <w:r>
        <w:t xml:space="preserve">433 U.S. 186 (1977)</w:t>
      </w:r>
    </w:p>
    <w:p>
      <w:pPr>
        <w:pStyle w:val="CaseHeader"/>
      </w:pPr>
      <w:r>
        <w:t xml:space="preserve">SHAFFER ET AL.</w:t>
      </w:r>
      <w:r>
        <w:br/>
      </w:r>
      <w:r>
        <w:t xml:space="preserve">v.</w:t>
      </w:r>
      <w:r>
        <w:br/>
      </w:r>
      <w:r>
        <w:t xml:space="preserve">HEITNER</w:t>
      </w:r>
    </w:p>
    <w:p>
      <w:pPr>
        <w:pStyle w:val="CaseBody"/>
      </w:pPr>
      <w:r>
        <w:t xml:space="preserve">No. 75-1812.</w:t>
      </w:r>
    </w:p>
    <w:p>
      <w:pPr>
        <w:pStyle w:val="CaseBody"/>
      </w:pPr>
      <w:r>
        <w:t xml:space="preserve">Supreme Court of the United States.</w:t>
      </w:r>
    </w:p>
    <w:p>
      <w:pPr>
        <w:pStyle w:val="CaseBody"/>
      </w:pPr>
      <w:r>
        <w:t xml:space="preserve">Argued February 22, 1977.</w:t>
      </w:r>
    </w:p>
    <w:p>
      <w:pPr>
        <w:pStyle w:val="CaseBody"/>
      </w:pPr>
      <w:r>
        <w:t xml:space="preserve">Decided June 24, 1977.</w:t>
      </w:r>
    </w:p>
    <w:p>
      <w:pPr>
        <w:pStyle w:val="CaseBody"/>
      </w:pPr>
      <w:r>
        <w:t xml:space="preserve">APPEAL FROM THE SUPREME COURT OF DELAWARE</w:t>
      </w:r>
    </w:p>
    <w:p>
      <w:pPr>
        <w:pStyle w:val="CaseBody"/>
      </w:pPr>
      <w:r>
        <w:rPr>
          <w:rStyle w:val="Elision"/>
        </w:rPr>
        <w:t xml:space="preserve">[ … ]</w:t>
      </w:r>
    </w:p>
    <w:bookmarkStart w:id="70" w:name="X831ccf2e0e46181774fac5ba120955539a66bdf"/>
    <w:p>
      <w:pPr>
        <w:pStyle w:val="Heading2"/>
      </w:pPr>
      <w:r>
        <w:t xml:space="preserve">MR. JUSTICE MARSHALL delivered the opinion of the Court.</w:t>
      </w:r>
    </w:p>
    <w:p>
      <w:pPr>
        <w:pStyle w:val="CaseBody"/>
      </w:pPr>
      <w:r>
        <w:t xml:space="preserve">The controversy in this case concerns the constitutionality of a Delaware statute that allows a court of that State to take jurisdiction of a lawsuit by sequestering any property of the defendant that happens to be located in Delaware. Appellants contend that the sequestration statute as applied in this case violates the Due Process Clause of the Fourteenth Amendment both because it permits the state courts to exercise jurisdiction despite the absence of sufficient contacts among the defendants, the litigation, and the State of Delaware and because it authorizes the deprivation of defendants' property without providing adequate procedural safeguards. We find it necessary to consider only the first of these contentions.</w:t>
      </w:r>
    </w:p>
    <w:bookmarkEnd w:id="70"/>
    <w:bookmarkStart w:id="71" w:name="i-3"/>
    <w:p>
      <w:pPr>
        <w:pStyle w:val="Heading2"/>
      </w:pPr>
      <w:r>
        <w:t xml:space="preserve">I</w:t>
      </w:r>
    </w:p>
    <w:p>
      <w:pPr>
        <w:pStyle w:val="CaseBody"/>
      </w:pPr>
      <w:r>
        <w:t xml:space="preserve">Appellee Heitner, a nonresident of Delaware, is the owner of one share of stock in the Greyhound Corp., a business incorporated under the laws of Delaware with its principal place of business in Phoenix, Ariz. On May 22, 1974, he filed a shareholder's derivative suit in the Court of Chancery for New Castle County, Del., in which he named as defendants Greyhound, its wholly owned subsidiary Greyhound Lines, Inc.,</w:t>
      </w:r>
      <w:hyperlink w:anchor="X6eecf31982ef5ec99542136b68151995493206f">
        <w:r>
          <w:rPr>
            <w:rStyle w:val="Elision"/>
            <w:vertAlign w:val="superscript"/>
          </w:rPr>
          <w:t xml:space="preserve">[ … ]</w:t>
        </w:r>
      </w:hyperlink>
      <w:r>
        <w:t xml:space="preserve"> </w:t>
      </w:r>
      <w:r>
        <w:t xml:space="preserve">and 28 present or former officers or directors of one or [190] both of the corporations. In essence, Heitner alleged that the individual defendants had violated their duties to Greyhound by causing it and its subsidiary to engage in actions that resulted in the corporations being held liable for substantial damages in a private antitrust suit</w:t>
      </w:r>
      <w:hyperlink w:anchor="Xf7c7b1adf0ad17e70c61db358bb1e25490d98d4">
        <w:r>
          <w:rPr>
            <w:rStyle w:val="Elision"/>
            <w:vertAlign w:val="superscript"/>
          </w:rPr>
          <w:t xml:space="preserve">[ … ]</w:t>
        </w:r>
      </w:hyperlink>
      <w:r>
        <w:t xml:space="preserve"> </w:t>
      </w:r>
      <w:r>
        <w:t xml:space="preserve">and a large fine in a criminal contempt action.</w:t>
      </w:r>
      <w:hyperlink w:anchor="X08022b3284d9c652a99dfac4c6acd5451214f75">
        <w:r>
          <w:rPr>
            <w:rStyle w:val="Elision"/>
            <w:vertAlign w:val="superscript"/>
          </w:rPr>
          <w:t xml:space="preserve">[ … ]</w:t>
        </w:r>
      </w:hyperlink>
      <w:r>
        <w:t xml:space="preserve"> </w:t>
      </w:r>
      <w:r>
        <w:t xml:space="preserve">The activities which led to these penalties took place in Oregon.</w:t>
      </w:r>
    </w:p>
    <w:p>
      <w:pPr>
        <w:pStyle w:val="CaseBody"/>
      </w:pPr>
      <w:r>
        <w:t xml:space="preserve">Simultaneously with his complaint, Heitner filed a motion for an order of sequestration of the Delaware property of the individual defendants pursuant to</w:t>
      </w:r>
      <w:r>
        <w:t xml:space="preserve"> </w:t>
      </w:r>
      <w:r>
        <w:rPr>
          <w:rStyle w:val="ReplacementText"/>
        </w:rPr>
        <w:t xml:space="preserve">the Delaware sequestration statute</w:t>
      </w:r>
      <w:r>
        <w:t xml:space="preserve">.</w:t>
      </w:r>
      <w:hyperlink w:anchor="X39368f5a183f51025c1cb14cf76bca00417bce5">
        <w:r>
          <w:rPr>
            <w:rStyle w:val="Elision"/>
            <w:vertAlign w:val="superscript"/>
          </w:rPr>
          <w:t xml:space="preserve">[ … ]</w:t>
        </w:r>
      </w:hyperlink>
      <w:r>
        <w:t xml:space="preserve"> </w:t>
      </w:r>
      <w:r>
        <w:t xml:space="preserve">This motion was accompanied by a supporting</w:t>
      </w:r>
      <w:r>
        <w:rPr>
          <w:rStyle w:val="Elision"/>
        </w:rPr>
        <w:t xml:space="preserve">[ … ]</w:t>
      </w:r>
      <w:r>
        <w:t xml:space="preserve"> </w:t>
      </w:r>
      <w:r>
        <w:t xml:space="preserve">affidavit of counsel which stated that the individual defendants were nonresidents of Delaware. The affidavit identified the property to be sequestered</w:t>
      </w:r>
      <w:r>
        <w:t xml:space="preserve"> </w:t>
      </w:r>
      <w:r>
        <w:rPr>
          <w:rStyle w:val="ReplacementText"/>
        </w:rPr>
        <w:t xml:space="preserve">as, among other things, any stock the defendants owned in Greyhound.</w:t>
      </w:r>
    </w:p>
    <w:p>
      <w:pPr>
        <w:pStyle w:val="CaseBody"/>
      </w:pPr>
      <w:r>
        <w:t xml:space="preserve">The requested sequestration order was signed the day the motion was filed.</w:t>
      </w:r>
      <w:hyperlink w:anchor="Xe7fc55de6571113d13ae2e6ecfc7b55c6c59901">
        <w:r>
          <w:rPr>
            <w:rStyle w:val="Elision"/>
            <w:vertAlign w:val="superscript"/>
          </w:rPr>
          <w:t xml:space="preserve">[ … ]</w:t>
        </w:r>
      </w:hyperlink>
      <w:r>
        <w:t xml:space="preserve">Pursuant to that order, the sequestrator</w:t>
      </w:r>
      <w:hyperlink w:anchor="X7e8bce04d31b697472e6aa0d951b71e70193531">
        <w:r>
          <w:rPr>
            <w:rStyle w:val="Elision"/>
            <w:vertAlign w:val="superscript"/>
          </w:rPr>
          <w:t xml:space="preserve">[ … ]</w:t>
        </w:r>
      </w:hyperlink>
      <w:r>
        <w:t xml:space="preserve"> </w:t>
      </w:r>
      <w:r>
        <w:t xml:space="preserve">"seized" approximately 82,000 shares of Greyhound common stock belonging to 19 of the defendants,</w:t>
      </w:r>
      <w:hyperlink w:anchor="Xeede5ea29665603d38ec2fd0d61abed51d4526c">
        <w:r>
          <w:rPr>
            <w:rStyle w:val="Elision"/>
            <w:vertAlign w:val="superscript"/>
          </w:rPr>
          <w:t xml:space="preserve">[ … ]</w:t>
        </w:r>
      </w:hyperlink>
      <w:r>
        <w:t xml:space="preserve"> </w:t>
      </w:r>
      <w:r>
        <w:t xml:space="preserve">and options belonging to another 2 defendants.</w:t>
      </w:r>
      <w:hyperlink w:anchor="Xf1fc84b42a049e318a8573d290696982fc256ee">
        <w:r>
          <w:rPr>
            <w:rStyle w:val="Elision"/>
            <w:vertAlign w:val="superscript"/>
          </w:rPr>
          <w:t xml:space="preserve">[ … ]</w:t>
        </w:r>
      </w:hyperlink>
      <w:r>
        <w:t xml:space="preserve">These seizures were accomplished by placing "stop transfer" orders or their equivalents on the books of the Greyhound Corp.</w:t>
      </w:r>
      <w:r>
        <w:t xml:space="preserve"> </w:t>
      </w:r>
      <w:r>
        <w:t xml:space="preserve">So far as the record shows, none of the certificates representing the seized property was physically present in Delaware.</w:t>
      </w:r>
      <w:r>
        <w:rPr>
          <w:rStyle w:val="FootnoteReference"/>
        </w:rPr>
        <w:footnoteReference w:customMarkFollows="1" w:id="19"/>
        <w:t xml:space="preserve">*</w:t>
      </w:r>
      <w:r>
        <w:t xml:space="preserve"> </w:t>
      </w:r>
      <w:r>
        <w:t xml:space="preserve">The stock was considered to be in Delaware, and so subject to seizure, by virtue of</w:t>
      </w:r>
      <w:r>
        <w:t xml:space="preserve"> </w:t>
      </w:r>
      <w:r>
        <w:rPr>
          <w:rStyle w:val="ReplacementText"/>
        </w:rPr>
        <w:t xml:space="preserve">a Delaware statute</w:t>
      </w:r>
      <w:r>
        <w:t xml:space="preserve">, which makes Delaware the situs of ownership of all stock in Delaware corporations.</w:t>
      </w:r>
      <w:hyperlink w:anchor="X2a6996ec6d936003049985a425c0aafa4fca07f">
        <w:r>
          <w:rPr>
            <w:rStyle w:val="Elision"/>
            <w:vertAlign w:val="superscript"/>
          </w:rPr>
          <w:t xml:space="preserve">[ … ]</w:t>
        </w:r>
      </w:hyperlink>
    </w:p>
    <w:p>
      <w:pPr>
        <w:pStyle w:val="CaseBody"/>
      </w:pPr>
      <w:r>
        <w:t xml:space="preserve">All 28 defendants were notified of the initiation of the suit by certified mail directed to their last known addresses and by publication in a New Castle County newspaper. The 21 defendants whose property was seized (hereafter referred to as appellants) responded by entering a special appearance for</w:t>
      </w:r>
      <w:r>
        <w:t xml:space="preserve"> </w:t>
      </w:r>
      <w:r>
        <w:rPr>
          <w:rStyle w:val="Elision"/>
        </w:rPr>
        <w:t xml:space="preserve">[ … ]</w:t>
      </w:r>
      <w:r>
        <w:t xml:space="preserve"> </w:t>
      </w:r>
      <w:r>
        <w:t xml:space="preserve">the purpose of moving to quash service of process and to vacate the sequestration order. They contended that the</w:t>
      </w:r>
      <w:r>
        <w:t xml:space="preserve"> </w:t>
      </w:r>
      <w:r>
        <w:rPr>
          <w:iCs/>
          <w:i/>
        </w:rPr>
        <w:t xml:space="preserve">ex parte</w:t>
      </w:r>
      <w:r>
        <w:t xml:space="preserve"> </w:t>
      </w:r>
      <w:r>
        <w:t xml:space="preserve">sequestration procedure did not accord them due process of law and that the property seized was not capable of attachment in Delaware. In addition, appellants asserted that under the rule of</w:t>
      </w:r>
      <w:r>
        <w:t xml:space="preserve">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 they did not have sufficient contacts with Delaware to sustain the jurisdiction of that State's courts.</w:t>
      </w:r>
    </w:p>
    <w:p>
      <w:pPr>
        <w:pStyle w:val="CaseBody"/>
      </w:pPr>
      <w:r>
        <w:t xml:space="preserve">The Court of Chancery rejected these arguments in a letter opinion which emphasized the purpose of the Delaware sequestration procedure</w:t>
      </w:r>
      <w:r>
        <w:rPr>
          <w:rStyle w:val="Elision"/>
        </w:rPr>
        <w:t xml:space="preserve">[ … ]</w:t>
      </w:r>
    </w:p>
    <w:p>
      <w:pPr>
        <w:pStyle w:val="CaseBody"/>
      </w:pPr>
      <w:r>
        <w:t xml:space="preserve">On appeal, the Delaware Supreme Court affirmed the judgment of the Court of Chancery.</w:t>
      </w:r>
      <w:r>
        <w:t xml:space="preserve"> </w:t>
      </w:r>
      <w:r>
        <w:rPr>
          <w:rStyle w:val="Elision"/>
        </w:rPr>
        <w:t xml:space="preserve">[ … ]</w:t>
      </w:r>
      <w:r>
        <w:t xml:space="preserve">. Most of the Supreme Court's opinion was devoted to rejecting appellants' contention that the sequestration procedure is inconsistent with the due process analysis developed in the</w:t>
      </w:r>
      <w:r>
        <w:t xml:space="preserve"> </w:t>
      </w:r>
      <w:r>
        <w:rPr>
          <w:iCs/>
          <w:i/>
        </w:rPr>
        <w:t xml:space="preserve">Sniadach</w:t>
      </w:r>
      <w:r>
        <w:t xml:space="preserve"> </w:t>
      </w:r>
      <w:r>
        <w:t xml:space="preserve">line of cases. The court based its rejection of that argument in part on its agreement with the Court of Chancery that the purpose of the sequestration procedure is to compel the appearance of the defendant, a purpose not involved in the</w:t>
      </w:r>
      <w:r>
        <w:t xml:space="preserve"> </w:t>
      </w:r>
      <w:r>
        <w:rPr>
          <w:iCs/>
          <w:i/>
        </w:rPr>
        <w:t xml:space="preserve">Sniadach</w:t>
      </w:r>
      <w:r>
        <w:t xml:space="preserve"> </w:t>
      </w:r>
      <w:r>
        <w:t xml:space="preserve">cases. The court also relied on what it considered the ancient origins of the sequestration procedure and approval of that procedure in the opinions of this Court,</w:t>
      </w:r>
      <w:hyperlink w:anchor="X7ffb74b652dcd667070fbc54bb514f69b3f3604">
        <w:r>
          <w:rPr>
            <w:rStyle w:val="Elision"/>
            <w:vertAlign w:val="superscript"/>
          </w:rPr>
          <w:t xml:space="preserve">[ … ]</w:t>
        </w:r>
      </w:hyperlink>
      <w:r>
        <w:t xml:space="preserve">Delaware's interest in asserting jurisdiction to adjudicate claims of mismanagement of a Delaware corporation, and the safeguards for defendants that it found in the Delaware statute</w:t>
      </w:r>
      <w:r>
        <w:rPr>
          <w:rStyle w:val="Elision"/>
        </w:rPr>
        <w:t xml:space="preserve">[ … ]</w:t>
      </w:r>
      <w:r>
        <w:t xml:space="preserve">.</w:t>
      </w:r>
    </w:p>
    <w:p>
      <w:pPr>
        <w:pStyle w:val="CaseBody"/>
      </w:pPr>
      <w:r>
        <w:rPr>
          <w:rStyle w:val="Elision"/>
        </w:rPr>
        <w:t xml:space="preserve">[ … ]</w:t>
      </w:r>
      <w:r>
        <w:t xml:space="preserve"> </w:t>
      </w:r>
      <w:r>
        <w:t xml:space="preserve">Appellants' claim that the Delaware courts did not have jurisdiction to adjudicate this action received much more cursory treatment.</w:t>
      </w:r>
      <w:r>
        <w:t xml:space="preserve"> </w:t>
      </w:r>
      <w:r>
        <w:rPr>
          <w:rStyle w:val="Elision"/>
        </w:rPr>
        <w:t xml:space="preserve">[ … ]</w:t>
      </w:r>
    </w:p>
    <w:p>
      <w:pPr>
        <w:pStyle w:val="CaseBody"/>
      </w:pPr>
      <w:r>
        <w:t xml:space="preserve">We reverse.</w:t>
      </w:r>
    </w:p>
    <w:bookmarkEnd w:id="71"/>
    <w:bookmarkStart w:id="72" w:name="ii-3"/>
    <w:p>
      <w:pPr>
        <w:pStyle w:val="Heading2"/>
      </w:pPr>
      <w:r>
        <w:rPr>
          <w:rStyle w:val="Elision"/>
        </w:rPr>
        <w:t xml:space="preserve">[ … ]</w:t>
      </w:r>
      <w:r>
        <w:t xml:space="preserve"> </w:t>
      </w:r>
      <w:r>
        <w:t xml:space="preserve">II</w:t>
      </w:r>
    </w:p>
    <w:p>
      <w:pPr>
        <w:pStyle w:val="CaseBody"/>
      </w:pPr>
      <w:r>
        <w:t xml:space="preserve">The Delaware courts rejected appellants' jurisdictional challenge by noting that this suit was brought as a</w:t>
      </w:r>
      <w:r>
        <w:t xml:space="preserve"> </w:t>
      </w:r>
      <w:r>
        <w:rPr>
          <w:iCs/>
          <w:i/>
        </w:rPr>
        <w:t xml:space="preserve">quasi in rem</w:t>
      </w:r>
      <w:r>
        <w:t xml:space="preserve"> </w:t>
      </w:r>
      <w:r>
        <w:t xml:space="preserve">proceeding. Since</w:t>
      </w:r>
      <w:r>
        <w:t xml:space="preserve"> </w:t>
      </w:r>
      <w:r>
        <w:rPr>
          <w:iCs/>
          <w:i/>
        </w:rPr>
        <w:t xml:space="preserve">quasi in rem</w:t>
      </w:r>
      <w:r>
        <w:t xml:space="preserve"> </w:t>
      </w:r>
      <w:r>
        <w:t xml:space="preserve">jurisdiction is traditionally based on attachment or seizure of property present in the jurisdiction, not on contacts between the defendant and the State, the courts considered appellants' claimed lack of contacts with Delaware to be unimportant. This categorical analysis assumes the continued soundness of the conceptual structure founded on the century-old case of</w:t>
      </w:r>
      <w:r>
        <w:t xml:space="preserve"> </w:t>
      </w:r>
      <w:r>
        <w:rPr>
          <w:iCs/>
          <w:i/>
        </w:rPr>
        <w:t xml:space="preserve">Pennoyer</w:t>
      </w:r>
      <w:r>
        <w:t xml:space="preserve"> </w:t>
      </w:r>
      <w:r>
        <w:t xml:space="preserve">v.</w:t>
      </w:r>
      <w:r>
        <w:t xml:space="preserve"> </w:t>
      </w:r>
      <w:r>
        <w:rPr>
          <w:iCs/>
          <w:i/>
        </w:rPr>
        <w:t xml:space="preserve">Neff</w:t>
      </w:r>
      <w:r>
        <w:rPr>
          <w:rStyle w:val="Elision"/>
        </w:rPr>
        <w:t xml:space="preserve">[ … ]</w:t>
      </w:r>
      <w:r>
        <w:rPr>
          <w:rStyle w:val="ReplacementText"/>
        </w:rPr>
        <w:t xml:space="preserve">, even though the Court abandoned the Pennoyer framework in Interntional Shoe.</w:t>
      </w:r>
    </w:p>
    <w:p>
      <w:pPr>
        <w:pStyle w:val="CaseBody"/>
      </w:pPr>
      <w:r>
        <w:rPr>
          <w:rStyle w:val="Elision"/>
        </w:rPr>
        <w:t xml:space="preserve">[ … ]</w:t>
      </w:r>
    </w:p>
    <w:p>
      <w:pPr>
        <w:pStyle w:val="CaseBody"/>
      </w:pPr>
      <w:r>
        <w:t xml:space="preserve">No equally dramatic change has occurred in the law governing jurisdiction</w:t>
      </w:r>
      <w:r>
        <w:t xml:space="preserve"> </w:t>
      </w:r>
      <w:r>
        <w:rPr>
          <w:iCs/>
          <w:i/>
        </w:rPr>
        <w:t xml:space="preserve">in rem.</w:t>
      </w:r>
      <w:r>
        <w:t xml:space="preserve"> </w:t>
      </w:r>
      <w:r>
        <w:t xml:space="preserve">There have, however, been intimations that the collapse of the</w:t>
      </w:r>
      <w:r>
        <w:t xml:space="preserve"> </w:t>
      </w:r>
      <w:r>
        <w:rPr>
          <w:iCs/>
          <w:i/>
        </w:rPr>
        <w:t xml:space="preserve">in personam</w:t>
      </w:r>
      <w:r>
        <w:t xml:space="preserve"> </w:t>
      </w:r>
      <w:r>
        <w:t xml:space="preserve">wing of</w:t>
      </w:r>
      <w:r>
        <w:t xml:space="preserve"> </w:t>
      </w:r>
      <w:r>
        <w:rPr>
          <w:iCs/>
          <w:i/>
        </w:rPr>
        <w:t xml:space="preserve">Pennoyer</w:t>
      </w:r>
      <w:r>
        <w:t xml:space="preserve"> </w:t>
      </w:r>
      <w:r>
        <w:t xml:space="preserve">has not left that decision unweakened as a foundation for</w:t>
      </w:r>
      <w:r>
        <w:t xml:space="preserve"> </w:t>
      </w:r>
      <w:r>
        <w:rPr>
          <w:iCs/>
          <w:i/>
        </w:rPr>
        <w:t xml:space="preserve">in rem</w:t>
      </w:r>
      <w:r>
        <w:t xml:space="preserve"> </w:t>
      </w:r>
      <w:r>
        <w:t xml:space="preserve">jurisdiction. Well-reasoned lower court opinions have questioned the proposition that the presence of property in a State gives that State jurisdiction to adjudicate rights to the property regardless of the relationship of the underlying dispute and the property owner to the forum.</w:t>
      </w:r>
      <w:r>
        <w:t xml:space="preserve"> </w:t>
      </w:r>
      <w:r>
        <w:rPr>
          <w:rStyle w:val="Elision"/>
        </w:rPr>
        <w:t xml:space="preserve">[ … ]</w:t>
      </w:r>
      <w:r>
        <w:t xml:space="preserve"> </w:t>
      </w:r>
      <w:r>
        <w:t xml:space="preserve">The overwhelming majority of commentators have also rejected</w:t>
      </w:r>
      <w:r>
        <w:t xml:space="preserve"> </w:t>
      </w:r>
      <w:r>
        <w:rPr>
          <w:iCs/>
          <w:i/>
        </w:rPr>
        <w:t xml:space="preserve">Pennoyer</w:t>
      </w:r>
      <w:r>
        <w:t xml:space="preserve">'s premise that a proceeding "against" property is not a proceeding against the owners of that property. Accordingly, they urge that the "traditional notions of fair play and substantial justice" that govern a State's power to adjudicate</w:t>
      </w:r>
      <w:r>
        <w:t xml:space="preserve"> </w:t>
      </w:r>
      <w:r>
        <w:rPr>
          <w:iCs/>
          <w:i/>
        </w:rPr>
        <w:t xml:space="preserve">in personam</w:t>
      </w:r>
      <w:r>
        <w:t xml:space="preserve"> </w:t>
      </w:r>
      <w:r>
        <w:t xml:space="preserve">should also govern its power to adjudicate personal rights to property located in the State.</w:t>
      </w:r>
      <w:r>
        <w:t xml:space="preserve"> </w:t>
      </w:r>
      <w:r>
        <w:rPr>
          <w:rStyle w:val="Elision"/>
        </w:rPr>
        <w:t xml:space="preserve">[ … ]</w:t>
      </w:r>
      <w:r>
        <w:rPr>
          <w:rStyle w:val="Elision"/>
        </w:rPr>
        <w:t xml:space="preserve">[ … ]</w:t>
      </w:r>
    </w:p>
    <w:p>
      <w:pPr>
        <w:pStyle w:val="CaseBody"/>
      </w:pPr>
      <w:r>
        <w:rPr>
          <w:rStyle w:val="Elision"/>
        </w:rPr>
        <w:t xml:space="preserve">[ … ]</w:t>
      </w:r>
      <w:r>
        <w:t xml:space="preserve"> </w:t>
      </w:r>
      <w:r>
        <w:t xml:space="preserve">Although this Court has not addressed this argument directly, we have held that property cannot be subjected to a court's judgment unless reasonable and appropriate efforts have been made to give the property owners actual notice of the action.</w:t>
      </w:r>
      <w:r>
        <w:t xml:space="preserve"> </w:t>
      </w:r>
      <w:r>
        <w:rPr>
          <w:rStyle w:val="Elision"/>
        </w:rPr>
        <w:t xml:space="preserve">[ … ]</w:t>
      </w:r>
      <w:r>
        <w:t xml:space="preserve"> </w:t>
      </w:r>
      <w:r>
        <w:t xml:space="preserve">This conclusion recognizes, contrary to</w:t>
      </w:r>
      <w:r>
        <w:t xml:space="preserve"> </w:t>
      </w:r>
      <w:r>
        <w:rPr>
          <w:iCs/>
          <w:i/>
        </w:rPr>
        <w:t xml:space="preserve">Pennoyer,</w:t>
      </w:r>
      <w:r>
        <w:t xml:space="preserve"> </w:t>
      </w:r>
      <w:r>
        <w:t xml:space="preserve">that an adverse judgment</w:t>
      </w:r>
      <w:r>
        <w:t xml:space="preserve"> </w:t>
      </w:r>
      <w:r>
        <w:rPr>
          <w:iCs/>
          <w:i/>
        </w:rPr>
        <w:t xml:space="preserve">in rem</w:t>
      </w:r>
      <w:r>
        <w:t xml:space="preserve"> </w:t>
      </w:r>
      <w:r>
        <w:t xml:space="preserve">directly affects the property owner by divesting him of his rights in the property before the court.</w:t>
      </w:r>
      <w:r>
        <w:t xml:space="preserve"> </w:t>
      </w:r>
      <w:r>
        <w:rPr>
          <w:rStyle w:val="Elision"/>
        </w:rPr>
        <w:t xml:space="preserve">[ … ]</w:t>
      </w:r>
    </w:p>
    <w:p>
      <w:pPr>
        <w:pStyle w:val="CaseBody"/>
      </w:pPr>
      <w:r>
        <w:t xml:space="preserve">It is clear, therefore, that the law of state-court jurisdiction no longer stands securely on the foundation established in</w:t>
      </w:r>
      <w:r>
        <w:t xml:space="preserve"> </w:t>
      </w:r>
      <w:r>
        <w:rPr>
          <w:iCs/>
          <w:i/>
        </w:rPr>
        <w:t xml:space="preserve">Pennoyer.</w:t>
      </w:r>
      <w:hyperlink w:anchor="Xfc4583ccb4a77538dac0bb658bd2a81baee09cb">
        <w:r>
          <w:rPr>
            <w:rStyle w:val="Elision"/>
            <w:vertAlign w:val="superscript"/>
          </w:rPr>
          <w:t xml:space="preserve">[ … ]</w:t>
        </w:r>
      </w:hyperlink>
      <w:r>
        <w:t xml:space="preserve"> </w:t>
      </w:r>
      <w:r>
        <w:t xml:space="preserve">We think that the time is ripe to consider whether the standard of fairness and substantial justice set forth in</w:t>
      </w:r>
      <w:r>
        <w:t xml:space="preserve"> </w:t>
      </w:r>
      <w:r>
        <w:rPr>
          <w:iCs/>
          <w:i/>
        </w:rPr>
        <w:t xml:space="preserve">International Shoe</w:t>
      </w:r>
      <w:r>
        <w:t xml:space="preserve"> </w:t>
      </w:r>
      <w:r>
        <w:t xml:space="preserve">should be held to govern actions</w:t>
      </w:r>
      <w:r>
        <w:t xml:space="preserve"> </w:t>
      </w:r>
      <w:r>
        <w:rPr>
          <w:iCs/>
          <w:i/>
        </w:rPr>
        <w:t xml:space="preserve">in rem</w:t>
      </w:r>
      <w:r>
        <w:rPr>
          <w:rStyle w:val="FootnoteReference"/>
          <w:iCs/>
          <w:i/>
        </w:rPr>
        <w:footnoteReference w:customMarkFollows="1" w:id="70"/>
        <w:t xml:space="preserve">**</w:t>
      </w:r>
      <w:r>
        <w:t xml:space="preserve"> </w:t>
      </w:r>
      <w:r>
        <w:t xml:space="preserve">as well as</w:t>
      </w:r>
      <w:r>
        <w:t xml:space="preserve"> </w:t>
      </w:r>
      <w:r>
        <w:rPr>
          <w:iCs/>
          <w:i/>
        </w:rPr>
        <w:t xml:space="preserve">in personam.</w:t>
      </w:r>
    </w:p>
    <w:bookmarkEnd w:id="72"/>
    <w:bookmarkStart w:id="73" w:name="iii-3"/>
    <w:p>
      <w:pPr>
        <w:pStyle w:val="Heading2"/>
      </w:pPr>
      <w:r>
        <w:rPr>
          <w:rStyle w:val="Elision"/>
        </w:rPr>
        <w:t xml:space="preserve">[ … ]</w:t>
      </w:r>
      <w:r>
        <w:t xml:space="preserve"> </w:t>
      </w:r>
      <w:r>
        <w:t xml:space="preserve">III</w:t>
      </w:r>
    </w:p>
    <w:p>
      <w:pPr>
        <w:pStyle w:val="CaseBody"/>
      </w:pPr>
      <w:r>
        <w:t xml:space="preserve">The case for applying to jurisdiction</w:t>
      </w:r>
      <w:r>
        <w:t xml:space="preserve"> </w:t>
      </w:r>
      <w:r>
        <w:rPr>
          <w:iCs/>
          <w:i/>
        </w:rPr>
        <w:t xml:space="preserve">in rem</w:t>
      </w:r>
      <w:r>
        <w:t xml:space="preserve"> </w:t>
      </w:r>
      <w:r>
        <w:t xml:space="preserve">the same test of "fair play and substantial justice" as governs assertions of jurisdiction</w:t>
      </w:r>
      <w:r>
        <w:t xml:space="preserve"> </w:t>
      </w:r>
      <w:r>
        <w:rPr>
          <w:iCs/>
          <w:i/>
        </w:rPr>
        <w:t xml:space="preserve">in personam</w:t>
      </w:r>
      <w:r>
        <w:t xml:space="preserve"> </w:t>
      </w:r>
      <w:r>
        <w:t xml:space="preserve">is simple and straightforward. It is premised on recognition that "[t]he phrase, `judicial jurisdiction over a thing,' is a customary elliptical way of referring to jurisdiction over the interests of persons in a thing."</w:t>
      </w:r>
      <w:r>
        <w:t xml:space="preserve"> </w:t>
      </w:r>
      <w:r>
        <w:rPr>
          <w:rStyle w:val="Elision"/>
        </w:rPr>
        <w:t xml:space="preserve">[ … ]</w:t>
      </w:r>
      <w:r>
        <w:t xml:space="preserve"> </w:t>
      </w:r>
      <w:r>
        <w:t xml:space="preserve">This recognition leads to the conclusion that in order to justify an exercise of jurisdiction</w:t>
      </w:r>
      <w:r>
        <w:t xml:space="preserve"> </w:t>
      </w:r>
      <w:r>
        <w:rPr>
          <w:iCs/>
          <w:i/>
        </w:rPr>
        <w:t xml:space="preserve">in rem,</w:t>
      </w:r>
      <w:r>
        <w:t xml:space="preserve"> </w:t>
      </w:r>
      <w:r>
        <w:t xml:space="preserve">the basis for jurisdiction must be sufficient to justify exercising "jurisdiction over the interests of persons in a thing."</w:t>
      </w:r>
      <w:hyperlink w:anchor="Xf319143e8ea70919172a65b448c0d109121ee0a">
        <w:r>
          <w:rPr>
            <w:rStyle w:val="Elision"/>
            <w:vertAlign w:val="superscript"/>
          </w:rPr>
          <w:t xml:space="preserve">[ … ]</w:t>
        </w:r>
      </w:hyperlink>
      <w:r>
        <w:t xml:space="preserve">The standard for determining whether an exercise of jurisdiction over the interests of persons is consistent with the Due Process Clause is the minimum-contacts standard elucidated in</w:t>
      </w:r>
      <w:r>
        <w:t xml:space="preserve"> </w:t>
      </w:r>
      <w:r>
        <w:rPr>
          <w:iCs/>
          <w:i/>
        </w:rPr>
        <w:t xml:space="preserve">International Shoe.</w:t>
      </w:r>
    </w:p>
    <w:p>
      <w:pPr>
        <w:pStyle w:val="CaseBody"/>
      </w:pPr>
      <w:r>
        <w:t xml:space="preserve">This argument, of course, does not ignore the fact that the presence of property in a State may bear on the existence of jurisdiction by providing contacts among the forum State, the defendant, and the litigation. For example, when claims to the property itself are the source of the underlying controversy between the plaintiff and the defendant,</w:t>
      </w:r>
      <w:hyperlink w:anchor="X442971ee4d8b5b9b4a1fbc933c148fa99914c30">
        <w:r>
          <w:rPr>
            <w:rStyle w:val="Elision"/>
            <w:vertAlign w:val="superscript"/>
          </w:rPr>
          <w:t xml:space="preserve">[ … ]</w:t>
        </w:r>
      </w:hyperlink>
      <w:r>
        <w:t xml:space="preserve">it would be unusual for the State where the property is located not to have jurisdiction. In such cases, the defendant's claim to property</w:t>
      </w:r>
      <w:r>
        <w:t xml:space="preserve"> </w:t>
      </w:r>
      <w:r>
        <w:rPr>
          <w:rStyle w:val="Elision"/>
        </w:rPr>
        <w:t xml:space="preserve">[ … ]</w:t>
      </w:r>
      <w:r>
        <w:t xml:space="preserve">located in the State would normally</w:t>
      </w:r>
      <w:hyperlink w:anchor="X5fc52923df2e501c5f04303e6df1bbb8feb476f">
        <w:r>
          <w:rPr>
            <w:rStyle w:val="Elision"/>
            <w:vertAlign w:val="superscript"/>
          </w:rPr>
          <w:t xml:space="preserve">[ … ]</w:t>
        </w:r>
      </w:hyperlink>
      <w:r>
        <w:t xml:space="preserve"> </w:t>
      </w:r>
      <w:r>
        <w:t xml:space="preserve">indicate that he expected to benefit from the State's protection of his interest.</w:t>
      </w:r>
      <w:hyperlink w:anchor="X411c83a6b42f813abe3ea93683a87291e570cdc">
        <w:r>
          <w:rPr>
            <w:rStyle w:val="Elision"/>
            <w:vertAlign w:val="superscript"/>
          </w:rPr>
          <w:t xml:space="preserve">[ … ]</w:t>
        </w:r>
      </w:hyperlink>
      <w:r>
        <w:t xml:space="preserve">The State's strong interests in assuring the marketability of property within its borders</w:t>
      </w:r>
      <w:hyperlink w:anchor="X20225d368267a8a9d40cc33cf72dd17d62d3cf7">
        <w:r>
          <w:rPr>
            <w:rStyle w:val="Elision"/>
            <w:vertAlign w:val="superscript"/>
          </w:rPr>
          <w:t xml:space="preserve">[ … ]</w:t>
        </w:r>
      </w:hyperlink>
      <w:r>
        <w:t xml:space="preserve"> </w:t>
      </w:r>
      <w:r>
        <w:t xml:space="preserve">and in providing a procedure for peaceful resolution of disputes about the possession of that property would also support jurisdiction, as would the likelihood that important records and witnesses will be found in the State.</w:t>
      </w:r>
      <w:hyperlink w:anchor="Xf54aa8d36f46cbe80b656d1135a2d03279af434">
        <w:r>
          <w:rPr>
            <w:rStyle w:val="Elision"/>
            <w:vertAlign w:val="superscript"/>
          </w:rPr>
          <w:t xml:space="preserve">[ … ]</w:t>
        </w:r>
      </w:hyperlink>
      <w:r>
        <w:t xml:space="preserve">The presence of property may also favor jurisdiction in cases, such as suits for injury suffered on the land of an absentee owner, where the defendant's ownership of the property is conceded but the cause of action is otherwise related to rights and duties growing out of that ownership.</w:t>
      </w:r>
      <w:hyperlink w:anchor="Xaae852a00bf35008e00a5bbde3157fd2408e494">
        <w:r>
          <w:rPr>
            <w:rStyle w:val="Elision"/>
            <w:vertAlign w:val="superscript"/>
          </w:rPr>
          <w:t xml:space="preserve">[ … ]</w:t>
        </w:r>
      </w:hyperlink>
    </w:p>
    <w:p>
      <w:pPr>
        <w:pStyle w:val="CaseBody"/>
      </w:pPr>
      <w:r>
        <w:t xml:space="preserve">It appears, therefore, that jurisdiction over many types of actions which now are or might be brought</w:t>
      </w:r>
      <w:r>
        <w:t xml:space="preserve"> </w:t>
      </w:r>
      <w:r>
        <w:rPr>
          <w:iCs/>
          <w:i/>
        </w:rPr>
        <w:t xml:space="preserve">in rem</w:t>
      </w:r>
      <w:r>
        <w:t xml:space="preserve"> </w:t>
      </w:r>
      <w:r>
        <w:t xml:space="preserve">would not be affected by a holding that any assertion of state-court jurisdiction must satisfy the</w:t>
      </w:r>
      <w:r>
        <w:t xml:space="preserve"> </w:t>
      </w:r>
      <w:r>
        <w:rPr>
          <w:iCs/>
          <w:i/>
        </w:rPr>
        <w:t xml:space="preserve">International Shoe</w:t>
      </w:r>
      <w:r>
        <w:t xml:space="preserve"> </w:t>
      </w:r>
      <w:r>
        <w:t xml:space="preserve">standard.</w:t>
      </w:r>
      <w:hyperlink w:anchor="Xbf488b2cb18affc95152ea08cdbe8083cae40cb">
        <w:r>
          <w:rPr>
            <w:rStyle w:val="Elision"/>
            <w:vertAlign w:val="superscript"/>
          </w:rPr>
          <w:t xml:space="preserve">[ … ]</w:t>
        </w:r>
      </w:hyperlink>
      <w:r>
        <w:t xml:space="preserve">For the type of</w:t>
      </w:r>
      <w:r>
        <w:t xml:space="preserve"> </w:t>
      </w:r>
      <w:r>
        <w:rPr>
          <w:iCs/>
          <w:i/>
        </w:rPr>
        <w:t xml:space="preserve">quasi in rem</w:t>
      </w:r>
      <w:r>
        <w:t xml:space="preserve"> </w:t>
      </w:r>
      <w:r>
        <w:t xml:space="preserve">action typified by</w:t>
      </w:r>
      <w:r>
        <w:t xml:space="preserve"> </w:t>
      </w:r>
      <w:r>
        <w:rPr>
          <w:iCs/>
          <w:i/>
        </w:rPr>
        <w:t xml:space="preserve">Harris</w:t>
      </w:r>
      <w:r>
        <w:t xml:space="preserve"> </w:t>
      </w:r>
      <w:r>
        <w:t xml:space="preserve">v.</w:t>
      </w:r>
      <w:r>
        <w:t xml:space="preserve"> </w:t>
      </w:r>
      <w:r>
        <w:rPr>
          <w:iCs/>
          <w:i/>
        </w:rPr>
        <w:t xml:space="preserve">Balk</w:t>
      </w:r>
      <w:r>
        <w:t xml:space="preserve"> </w:t>
      </w:r>
      <w:r>
        <w:t xml:space="preserve">and the present case, however, accepting the proposed analysis would result in significant change. These are cases where</w:t>
      </w:r>
      <w:r>
        <w:t xml:space="preserve"> </w:t>
      </w:r>
      <w:r>
        <w:rPr>
          <w:rStyle w:val="Elision"/>
        </w:rPr>
        <w:t xml:space="preserve">[ … ]</w:t>
      </w:r>
      <w:r>
        <w:t xml:space="preserve"> </w:t>
      </w:r>
      <w:r>
        <w:t xml:space="preserve">the property which now serves as the basis for state-court jurisdiction is completely unrelated to the plaintiff's cause of action. Thus, although the presence of the defendant's property in a State might suggest the existence of other ties among the defendant, the State, and the litigation, the presence of the property alone would not support the State's jurisdiction. If those other ties did not exist, cases over which the State is now thought to have jurisdiction could not be brought in that forum.</w:t>
      </w:r>
    </w:p>
    <w:p>
      <w:pPr>
        <w:pStyle w:val="CaseBody"/>
      </w:pPr>
      <w:r>
        <w:t xml:space="preserve">Since acceptance of the</w:t>
      </w:r>
      <w:r>
        <w:t xml:space="preserve"> </w:t>
      </w:r>
      <w:r>
        <w:rPr>
          <w:iCs/>
          <w:i/>
        </w:rPr>
        <w:t xml:space="preserve">International Shoe</w:t>
      </w:r>
      <w:r>
        <w:t xml:space="preserve"> </w:t>
      </w:r>
      <w:r>
        <w:t xml:space="preserve">test would most affect this class of cases, we examine the arguments against adopting that standard as they relate to this category of litigation.</w:t>
      </w:r>
      <w:hyperlink w:anchor="X441fb88295ca7efb4fe24a6290f2d28c8e33007">
        <w:r>
          <w:rPr>
            <w:rStyle w:val="Elision"/>
            <w:vertAlign w:val="superscript"/>
          </w:rPr>
          <w:t xml:space="preserve">[ … ]</w:t>
        </w:r>
      </w:hyperlink>
      <w:r>
        <w:t xml:space="preserve"> </w:t>
      </w:r>
      <w:r>
        <w:t xml:space="preserve">Before doing so, however, we note that this type of case also presents the clearest illustration of the argument in favor of assessing assertions of jurisdiction by a single standard. For in cases such as</w:t>
      </w:r>
      <w:r>
        <w:t xml:space="preserve"> </w:t>
      </w:r>
      <w:r>
        <w:rPr>
          <w:iCs/>
          <w:i/>
        </w:rPr>
        <w:t xml:space="preserve">Harris</w:t>
      </w:r>
      <w:r>
        <w:t xml:space="preserve"> </w:t>
      </w:r>
      <w:r>
        <w:t xml:space="preserve">and this one, the only role played by the property is to provide the basis for bringing the defendant into court.</w:t>
      </w:r>
      <w:hyperlink w:anchor="X52f744d4059fedcb625efc1e9fda06f7346c3c4">
        <w:r>
          <w:rPr>
            <w:rStyle w:val="Elision"/>
            <w:vertAlign w:val="superscript"/>
          </w:rPr>
          <w:t xml:space="preserve">[ … ]</w:t>
        </w:r>
      </w:hyperlink>
      <w:r>
        <w:t xml:space="preserve">Indeed, the express purpose of the Delaware sequestration procedure is to compel the defendant to enter a personal appearance.</w:t>
      </w:r>
      <w:hyperlink w:anchor="Xf70c98a42dc3d937b14fcdefc39222874a84896">
        <w:r>
          <w:rPr>
            <w:rStyle w:val="Elision"/>
            <w:vertAlign w:val="superscript"/>
          </w:rPr>
          <w:t xml:space="preserve">[ … ]</w:t>
        </w:r>
      </w:hyperlink>
      <w:r>
        <w:t xml:space="preserve">In such cases, if a direct assertion of personal jurisdiction over the defendant would violate the Constitution, it would seem that an indirect assertion of that jurisdiction should be equally impermissible.</w:t>
      </w:r>
    </w:p>
    <w:p>
      <w:pPr>
        <w:pStyle w:val="CaseBody"/>
      </w:pPr>
      <w:r>
        <w:rPr>
          <w:rStyle w:val="Elision"/>
        </w:rPr>
        <w:t xml:space="preserve">[ … ]</w:t>
      </w:r>
      <w:r>
        <w:t xml:space="preserve">The primary rationale for treating the presence of property as a sufficient basis for jurisdiction to adjudicate claims over which the State would not have jurisdiction if</w:t>
      </w:r>
      <w:r>
        <w:t xml:space="preserve"> </w:t>
      </w:r>
      <w:r>
        <w:rPr>
          <w:iCs/>
          <w:i/>
        </w:rPr>
        <w:t xml:space="preserve">International Shoe</w:t>
      </w:r>
      <w:r>
        <w:t xml:space="preserve"> </w:t>
      </w:r>
      <w:r>
        <w:t xml:space="preserve">applied is that a wrongdoer</w:t>
      </w:r>
    </w:p>
    <w:p>
      <w:pPr>
        <w:pStyle w:val="BlockText"/>
      </w:pPr>
      <w:r>
        <w:t xml:space="preserve">"should not be able to avoid payment of his obligations by the expedient of removing his assets to a place where he is not subject to an in personam suit."</w:t>
      </w:r>
      <w:r>
        <w:t xml:space="preserve"> </w:t>
      </w:r>
      <w:r>
        <w:rPr>
          <w:rStyle w:val="Elision"/>
        </w:rPr>
        <w:t xml:space="preserve">[ … ]</w:t>
      </w:r>
    </w:p>
    <w:p>
      <w:pPr>
        <w:pStyle w:val="CaseBody"/>
      </w:pPr>
      <w:r>
        <w:rPr>
          <w:rStyle w:val="Elision"/>
        </w:rPr>
        <w:t xml:space="preserve">[ … ]</w:t>
      </w:r>
      <w:r>
        <w:t xml:space="preserve">This justification, however, does not explain why jurisdiction should be recognized without regard to whether the property is present in the State because of an effort to avoid the owner's obligations. Nor does it support jurisdiction to adjudicate the underlying claim. At most, it suggests that a State in which property is located should have jurisdiction to attach that property, by use of proper procedures,</w:t>
      </w:r>
      <w:hyperlink w:anchor="Xca94acb2b65b22bb8ffb71adb975b06d9904b8f">
        <w:r>
          <w:rPr>
            <w:rStyle w:val="Elision"/>
            <w:vertAlign w:val="superscript"/>
          </w:rPr>
          <w:t xml:space="preserve">[ … ]</w:t>
        </w:r>
      </w:hyperlink>
      <w:r>
        <w:t xml:space="preserve">as security for a judgment being sought in a forum where the litigation can be maintained consistently with</w:t>
      </w:r>
      <w:r>
        <w:t xml:space="preserve"> </w:t>
      </w:r>
      <w:r>
        <w:rPr>
          <w:iCs/>
          <w:i/>
        </w:rPr>
        <w:t xml:space="preserve">International Shoe.</w:t>
      </w:r>
      <w:r>
        <w:t xml:space="preserve"> </w:t>
      </w:r>
      <w:r>
        <w:rPr>
          <w:rStyle w:val="Elision"/>
        </w:rPr>
        <w:t xml:space="preserve">[ … ]</w:t>
      </w:r>
      <w:r>
        <w:t xml:space="preserve">Moreover, we know of nothing to justify the assumption that a debtor can avoid paying his obligations by removing his property to a State in which his creditor cannot obtain personal jurisdiction over him.</w:t>
      </w:r>
      <w:hyperlink w:anchor="X359afafefff89919604c8e03ce1b0e2dce9aed0">
        <w:r>
          <w:rPr>
            <w:rStyle w:val="Elision"/>
            <w:vertAlign w:val="superscript"/>
          </w:rPr>
          <w:t xml:space="preserve">[ … ]</w:t>
        </w:r>
      </w:hyperlink>
      <w:r>
        <w:t xml:space="preserve"> </w:t>
      </w:r>
      <w:r>
        <w:t xml:space="preserve">The Full Faith and Credit Clause, after all, makes the valid</w:t>
      </w:r>
      <w:r>
        <w:t xml:space="preserve"> </w:t>
      </w:r>
      <w:r>
        <w:rPr>
          <w:iCs/>
          <w:i/>
        </w:rPr>
        <w:t xml:space="preserve">in personam</w:t>
      </w:r>
      <w:r>
        <w:t xml:space="preserve"> </w:t>
      </w:r>
      <w:r>
        <w:t xml:space="preserve">judgment of one State enforceable in all other States.</w:t>
      </w:r>
      <w:hyperlink w:anchor="X605f4740568294d3ac6c9b7af383b6383e9ce9a">
        <w:r>
          <w:rPr>
            <w:rStyle w:val="Elision"/>
            <w:vertAlign w:val="superscript"/>
          </w:rPr>
          <w:t xml:space="preserve">[ … ]</w:t>
        </w:r>
      </w:hyperlink>
    </w:p>
    <w:p>
      <w:pPr>
        <w:pStyle w:val="CaseBody"/>
      </w:pPr>
      <w:r>
        <w:rPr>
          <w:rStyle w:val="Elision"/>
        </w:rPr>
        <w:t xml:space="preserve">[ … ]</w:t>
      </w:r>
      <w:r>
        <w:t xml:space="preserve">It might also be suggested that allowing</w:t>
      </w:r>
      <w:r>
        <w:t xml:space="preserve"> </w:t>
      </w:r>
      <w:r>
        <w:rPr>
          <w:iCs/>
          <w:i/>
        </w:rPr>
        <w:t xml:space="preserve">in rem</w:t>
      </w:r>
      <w:r>
        <w:t xml:space="preserve"> </w:t>
      </w:r>
      <w:r>
        <w:t xml:space="preserve">jurisdiction avoids the uncertainty inherent in the</w:t>
      </w:r>
      <w:r>
        <w:t xml:space="preserve"> </w:t>
      </w:r>
      <w:r>
        <w:rPr>
          <w:iCs/>
          <w:i/>
        </w:rPr>
        <w:t xml:space="preserve">International Shoe</w:t>
      </w:r>
      <w:r>
        <w:t xml:space="preserve"> </w:t>
      </w:r>
      <w:r>
        <w:t xml:space="preserve">standard and assures a plaintiff of a forum.</w:t>
      </w:r>
      <w:hyperlink w:anchor="Xfeb4065fee930670c9af5025a842f3b688e6480">
        <w:r>
          <w:rPr>
            <w:rStyle w:val="Hyperlink"/>
            <w:vertAlign w:val="superscript"/>
          </w:rPr>
          <w:t xml:space="preserve">[37]</w:t>
        </w:r>
      </w:hyperlink>
      <w:r>
        <w:t xml:space="preserve"> </w:t>
      </w:r>
      <w:r>
        <w:rPr>
          <w:rStyle w:val="Elision"/>
        </w:rPr>
        <w:t xml:space="preserve">[ … ]</w:t>
      </w:r>
      <w:r>
        <w:t xml:space="preserve"> </w:t>
      </w:r>
      <w:r>
        <w:t xml:space="preserve">We believe, however, that the fairness standard of</w:t>
      </w:r>
      <w:r>
        <w:t xml:space="preserve"> </w:t>
      </w:r>
      <w:r>
        <w:rPr>
          <w:iCs/>
          <w:i/>
        </w:rPr>
        <w:t xml:space="preserve">International Shoe</w:t>
      </w:r>
      <w:r>
        <w:t xml:space="preserve"> </w:t>
      </w:r>
      <w:r>
        <w:t xml:space="preserve">can be easily applied in the vast majority of cases. Moreover, when the existence of jurisdiction in a particular forum under</w:t>
      </w:r>
      <w:r>
        <w:t xml:space="preserve"> </w:t>
      </w:r>
      <w:r>
        <w:rPr>
          <w:iCs/>
          <w:i/>
        </w:rPr>
        <w:t xml:space="preserve">International Shoe</w:t>
      </w:r>
      <w:r>
        <w:t xml:space="preserve"> </w:t>
      </w:r>
      <w:r>
        <w:t xml:space="preserve">is unclear, the cost of simplifying the litigation by avoiding the jurisdictional question may be the sacrifice of "fair play and substantial justice." That cost is too high.</w:t>
      </w:r>
    </w:p>
    <w:p>
      <w:pPr>
        <w:pStyle w:val="CaseBody"/>
      </w:pPr>
      <w:r>
        <w:t xml:space="preserve">We are left, then, to consider the significance of the long history of jurisdiction based solely on the presence of property in a State. Although the theory that territorial power is both essential to and sufficient for jurisdiction has been undermined, we have never held that the presence of property in a State does not automatically confer jurisdiction over the owner's interest in that property.</w:t>
      </w:r>
      <w:hyperlink w:anchor="Xbcdc68b0e4ebca999228d7801e46515dafe5f83">
        <w:r>
          <w:rPr>
            <w:rStyle w:val="Hyperlink"/>
            <w:vertAlign w:val="superscript"/>
          </w:rPr>
          <w:t xml:space="preserve">[38]</w:t>
        </w:r>
      </w:hyperlink>
      <w:r>
        <w:t xml:space="preserve"> </w:t>
      </w:r>
      <w:r>
        <w:t xml:space="preserve">This history must be</w:t>
      </w:r>
      <w:r>
        <w:t xml:space="preserve"> </w:t>
      </w:r>
      <w:r>
        <w:rPr>
          <w:rStyle w:val="Elision"/>
        </w:rPr>
        <w:t xml:space="preserve">[ … ]</w:t>
      </w:r>
      <w:r>
        <w:t xml:space="preserve">considered as supporting the proposition that jurisdiction based solely on the presence of property satisfies the demands of due process,</w:t>
      </w:r>
      <w:r>
        <w:t xml:space="preserve"> </w:t>
      </w:r>
      <w:r>
        <w:rPr>
          <w:rStyle w:val="Elision"/>
        </w:rPr>
        <w:t xml:space="preserve">[ … ]</w:t>
      </w:r>
      <w:r>
        <w:t xml:space="preserve">, but it is not decisive. "[T]raditional notions of fair play and substantial justice" can be as readily offended by the perpetuation of ancient forms that are no longer justified as by the adoption of new procedures that are inconsistent with the basic values of our constitutional heritage.</w:t>
      </w:r>
      <w:r>
        <w:t xml:space="preserve"> </w:t>
      </w:r>
      <w:r>
        <w:rPr>
          <w:rStyle w:val="Elision"/>
        </w:rPr>
        <w:t xml:space="preserve">[ … ]</w:t>
      </w:r>
      <w:r>
        <w:t xml:space="preserve">The fiction that an assertion of jurisdiction over property is anything but an assertion of jurisdiction over the owner of the property supports an ancient form without substantial modern justification. Its continued acceptance would serve only to allow state-court jurisdiction that is fundamentally unfair to the defendant.</w:t>
      </w:r>
    </w:p>
    <w:p>
      <w:pPr>
        <w:pStyle w:val="CaseBody"/>
      </w:pPr>
      <w:r>
        <w:t xml:space="preserve">We therefore conclude that all assertions of state-court jurisdiction must be evaluated according to the standards set forth in</w:t>
      </w:r>
      <w:r>
        <w:t xml:space="preserve"> </w:t>
      </w:r>
      <w:r>
        <w:rPr>
          <w:iCs/>
          <w:i/>
        </w:rPr>
        <w:t xml:space="preserve">International Shoe</w:t>
      </w:r>
      <w:r>
        <w:t xml:space="preserve"> </w:t>
      </w:r>
      <w:r>
        <w:t xml:space="preserve">and its progeny.</w:t>
      </w:r>
      <w:hyperlink w:anchor="X914d6c59914c633b647bcc013983116453d94dc">
        <w:r>
          <w:rPr>
            <w:rStyle w:val="Elision"/>
            <w:vertAlign w:val="superscript"/>
          </w:rPr>
          <w:t xml:space="preserve">[ … ]</w:t>
        </w:r>
      </w:hyperlink>
    </w:p>
    <w:bookmarkEnd w:id="73"/>
    <w:bookmarkStart w:id="74" w:name="iv-1"/>
    <w:p>
      <w:pPr>
        <w:pStyle w:val="Heading2"/>
      </w:pPr>
      <w:r>
        <w:rPr>
          <w:rStyle w:val="Elision"/>
        </w:rPr>
        <w:t xml:space="preserve">[ … ]</w:t>
      </w:r>
      <w:r>
        <w:t xml:space="preserve"> </w:t>
      </w:r>
      <w:r>
        <w:t xml:space="preserve">IV</w:t>
      </w:r>
    </w:p>
    <w:p>
      <w:pPr>
        <w:pStyle w:val="CaseBody"/>
      </w:pPr>
      <w:r>
        <w:t xml:space="preserve">The Delaware courts based their assertion of jurisdiction in this case solely on the statutory presence of appellants' property in Delaware. Yet that property is not the subject matter of this litigation, nor is the underlying cause of action related to the property. Appellants' holdings in Greyhound do not, therefore, provide contacts with Delaware sufficient to support the jurisdiction of that State's courts over appellants. If it exists, that jurisdiction must have some other foundation.</w:t>
      </w:r>
      <w:hyperlink w:anchor="X1b611325273dbd93d91244e2bbe4fc1669da335">
        <w:r>
          <w:rPr>
            <w:rStyle w:val="Elision"/>
            <w:vertAlign w:val="superscript"/>
          </w:rPr>
          <w:t xml:space="preserve">[ … ]</w:t>
        </w:r>
      </w:hyperlink>
    </w:p>
    <w:p>
      <w:pPr>
        <w:pStyle w:val="CaseBody"/>
      </w:pPr>
      <w:r>
        <w:t xml:space="preserve">Appellee Heitner did not allege and does not now claim that appellants have ever set foot in Delaware. Nor does he identify any act related to his cause of action as having taken place in Delaware. Nevertheless, he contends that appellants' positions as directors and officers of a corporation chartered in Delaware</w:t>
      </w:r>
      <w:hyperlink w:anchor="Xf38230925f2615383c3b94ec1ae69a60b8cdec0">
        <w:r>
          <w:rPr>
            <w:rStyle w:val="Elision"/>
            <w:vertAlign w:val="superscript"/>
          </w:rPr>
          <w:t xml:space="preserve">[ … ]</w:t>
        </w:r>
      </w:hyperlink>
      <w:r>
        <w:t xml:space="preserve">provide sufficient "contacts, ties, or relations,"</w:t>
      </w:r>
      <w:r>
        <w:t xml:space="preserve">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 with that State to give its courts jurisdiction over appellants in this stockholder's derivative action. This argument is based primarily on what Heitner asserts to be the strong interest of Delaware in supervising the management of a Delaware corporation. That interest is said to derive from the role of Delaware law in establishing the corporation and defining the obligations owed to it by its officers and directors. In order to protect this interest, appellee concludes, Delaware's courts must have jurisdiction over corporate fiduciaries such as appellants.</w:t>
      </w:r>
    </w:p>
    <w:p>
      <w:pPr>
        <w:pStyle w:val="CaseBody"/>
      </w:pPr>
      <w:r>
        <w:t xml:space="preserve">This argument is undercut by the failure of the Delaware Legislature to assert the state interest appellee finds so compelling. Delaware law bases jurisdiction, not on appellants' status as corporate fiduciaries, but rather on the presence of their property in the State. Although the sequestration procedure used here may be most frequently used in derivative suits against officers and directors,</w:t>
      </w:r>
      <w:r>
        <w:t xml:space="preserve"> </w:t>
      </w:r>
      <w:r>
        <w:rPr>
          <w:rStyle w:val="Elision"/>
        </w:rPr>
        <w:t xml:space="preserve">[ … ]</w:t>
      </w:r>
      <w:r>
        <w:t xml:space="preserve"> </w:t>
      </w:r>
      <w:r>
        <w:t xml:space="preserve">the authorizing statute evinces no specific concern with such actions. Sequestration can be used in any suit against a nonresident,</w:t>
      </w:r>
      <w:hyperlink w:anchor="X3665fb646f0b089f516346ee47cbbb81b855fb1">
        <w:r>
          <w:rPr>
            <w:rStyle w:val="Elision"/>
            <w:vertAlign w:val="superscript"/>
          </w:rPr>
          <w:t xml:space="preserve">[ … ]</w:t>
        </w:r>
      </w:hyperlink>
      <w:r>
        <w:rPr>
          <w:rStyle w:val="Elision"/>
        </w:rPr>
        <w:t xml:space="preserve">[ … ]</w:t>
      </w:r>
      <w:r>
        <w:t xml:space="preserve"> </w:t>
      </w:r>
      <w:r>
        <w:t xml:space="preserve">and reaches corporate fiduciaries only if they happen to own interests in a Delaware corporation, or other property in the State. But as Heitner's failure to secure jurisdiction over seven of the defendants named in his complaint demonstrates, there is no necessary relationship between holding a position as a corporate fiduciary and owning stock or other interests in the corporation.</w:t>
      </w:r>
      <w:hyperlink w:anchor="X90a8f478898cf3f41c99dd882b0ad40a28bdb49">
        <w:r>
          <w:rPr>
            <w:rStyle w:val="Elision"/>
            <w:vertAlign w:val="superscript"/>
          </w:rPr>
          <w:t xml:space="preserve">[ … ]</w:t>
        </w:r>
      </w:hyperlink>
      <w:r>
        <w:t xml:space="preserve"> </w:t>
      </w:r>
      <w:r>
        <w:t xml:space="preserve">If Delaware perceived its interest in securing jurisdiction over corporate fiduciaries</w:t>
      </w:r>
      <w:r>
        <w:t xml:space="preserve"> </w:t>
      </w:r>
      <w:r>
        <w:rPr>
          <w:rStyle w:val="Elision"/>
        </w:rPr>
        <w:t xml:space="preserve">[ … ]</w:t>
      </w:r>
      <w:r>
        <w:t xml:space="preserve"> </w:t>
      </w:r>
      <w:r>
        <w:t xml:space="preserve">to be as great as Heitner suggests, we would expect it to have enacted a statute more clearly designed to protect that interest.</w:t>
      </w:r>
    </w:p>
    <w:p>
      <w:pPr>
        <w:pStyle w:val="CaseBody"/>
      </w:pPr>
      <w:r>
        <w:t xml:space="preserve">Moreover, even if Heitner's assessment of the importance of Delaware's interest is accepted, his argument fails to demonstrate that Delaware is a fair forum for this litigation. The interest appellee has identified may support the application of Delaware law to resolve any controversy over appellants' actions in their capacities as officers and directors.</w:t>
      </w:r>
      <w:hyperlink w:anchor="X237b54d573fae9e0fa9f673b13e13a389c9fed9">
        <w:r>
          <w:rPr>
            <w:rStyle w:val="Elision"/>
            <w:vertAlign w:val="superscript"/>
          </w:rPr>
          <w:t xml:space="preserve">[ … ]</w:t>
        </w:r>
      </w:hyperlink>
      <w:r>
        <w:t xml:space="preserve">But we have rejected the argument that if a State's law can properly be applied to a dispute, its courts necessarily have jurisdiction over the parties to that dispute.</w:t>
      </w:r>
    </w:p>
    <w:p>
      <w:pPr>
        <w:pStyle w:val="BlockText"/>
      </w:pPr>
      <w:r>
        <w:rPr>
          <w:rStyle w:val="Elision"/>
        </w:rPr>
        <w:t xml:space="preserve">[ … ]</w:t>
      </w:r>
      <w:r>
        <w:rPr>
          <w:iCs/>
          <w:i/>
        </w:rPr>
        <w:t xml:space="preserve">Hanson</w:t>
      </w:r>
      <w:r>
        <w:t xml:space="preserve"> </w:t>
      </w:r>
      <w:r>
        <w:t xml:space="preserve">v.</w:t>
      </w:r>
      <w:r>
        <w:t xml:space="preserve"> </w:t>
      </w:r>
      <w:r>
        <w:rPr>
          <w:iCs/>
          <w:i/>
        </w:rPr>
        <w:t xml:space="preserve">Denckla</w:t>
      </w:r>
      <w:r>
        <w:rPr>
          <w:rStyle w:val="Elision"/>
        </w:rPr>
        <w:t xml:space="preserve">[ … ]</w:t>
      </w:r>
      <w:r>
        <w:t xml:space="preserve">.</w:t>
      </w:r>
      <w:hyperlink w:anchor="Xf51fedef46b40f559b60bbad9d831451d7527f9">
        <w:r>
          <w:rPr>
            <w:rStyle w:val="Hyperlink"/>
            <w:vertAlign w:val="superscript"/>
          </w:rPr>
          <w:t xml:space="preserve">[45]</w:t>
        </w:r>
      </w:hyperlink>
    </w:p>
    <w:p>
      <w:pPr>
        <w:pStyle w:val="CaseBody"/>
      </w:pPr>
      <w:r>
        <w:t xml:space="preserve">Appellee suggests that by accepting positions as officers or directors of a Delaware corporation, appellants performed the acts required by</w:t>
      </w:r>
      <w:r>
        <w:t xml:space="preserve"> </w:t>
      </w:r>
      <w:r>
        <w:rPr>
          <w:iCs/>
          <w:i/>
        </w:rPr>
        <w:t xml:space="preserve">Hanson</w:t>
      </w:r>
      <w:r>
        <w:t xml:space="preserve"> </w:t>
      </w:r>
      <w:r>
        <w:t xml:space="preserve">v.</w:t>
      </w:r>
      <w:r>
        <w:t xml:space="preserve"> </w:t>
      </w:r>
      <w:r>
        <w:rPr>
          <w:iCs/>
          <w:i/>
        </w:rPr>
        <w:t xml:space="preserve">Denckla.</w:t>
      </w:r>
      <w:r>
        <w:t xml:space="preserve"> </w:t>
      </w:r>
      <w:r>
        <w:t xml:space="preserve">He notes that Delaware law provides substantial benefits to corporate officers and directors,</w:t>
      </w:r>
      <w:hyperlink w:anchor="Xda6c30590842e0b178feb21ade6e7da823522f5">
        <w:r>
          <w:rPr>
            <w:rStyle w:val="Elision"/>
            <w:vertAlign w:val="superscript"/>
          </w:rPr>
          <w:t xml:space="preserve">[ … ]</w:t>
        </w:r>
      </w:hyperlink>
      <w:r>
        <w:t xml:space="preserve"> </w:t>
      </w:r>
      <w:r>
        <w:t xml:space="preserve">and that these benefits were at least in part</w:t>
      </w:r>
      <w:r>
        <w:rPr>
          <w:rStyle w:val="Elision"/>
        </w:rPr>
        <w:t xml:space="preserve">[ … ]</w:t>
      </w:r>
      <w:r>
        <w:t xml:space="preserve">the incentive for appellants to assume their positions. It is, he says, "only fair and just" to require appellants, in return for these benefits, to respond in the State of Delaware when they are accused of misusing their power.</w:t>
      </w:r>
      <w:r>
        <w:rPr>
          <w:rStyle w:val="Elision"/>
        </w:rPr>
        <w:t xml:space="preserve">[ … ]</w:t>
      </w:r>
    </w:p>
    <w:p>
      <w:pPr>
        <w:pStyle w:val="CaseBody"/>
      </w:pPr>
      <w:r>
        <w:t xml:space="preserve">But like Heitner's first argument, this line of reasoning establishes only that it is appropriate for Delaware law to govern the obligations of appellants to Greyhound and its stockholders. It does not demonstrate that appellants have "purposefully avail[ed themselves] of the privilege of conducting activities within the forum State,"</w:t>
      </w:r>
      <w:r>
        <w:t xml:space="preserve"> </w:t>
      </w:r>
      <w:r>
        <w:rPr>
          <w:iCs/>
          <w:i/>
        </w:rPr>
        <w:t xml:space="preserve">Hanson</w:t>
      </w:r>
      <w:r>
        <w:t xml:space="preserve"> </w:t>
      </w:r>
      <w:r>
        <w:t xml:space="preserve">v.</w:t>
      </w:r>
      <w:r>
        <w:t xml:space="preserve"> </w:t>
      </w:r>
      <w:r>
        <w:rPr>
          <w:iCs/>
          <w:i/>
        </w:rPr>
        <w:t xml:space="preserve">Denckla</w:t>
      </w:r>
      <w:r>
        <w:rPr>
          <w:rStyle w:val="Elision"/>
        </w:rPr>
        <w:t xml:space="preserve">[ … ]</w:t>
      </w:r>
      <w:r>
        <w:t xml:space="preserve">, in a way that would justify bringing them before a Delaware tribunal. Appellants have simply had nothing to do with the State of Delaware. Moreover, appellants had no reason to expect to be haled before a Delaware court. Delaware, unlike some States,</w:t>
      </w:r>
      <w:hyperlink w:anchor="X526112d699a696d1e418e19129bf6e5b4b17379">
        <w:r>
          <w:rPr>
            <w:rStyle w:val="Elision"/>
            <w:vertAlign w:val="superscript"/>
          </w:rPr>
          <w:t xml:space="preserve">[ … ]</w:t>
        </w:r>
      </w:hyperlink>
      <w:r>
        <w:t xml:space="preserve">has not enacted a statute that treats acceptance of a directorship as consent to jurisdiction in the State. And "[i]t strains reason . . . to suggest that anyone buying securities in a corporation formed in Delaware `impliedly consents' to subject himself to Delaware's. . . jurisdiction on any cause of action."</w:t>
      </w:r>
      <w:r>
        <w:t xml:space="preserve"> </w:t>
      </w:r>
      <w:r>
        <w:rPr>
          <w:rStyle w:val="Elision"/>
        </w:rPr>
        <w:t xml:space="preserve">[ … ]</w:t>
      </w:r>
      <w:r>
        <w:t xml:space="preserve"> </w:t>
      </w:r>
      <w:r>
        <w:rPr>
          <w:rStyle w:val="Elision"/>
        </w:rPr>
        <w:t xml:space="preserve">[ … ]</w:t>
      </w:r>
    </w:p>
    <w:p>
      <w:pPr>
        <w:pStyle w:val="CaseBody"/>
      </w:pPr>
      <w:r>
        <w:t xml:space="preserve">The judgment of the Delaware Supreme Court must, therefore, be reversed.</w:t>
      </w:r>
    </w:p>
    <w:p>
      <w:pPr>
        <w:pStyle w:val="CaseBody"/>
      </w:pPr>
      <w:r>
        <w:rPr>
          <w:iCs/>
          <w:i/>
        </w:rPr>
        <w:t xml:space="preserve">It is so ordered.</w:t>
      </w:r>
    </w:p>
    <w:p>
      <w:pPr>
        <w:pStyle w:val="CaseBody"/>
      </w:pPr>
      <w:r>
        <w:t xml:space="preserve">MR. JUSTICE REHNQUIST took no part in the consideration or decision of this case.</w:t>
      </w:r>
    </w:p>
    <w:bookmarkEnd w:id="74"/>
    <w:bookmarkStart w:id="75" w:name="mr.-justice-powell-concurring."/>
    <w:p>
      <w:pPr>
        <w:pStyle w:val="Heading2"/>
      </w:pPr>
      <w:r>
        <w:t xml:space="preserve">MR. JUSTICE POWELL, concurring.</w:t>
      </w:r>
      <w:r>
        <w:rPr>
          <w:rStyle w:val="FootnoteReference"/>
        </w:rPr>
        <w:footnoteReference w:customMarkFollows="1" w:id="102"/>
        <w:t xml:space="preserve">***</w:t>
      </w:r>
    </w:p>
    <w:p>
      <w:pPr>
        <w:pStyle w:val="CaseBody"/>
      </w:pPr>
      <w:r>
        <w:t xml:space="preserve">I agree that the principles of</w:t>
      </w:r>
      <w:r>
        <w:t xml:space="preserve"> </w:t>
      </w:r>
      <w:r>
        <w:rPr>
          <w:iCs/>
          <w:i/>
        </w:rPr>
        <w:t xml:space="preserve">International Shoe Co.</w:t>
      </w:r>
      <w:r>
        <w:t xml:space="preserve"> </w:t>
      </w:r>
      <w:r>
        <w:t xml:space="preserve">v.</w:t>
      </w:r>
      <w:r>
        <w:t xml:space="preserve"> </w:t>
      </w:r>
      <w:r>
        <w:rPr>
          <w:iCs/>
          <w:i/>
        </w:rPr>
        <w:t xml:space="preserve">Washington,</w:t>
      </w:r>
      <w:r>
        <w:t xml:space="preserve"> </w:t>
      </w:r>
      <w:r>
        <w:rPr>
          <w:rStyle w:val="Elision"/>
        </w:rPr>
        <w:t xml:space="preserve">[ … ]</w:t>
      </w:r>
      <w:r>
        <w:t xml:space="preserve">, should be extended to govern assertions of</w:t>
      </w:r>
      <w:r>
        <w:t xml:space="preserve"> </w:t>
      </w:r>
      <w:r>
        <w:rPr>
          <w:iCs/>
          <w:i/>
        </w:rPr>
        <w:t xml:space="preserve">in rem</w:t>
      </w:r>
      <w:r>
        <w:t xml:space="preserve"> </w:t>
      </w:r>
      <w:r>
        <w:t xml:space="preserve">as well as</w:t>
      </w:r>
      <w:r>
        <w:t xml:space="preserve"> </w:t>
      </w:r>
      <w:r>
        <w:rPr>
          <w:iCs/>
          <w:i/>
        </w:rPr>
        <w:t xml:space="preserve">in personam</w:t>
      </w:r>
      <w:r>
        <w:t xml:space="preserve"> </w:t>
      </w:r>
      <w:r>
        <w:t xml:space="preserve">jurisdiction in a state court. I also agree that neither the statutory presence of appellants' stock in Delaware nor their positions as directors and officers of a Delaware corporation can provide sufficient contacts to support the Delaware courts' assertion of jurisdiction in this case.</w:t>
      </w:r>
    </w:p>
    <w:p>
      <w:pPr>
        <w:pStyle w:val="CaseBody"/>
      </w:pPr>
      <w:r>
        <w:t xml:space="preserve">I would explicitly reserve judgment, however, on whether the ownership of some forms of property whose situs is indisputably and permanently located within a State may, without more, provide the contacts necessary to subject a defendant to jurisdiction within the State to the extent of the value of the property. In the case of real property, in particular, preservation of the common-law concept of</w:t>
      </w:r>
      <w:r>
        <w:t xml:space="preserve"> </w:t>
      </w:r>
      <w:r>
        <w:rPr>
          <w:iCs/>
          <w:i/>
        </w:rPr>
        <w:t xml:space="preserve">quasi in rem</w:t>
      </w:r>
      <w:r>
        <w:t xml:space="preserve"> </w:t>
      </w:r>
      <w:r>
        <w:t xml:space="preserve">jurisdiction arguably would avoid the uncertainty of the general</w:t>
      </w:r>
      <w:r>
        <w:t xml:space="preserve"> </w:t>
      </w:r>
      <w:r>
        <w:rPr>
          <w:iCs/>
          <w:i/>
        </w:rPr>
        <w:t xml:space="preserve">International Shoe</w:t>
      </w:r>
      <w:r>
        <w:t xml:space="preserve"> </w:t>
      </w:r>
      <w:r>
        <w:t xml:space="preserve">standard without significant cost to "`traditional notions of fair play and substantial justice.'"</w:t>
      </w:r>
      <w:r>
        <w:t xml:space="preserve"> </w:t>
      </w:r>
      <w:r>
        <w:rPr>
          <w:rStyle w:val="Elision"/>
        </w:rPr>
        <w:t xml:space="preserve">[ … ]</w:t>
      </w:r>
    </w:p>
    <w:p>
      <w:pPr>
        <w:pStyle w:val="CaseBody"/>
      </w:pPr>
      <w:r>
        <w:t xml:space="preserve">Subject to the foregoing reservation, I join the opinion of the Court.</w:t>
      </w:r>
    </w:p>
    <w:bookmarkEnd w:id="75"/>
    <w:bookmarkStart w:id="76" w:name="X7b5f4a40510ebb0665d2f544c8d231d361beffd"/>
    <w:p>
      <w:pPr>
        <w:pStyle w:val="Heading2"/>
      </w:pPr>
      <w:r>
        <w:t xml:space="preserve">MR. JUSTICE STEVENS, concurring in the judgment</w:t>
      </w:r>
      <w:r>
        <w:rPr>
          <w:rStyle w:val="FootnoteReference"/>
        </w:rPr>
        <w:footnoteReference w:customMarkFollows="1" w:id="124"/>
        <w:t xml:space="preserve">****</w:t>
      </w:r>
      <w:r>
        <w:t xml:space="preserve">.</w:t>
      </w:r>
    </w:p>
    <w:p>
      <w:pPr>
        <w:pStyle w:val="CaseBody"/>
      </w:pPr>
      <w:r>
        <w:rPr>
          <w:rStyle w:val="Elision"/>
        </w:rPr>
        <w:t xml:space="preserve">[ … ]</w:t>
      </w:r>
    </w:p>
    <w:p>
      <w:pPr>
        <w:pStyle w:val="CaseBody"/>
      </w:pPr>
      <w:r>
        <w:t xml:space="preserve">One who purchases shares of stock on the open market can hardly be expected to know that he has thereby become subject to suit in a forum remote from his residence and unrelated to the transaction. As a practical matter, the Delaware sequestration statute creates an unacceptable risk of judgment without notice. Unlike the 49 other States, Delaware treats the place of incorporation as the situs of the stock, even though both the owner and the custodian of the shares are elsewhere. Moreover, Delaware denies the defendant [219] the opportunity to defend the merits of the suit unless he subjects himself to the unlimited jurisdiction of the court. Thus, it coerces a defendant either to submit to personal jurisdiction in a forum which could not otherwise obtain such jurisdiction or to lose the securities which have been attached. If its procedure were upheld, Delaware would, in effect, impose a duty of inquiry on every purchaser of securities in the national market. For unless the purchaser ascertains both the State of incorporation of the company whose shares he is buying, and also the idiosyncrasies of its law, he may be assuming an unknown risk of litigation. I therefore agree with the Court that on the record before us no adequate basis for jurisdiction exists and that the Delaware statute is unconstitutional on its face.</w:t>
      </w:r>
    </w:p>
    <w:p>
      <w:pPr>
        <w:pStyle w:val="CaseBody"/>
      </w:pPr>
      <w:r>
        <w:t xml:space="preserve">How the Court's opinion may be applied in other contexts is not entirely clear to me. I agree with MR. JUSTICE POWELL that it should not be read to invalidate</w:t>
      </w:r>
      <w:r>
        <w:t xml:space="preserve"> </w:t>
      </w:r>
      <w:r>
        <w:rPr>
          <w:iCs/>
          <w:i/>
        </w:rPr>
        <w:t xml:space="preserve">quasi in rem</w:t>
      </w:r>
      <w:r>
        <w:t xml:space="preserve"> </w:t>
      </w:r>
      <w:r>
        <w:t xml:space="preserve">jurisdiction where real estate is involved. I would also not read it as invalidating other long-accepted methods of acquiring jurisdiction over persons with adequate notice of both the particular controversy and the fact that their local activities might subject them to suit. My uncertainty as to the reach of the opinion, and my fear that it purports to decide a great deal more than is necessary to dispose of this case, persuade me merely to concur in the judgment.</w:t>
      </w:r>
    </w:p>
    <w:bookmarkEnd w:id="76"/>
    <w:bookmarkStart w:id="77" w:name="X2639a8a28f2c5288e7e5779d50c6dfa6884dd1f"/>
    <w:p>
      <w:pPr>
        <w:pStyle w:val="Heading2"/>
      </w:pPr>
      <w:r>
        <w:t xml:space="preserve">MR. JUSTICE BRENNAN, concurring in part and dissenting in part.</w:t>
      </w:r>
      <w:r>
        <w:rPr>
          <w:rStyle w:val="FootnoteReference"/>
        </w:rPr>
        <w:footnoteReference w:customMarkFollows="1" w:id="135"/>
        <w:t xml:space="preserve">*****</w:t>
      </w:r>
    </w:p>
    <w:p>
      <w:pPr>
        <w:pStyle w:val="CaseBody"/>
      </w:pPr>
      <w:r>
        <w:t xml:space="preserve">I join Parts I-III of the Court's opinion. I fully agree that the minimum-contacts analysis developed in</w:t>
      </w:r>
      <w:r>
        <w:t xml:space="preserve">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 represents a far more sensible construct for the exercise of state-court jurisdiction than the patchwork of legal and factual fictions that has been generated from the decision in</w:t>
      </w:r>
      <w:r>
        <w:t xml:space="preserve"> </w:t>
      </w:r>
      <w:r>
        <w:rPr>
          <w:iCs/>
          <w:i/>
        </w:rPr>
        <w:t xml:space="preserve">Pennoyer</w:t>
      </w:r>
      <w:r>
        <w:t xml:space="preserve"> </w:t>
      </w:r>
      <w:r>
        <w:t xml:space="preserve">v.</w:t>
      </w:r>
      <w:r>
        <w:t xml:space="preserve"> </w:t>
      </w:r>
      <w:r>
        <w:rPr>
          <w:iCs/>
          <w:i/>
        </w:rPr>
        <w:t xml:space="preserve">Neff,</w:t>
      </w:r>
      <w:r>
        <w:rPr>
          <w:rStyle w:val="Elision"/>
        </w:rPr>
        <w:t xml:space="preserve">[ … ]</w:t>
      </w:r>
      <w:r>
        <w:t xml:space="preserve">. It is precisely because [220] the inquiry into minimum contacts is now of such overriding importance, however, that I must respectfully dissent from Part IV of the Court's opinion.</w:t>
      </w:r>
    </w:p>
    <w:bookmarkEnd w:id="77"/>
    <w:bookmarkStart w:id="78" w:name="i-4"/>
    <w:p>
      <w:pPr>
        <w:pStyle w:val="Heading2"/>
      </w:pPr>
      <w:r>
        <w:t xml:space="preserve">I</w:t>
      </w:r>
    </w:p>
    <w:p>
      <w:pPr>
        <w:pStyle w:val="CaseBody"/>
      </w:pPr>
      <w:r>
        <w:t xml:space="preserve">The primary teaching of Parts I-III of today's decision is that a State, in seeking to assert jurisdiction over a person located outside its borders, may only do so on the basis of minimum contacts among the parties, the contested transaction, and the forum State. The Delaware Supreme Court could not have made plainer, however, that its sequestration statute,</w:t>
      </w:r>
      <w:r>
        <w:t xml:space="preserve"> </w:t>
      </w:r>
      <w:r>
        <w:rPr>
          <w:rStyle w:val="Elision"/>
        </w:rPr>
        <w:t xml:space="preserve">[ … ]</w:t>
      </w:r>
      <w:r>
        <w:t xml:space="preserve">, does not operate on this basis, but instead is strictly an embodiment of</w:t>
      </w:r>
      <w:r>
        <w:t xml:space="preserve"> </w:t>
      </w:r>
      <w:r>
        <w:rPr>
          <w:iCs/>
          <w:i/>
        </w:rPr>
        <w:t xml:space="preserve">quasi in rem</w:t>
      </w:r>
      <w:r>
        <w:t xml:space="preserve"> </w:t>
      </w:r>
      <w:r>
        <w:t xml:space="preserve">jurisdiction, a jurisdictional predicate no longer constitutionally viable:</w:t>
      </w:r>
    </w:p>
    <w:p>
      <w:pPr>
        <w:pStyle w:val="BlockText"/>
      </w:pPr>
      <w:r>
        <w:t xml:space="preserve">"[J]urisdiction under § 366 remains . . .</w:t>
      </w:r>
      <w:r>
        <w:t xml:space="preserve"> </w:t>
      </w:r>
      <w:r>
        <w:rPr>
          <w:iCs/>
          <w:i/>
        </w:rPr>
        <w:t xml:space="preserve">quasi in rem</w:t>
      </w:r>
      <w:r>
        <w:t xml:space="preserve"> </w:t>
      </w:r>
      <w:r>
        <w:t xml:space="preserve">founded on the presence of capital stock here, not on prior contact by defendants with this forum."</w:t>
      </w:r>
      <w:r>
        <w:t xml:space="preserve"> </w:t>
      </w:r>
      <w:r>
        <w:rPr>
          <w:rStyle w:val="Elision"/>
        </w:rPr>
        <w:t xml:space="preserve">[ … ]</w:t>
      </w:r>
    </w:p>
    <w:p>
      <w:pPr>
        <w:pStyle w:val="CaseBody"/>
      </w:pPr>
      <w:r>
        <w:t xml:space="preserve">This state-court ruling obviously comports with the understanding of the parties, for the issue of the existence of minimum contacts was never pleaded by appellee, made the subject of discovery, or ruled upon by the Delaware courts. These facts notwithstanding, the Court in Part IV reaches the minimum-contacts question and finds such contacts lacking as applied to appellants. Succinctly stated, once having properly and persuasively decided that the</w:t>
      </w:r>
      <w:r>
        <w:t xml:space="preserve"> </w:t>
      </w:r>
      <w:r>
        <w:rPr>
          <w:iCs/>
          <w:i/>
        </w:rPr>
        <w:t xml:space="preserve">quasi in rem</w:t>
      </w:r>
      <w:r>
        <w:t xml:space="preserve"> </w:t>
      </w:r>
      <w:r>
        <w:t xml:space="preserve">statute that Delaware admits to having enacted is invalid, the Court then proceeds to find that a minimum-contacts law that Delaware expressly</w:t>
      </w:r>
      <w:r>
        <w:t xml:space="preserve"> </w:t>
      </w:r>
      <w:r>
        <w:rPr>
          <w:iCs/>
          <w:i/>
        </w:rPr>
        <w:t xml:space="preserve">denies</w:t>
      </w:r>
      <w:r>
        <w:t xml:space="preserve"> </w:t>
      </w:r>
      <w:r>
        <w:t xml:space="preserve">having enacted also could not be constitutionally applied in this case.</w:t>
      </w:r>
    </w:p>
    <w:p>
      <w:pPr>
        <w:pStyle w:val="CaseBody"/>
      </w:pPr>
      <w:r>
        <w:t xml:space="preserve">In my view, a purer example of an advisory opinion is not to be found. True, appellants do not deny having received actual notice of the action in question.</w:t>
      </w:r>
      <w:r>
        <w:t xml:space="preserve"> </w:t>
      </w:r>
      <w:r>
        <w:rPr>
          <w:rStyle w:val="Elision"/>
        </w:rPr>
        <w:t xml:space="preserve">[ … ]</w:t>
      </w:r>
      <w:r>
        <w:t xml:space="preserve"> </w:t>
      </w:r>
      <w:r>
        <w:t xml:space="preserve">However, notice is but one ingredient of a proper assertion of state-court jurisdiction. The other is a statute authorizing the exercise of the State's judicial power along constitutionally permissible grounds—which henceforth means minimum contacts. As of today,</w:t>
      </w:r>
      <w:r>
        <w:t xml:space="preserve"> </w:t>
      </w:r>
      <w:r>
        <w:rPr>
          <w:rStyle w:val="ReplacementText"/>
        </w:rPr>
        <w:t xml:space="preserve">the Delaware sequestration statute</w:t>
      </w:r>
      <w:r>
        <w:t xml:space="preserve"> </w:t>
      </w:r>
      <w:r>
        <w:t xml:space="preserve">is not such a law.</w:t>
      </w:r>
      <w:hyperlink w:anchor="X5d022ebe5fac4f885291a8744722996819d1da0">
        <w:r>
          <w:rPr>
            <w:rStyle w:val="Elision"/>
            <w:vertAlign w:val="superscript"/>
          </w:rPr>
          <w:t xml:space="preserve">[ … ]</w:t>
        </w:r>
      </w:hyperlink>
      <w:r>
        <w:t xml:space="preserve"> </w:t>
      </w:r>
      <w:r>
        <w:t xml:space="preserve">Recognizing that today's decision fundamentally alters the relevant jurisdictional ground rules, I certainly would not want to rule out the possibility that Delaware's courts might decide that the legislature's overriding purpose of securing the personal appearance in state courts of defendants would best be served by reinterpreting its statute to permit state jurisdiction on the basis of constitutionally permissible contacts rather than stock ownership. Were the state courts to take this step, it would then become necessary to address the question of whether minimum contacts exist here. But in the present posture of this case, the Court's decision of this important issue is purely an abstract ruling.</w:t>
      </w:r>
    </w:p>
    <w:p>
      <w:pPr>
        <w:pStyle w:val="CaseBody"/>
      </w:pPr>
      <w:r>
        <w:t xml:space="preserve">My concern with the inappropriateness of the Court's action is highlighted by two other considerations. First, an inquiry into minimum contacts inevitably is highly dependent on creating a proper factual foundation detailing the contacts between the forum State and the controversy in question. Because neither the plaintiff-appellee nor the state courts viewed such an inquiry as germane in this instance, the Court today is unable to draw upon a proper factual record in reaching its conclusion; moreover, its disposition denies appellee the normal opportunity to seek discovery on the contacts issue. Second, it must be remembered that the Court's ruling is a constitutional one and necessarily</w:t>
      </w:r>
      <w:r>
        <w:t xml:space="preserve"> </w:t>
      </w:r>
      <w:r>
        <w:rPr>
          <w:rStyle w:val="Elision"/>
        </w:rPr>
        <w:t xml:space="preserve">[ … ]</w:t>
      </w:r>
      <w:r>
        <w:t xml:space="preserve"> </w:t>
      </w:r>
      <w:r>
        <w:t xml:space="preserve">will affect the reach of the jurisdictional laws of all 50 States. Ordinarily this would counsel restraint in constitutional pronouncements.</w:t>
      </w:r>
      <w:r>
        <w:t xml:space="preserve"> </w:t>
      </w:r>
      <w:r>
        <w:rPr>
          <w:rStyle w:val="Elision"/>
        </w:rPr>
        <w:t xml:space="preserve">[ … ]</w:t>
      </w:r>
      <w:r>
        <w:t xml:space="preserve"> </w:t>
      </w:r>
      <w:r>
        <w:t xml:space="preserve">Certainly it should have cautioned the Court against reaching out to decide a question that, as here, has yet to emerge from the state courts ripened for review on the federal issue.</w:t>
      </w:r>
    </w:p>
    <w:bookmarkEnd w:id="78"/>
    <w:bookmarkStart w:id="79" w:name="ii-4"/>
    <w:p>
      <w:pPr>
        <w:pStyle w:val="Heading2"/>
      </w:pPr>
      <w:r>
        <w:t xml:space="preserve">II</w:t>
      </w:r>
    </w:p>
    <w:p>
      <w:pPr>
        <w:pStyle w:val="CaseBody"/>
      </w:pPr>
      <w:r>
        <w:t xml:space="preserve">Nonetheless, because the Court rules on the minimum-contacts question, I feel impelled to express my view. While evidence derived through discovery might satisfy me that minimum contacts are lacking in a given case, I am convinced that as a general rule a state forum has jurisdiction to adjudicate a shareholder derivative action centering on the conduct and policies of the directors and officers of a corporation chartered by that State. Unlike the Court, I therefore would not foreclose Delaware from asserting jurisdiction over appellants were it persuaded to do so on the basis of minimum contacts.</w:t>
      </w:r>
    </w:p>
    <w:p>
      <w:pPr>
        <w:pStyle w:val="CaseBody"/>
      </w:pPr>
      <w:r>
        <w:t xml:space="preserve">It is well settled that a derivative lawsuit as presented here does not inure primarily to the benefit of the named plaintiff. Rather, the primary beneficiaries are the corporation and its owners, the shareholders.</w:t>
      </w:r>
      <w:r>
        <w:t xml:space="preserve"> </w:t>
      </w:r>
      <w:r>
        <w:rPr>
          <w:rStyle w:val="Elision"/>
        </w:rPr>
        <w:t xml:space="preserve">[ … ]</w:t>
      </w:r>
    </w:p>
    <w:p>
      <w:pPr>
        <w:pStyle w:val="CaseBody"/>
      </w:pPr>
      <w:r>
        <w:t xml:space="preserve">Viewed in this light, the chartering State has an unusually powerful interest in insuring the availability of a convenient forum for litigating claims involving a possible multiplicity of defendant fiduciaries and for vindicating the State's substantive policies regarding the management of its domestic corporations. I believe that our cases fairly establish that</w:t>
      </w:r>
      <w:r>
        <w:t xml:space="preserve"> </w:t>
      </w:r>
      <w:r>
        <w:rPr>
          <w:rStyle w:val="Elision"/>
        </w:rPr>
        <w:t xml:space="preserve">[ … ]</w:t>
      </w:r>
      <w:r>
        <w:t xml:space="preserve"> </w:t>
      </w:r>
      <w:r>
        <w:t xml:space="preserve">the State's valid substantive interests are important considerations in assessing whether it constitutionally may claim jurisdiction over a given cause of action.</w:t>
      </w:r>
    </w:p>
    <w:p>
      <w:pPr>
        <w:pStyle w:val="CaseBody"/>
      </w:pPr>
      <w:r>
        <w:t xml:space="preserve">In this instance, Delaware can point to at least three interrelated public policies that are furthered by its assertion of jurisdiction. First, the State has a substantial interest in providing restitution for its local corporations that allegedly have been victimized by fiduciary misconduct, even if the managerial decisions occurred outside the State. The importance of this general state interest in assuring restitution for its own residents previously found expression in cases that went outside the then-prevailing due process framework to authorize state-court jurisdiction over nonresident motorists who injure others within the State.</w:t>
      </w:r>
      <w:r>
        <w:t xml:space="preserve"> </w:t>
      </w:r>
      <w:r>
        <w:rPr>
          <w:iCs/>
          <w:i/>
        </w:rPr>
        <w:t xml:space="preserve">Hess</w:t>
      </w:r>
      <w:r>
        <w:t xml:space="preserve"> </w:t>
      </w:r>
      <w:r>
        <w:t xml:space="preserve">v.</w:t>
      </w:r>
      <w:r>
        <w:t xml:space="preserve"> </w:t>
      </w:r>
      <w:r>
        <w:rPr>
          <w:iCs/>
          <w:i/>
        </w:rPr>
        <w:t xml:space="preserve">Pawloski,</w:t>
      </w:r>
      <w:r>
        <w:t xml:space="preserve"> </w:t>
      </w:r>
      <w:r>
        <w:rPr>
          <w:rStyle w:val="Elision"/>
        </w:rPr>
        <w:t xml:space="preserve">[ … ]</w:t>
      </w:r>
      <w:r>
        <w:rPr>
          <w:rStyle w:val="Elision"/>
        </w:rPr>
        <w:t xml:space="preserve">[ … ]</w:t>
      </w:r>
      <w:r>
        <w:t xml:space="preserve"> </w:t>
      </w:r>
      <w:r>
        <w:t xml:space="preserve">More recently, it has led States to seek and to acquire jurisdiction over nonresident tortfeasors whose purely out-of-state activities produce domestic consequences.</w:t>
      </w:r>
      <w:r>
        <w:t xml:space="preserve"> </w:t>
      </w:r>
      <w:r>
        <w:rPr>
          <w:rStyle w:val="Elision"/>
        </w:rPr>
        <w:t xml:space="preserve">[ … ]</w:t>
      </w:r>
      <w:r>
        <w:t xml:space="preserve"> </w:t>
      </w:r>
      <w:r>
        <w:t xml:space="preserve">Second, state courts have legitimately read their jurisdiction expansively when a cause of action centers in an area in which the forum State possesses a manifest regulatory interest.</w:t>
      </w:r>
      <w:r>
        <w:t xml:space="preserve"> </w:t>
      </w:r>
      <w:r>
        <w:rPr>
          <w:iCs/>
          <w:i/>
        </w:rPr>
        <w:t xml:space="preserve">E. g.,</w:t>
      </w:r>
      <w:r>
        <w:t xml:space="preserve"> </w:t>
      </w:r>
      <w:r>
        <w:rPr>
          <w:iCs/>
          <w:i/>
        </w:rPr>
        <w:t xml:space="preserve">McGee</w:t>
      </w:r>
      <w:r>
        <w:t xml:space="preserve"> </w:t>
      </w:r>
      <w:r>
        <w:t xml:space="preserve">v.</w:t>
      </w:r>
      <w:r>
        <w:t xml:space="preserve"> </w:t>
      </w:r>
      <w:r>
        <w:rPr>
          <w:iCs/>
          <w:i/>
        </w:rPr>
        <w:t xml:space="preserve">International Life Ins. Co.</w:t>
      </w:r>
      <w:r>
        <w:rPr>
          <w:rStyle w:val="Elision"/>
        </w:rPr>
        <w:t xml:space="preserve">[ … ]</w:t>
      </w:r>
      <w:r>
        <w:t xml:space="preserve">(insurance regulation)</w:t>
      </w:r>
      <w:r>
        <w:rPr>
          <w:rStyle w:val="Elision"/>
        </w:rPr>
        <w:t xml:space="preserve">[ … ]</w:t>
      </w:r>
      <w:r>
        <w:t xml:space="preserve"> </w:t>
      </w:r>
      <w:r>
        <w:t xml:space="preserve">Only this Term we reiterated that the conduct of corporate fiduciaries is just such a matter in which the policies and interests of the domestic forum are ordinarily presumed to be paramount.</w:t>
      </w:r>
      <w:r>
        <w:t xml:space="preserve"> </w:t>
      </w:r>
      <w:r>
        <w:rPr>
          <w:rStyle w:val="Elision"/>
        </w:rPr>
        <w:t xml:space="preserve">[ … ]</w:t>
      </w:r>
      <w:r>
        <w:t xml:space="preserve"> </w:t>
      </w:r>
      <w:r>
        <w:t xml:space="preserve">Finally, a State like Delaware has a recognized interest in affording a convenient forum for supervising and overseeing the affairs of an entity that is purely the creation of that State's law.</w:t>
      </w:r>
      <w:r>
        <w:t xml:space="preserve"> </w:t>
      </w:r>
      <w:r>
        <w:rPr>
          <w:rStyle w:val="Elision"/>
        </w:rPr>
        <w:t xml:space="preserve">[ … ]</w:t>
      </w:r>
      <w:r>
        <w:rPr>
          <w:rStyle w:val="Elision"/>
        </w:rPr>
        <w:t xml:space="preserve">[ … ]</w:t>
      </w:r>
    </w:p>
    <w:p>
      <w:pPr>
        <w:pStyle w:val="CaseBody"/>
      </w:pPr>
      <w:r>
        <w:t xml:space="preserve">To be sure, the Court is not blind to these considerations. It notes that the State's interests "may support the application of Delaware law to resolve any controversy over appellants' actions in their capacities as officers and directors."</w:t>
      </w:r>
      <w:r>
        <w:t xml:space="preserve"> </w:t>
      </w:r>
      <w:r>
        <w:rPr>
          <w:rStyle w:val="Elision"/>
        </w:rPr>
        <w:t xml:space="preserve">[ … ]</w:t>
      </w:r>
      <w:r>
        <w:t xml:space="preserve">. But this, the Court argues, pertains to choice of law, not jurisdiction. I recognize that the jurisdictional and choice-of-law inquiries are not identical.</w:t>
      </w:r>
      <w:r>
        <w:t xml:space="preserve"> </w:t>
      </w:r>
      <w:r>
        <w:rPr>
          <w:iCs/>
          <w:i/>
        </w:rPr>
        <w:t xml:space="preserve">Hanson</w:t>
      </w:r>
      <w:r>
        <w:t xml:space="preserve"> </w:t>
      </w:r>
      <w:r>
        <w:t xml:space="preserve">v.</w:t>
      </w:r>
      <w:r>
        <w:t xml:space="preserve"> </w:t>
      </w:r>
      <w:r>
        <w:rPr>
          <w:iCs/>
          <w:i/>
        </w:rPr>
        <w:t xml:space="preserve">Denckla</w:t>
      </w:r>
      <w:r>
        <w:rPr>
          <w:rStyle w:val="Elision"/>
        </w:rPr>
        <w:t xml:space="preserve">[ … ]</w:t>
      </w:r>
      <w:r>
        <w:t xml:space="preserve">). But I would not compartmentalize thinking in this area quite so rigidly as it seems to me the Court does today, for both inquiries "are</w:t>
      </w:r>
      <w:r>
        <w:rPr>
          <w:rStyle w:val="Elision"/>
        </w:rPr>
        <w:t xml:space="preserve">[ … ]</w:t>
      </w:r>
      <w:r>
        <w:t xml:space="preserve">often closely related and to a substantial degree depend upon similar considerations."</w:t>
      </w:r>
      <w:r>
        <w:t xml:space="preserve"> </w:t>
      </w:r>
      <w:r>
        <w:rPr>
          <w:iCs/>
          <w:i/>
        </w:rPr>
        <w:t xml:space="preserve">Id.,</w:t>
      </w:r>
      <w:r>
        <w:t xml:space="preserve"> </w:t>
      </w:r>
      <w:r>
        <w:t xml:space="preserve">at 258 (Black, J., dissenting). In either case an important linchpin is the extent of contacts between the controversy, the parties, and the forum State.</w:t>
      </w:r>
      <w:r>
        <w:t xml:space="preserve"> </w:t>
      </w:r>
      <w:r>
        <w:rPr>
          <w:rStyle w:val="Elision"/>
        </w:rPr>
        <w:t xml:space="preserve">[ … ]</w:t>
      </w:r>
      <w:r>
        <w:rPr>
          <w:rStyle w:val="Elision"/>
        </w:rPr>
        <w:t xml:space="preserve">[ … ]</w:t>
      </w:r>
      <w:r>
        <w:t xml:space="preserve"> </w:t>
      </w:r>
      <w:r>
        <w:t xml:space="preserve">At the minimum, the decision that it is fair to bind a defendant by a State's laws and rules should prove to be highly relevant to the fairness of permitting that same State to accept jurisdiction for adjudicating the controversy.</w:t>
      </w:r>
    </w:p>
    <w:p>
      <w:pPr>
        <w:pStyle w:val="CaseBody"/>
      </w:pPr>
      <w:r>
        <w:t xml:space="preserve">Furthermore, I believe that practical considerations argue in favor of seeking to bridge the distance between the choice-of-law and jurisdictional inquiries. Even when a court would apply the law of a different forum,</w:t>
      </w:r>
      <w:hyperlink w:anchor="Xe9adae3587661a04797b20875b3b9e95ce48ff9">
        <w:r>
          <w:rPr>
            <w:rStyle w:val="Elision"/>
            <w:vertAlign w:val="superscript"/>
          </w:rPr>
          <w:t xml:space="preserve">[ … ]</w:t>
        </w:r>
      </w:hyperlink>
      <w:r>
        <w:t xml:space="preserve">as a general rule it will feel less knowledgeable and comfortable in interpretation, and less interested in fostering the policies of that foreign jurisdiction, than would the courts established by the State that provides the applicable law.</w:t>
      </w:r>
      <w:r>
        <w:t xml:space="preserve"> </w:t>
      </w:r>
      <w:r>
        <w:rPr>
          <w:rStyle w:val="Elision"/>
        </w:rPr>
        <w:t xml:space="preserve">[ … ]</w:t>
      </w:r>
      <w:r>
        <w:t xml:space="preserve"> </w:t>
      </w:r>
      <w:r>
        <w:t xml:space="preserve">Obviously, such choice-of-law problems cannot entirely be avoided in a diverse legal system such as our own. Nonetheless, when a suitor</w:t>
      </w:r>
      <w:r>
        <w:t xml:space="preserve"> </w:t>
      </w:r>
      <w:r>
        <w:rPr>
          <w:rStyle w:val="Elision"/>
        </w:rPr>
        <w:t xml:space="preserve">[ … ]</w:t>
      </w:r>
      <w:r>
        <w:t xml:space="preserve"> </w:t>
      </w:r>
      <w:r>
        <w:t xml:space="preserve">seeks to lodge a suit in a State with a substantial interest in seeing its own law applied to the transaction in question, we could wisely act to minimize conflicts, confusion, and uncertainty by adopting a liberal view of jurisdiction, unless considerations of fairness or efficiency strongly point in the opposite direction.</w:t>
      </w:r>
    </w:p>
    <w:p>
      <w:pPr>
        <w:pStyle w:val="CaseBody"/>
      </w:pPr>
      <w:r>
        <w:t xml:space="preserve">This case is not one where, in my judgment, this preference for jurisdiction is adequately answered. Certainly nothing said by the Court persuades me that it would be unfair to subject appellants to suit in Delaware. The fact that the record does not reveal whether they "set foot" or committed "act[s] related to [the] cause of action" in Delaware,</w:t>
      </w:r>
      <w:r>
        <w:t xml:space="preserve"> </w:t>
      </w:r>
      <w:r>
        <w:rPr>
          <w:iCs/>
          <w:i/>
        </w:rPr>
        <w:t xml:space="preserve">ante,</w:t>
      </w:r>
      <w:r>
        <w:t xml:space="preserve"> </w:t>
      </w:r>
      <w:r>
        <w:t xml:space="preserve">at 213, is not decisive, for jurisdiction can be based strictly on out-of-state acts having foreseeable effects in the forum State.</w:t>
      </w:r>
      <w:r>
        <w:t xml:space="preserve"> </w:t>
      </w:r>
      <w:r>
        <w:rPr>
          <w:iCs/>
          <w:i/>
        </w:rPr>
        <w:t xml:space="preserve">E. g.,</w:t>
      </w:r>
      <w:r>
        <w:t xml:space="preserve"> </w:t>
      </w:r>
      <w:r>
        <w:rPr>
          <w:iCs/>
          <w:i/>
        </w:rPr>
        <w:t xml:space="preserve">McGee</w:t>
      </w:r>
      <w:r>
        <w:t xml:space="preserve"> </w:t>
      </w:r>
      <w:r>
        <w:t xml:space="preserve">v.</w:t>
      </w:r>
      <w:r>
        <w:t xml:space="preserve"> </w:t>
      </w:r>
      <w:r>
        <w:rPr>
          <w:iCs/>
          <w:i/>
        </w:rPr>
        <w:t xml:space="preserve">International Life Ins. Co.</w:t>
      </w:r>
      <w:r>
        <w:rPr>
          <w:rStyle w:val="Elision"/>
        </w:rPr>
        <w:t xml:space="preserve">[ … ]</w:t>
      </w:r>
      <w:r>
        <w:rPr>
          <w:rStyle w:val="Elision"/>
        </w:rPr>
        <w:t xml:space="preserve">[ … ]</w:t>
      </w:r>
      <w:r>
        <w:t xml:space="preserve"> </w:t>
      </w:r>
      <w:r>
        <w:t xml:space="preserve">I have little difficulty in applying this principle to nonresident fiduciaries whose alleged breaches of trust are said to have substantial damaging effect on the financial posture of a resident corporation.</w:t>
      </w:r>
      <w:hyperlink w:anchor="Xe569e62fe9f9e92335f243342b1c3f4d5ecd5ec">
        <w:r>
          <w:rPr>
            <w:rStyle w:val="Elision"/>
            <w:vertAlign w:val="superscript"/>
          </w:rPr>
          <w:t xml:space="preserve">[ … ]</w:t>
        </w:r>
      </w:hyperlink>
      <w:r>
        <w:t xml:space="preserve">Further, I cannot understand how the existence of minimum contacts in a constitutional sense is at all affected by Delaware's failure statutorily to express an interest in controlling corporate fiduciaries.</w:t>
      </w:r>
      <w:r>
        <w:t xml:space="preserve"> </w:t>
      </w:r>
      <w:r>
        <w:rPr>
          <w:iCs/>
          <w:i/>
        </w:rPr>
        <w:t xml:space="preserve">Ante</w:t>
      </w:r>
      <w:r>
        <w:rPr>
          <w:rStyle w:val="Elision"/>
        </w:rPr>
        <w:t xml:space="preserve">[ … ]</w:t>
      </w:r>
      <w:r>
        <w:t xml:space="preserve">. To me this simply demonstrates that Delaware</w:t>
      </w:r>
      <w:r>
        <w:t xml:space="preserve"> </w:t>
      </w:r>
      <w:r>
        <w:rPr>
          <w:rStyle w:val="Elision"/>
        </w:rPr>
        <w:t xml:space="preserve">[ … ]</w:t>
      </w:r>
      <w:r>
        <w:t xml:space="preserve"> </w:t>
      </w:r>
      <w:r>
        <w:t xml:space="preserve">did not elect to assert jurisdiction to the extent the Constitution would allow.</w:t>
      </w:r>
      <w:hyperlink w:anchor="Xfe54ce45d70d54ca0c35cc14308d349a13f8487">
        <w:r>
          <w:rPr>
            <w:rStyle w:val="Elision"/>
            <w:vertAlign w:val="superscript"/>
          </w:rPr>
          <w:t xml:space="preserve">[ … ]</w:t>
        </w:r>
      </w:hyperlink>
      <w:r>
        <w:t xml:space="preserve">Nor would I view as controlling or even especially meaningful Delaware's failure to exact from appellants their consent to be sued.</w:t>
      </w:r>
      <w:r>
        <w:t xml:space="preserve"> </w:t>
      </w:r>
      <w:r>
        <w:rPr>
          <w:iCs/>
          <w:i/>
        </w:rPr>
        <w:t xml:space="preserve">Ante</w:t>
      </w:r>
      <w:r>
        <w:rPr>
          <w:rStyle w:val="Elision"/>
        </w:rPr>
        <w:t xml:space="preserve">[ … ]</w:t>
      </w:r>
      <w:r>
        <w:t xml:space="preserve">. Once we have rejected the jurisdictional framework created in</w:t>
      </w:r>
      <w:r>
        <w:t xml:space="preserve"> </w:t>
      </w:r>
      <w:r>
        <w:rPr>
          <w:iCs/>
          <w:i/>
        </w:rPr>
        <w:t xml:space="preserve">Pennoyer</w:t>
      </w:r>
      <w:r>
        <w:t xml:space="preserve"> </w:t>
      </w:r>
      <w:r>
        <w:t xml:space="preserve">v.</w:t>
      </w:r>
      <w:r>
        <w:t xml:space="preserve"> </w:t>
      </w:r>
      <w:r>
        <w:rPr>
          <w:iCs/>
          <w:i/>
        </w:rPr>
        <w:t xml:space="preserve">Neff,</w:t>
      </w:r>
      <w:r>
        <w:t xml:space="preserve"> </w:t>
      </w:r>
      <w:r>
        <w:t xml:space="preserve">I see no reason to rest jurisdiction on a fictional outgrowth of that system such as the existence of a consent statute, expressed or implied.</w:t>
      </w:r>
      <w:hyperlink w:anchor="X2bf09b3c212cf2f0856d563e5bd824bf4561707">
        <w:r>
          <w:rPr>
            <w:rStyle w:val="Elision"/>
            <w:vertAlign w:val="superscript"/>
          </w:rPr>
          <w:t xml:space="preserve">[ … ]</w:t>
        </w:r>
      </w:hyperlink>
    </w:p>
    <w:p>
      <w:pPr>
        <w:pStyle w:val="CaseBody"/>
      </w:pPr>
      <w:r>
        <w:t xml:space="preserve">I, therefore, would approach the minimum-contacts analysis differently than does the Court. Crucial to me is the fact that appellants</w:t>
      </w:r>
      <w:hyperlink w:anchor="Xad4ebadb7272a15097d1f2803694b79b8c680a8">
        <w:r>
          <w:rPr>
            <w:rStyle w:val="Elision"/>
            <w:vertAlign w:val="superscript"/>
          </w:rPr>
          <w:t xml:space="preserve">[ … ]</w:t>
        </w:r>
      </w:hyperlink>
      <w:r>
        <w:t xml:space="preserve">voluntarily associated themselves with the [228] State of Delaware, "invoking the benefits and protections of its laws,"</w:t>
      </w:r>
      <w:r>
        <w:t xml:space="preserve"> </w:t>
      </w:r>
      <w:r>
        <w:rPr>
          <w:iCs/>
          <w:i/>
        </w:rPr>
        <w:t xml:space="preserve">Hanson</w:t>
      </w:r>
      <w:r>
        <w:t xml:space="preserve"> </w:t>
      </w:r>
      <w:r>
        <w:t xml:space="preserve">v.</w:t>
      </w:r>
      <w:r>
        <w:t xml:space="preserve"> </w:t>
      </w:r>
      <w:r>
        <w:rPr>
          <w:iCs/>
          <w:i/>
        </w:rPr>
        <w:t xml:space="preserve">Denckla,</w:t>
      </w:r>
      <w:r>
        <w:t xml:space="preserve"> </w:t>
      </w:r>
      <w:r>
        <w:rPr>
          <w:rStyle w:val="Elision"/>
        </w:rPr>
        <w:t xml:space="preserve">[ … ]</w:t>
      </w:r>
      <w:r>
        <w:t xml:space="preserve">;</w:t>
      </w:r>
      <w:r>
        <w:t xml:space="preserve"> </w:t>
      </w:r>
      <w:r>
        <w:rPr>
          <w:iCs/>
          <w:i/>
        </w:rPr>
        <w:t xml:space="preserve">International Shoe Co.</w:t>
      </w:r>
      <w:r>
        <w:t xml:space="preserve"> </w:t>
      </w:r>
      <w:r>
        <w:t xml:space="preserve">v.</w:t>
      </w:r>
      <w:r>
        <w:t xml:space="preserve"> </w:t>
      </w:r>
      <w:r>
        <w:rPr>
          <w:iCs/>
          <w:i/>
        </w:rPr>
        <w:t xml:space="preserve">Washington,</w:t>
      </w:r>
      <w:r>
        <w:t xml:space="preserve"> </w:t>
      </w:r>
      <w:r>
        <w:rPr>
          <w:rStyle w:val="Elision"/>
        </w:rPr>
        <w:t xml:space="preserve">[ … ]</w:t>
      </w:r>
      <w:r>
        <w:t xml:space="preserve"> </w:t>
      </w:r>
      <w:r>
        <w:t xml:space="preserve">by entering into a long-term and fragile relationship with one of its domestic corporations. They thereby elected to assume powers and to undertake responsibilities wholly derived from that State's rules and regulations, and to become eligible for those benefits that Delaware law makes available to its corporations' officials.</w:t>
      </w:r>
      <w:r>
        <w:t xml:space="preserve"> </w:t>
      </w:r>
      <w:r>
        <w:rPr>
          <w:iCs/>
          <w:i/>
        </w:rPr>
        <w:t xml:space="preserve">E. g.,</w:t>
      </w:r>
      <w:r>
        <w:t xml:space="preserve"> </w:t>
      </w:r>
      <w:r>
        <w:t xml:space="preserve">Del. Code Ann., Tit. 8, § 143 (1975) (interestfree loans); § 145 (1975 ed. and Supp. 1976) (indemnification). While it is possible that countervailing issues of judicial efficiency and the like might clearly favor a different forum, they do not appear on the meager record before us;</w:t>
      </w:r>
      <w:hyperlink w:anchor="Xc4e799ac87ba98660c34b20c2e735a264d173df">
        <w:r>
          <w:rPr>
            <w:rStyle w:val="Elision"/>
            <w:vertAlign w:val="superscript"/>
          </w:rPr>
          <w:t xml:space="preserve">[ … ]</w:t>
        </w:r>
      </w:hyperlink>
      <w:r>
        <w:t xml:space="preserve"> </w:t>
      </w:r>
      <w:r>
        <w:t xml:space="preserve">and, of course, we are concerned solely with "minimum" contacts, not the "best" contacts. I thus do not believe that it is unfair to insist that appellants make themselves available to suit in a competent forum that Delaware might create for vindication of its important public policies directly pertaining to appellants' fiduciary associations with the State.</w:t>
      </w:r>
    </w:p>
    <w:p>
      <w:pPr>
        <w:pStyle w:val="CaseBody"/>
      </w:pPr>
      <w:hyperlink w:anchor="X0bb3933ad5852d826fe8b7b89abc59a5b7e9ec3">
        <w:r>
          <w:rPr>
            <w:rStyle w:val="Elision"/>
          </w:rPr>
          <w:t xml:space="preserve">[ … ]</w:t>
        </w:r>
      </w:hyperlink>
    </w:p>
    <w:bookmarkEnd w:id="79"/>
    <w:p>
      <w:pPr>
        <w:pStyle w:val="NodeEnd"/>
      </w:pPr>
      <w:r>
        <w:t xml:space="preserve"> </w:t>
      </w:r>
    </w:p>
    <w:p>
      <w:pPr>
        <w:pStyle w:val="NodeStart"/>
      </w:pPr>
      <w:r>
        <w:t xml:space="preserve"> </w:t>
      </w:r>
    </w:p>
    <w:p>
      <w:pPr>
        <w:pStyle w:val="HeadSeparator"/>
      </w:pPr>
      <w:r>
        <w:t xml:space="preserve"> </w:t>
      </w:r>
    </w:p>
    <w:bookmarkStart w:id="83" w:name="_auto_toc_83"/>
    <w:bookmarkEnd w:id="83"/>
    <w:p>
      <w:pPr>
        <w:pStyle w:val="ResourceNumber"/>
      </w:pPr>
      <w:r>
        <w:t xml:space="preserve">7.13</w:t>
      </w:r>
    </w:p>
    <w:p>
      <w:pPr>
        <w:pStyle w:val="ResourceTitle"/>
      </w:pPr>
      <w:r>
        <w:t xml:space="preserve">Notes following Shaffer</w:t>
      </w:r>
    </w:p>
    <w:p>
      <w:pPr>
        <w:pStyle w:val="HeadEnd"/>
      </w:pPr>
      <w:r>
        <w:t xml:space="preserve"> </w:t>
      </w:r>
    </w:p>
    <w:p>
      <w:pPr>
        <w:pStyle w:val="BodyText"/>
      </w:pPr>
      <w:r>
        <w:rPr>
          <w:bCs/>
          <w:b/>
        </w:rPr>
        <w:t xml:space="preserve">1. Delaware's sequestration statute, part 1</w:t>
      </w:r>
      <w:r>
        <w:t xml:space="preserve">.  Although the Court alludes to the idea that the Delaware sequestration statute is a standard exercise of quasi-in-rem jurisdiction, there are differences between the two.  As discussed in the long video assigned for the previous class period, in a standard quasi-in-rem action, the plaintiff begins by inducing a court to seize a piece of property located inside the court's geographic jurisdictional boundaries that the alleged wrongdoer (who, in an in personam case, would be called the "defendant") owns.  The plaintiff then tries to prove to the court's satisfaction that the "defendant" in fact did something wrong.  This context allows (i) the "defendant" to dispute the merits of the lawsuit by arguing that it did nothing wrong, and (ii) limits the "defendant's" liability to the value of the property that the court seized.  But under the Delaware sequestration statute, a Delaware court seizes a stock owned by a "defendant" (which renders the stock impossible to sell, and thus makes it worthless) and holds onto it until the defendant consents to personal jurisdiction.  The court does not allow the defendant to defend the merits of the lawsuit until the defendant consents.  And that consent removes the upper limit on the judgment the court can issue, meaning that the court can enter judgment above the value of the property (here, the stock) that it seized.  Is it possible that even though the majority did not emphasize these differences, they nevertheless partially explain the majority's angry tone and statements it makes that, frankly, are ridiculous (see below)?</w:t>
      </w:r>
    </w:p>
    <w:p>
      <w:pPr>
        <w:pStyle w:val="BodyText"/>
      </w:pPr>
      <w:r>
        <w:rPr>
          <w:bCs/>
          <w:b/>
        </w:rPr>
        <w:t xml:space="preserve">2.  Delaware's sequestration statute, part 2</w:t>
      </w:r>
      <w:r>
        <w:t xml:space="preserve">:  Other states had sequestration statutes at the time of this litigation.  But Delaware's was unusual in that it allowed a Delaware court to seize stock owned by anyone, not just a director or officer of a corporation involved in a shareholder's derivative lawsuit.  Despite the fact that this lawsuit was against directors and officers of Greyhound, a Delaware corporation, the majority opinion was fixated on the possibility of its use against a casual stockholder.  </w:t>
      </w:r>
    </w:p>
    <w:p>
      <w:pPr>
        <w:pStyle w:val="BodyText"/>
      </w:pPr>
      <w:r>
        <w:rPr>
          <w:bCs/>
          <w:b/>
        </w:rPr>
        <w:t xml:space="preserve">3. The Two Views of</w:t>
      </w:r>
      <w:r>
        <w:rPr>
          <w:bCs/>
          <w:b/>
        </w:rPr>
        <w:t xml:space="preserve"> </w:t>
      </w:r>
      <w:r>
        <w:rPr>
          <w:iCs/>
          <w:i/>
          <w:bCs/>
          <w:b/>
        </w:rPr>
        <w:t xml:space="preserve">Shaffer</w:t>
      </w:r>
      <w:r>
        <w:t xml:space="preserve">: There are two possible ways to view</w:t>
      </w:r>
      <w:r>
        <w:t xml:space="preserve"> </w:t>
      </w:r>
      <w:r>
        <w:rPr>
          <w:iCs/>
          <w:i/>
        </w:rPr>
        <w:t xml:space="preserve">Shaffer</w:t>
      </w:r>
      <w:r>
        <w:t xml:space="preserve">, with very differing impacts on quasi-in-rem and in rem jurisdiction.</w:t>
      </w:r>
    </w:p>
    <w:p>
      <w:pPr>
        <w:pStyle w:val="BodyText"/>
      </w:pPr>
      <w:r>
        <w:t xml:space="preserve">A. The first perspective sees</w:t>
      </w:r>
      <w:r>
        <w:t xml:space="preserve"> </w:t>
      </w:r>
      <w:r>
        <w:rPr>
          <w:iCs/>
          <w:i/>
        </w:rPr>
        <w:t xml:space="preserve">Shaffer</w:t>
      </w:r>
      <w:r>
        <w:t xml:space="preserve"> </w:t>
      </w:r>
      <w:r>
        <w:t xml:space="preserve">as a case not about changing quasi-in-rem jurisdiction generally, but one in which the Delaware statute was far too broad in the ways described immediately above. On this view, quasi-in-rem and in rem jurisdiction are as they always were, with no need for analysis of contacts.</w:t>
      </w:r>
    </w:p>
    <w:p>
      <w:pPr>
        <w:pStyle w:val="BodyText"/>
      </w:pPr>
      <w:r>
        <w:t xml:space="preserve">B. The second perspective sees</w:t>
      </w:r>
      <w:r>
        <w:t xml:space="preserve"> </w:t>
      </w:r>
      <w:r>
        <w:rPr>
          <w:iCs/>
          <w:i/>
        </w:rPr>
        <w:t xml:space="preserve">Shaffer</w:t>
      </w:r>
      <w:r>
        <w:t xml:space="preserve"> </w:t>
      </w:r>
      <w:r>
        <w:t xml:space="preserve">as</w:t>
      </w:r>
      <w:r>
        <w:t xml:space="preserve"> </w:t>
      </w:r>
      <w:r>
        <w:t xml:space="preserve">bringing</w:t>
      </w:r>
      <w:r>
        <w:t xml:space="preserve"> </w:t>
      </w:r>
      <w:r>
        <w:t xml:space="preserve">to quasi-in-rem and in-rem jurisdiction the test established by</w:t>
      </w:r>
      <w:r>
        <w:t xml:space="preserve"> </w:t>
      </w:r>
      <w:r>
        <w:rPr>
          <w:iCs/>
          <w:i/>
        </w:rPr>
        <w:t xml:space="preserve">International Shoe</w:t>
      </w:r>
      <w:r>
        <w:t xml:space="preserve"> </w:t>
      </w:r>
      <w:r>
        <w:t xml:space="preserve">and its progeny: minimal contacts among the defendant, the subject matter of litigation, and the forum, as well as the fair and reasonableness factors. This view recognizes the reality that quasi-in-rem suits are suits against the owner of a piece of property. But: at least quasi-in-rem lawsuits are brought by plaintiffs who aim to seek relief against defendants in states where the defendant has property, but where that state</w:t>
      </w:r>
      <w:r>
        <w:t xml:space="preserve"> </w:t>
      </w:r>
      <w:r>
        <w:rPr>
          <w:iCs/>
          <w:i/>
        </w:rPr>
        <w:t xml:space="preserve">would not</w:t>
      </w:r>
      <w:r>
        <w:rPr>
          <w:iCs/>
          <w:i/>
        </w:rPr>
        <w:t xml:space="preserve"> </w:t>
      </w:r>
      <w:r>
        <w:t xml:space="preserve">have in personam jurisdiction over the defendant. If the defendant’s property were in a state that did have in personam jurisdiction over the defendant, the recovery discrepancy between in-personam and quasi-in-rem mentioned in the previous note would incentivize bringing cases using personam jurisdiction, not quasi-in-rem. As a result, this view would likely lead to a very large decrease in the use - or at least success - of in rem and quasi-in-rem jurisdiction.</w:t>
      </w:r>
    </w:p>
    <w:p>
      <w:pPr>
        <w:pStyle w:val="BodyText"/>
      </w:pPr>
      <w:r>
        <w:t xml:space="preserve">Which view of the case do you find more persuasive?  Does it affect your view that the majority makes statements such as the defendants, directors and officers of Greyhound, a Delaware corporation whose business assets the defendants had allegedly treated with complete disrespect despite being legally bound to treat them with due care, "</w:t>
      </w:r>
      <w:r>
        <w:t xml:space="preserve">have simply had nothing to do with the State of Delaware." How about the Court's majority's assertion that the defendants had "no reason to expect to be haled before a Delaware court"? Can we take either statement seriously?</w:t>
      </w:r>
    </w:p>
    <w:p>
      <w:pPr>
        <w:pStyle w:val="BodyText"/>
      </w:pPr>
      <w:r>
        <w:rPr>
          <w:bCs/>
          <w:b/>
        </w:rPr>
        <w:t xml:space="preserve">4. Delaware's Response to</w:t>
      </w:r>
      <w:r>
        <w:rPr>
          <w:bCs/>
          <w:b/>
        </w:rPr>
        <w:t xml:space="preserve"> </w:t>
      </w:r>
      <w:r>
        <w:rPr>
          <w:iCs/>
          <w:i/>
          <w:bCs/>
          <w:b/>
        </w:rPr>
        <w:t xml:space="preserve">Shaffer</w:t>
      </w:r>
      <w:r>
        <w:t xml:space="preserve">: After</w:t>
      </w:r>
      <w:r>
        <w:t xml:space="preserve"> </w:t>
      </w:r>
      <w:r>
        <w:rPr>
          <w:iCs/>
          <w:i/>
        </w:rPr>
        <w:t xml:space="preserve">Shaffer</w:t>
      </w:r>
      <w:r>
        <w:t xml:space="preserve">, the Delaware legislature passed a statute deeming a defendant’s acceptance of election or appointment to a directorship of a Delaware corporation as consent to jurisdiction in suits relating to the defendant’s capacity as a director. In</w:t>
      </w:r>
      <w:r>
        <w:t xml:space="preserve"> </w:t>
      </w:r>
      <w:r>
        <w:rPr>
          <w:iCs/>
          <w:i/>
        </w:rPr>
        <w:t xml:space="preserve">Armstrong v. Pomerance</w:t>
      </w:r>
      <w:r>
        <w:t xml:space="preserve">, the Delaware Supreme Court upheld this statute as constitutional, emphasizing that (1) the statute gave explicit notice to those who accepted their directorships, (2) the directors’ acceptance was “purposeful availment of the privilege of becoming directors of a Delaware corporation” with its benefits and protections of the laws of the State, and (3) that fair and reasonable factors were present to support Delaware jurisdiction. 423 A.2d 174 (Del.1980).</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84" w:name="_auto_toc_84"/>
    <w:bookmarkEnd w:id="84"/>
    <w:p>
      <w:pPr>
        <w:pStyle w:val="ChapterNumber"/>
      </w:pPr>
      <w:r>
        <w:t xml:space="preserve">8</w:t>
      </w:r>
    </w:p>
    <w:p>
      <w:pPr>
        <w:pStyle w:val="ChapterTitle"/>
      </w:pPr>
      <w:r>
        <w:t xml:space="preserve">Day 8</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85" w:name="_auto_toc_85"/>
    <w:bookmarkEnd w:id="85"/>
    <w:p>
      <w:pPr>
        <w:pStyle w:val="ResourceNumber"/>
      </w:pPr>
      <w:r>
        <w:t xml:space="preserve">8.1</w:t>
      </w:r>
    </w:p>
    <w:p>
      <w:pPr>
        <w:pStyle w:val="ResourceTitle"/>
      </w:pPr>
      <w:r>
        <w:t xml:space="preserve">Constitutional Provisions</w:t>
      </w:r>
    </w:p>
    <w:p>
      <w:pPr>
        <w:pStyle w:val="HeadFieldSeparator"/>
      </w:pPr>
      <w:r>
        <w:t xml:space="preserve"> </w:t>
      </w:r>
    </w:p>
    <w:p>
      <w:pPr>
        <w:pStyle w:val="ResourceHeadnote"/>
      </w:pPr>
      <w:r>
        <w:t xml:space="preserve">Read the following constitutional provisions. You can access them via the internet, or the supplemental handout provided on Canvas.</w:t>
      </w:r>
    </w:p>
    <w:p>
      <w:pPr>
        <w:pStyle w:val="HeadEnd"/>
      </w:pPr>
      <w:r>
        <w:t xml:space="preserve"> </w:t>
      </w:r>
    </w:p>
    <w:p>
      <w:pPr>
        <w:numPr>
          <w:ilvl w:val="0"/>
          <w:numId w:val="1089"/>
        </w:numPr>
      </w:pPr>
      <w:r>
        <w:t xml:space="preserve">U.S. Const. art. IV § 1</w:t>
      </w:r>
    </w:p>
    <w:p>
      <w:pPr>
        <w:numPr>
          <w:ilvl w:val="0"/>
          <w:numId w:val="1089"/>
        </w:numPr>
      </w:pPr>
      <w:r>
        <w:t xml:space="preserve">U.S. Const. amend. XIV</w:t>
      </w:r>
    </w:p>
    <w:p>
      <w:pPr>
        <w:pStyle w:val="NodeEnd"/>
      </w:pPr>
      <w:r>
        <w:t xml:space="preserve"> </w:t>
      </w:r>
    </w:p>
    <w:p>
      <w:pPr>
        <w:pStyle w:val="NodeStart"/>
      </w:pPr>
      <w:r>
        <w:t xml:space="preserve"> </w:t>
      </w:r>
    </w:p>
    <w:p>
      <w:pPr>
        <w:pStyle w:val="HeadSeparator"/>
      </w:pPr>
      <w:r>
        <w:t xml:space="preserve"> </w:t>
      </w:r>
    </w:p>
    <w:bookmarkStart w:id="86" w:name="_auto_toc_86"/>
    <w:bookmarkEnd w:id="86"/>
    <w:p>
      <w:pPr>
        <w:pStyle w:val="ResourceNumber"/>
      </w:pPr>
      <w:r>
        <w:t xml:space="preserve">8.2</w:t>
      </w:r>
    </w:p>
    <w:p>
      <w:pPr>
        <w:pStyle w:val="ResourceTitle"/>
      </w:pPr>
      <w:r>
        <w:t xml:space="preserve">Burnham v. Superior Court</w:t>
      </w:r>
    </w:p>
    <w:p>
      <w:pPr>
        <w:pStyle w:val="HeadFieldSeparator"/>
      </w:pPr>
      <w:r>
        <w:t xml:space="preserve"> </w:t>
      </w:r>
    </w:p>
    <w:p>
      <w:pPr>
        <w:pStyle w:val="ResourceHeadnote"/>
      </w:pPr>
      <w:r>
        <w:t xml:space="preserve">Just as the developments in in personam jurisdiction doctrine could not be constrained and had implications for the development of quasi-in-rem and in-rem doctrine, neither could the implications of</w:t>
      </w:r>
      <w:r>
        <w:t xml:space="preserve"> </w:t>
      </w:r>
      <w:r>
        <w:rPr>
          <w:iCs/>
          <w:i/>
        </w:rPr>
        <w:t xml:space="preserve">Shaffer</w:t>
      </w:r>
      <w:r>
        <w:t xml:space="preserve"> </w:t>
      </w:r>
      <w:r>
        <w:t xml:space="preserve">be constrained to quasi-in-rem and in-rem. In particular, lower courts struggled to know how seriously to take the</w:t>
      </w:r>
      <w:r>
        <w:t xml:space="preserve"> </w:t>
      </w:r>
      <w:r>
        <w:rPr>
          <w:iCs/>
          <w:i/>
        </w:rPr>
        <w:t xml:space="preserve">Shaffer</w:t>
      </w:r>
      <w:r>
        <w:t xml:space="preserve"> </w:t>
      </w:r>
      <w:r>
        <w:t xml:space="preserve">majority's statement, "</w:t>
      </w:r>
      <w:r>
        <w:t xml:space="preserve">We therefore conclude that all assertions of state-court jurisdiction must be evaluated according to the standards set forth in</w:t>
      </w:r>
      <w:r>
        <w:t xml:space="preserve"> </w:t>
      </w:r>
      <w:r>
        <w:rPr>
          <w:iCs/>
          <w:i/>
        </w:rPr>
        <w:t xml:space="preserve">International Shoe</w:t>
      </w:r>
      <w:r>
        <w:t xml:space="preserve"> </w:t>
      </w:r>
      <w:r>
        <w:t xml:space="preserve">and its progeny." Taking this statement seriously would mean that a court could not exercise quasi-in-rem jurisdiction over property in its geographic boundaries when the property had no relationship to the subject matter of the dispute (as was frequently the case in quasi-in-rem lawsuits), unless the court under the</w:t>
      </w:r>
      <w:r>
        <w:t xml:space="preserve"> </w:t>
      </w:r>
      <w:r>
        <w:rPr>
          <w:iCs/>
          <w:i/>
        </w:rPr>
        <w:t xml:space="preserve">Shoe</w:t>
      </w:r>
      <w:r>
        <w:t xml:space="preserve"> </w:t>
      </w:r>
      <w:r>
        <w:t xml:space="preserve">test could otherwise exercise in personam jurisdiction over the defendant (under either a general or a specific IPJ theory). That would be a significant change in law in quasi-in-rem law. And on the IPJ side, where ALL traditional bases for exercising IPJ, including any not discussed explicitly in</w:t>
      </w:r>
      <w:r>
        <w:t xml:space="preserve"> </w:t>
      </w:r>
      <w:r>
        <w:rPr>
          <w:iCs/>
          <w:i/>
        </w:rPr>
        <w:t xml:space="preserve">International Shoe</w:t>
      </w:r>
      <w:r>
        <w:t xml:space="preserve"> </w:t>
      </w:r>
      <w:r>
        <w:t xml:space="preserve">or its progeny, now unconstitutional?</w:t>
      </w:r>
    </w:p>
    <w:p>
      <w:pPr>
        <w:pStyle w:val="ResourceHeadnote"/>
      </w:pPr>
      <w:r>
        <w:t xml:space="preserve">With respect to the spillover into IPJ law: Some courts had held for some time (the majority and the concurrence in the case that folllows dispute how long) that even though precursors to</w:t>
      </w:r>
      <w:r>
        <w:t xml:space="preserve"> </w:t>
      </w:r>
      <w:r>
        <w:rPr>
          <w:iCs/>
          <w:i/>
        </w:rPr>
        <w:t xml:space="preserve">International Shoe</w:t>
      </w:r>
      <w:r>
        <w:t xml:space="preserve"> </w:t>
      </w:r>
      <w:r>
        <w:t xml:space="preserve">discarded</w:t>
      </w:r>
      <w:r>
        <w:t xml:space="preserve"> </w:t>
      </w:r>
      <w:r>
        <w:rPr>
          <w:iCs/>
          <w:i/>
        </w:rPr>
        <w:t xml:space="preserve">Pennoyer's</w:t>
      </w:r>
      <w:r>
        <w:t xml:space="preserve"> </w:t>
      </w:r>
      <w:r>
        <w:t xml:space="preserve">holding that an in-state tag was NECESSARY for an in personam case to proceed, courts continued to hold that an in-state tag was still SUFFICIENT by itself to allow a court to exercise personal jurisdiction. Few courts questioned this sufficiency after</w:t>
      </w:r>
      <w:r>
        <w:t xml:space="preserve"> </w:t>
      </w:r>
      <w:r>
        <w:rPr>
          <w:iCs/>
          <w:i/>
        </w:rPr>
        <w:t xml:space="preserve">International Shoe</w:t>
      </w:r>
      <w:r>
        <w:t xml:space="preserve">. After</w:t>
      </w:r>
      <w:r>
        <w:t xml:space="preserve"> </w:t>
      </w:r>
      <w:r>
        <w:rPr>
          <w:iCs/>
          <w:i/>
        </w:rPr>
        <w:t xml:space="preserve">Shaffer</w:t>
      </w:r>
      <w:r>
        <w:t xml:space="preserve">, however, questions did arise because few courts believed that a tag, by itself, could pass the</w:t>
      </w:r>
      <w:r>
        <w:t xml:space="preserve"> </w:t>
      </w:r>
      <w:r>
        <w:rPr>
          <w:iCs/>
          <w:i/>
        </w:rPr>
        <w:t xml:space="preserve">International Shoe</w:t>
      </w:r>
      <w:r>
        <w:t xml:space="preserve"> </w:t>
      </w:r>
      <w:r>
        <w:t xml:space="preserve">tests; an in-jurisdiction tag, by itself could hardly be said to provide "minimal contacts".</w:t>
      </w:r>
    </w:p>
    <w:p>
      <w:pPr>
        <w:pStyle w:val="HeadEnd"/>
      </w:pPr>
      <w:r>
        <w:t xml:space="preserve"> </w:t>
      </w:r>
    </w:p>
    <w:p>
      <w:pPr>
        <w:pStyle w:val="CaseHeader"/>
      </w:pPr>
      <w:r>
        <w:t xml:space="preserve">Supreme Court of the United States</w:t>
      </w:r>
    </w:p>
    <w:p>
      <w:pPr>
        <w:pStyle w:val="CaseHeader"/>
      </w:pPr>
      <w:r>
        <w:t xml:space="preserve">495 U.S. 604, 109 L. Ed. 2d 631, 110 S. Ct. 2105, SCDB 1989-087, 1990 U.S. LEXIS 2700</w:t>
      </w:r>
    </w:p>
    <w:p>
      <w:pPr>
        <w:pStyle w:val="CaseHeader"/>
      </w:pPr>
      <w:r>
        <w:t xml:space="preserve">No. 89-44</w:t>
      </w:r>
    </w:p>
    <w:p>
      <w:pPr>
        <w:pStyle w:val="CaseHeader"/>
      </w:pPr>
      <w:r>
        <w:t xml:space="preserve">1990-05-29</w:t>
      </w:r>
    </w:p>
    <w:p>
      <w:pPr>
        <w:pStyle w:val="CaseBody"/>
      </w:pPr>
      <w:r>
        <w:t xml:space="preserve">495 U.S. 604 (1990)</w:t>
      </w:r>
    </w:p>
    <w:p>
      <w:pPr>
        <w:pStyle w:val="CaseHeader"/>
      </w:pPr>
      <w:r>
        <w:t xml:space="preserve">BURNHAM</w:t>
      </w:r>
      <w:r>
        <w:br/>
      </w:r>
      <w:r>
        <w:t xml:space="preserve">v.</w:t>
      </w:r>
      <w:r>
        <w:br/>
      </w:r>
      <w:r>
        <w:t xml:space="preserve">SUPERIOR COURT OF CALIFORNIA, COUNTY OF MARIN (BURNHAM, REAL PARTY IN INTEREST)</w:t>
      </w:r>
    </w:p>
    <w:p>
      <w:pPr>
        <w:pStyle w:val="CaseBody"/>
      </w:pPr>
      <w:r>
        <w:rPr>
          <w:rStyle w:val="Elision"/>
        </w:rPr>
        <w:t xml:space="preserve">[ … ]</w:t>
      </w:r>
    </w:p>
    <w:p>
      <w:pPr>
        <w:pStyle w:val="CaseBody"/>
      </w:pPr>
      <w:r>
        <w:t xml:space="preserve">Supreme Court of United States.</w:t>
      </w:r>
    </w:p>
    <w:p>
      <w:pPr>
        <w:pStyle w:val="CaseBody"/>
      </w:pPr>
      <w:r>
        <w:rPr>
          <w:rStyle w:val="Elision"/>
        </w:rPr>
        <w:t xml:space="preserve">[ … ]</w:t>
      </w:r>
    </w:p>
    <w:p>
      <w:pPr>
        <w:pStyle w:val="CaseBody"/>
      </w:pPr>
      <w:r>
        <w:t xml:space="preserve">CERTIORARI TO THE COURT OF APPEAL OF CALIFORNIA, FIRST APPELLATE DISTRICT</w:t>
      </w:r>
    </w:p>
    <w:p>
      <w:pPr>
        <w:pStyle w:val="CaseBody"/>
      </w:pPr>
      <w:r>
        <w:rPr>
          <w:rStyle w:val="Elision"/>
        </w:rPr>
        <w:t xml:space="preserve">[ … ]</w:t>
      </w:r>
    </w:p>
    <w:bookmarkStart w:id="80" w:name="Xd94c7214b70bfdbc50304d650a400d2036f6678"/>
    <w:p>
      <w:pPr>
        <w:pStyle w:val="Heading2"/>
      </w:pPr>
      <w:r>
        <w:t xml:space="preserve">JUSTICE SCALIA announced the judgment of the Court and delivered an opinion in which THE CHIEF JUSTICE and JUSTICE KENNEDY join, and in which JUSTICE WHITE joins with respect to Parts I, II-A, II-B, and II-C.</w:t>
      </w:r>
    </w:p>
    <w:p>
      <w:pPr>
        <w:pStyle w:val="CaseBody"/>
      </w:pPr>
      <w:r>
        <w:t xml:space="preserve">The question presented is whether the Due Process Clause of the Fourteenth Amendment denies California courts jurisdiction over a nonresident, who was personally served with process while temporarily in that State, in a suit unrelated to his activities in the State.</w:t>
      </w:r>
    </w:p>
    <w:bookmarkEnd w:id="80"/>
    <w:bookmarkStart w:id="81" w:name="i-5"/>
    <w:p>
      <w:pPr>
        <w:pStyle w:val="Heading2"/>
      </w:pPr>
      <w:r>
        <w:t xml:space="preserve">I</w:t>
      </w:r>
    </w:p>
    <w:p>
      <w:pPr>
        <w:pStyle w:val="CaseBody"/>
      </w:pPr>
      <w:r>
        <w:t xml:space="preserve">Petitioner Dennis Burnham married Francie Burnham in 1976 in West Virginia. In 1977 the couple moved to New Jersey, where their two children were born. In July 1987 the Burnhams decided to separate. They agreed that Mrs. Burnham, who intended to move to California, would take custody of the children. Shortly before Mrs. Burnham departed for California that same month, she and petitioner agreed that she would file for divorce on grounds of "irreconcilable differences."</w:t>
      </w:r>
    </w:p>
    <w:p>
      <w:pPr>
        <w:pStyle w:val="CaseBody"/>
      </w:pPr>
      <w:r>
        <w:t xml:space="preserve">In October 1987, petitioner filed for divorce in New Jersey state court on grounds of "desertion." Petitioner did not, however, obtain an issuance of summons against his wife and did not attempt to serve her with process. Mrs. Burnham, after unsuccessfully demanding that petitioner adhere to</w:t>
      </w:r>
      <w:r>
        <w:t xml:space="preserve"> </w:t>
      </w:r>
      <w:r>
        <w:rPr>
          <w:rStyle w:val="Elision"/>
        </w:rPr>
        <w:t xml:space="preserve">[ … ]</w:t>
      </w:r>
      <w:r>
        <w:t xml:space="preserve"> </w:t>
      </w:r>
      <w:r>
        <w:t xml:space="preserve">their prior agreement to submit to an "irreconcilable differences" divorce, brought suit for divorce in California state court in early January 1988.</w:t>
      </w:r>
    </w:p>
    <w:p>
      <w:pPr>
        <w:pStyle w:val="CaseBody"/>
      </w:pPr>
      <w:r>
        <w:t xml:space="preserve">In late January, petitioner visited southern California on business, after which he went north to visit his children in the San Francisco Bay area, where his wife resided. He took the older child to San Francisco for the weekend. Upon returning the child to Mrs. Burnham's home on January 24, 1988, petitioner was served with a California court summons and a copy of Mrs. Burnham's divorce petition. He then returned to New Jersey.</w:t>
      </w:r>
    </w:p>
    <w:p>
      <w:pPr>
        <w:pStyle w:val="CaseBody"/>
      </w:pPr>
      <w:r>
        <w:t xml:space="preserve">Later that year, petitioner made a special appearance in the California Superior Court, moving to quash the service of process on the ground that the court lacked personal jurisdiction over him because his only contacts with California were a few short visits to the State for the purposes of conducting business and visiting his children. The Superior Court denied the motion, and the California Court of Appeal denied mandamus relief, rejecting petitioner's contention that the Due Process Clause prohibited California courts from asserting jurisdiction over him because he lacked "minimum contacts" with the State. The court held it to be "a valid jurisdictional predicate for</w:t>
      </w:r>
      <w:r>
        <w:t xml:space="preserve"> </w:t>
      </w:r>
      <w:r>
        <w:rPr>
          <w:iCs/>
          <w:i/>
        </w:rPr>
        <w:t xml:space="preserve">in personam</w:t>
      </w:r>
      <w:r>
        <w:t xml:space="preserve"> </w:t>
      </w:r>
      <w:r>
        <w:t xml:space="preserve">jurisdiction" that the "defendant [was] present in the forum state and personally served with process."</w:t>
      </w:r>
      <w:r>
        <w:t xml:space="preserve"> </w:t>
      </w:r>
      <w:r>
        <w:rPr>
          <w:rStyle w:val="Elision"/>
        </w:rPr>
        <w:t xml:space="preserve">[ … ]</w:t>
      </w:r>
    </w:p>
    <w:bookmarkEnd w:id="81"/>
    <w:bookmarkStart w:id="82" w:name="ii-5"/>
    <w:p>
      <w:pPr>
        <w:pStyle w:val="Heading2"/>
      </w:pPr>
      <w:r>
        <w:t xml:space="preserve">II</w:t>
      </w:r>
    </w:p>
    <w:bookmarkEnd w:id="82"/>
    <w:bookmarkStart w:id="83" w:name="a-2"/>
    <w:p>
      <w:pPr>
        <w:pStyle w:val="Heading2"/>
      </w:pPr>
      <w:r>
        <w:t xml:space="preserve">A</w:t>
      </w:r>
    </w:p>
    <w:p>
      <w:pPr>
        <w:pStyle w:val="CaseBody"/>
      </w:pPr>
      <w:r>
        <w:rPr>
          <w:rStyle w:val="Elision"/>
        </w:rPr>
        <w:t xml:space="preserve">[ … ]</w:t>
      </w:r>
    </w:p>
    <w:p>
      <w:pPr>
        <w:pStyle w:val="CaseBody"/>
      </w:pPr>
      <w:r>
        <w:t xml:space="preserve">To determine whether the assertion of personal jurisdiction is consistent with due process, we have long relied on the principles traditionally followed by American courts in marking out the territorial limits of each State's authority.</w:t>
      </w:r>
      <w:r>
        <w:t xml:space="preserve"> </w:t>
      </w:r>
      <w:r>
        <w:rPr>
          <w:rStyle w:val="Elision"/>
        </w:rPr>
        <w:t xml:space="preserve">[ … ]</w:t>
      </w:r>
      <w:r>
        <w:t xml:space="preserve"> </w:t>
      </w:r>
      <w:r>
        <w:t xml:space="preserve">In what has become the classic expression of the criterion, we said in</w:t>
      </w:r>
      <w:r>
        <w:t xml:space="preserve">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that a state court's assertion of personal jurisdiction satisfies the Due Process Clause if it does not violate " `traditional notions of fair play and substantial justice.' "</w:t>
      </w:r>
      <w:r>
        <w:t xml:space="preserve"> </w:t>
      </w:r>
      <w:r>
        <w:rPr>
          <w:iCs/>
          <w:i/>
        </w:rPr>
        <w:t xml:space="preserve">Id.</w:t>
      </w:r>
      <w:r>
        <w:rPr>
          <w:rStyle w:val="Elision"/>
        </w:rPr>
        <w:t xml:space="preserve">[ … ]</w:t>
      </w:r>
      <w:r>
        <w:t xml:space="preserve">Since</w:t>
      </w:r>
      <w:r>
        <w:t xml:space="preserve"> </w:t>
      </w:r>
      <w:r>
        <w:rPr>
          <w:iCs/>
          <w:i/>
        </w:rPr>
        <w:t xml:space="preserve">International Shoe,</w:t>
      </w:r>
      <w:r>
        <w:t xml:space="preserve"> </w:t>
      </w:r>
      <w:r>
        <w:t xml:space="preserve">we have only been called upon to decide whether these "traditional notions" permit</w:t>
      </w:r>
      <w:r>
        <w:t xml:space="preserve"> </w:t>
      </w:r>
      <w:r>
        <w:rPr>
          <w:rStyle w:val="Elision"/>
        </w:rPr>
        <w:t xml:space="preserve">[ … ]</w:t>
      </w:r>
      <w:r>
        <w:t xml:space="preserve">States to exercise jurisdiction over absent defendants in a manner that deviates from the rules of jurisdiction applied in the 19th century.</w:t>
      </w:r>
      <w:r>
        <w:t xml:space="preserve"> </w:t>
      </w:r>
      <w:r>
        <w:rPr>
          <w:rStyle w:val="Elision"/>
        </w:rPr>
        <w:t xml:space="preserve">[ … ]</w:t>
      </w:r>
      <w:r>
        <w:t xml:space="preserve"> </w:t>
      </w:r>
      <w:r>
        <w:t xml:space="preserve">The question we must decide today is whether due process requires a similar connection between the litigation and the defendant's contacts with the State in cases where the defendant is physically present in the State at the time process is served upon him.</w:t>
      </w:r>
    </w:p>
    <w:bookmarkEnd w:id="83"/>
    <w:bookmarkStart w:id="84" w:name="b-1"/>
    <w:p>
      <w:pPr>
        <w:pStyle w:val="Heading2"/>
      </w:pPr>
      <w:r>
        <w:t xml:space="preserve">B</w:t>
      </w:r>
    </w:p>
    <w:p>
      <w:pPr>
        <w:pStyle w:val="CaseBody"/>
      </w:pPr>
      <w:r>
        <w:t xml:space="preserve">Among the most firmly established principles of personal jurisdiction in American tradition is that the courts of a State have jurisdiction over nonresidents who are physically present in the State. The view developed early that each State had the power to hale before its courts any individual who could be found within its borders, and that once having acquired jurisdiction over such a person by properly serving him with process, the State could retain jurisdiction to enter</w:t>
      </w:r>
      <w:r>
        <w:t xml:space="preserve"> </w:t>
      </w:r>
      <w:r>
        <w:rPr>
          <w:rStyle w:val="Elision"/>
        </w:rPr>
        <w:t xml:space="preserve">[ … ]</w:t>
      </w:r>
      <w:r>
        <w:t xml:space="preserve"> </w:t>
      </w:r>
      <w:r>
        <w:t xml:space="preserve">judgment against him, no matter how fleeting his visit.</w:t>
      </w:r>
      <w:r>
        <w:t xml:space="preserve"> </w:t>
      </w:r>
      <w:r>
        <w:rPr>
          <w:rStyle w:val="Elision"/>
        </w:rPr>
        <w:t xml:space="preserve">[ … ]</w:t>
      </w:r>
      <w:r>
        <w:t xml:space="preserve">. That view had antecedents in English common-law practice, which sometimes allowed "transitory" actions, arising out of events outside the country, to be maintained against seemingly nonresident defendants who were present in England.</w:t>
      </w:r>
      <w:r>
        <w:t xml:space="preserve"> </w:t>
      </w:r>
      <w:r>
        <w:rPr>
          <w:rStyle w:val="Elision"/>
        </w:rPr>
        <w:t xml:space="preserve">[ … ]</w:t>
      </w:r>
      <w:r>
        <w:t xml:space="preserve">. Justice Story believed the principle, which he traced to Roman origins, to be firmly grounded in English tradition: "[B]y the common law[,] personal actions, being transitory, may be brought in any place, where the party defendant may be found," for "every nation may . . . rightfully exercise jurisdiction over all persons within its domains."</w:t>
      </w:r>
      <w:r>
        <w:t xml:space="preserve"> </w:t>
      </w:r>
      <w:r>
        <w:rPr>
          <w:rStyle w:val="Elision"/>
        </w:rPr>
        <w:t xml:space="preserve">[ … ]</w:t>
      </w:r>
      <w:r>
        <w:rPr>
          <w:rStyle w:val="Elision"/>
        </w:rPr>
        <w:t xml:space="preserve">[ … ]</w:t>
      </w:r>
    </w:p>
    <w:p>
      <w:pPr>
        <w:pStyle w:val="CaseBody"/>
      </w:pPr>
      <w:r>
        <w:rPr>
          <w:rStyle w:val="Elision"/>
        </w:rPr>
        <w:t xml:space="preserve">[ … ]</w:t>
      </w:r>
      <w:r>
        <w:t xml:space="preserve"> </w:t>
      </w:r>
      <w:r>
        <w:rPr>
          <w:rStyle w:val="ReplacementText"/>
        </w:rPr>
        <w:t xml:space="preserve">J</w:t>
      </w:r>
      <w:r>
        <w:t xml:space="preserve">udging by the evidence of contemporaneous or near-contemporaneous decisions, one must conclude that Story's understanding was shared by American courts at the crucial time for present purposes: 1868, when the Fourteenth Amendment was adopted.</w:t>
      </w:r>
      <w:r>
        <w:t xml:space="preserve"> </w:t>
      </w:r>
      <w:r>
        <w:rPr>
          <w:rStyle w:val="Elision"/>
        </w:rPr>
        <w:t xml:space="preserve">[ … ]</w:t>
      </w:r>
    </w:p>
    <w:p>
      <w:pPr>
        <w:pStyle w:val="CaseBody"/>
      </w:pPr>
      <w:r>
        <w:rPr>
          <w:rStyle w:val="Elision"/>
        </w:rPr>
        <w:t xml:space="preserve">[ … ]</w:t>
      </w:r>
      <w:r>
        <w:t xml:space="preserve"> </w:t>
      </w:r>
      <w:r>
        <w:t xml:space="preserve">Particularly striking is the fact that, as far as we have been able to determine,</w:t>
      </w:r>
      <w:r>
        <w:t xml:space="preserve"> </w:t>
      </w:r>
      <w:r>
        <w:rPr>
          <w:iCs/>
          <w:i/>
        </w:rPr>
        <w:t xml:space="preserve">not one</w:t>
      </w:r>
      <w:r>
        <w:t xml:space="preserve"> </w:t>
      </w:r>
      <w:r>
        <w:t xml:space="preserve">American case from the period (or, for that matter, not one American case</w:t>
      </w:r>
      <w:r>
        <w:t xml:space="preserve"> </w:t>
      </w:r>
      <w:r>
        <w:rPr>
          <w:rStyle w:val="Elision"/>
        </w:rPr>
        <w:t xml:space="preserve">[ … ]</w:t>
      </w:r>
      <w:r>
        <w:t xml:space="preserve"> </w:t>
      </w:r>
      <w:r>
        <w:t xml:space="preserve">until 1978) held, or even suggested, that in-state personal service on an individual was insufficient to confer personal jurisdiction.</w:t>
      </w:r>
      <w:hyperlink w:anchor="X232feb965ffe38b2a9935a647b18718f73e4b25">
        <w:r>
          <w:rPr>
            <w:rStyle w:val="Elision"/>
            <w:vertAlign w:val="superscript"/>
          </w:rPr>
          <w:t xml:space="preserve">[ … ]</w:t>
        </w:r>
      </w:hyperlink>
      <w:r>
        <w:t xml:space="preserve"> </w:t>
      </w:r>
      <w:r>
        <w:rPr>
          <w:rStyle w:val="Elision"/>
        </w:rPr>
        <w:t xml:space="preserve">[ … ]</w:t>
      </w:r>
    </w:p>
    <w:p>
      <w:pPr>
        <w:pStyle w:val="CaseBody"/>
      </w:pPr>
      <w:r>
        <w:t xml:space="preserve">This American jurisdictional practice is, moreover, not merely old; it is continuing. It remains the practice of, not only a substantial number of the States, but as far as we are aware</w:t>
      </w:r>
      <w:r>
        <w:t xml:space="preserve"> </w:t>
      </w:r>
      <w:r>
        <w:rPr>
          <w:iCs/>
          <w:i/>
        </w:rPr>
        <w:t xml:space="preserve">all</w:t>
      </w:r>
      <w:r>
        <w:t xml:space="preserve"> </w:t>
      </w:r>
      <w:r>
        <w:t xml:space="preserve">the States and the Federal Government — if one disregards (as one must for this purpose) the few opinions since 1978 that have erroneously said, on grounds similar to those that petitioner presses here, that this Court's due process decisions render the practice unconstitutional.</w:t>
      </w:r>
      <w:r>
        <w:t xml:space="preserve"> </w:t>
      </w:r>
      <w:r>
        <w:rPr>
          <w:rStyle w:val="Elision"/>
        </w:rPr>
        <w:t xml:space="preserve">[ … ]</w:t>
      </w:r>
      <w:r>
        <w:t xml:space="preserve"> </w:t>
      </w:r>
      <w:r>
        <w:t xml:space="preserve">We do not know of a single state or federal statute, or a single judicial decision resting upon state law, that has abandoned in-state service as a basis of jurisdiction. Many recent cases reaffirm it.</w:t>
      </w:r>
      <w:r>
        <w:t xml:space="preserve"> </w:t>
      </w:r>
      <w:r>
        <w:rPr>
          <w:rStyle w:val="Elision"/>
        </w:rPr>
        <w:t xml:space="preserve">[ … ]</w:t>
      </w:r>
    </w:p>
    <w:bookmarkEnd w:id="84"/>
    <w:bookmarkStart w:id="85" w:name="c"/>
    <w:p>
      <w:pPr>
        <w:pStyle w:val="Heading2"/>
      </w:pPr>
      <w:r>
        <w:t xml:space="preserve">C</w:t>
      </w:r>
    </w:p>
    <w:p>
      <w:pPr>
        <w:pStyle w:val="CaseBody"/>
      </w:pPr>
      <w:r>
        <w:t xml:space="preserve">Despite this formidable body of precedent, petitioner contends, in reliance on our decisions applying the</w:t>
      </w:r>
      <w:r>
        <w:t xml:space="preserve"> </w:t>
      </w:r>
      <w:r>
        <w:rPr>
          <w:iCs/>
          <w:i/>
        </w:rPr>
        <w:t xml:space="preserve">International Shoe</w:t>
      </w:r>
      <w:r>
        <w:t xml:space="preserve"> </w:t>
      </w:r>
      <w:r>
        <w:t xml:space="preserve">standard, that in the absence of "continuous and systematic" contacts with the forum,</w:t>
      </w:r>
      <w:r>
        <w:t xml:space="preserve"> </w:t>
      </w:r>
      <w:r>
        <w:rPr>
          <w:rStyle w:val="Elision"/>
        </w:rPr>
        <w:t xml:space="preserve">[ … ]</w:t>
      </w:r>
      <w:r>
        <w:t xml:space="preserve">a nonresident defendant can be subjected to judgment only as to matters that arise out of or relate to his contacts with the forum. This argument rests on a thorough misunderstanding of our cases.</w:t>
      </w:r>
    </w:p>
    <w:p>
      <w:pPr>
        <w:pStyle w:val="CaseBody"/>
      </w:pPr>
      <w:r>
        <w:t xml:space="preserve">The view of most courts in the 19th century was that a court simply could not exercise</w:t>
      </w:r>
      <w:r>
        <w:t xml:space="preserve"> </w:t>
      </w:r>
      <w:r>
        <w:rPr>
          <w:iCs/>
          <w:i/>
        </w:rPr>
        <w:t xml:space="preserve">in personam</w:t>
      </w:r>
      <w:r>
        <w:t xml:space="preserve"> </w:t>
      </w:r>
      <w:r>
        <w:t xml:space="preserve">jurisdiction over a nonresident who had not been personally served with process in the forum.</w:t>
      </w:r>
      <w:r>
        <w:t xml:space="preserve"> </w:t>
      </w:r>
      <w:r>
        <w:rPr>
          <w:rStyle w:val="Elision"/>
        </w:rPr>
        <w:t xml:space="preserve">[ … ]</w:t>
      </w:r>
    </w:p>
    <w:p>
      <w:pPr>
        <w:pStyle w:val="CaseBody"/>
      </w:pPr>
      <w:r>
        <w:rPr>
          <w:rStyle w:val="Elision"/>
        </w:rPr>
        <w:t xml:space="preserve">[ … ]</w:t>
      </w:r>
      <w:r>
        <w:t xml:space="preserve"> </w:t>
      </w:r>
      <w:r>
        <w:t xml:space="preserve">In the late 19th and early 20th centuries, changes in the technology of transportation and communication, and the tremendous growth of interstate business activity, led to an "inevitable relaxation of the strict limits on state jurisdiction" over nonresident individuals and corporations.</w:t>
      </w:r>
      <w:r>
        <w:t xml:space="preserve"> </w:t>
      </w:r>
      <w:r>
        <w:rPr>
          <w:iCs/>
          <w:i/>
        </w:rPr>
        <w:t xml:space="preserve">Hanson</w:t>
      </w:r>
      <w:r>
        <w:t xml:space="preserve"> </w:t>
      </w:r>
      <w:r>
        <w:t xml:space="preserve">v.</w:t>
      </w:r>
      <w:r>
        <w:t xml:space="preserve"> </w:t>
      </w:r>
      <w:r>
        <w:rPr>
          <w:iCs/>
          <w:i/>
        </w:rPr>
        <w:t xml:space="preserve">Denckla,</w:t>
      </w:r>
      <w:r>
        <w:rPr>
          <w:rStyle w:val="Elision"/>
        </w:rPr>
        <w:t xml:space="preserve">[ … ]</w:t>
      </w:r>
      <w:r>
        <w:rPr>
          <w:rStyle w:val="Elision"/>
        </w:rPr>
        <w:t xml:space="preserve">[ … ]</w:t>
      </w:r>
      <w:r>
        <w:t xml:space="preserve"> </w:t>
      </w:r>
      <w:r>
        <w:t xml:space="preserve">As many observed,</w:t>
      </w:r>
      <w:r>
        <w:t xml:space="preserve"> </w:t>
      </w:r>
      <w:r>
        <w:rPr>
          <w:rStyle w:val="Elision"/>
        </w:rPr>
        <w:t xml:space="preserve">[ … ]</w:t>
      </w:r>
      <w:r>
        <w:t xml:space="preserve"> </w:t>
      </w:r>
      <w:r>
        <w:t xml:space="preserve">however, the consent and presence were purely fictional.</w:t>
      </w:r>
      <w:r>
        <w:t xml:space="preserve"> </w:t>
      </w:r>
      <w:r>
        <w:rPr>
          <w:rStyle w:val="Elision"/>
        </w:rPr>
        <w:t xml:space="preserve">[ … ]</w:t>
      </w:r>
      <w:r>
        <w:t xml:space="preserve"> </w:t>
      </w:r>
      <w:r>
        <w:t xml:space="preserve">Our opinion in</w:t>
      </w:r>
      <w:r>
        <w:t xml:space="preserve"> </w:t>
      </w:r>
      <w:r>
        <w:rPr>
          <w:iCs/>
          <w:i/>
        </w:rPr>
        <w:t xml:space="preserve">International Shoe</w:t>
      </w:r>
      <w:r>
        <w:t xml:space="preserve"> </w:t>
      </w:r>
      <w:r>
        <w:t xml:space="preserve">cast those fictions aside and made explicit the underlying basis of these decisions: Due process does not necessarily</w:t>
      </w:r>
      <w:r>
        <w:t xml:space="preserve"> </w:t>
      </w:r>
      <w:r>
        <w:rPr>
          <w:iCs/>
          <w:i/>
        </w:rPr>
        <w:t xml:space="preserve">require</w:t>
      </w:r>
      <w:r>
        <w:t xml:space="preserve"> </w:t>
      </w:r>
      <w:r>
        <w:t xml:space="preserve">the States to adhere to the unbending territorial limits on jurisdiction set forth in</w:t>
      </w:r>
      <w:r>
        <w:t xml:space="preserve"> </w:t>
      </w:r>
      <w:r>
        <w:rPr>
          <w:iCs/>
          <w:i/>
        </w:rPr>
        <w:t xml:space="preserve">Pennoyer.</w:t>
      </w:r>
      <w:r>
        <w:t xml:space="preserve"> </w:t>
      </w:r>
      <w:r>
        <w:rPr>
          <w:rStyle w:val="Elision"/>
        </w:rPr>
        <w:t xml:space="preserve">[ … ]</w:t>
      </w:r>
    </w:p>
    <w:p>
      <w:pPr>
        <w:pStyle w:val="CaseBody"/>
      </w:pPr>
      <w:r>
        <w:rPr>
          <w:rStyle w:val="Elision"/>
        </w:rPr>
        <w:t xml:space="preserve">[ … ]</w:t>
      </w:r>
      <w:r>
        <w:t xml:space="preserve">Nothing in</w:t>
      </w:r>
      <w:r>
        <w:t xml:space="preserve"> </w:t>
      </w:r>
      <w:r>
        <w:rPr>
          <w:iCs/>
          <w:i/>
        </w:rPr>
        <w:t xml:space="preserve">International Shoe</w:t>
      </w:r>
      <w:r>
        <w:t xml:space="preserve"> </w:t>
      </w:r>
      <w:r>
        <w:t xml:space="preserve">or the cases that have followed it, however, offers support for the very different proposition petitioner seeks to establish today: that a defendant's presence in the forum is not only unnecessary to validate novel, nontraditional assertions of jurisdiction, but is itself no longer sufficient to establish jurisdiction. That proposition is unfaithful to both elementary logic and the foundations of our due process jurisprudence. The distinction between what is needed to support novel procedures and what is needed to sustain traditional ones is fundamental</w:t>
      </w:r>
      <w:r>
        <w:rPr>
          <w:rStyle w:val="Elision"/>
        </w:rPr>
        <w:t xml:space="preserve">[ … ]</w:t>
      </w:r>
      <w:r>
        <w:rPr>
          <w:rStyle w:val="Elision"/>
        </w:rPr>
        <w:t xml:space="preserve">[ … ]</w:t>
      </w:r>
    </w:p>
    <w:p>
      <w:pPr>
        <w:pStyle w:val="CaseBody"/>
      </w:pPr>
      <w:r>
        <w:t xml:space="preserve">The short of the matter is that jurisdiction based on physical presence alone constitutes due process because it is one of the continuing traditions of our legal system that define the due process standard of "traditional notions of fair play and substantial justice." That standard was developed by</w:t>
      </w:r>
      <w:r>
        <w:t xml:space="preserve"> </w:t>
      </w:r>
      <w:r>
        <w:rPr>
          <w:iCs/>
          <w:i/>
        </w:rPr>
        <w:t xml:space="preserve">analogy</w:t>
      </w:r>
      <w:r>
        <w:t xml:space="preserve"> </w:t>
      </w:r>
      <w:r>
        <w:t xml:space="preserve">to "physical presence," and it would be perverse to say it could now be turned against that touchstone of jurisdiction.</w:t>
      </w:r>
    </w:p>
    <w:bookmarkEnd w:id="85"/>
    <w:bookmarkStart w:id="86" w:name="d"/>
    <w:p>
      <w:pPr>
        <w:pStyle w:val="Heading2"/>
      </w:pPr>
      <w:r>
        <w:t xml:space="preserve">D</w:t>
      </w:r>
    </w:p>
    <w:p>
      <w:pPr>
        <w:pStyle w:val="CaseBody"/>
      </w:pPr>
      <w:r>
        <w:t xml:space="preserve">Petitioner's strongest argument, though we ultimately reject it, relies upon our decision in</w:t>
      </w:r>
      <w:r>
        <w:t xml:space="preserve"> </w:t>
      </w:r>
      <w:r>
        <w:rPr>
          <w:iCs/>
          <w:i/>
        </w:rPr>
        <w:t xml:space="preserve">Shaffer</w:t>
      </w:r>
      <w:r>
        <w:t xml:space="preserve"> </w:t>
      </w:r>
      <w:r>
        <w:t xml:space="preserve">v.</w:t>
      </w:r>
      <w:r>
        <w:t xml:space="preserve"> </w:t>
      </w:r>
      <w:r>
        <w:rPr>
          <w:iCs/>
          <w:i/>
        </w:rPr>
        <w:t xml:space="preserve">Heitner</w:t>
      </w:r>
      <w:r>
        <w:rPr>
          <w:rStyle w:val="Elision"/>
        </w:rPr>
        <w:t xml:space="preserve">[ … ]</w:t>
      </w:r>
      <w:r>
        <w:rPr>
          <w:rStyle w:val="Elision"/>
        </w:rPr>
        <w:t xml:space="preserve">[ … ]</w:t>
      </w:r>
    </w:p>
    <w:p>
      <w:pPr>
        <w:pStyle w:val="CaseBody"/>
      </w:pPr>
      <w:r>
        <w:t xml:space="preserve">It goes too far to say, as petitioner contends, that</w:t>
      </w:r>
      <w:r>
        <w:t xml:space="preserve"> </w:t>
      </w:r>
      <w:r>
        <w:rPr>
          <w:iCs/>
          <w:i/>
        </w:rPr>
        <w:t xml:space="preserve">Shaffer</w:t>
      </w:r>
      <w:r>
        <w:t xml:space="preserve"> </w:t>
      </w:r>
      <w:r>
        <w:t xml:space="preserve">compels the conclusion that a State lacks jurisdiction over an individual unless the litigation arises out of his activities in the State.</w:t>
      </w:r>
      <w:r>
        <w:t xml:space="preserve"> </w:t>
      </w:r>
      <w:r>
        <w:rPr>
          <w:iCs/>
          <w:i/>
        </w:rPr>
        <w:t xml:space="preserve">Shaffer,</w:t>
      </w:r>
      <w:r>
        <w:t xml:space="preserve"> </w:t>
      </w:r>
      <w:r>
        <w:t xml:space="preserve">like</w:t>
      </w:r>
      <w:r>
        <w:t xml:space="preserve"> </w:t>
      </w:r>
      <w:r>
        <w:rPr>
          <w:iCs/>
          <w:i/>
        </w:rPr>
        <w:t xml:space="preserve">International Shoe,</w:t>
      </w:r>
      <w:r>
        <w:t xml:space="preserve"> </w:t>
      </w:r>
      <w:r>
        <w:t xml:space="preserve">involved jurisdiction over an</w:t>
      </w:r>
      <w:r>
        <w:t xml:space="preserve"> </w:t>
      </w:r>
      <w:r>
        <w:rPr>
          <w:iCs/>
          <w:i/>
        </w:rPr>
        <w:t xml:space="preserve">absent defendant,</w:t>
      </w:r>
      <w:r>
        <w:t xml:space="preserve"> </w:t>
      </w:r>
      <w:r>
        <w:t xml:space="preserve">and it stands for nothing more than the proposition that when the "minimum contact" that is a substitute for physical presence consists of property ownership it must, like other minimum contacts, be related to the litigation. Petitioner wrenches out of its context our statement in</w:t>
      </w:r>
      <w:r>
        <w:t xml:space="preserve"> </w:t>
      </w:r>
      <w:r>
        <w:rPr>
          <w:iCs/>
          <w:i/>
        </w:rPr>
        <w:t xml:space="preserve">Shaffer</w:t>
      </w:r>
      <w:r>
        <w:t xml:space="preserve"> </w:t>
      </w:r>
      <w:r>
        <w:t xml:space="preserve">that "all assertions of state-court jurisdiction must be evaluated according to the standards set forth in</w:t>
      </w:r>
      <w:r>
        <w:t xml:space="preserve"> </w:t>
      </w:r>
      <w:r>
        <w:rPr>
          <w:iCs/>
          <w:i/>
        </w:rPr>
        <w:t xml:space="preserve">International Shoe</w:t>
      </w:r>
      <w:r>
        <w:t xml:space="preserve"> </w:t>
      </w:r>
      <w:r>
        <w:t xml:space="preserve">and its progeny,"</w:t>
      </w:r>
      <w:r>
        <w:t xml:space="preserve"> </w:t>
      </w:r>
      <w:r>
        <w:rPr>
          <w:rStyle w:val="Elision"/>
        </w:rPr>
        <w:t xml:space="preserve">[ … ]</w:t>
      </w:r>
      <w:r>
        <w:t xml:space="preserve">. When read together with the two sentences that preceded it, the meaning of this statement becomes clear</w:t>
      </w:r>
      <w:r>
        <w:rPr>
          <w:rStyle w:val="Elision"/>
        </w:rPr>
        <w:t xml:space="preserve">[ … ]</w:t>
      </w:r>
    </w:p>
    <w:p>
      <w:pPr>
        <w:pStyle w:val="CaseBody"/>
      </w:pPr>
      <w:r>
        <w:rPr>
          <w:iCs/>
          <w:i/>
        </w:rPr>
        <w:t xml:space="preserve">Shaffer</w:t>
      </w:r>
      <w:r>
        <w:t xml:space="preserve"> </w:t>
      </w:r>
      <w:r>
        <w:t xml:space="preserve">was saying, in other words, not that all bases for the assertion of</w:t>
      </w:r>
      <w:r>
        <w:t xml:space="preserve"> </w:t>
      </w:r>
      <w:r>
        <w:rPr>
          <w:iCs/>
          <w:i/>
        </w:rPr>
        <w:t xml:space="preserve">in personam</w:t>
      </w:r>
      <w:r>
        <w:t xml:space="preserve"> </w:t>
      </w:r>
      <w:r>
        <w:t xml:space="preserve">jurisdiction (including, presumably, in-state service) must be treated alike and subjected to the "minimum contacts" analysis of</w:t>
      </w:r>
      <w:r>
        <w:t xml:space="preserve"> </w:t>
      </w:r>
      <w:r>
        <w:rPr>
          <w:iCs/>
          <w:i/>
        </w:rPr>
        <w:t xml:space="preserve">International Shoe;</w:t>
      </w:r>
      <w:r>
        <w:t xml:space="preserve"> </w:t>
      </w:r>
      <w:r>
        <w:t xml:space="preserve">but rather that</w:t>
      </w:r>
      <w:r>
        <w:t xml:space="preserve"> </w:t>
      </w:r>
      <w:r>
        <w:rPr>
          <w:iCs/>
          <w:i/>
        </w:rPr>
        <w:t xml:space="preserve">quasi in rem</w:t>
      </w:r>
      <w:r>
        <w:t xml:space="preserve"> </w:t>
      </w:r>
      <w:r>
        <w:t xml:space="preserve">jurisdiction, that fictional "ancient form," and</w:t>
      </w:r>
      <w:r>
        <w:t xml:space="preserve"> </w:t>
      </w:r>
      <w:r>
        <w:rPr>
          <w:iCs/>
          <w:i/>
        </w:rPr>
        <w:t xml:space="preserve">in personam</w:t>
      </w:r>
      <w:r>
        <w:t xml:space="preserve"> </w:t>
      </w:r>
      <w:r>
        <w:t xml:space="preserve">jurisdiction, are really one and the same and must be treated alike — leading to the conclusion that</w:t>
      </w:r>
      <w:r>
        <w:t xml:space="preserve"> </w:t>
      </w:r>
      <w:r>
        <w:rPr>
          <w:iCs/>
          <w:i/>
        </w:rPr>
        <w:t xml:space="preserve">quasi in rem</w:t>
      </w:r>
      <w:r>
        <w:t xml:space="preserve"> </w:t>
      </w:r>
      <w:r>
        <w:t xml:space="preserve">jurisdiction,</w:t>
      </w:r>
      <w:r>
        <w:t xml:space="preserve"> </w:t>
      </w:r>
      <w:r>
        <w:rPr>
          <w:iCs/>
          <w:i/>
        </w:rPr>
        <w:t xml:space="preserve">i. e.,</w:t>
      </w:r>
      <w:r>
        <w:t xml:space="preserve"> </w:t>
      </w:r>
      <w:r>
        <w:t xml:space="preserve">that form of</w:t>
      </w:r>
      <w:r>
        <w:t xml:space="preserve"> </w:t>
      </w:r>
      <w:r>
        <w:rPr>
          <w:iCs/>
          <w:i/>
        </w:rPr>
        <w:t xml:space="preserve">in personam</w:t>
      </w:r>
      <w:r>
        <w:t xml:space="preserve"> </w:t>
      </w:r>
      <w:r>
        <w:t xml:space="preserve">jurisdiction based upon a "property ownership" contact and by definition unaccompanied by personal, in-state service, must satisfy the litigation-relatedness requirement of</w:t>
      </w:r>
      <w:r>
        <w:t xml:space="preserve"> </w:t>
      </w:r>
      <w:r>
        <w:rPr>
          <w:iCs/>
          <w:i/>
        </w:rPr>
        <w:t xml:space="preserve">International Shoe.</w:t>
      </w:r>
      <w:r>
        <w:t xml:space="preserve"> </w:t>
      </w:r>
      <w:r>
        <w:t xml:space="preserve">The logic of</w:t>
      </w:r>
      <w:r>
        <w:t xml:space="preserve"> </w:t>
      </w:r>
      <w:r>
        <w:rPr>
          <w:iCs/>
          <w:i/>
        </w:rPr>
        <w:t xml:space="preserve">Shaffer</w:t>
      </w:r>
      <w:r>
        <w:t xml:space="preserve">'s holding — which places all suits against absent nonresidents on the same constitutional footing, regardless of whether a separate Latin label is attached to one particular basis of contact — does not compel the conclusion that physically present defendants must be treated identically to absent ones.</w:t>
      </w:r>
      <w:r>
        <w:t xml:space="preserve"> </w:t>
      </w:r>
      <w:r>
        <w:rPr>
          <w:rStyle w:val="Elision"/>
        </w:rPr>
        <w:t xml:space="preserve">[ … ]</w:t>
      </w:r>
    </w:p>
    <w:p>
      <w:pPr>
        <w:pStyle w:val="CaseBody"/>
      </w:pPr>
      <w:r>
        <w:t xml:space="preserve">It is fair to say, however, that while our holding today does not contradict</w:t>
      </w:r>
      <w:r>
        <w:t xml:space="preserve"> </w:t>
      </w:r>
      <w:r>
        <w:rPr>
          <w:iCs/>
          <w:i/>
        </w:rPr>
        <w:t xml:space="preserve">Shaffer,</w:t>
      </w:r>
      <w:r>
        <w:t xml:space="preserve"> </w:t>
      </w:r>
      <w:r>
        <w:t xml:space="preserve">our basic approach to the due process question is different. We have conducted no independent inquiry into the desirability or fairness of the prevailing instate service rule, leaving that judgment to the legislatures that are free to amend it; for our purposes, its validation is its pedigree, as the phrase "</w:t>
      </w:r>
      <w:r>
        <w:rPr>
          <w:iCs/>
          <w:i/>
        </w:rPr>
        <w:t xml:space="preserve">traditional notions</w:t>
      </w:r>
      <w:r>
        <w:t xml:space="preserve"> </w:t>
      </w:r>
      <w:r>
        <w:t xml:space="preserve">of fair play and substantial justice" makes clear.</w:t>
      </w:r>
      <w:r>
        <w:t xml:space="preserve"> </w:t>
      </w:r>
      <w:r>
        <w:rPr>
          <w:iCs/>
          <w:i/>
        </w:rPr>
        <w:t xml:space="preserve">Shaffer</w:t>
      </w:r>
      <w:r>
        <w:t xml:space="preserve"> </w:t>
      </w:r>
      <w:r>
        <w:t xml:space="preserve">did conduct such an independent inquiry, asserting that " `traditional notions of fair play and substantial justice' can be as readily offended</w:t>
      </w:r>
      <w:r>
        <w:rPr>
          <w:rStyle w:val="Elision"/>
        </w:rPr>
        <w:t xml:space="preserve">[ … ]</w:t>
      </w:r>
      <w:r>
        <w:t xml:space="preserve"> </w:t>
      </w:r>
      <w:r>
        <w:t xml:space="preserve">by the perpetuation of ancient forms that are no longer justified as by the adoption of new procedures that are inconsistent with the basic values of our constitutional heritage."</w:t>
      </w:r>
      <w:r>
        <w:t xml:space="preserve"> </w:t>
      </w:r>
      <w:r>
        <w:rPr>
          <w:rStyle w:val="Elision"/>
        </w:rPr>
        <w:t xml:space="preserve">[ … ]</w:t>
      </w:r>
      <w:r>
        <w:t xml:space="preserve"> </w:t>
      </w:r>
      <w:r>
        <w:t xml:space="preserve">Perhaps that assertion can be sustained when the "perpetuation of ancient forms" is engaged in by only a very small minority of the States.</w:t>
      </w:r>
      <w:hyperlink w:anchor="Xc4661f827ebc9eaa81c88457740035a971be42d">
        <w:r>
          <w:rPr>
            <w:rStyle w:val="Elision"/>
            <w:vertAlign w:val="superscript"/>
          </w:rPr>
          <w:t xml:space="preserve">[ … ]</w:t>
        </w:r>
      </w:hyperlink>
      <w:r>
        <w:t xml:space="preserve">Where, however, as in the present case, a jurisdictional principle is both firmly approved by tradition and still favored, it is impossible to imagine what standard we could appeal to for the judgment that it is "no longer justified." While in no way receding from or casting doubt upon the holding of</w:t>
      </w:r>
      <w:r>
        <w:t xml:space="preserve"> </w:t>
      </w:r>
      <w:r>
        <w:rPr>
          <w:iCs/>
          <w:i/>
        </w:rPr>
        <w:t xml:space="preserve">Shaffer</w:t>
      </w:r>
      <w:r>
        <w:t xml:space="preserve"> </w:t>
      </w:r>
      <w:r>
        <w:t xml:space="preserve">or any other case, we reaffirm today our time-honored approach,</w:t>
      </w:r>
      <w:r>
        <w:rPr>
          <w:rStyle w:val="Elision"/>
        </w:rPr>
        <w:t xml:space="preserve">[ … ]</w:t>
      </w:r>
      <w:r>
        <w:t xml:space="preserve">For new procedures, hitherto unknown, the Due Process clause requires analysis to determine whether "traditional notions of fair play and substantial justice" have been offended.</w:t>
      </w:r>
      <w:r>
        <w:t xml:space="preserve"> </w:t>
      </w:r>
      <w:r>
        <w:rPr>
          <w:iCs/>
          <w:i/>
        </w:rPr>
        <w:t xml:space="preserve">International Shoe</w:t>
      </w:r>
      <w:r>
        <w:rPr>
          <w:rStyle w:val="Elision"/>
        </w:rPr>
        <w:t xml:space="preserve">[ … ]</w:t>
      </w:r>
      <w:r>
        <w:t xml:space="preserve">. But a doctrine of personal jurisdiction that dates back to the adoption of the Fourteenth Amendment and is still generally observed unquestionably meets that standard.</w:t>
      </w:r>
    </w:p>
    <w:bookmarkEnd w:id="86"/>
    <w:bookmarkStart w:id="87" w:name="iii-4"/>
    <w:p>
      <w:pPr>
        <w:pStyle w:val="Heading2"/>
      </w:pPr>
      <w:r>
        <w:t xml:space="preserve">III</w:t>
      </w:r>
    </w:p>
    <w:p>
      <w:pPr>
        <w:pStyle w:val="CaseBody"/>
      </w:pPr>
      <w:r>
        <w:t xml:space="preserve">A few words in response to JUSTICE BRENNAN's opinion concurring in the judgment: It insists that we apply "contemporary notions of due process" to determine the constitutionality of California's assertion of jurisdiction.</w:t>
      </w:r>
      <w:r>
        <w:t xml:space="preserve"> </w:t>
      </w:r>
      <w:r>
        <w:rPr>
          <w:iCs/>
          <w:i/>
        </w:rPr>
        <w:t xml:space="preserve">Post,</w:t>
      </w:r>
      <w:r>
        <w:t xml:space="preserve"> </w:t>
      </w:r>
      <w:r>
        <w:t xml:space="preserve">at 632. But our analysis today comports with that prescription, at least if we give it the only sense allowed by our precedents. The "contemporary notions of due process" applicable to personal</w:t>
      </w:r>
      <w:r>
        <w:t xml:space="preserve"> </w:t>
      </w:r>
      <w:r>
        <w:rPr>
          <w:rStyle w:val="Elision"/>
        </w:rPr>
        <w:t xml:space="preserve">[ … ]</w:t>
      </w:r>
      <w:r>
        <w:t xml:space="preserve"> </w:t>
      </w:r>
      <w:r>
        <w:t xml:space="preserve">jurisdiction are the enduring "</w:t>
      </w:r>
      <w:r>
        <w:rPr>
          <w:iCs/>
          <w:i/>
        </w:rPr>
        <w:t xml:space="preserve">traditional</w:t>
      </w:r>
      <w:r>
        <w:t xml:space="preserve"> </w:t>
      </w:r>
      <w:r>
        <w:t xml:space="preserve">notions of fair play and substantial justice" established as the test by</w:t>
      </w:r>
      <w:r>
        <w:t xml:space="preserve"> </w:t>
      </w:r>
      <w:r>
        <w:rPr>
          <w:iCs/>
          <w:i/>
        </w:rPr>
        <w:t xml:space="preserve">International Shoe.</w:t>
      </w:r>
      <w:r>
        <w:t xml:space="preserve"> </w:t>
      </w:r>
      <w:r>
        <w:t xml:space="preserve">By its very language, that test is satisfied if a state court adheres to jurisdictional rules that are generally applied and have always been applied in the United States.</w:t>
      </w:r>
    </w:p>
    <w:p>
      <w:pPr>
        <w:pStyle w:val="CaseBody"/>
      </w:pPr>
      <w:r>
        <w:t xml:space="preserve">But the concurrence's proposed standard of "contemporary notions of due process" requires more: It measures state-court jurisdiction not only against traditional doctrines in this country, including current state-court practice, but also against each Justice's subjective assessment of what is fair and just. Authority for that seductive standard is not to be found in any of our personal jurisdiction cases.</w:t>
      </w:r>
      <w:r>
        <w:t xml:space="preserve"> </w:t>
      </w:r>
      <w:r>
        <w:rPr>
          <w:rStyle w:val="Elision"/>
        </w:rPr>
        <w:t xml:space="preserve">[ … ]</w:t>
      </w:r>
    </w:p>
    <w:p>
      <w:pPr>
        <w:pStyle w:val="CaseBody"/>
      </w:pPr>
      <w:r>
        <w:t xml:space="preserve">The only reason for charging Mr. Burnham with the reasonable expectation of being subject to suit is that the</w:t>
      </w:r>
      <w:r>
        <w:t xml:space="preserve"> </w:t>
      </w:r>
      <w:r>
        <w:rPr>
          <w:rStyle w:val="Elision"/>
        </w:rPr>
        <w:t xml:space="preserve">[ … ]</w:t>
      </w:r>
      <w:r>
        <w:t xml:space="preserve"> </w:t>
      </w:r>
      <w:r>
        <w:t xml:space="preserve">States of the Union assert adjudicatory jurisdiction over the person, and have always asserted adjudicatory jurisdiction over the person, by serving him with process during his temporary physical presence in their territory. That continuing tradition, which anyone entering California should have known about, renders it "fair" for Mr. Burnham, who voluntarily entered California, to be sued there for divorce — at least "fair" in the limited sense that he has no one but himself to blame. JUSTICE BRENNAN's long journey is a circular one, leaving him, at the end of the day, in complete reliance upon the very factor he sought to avoid: The existence of a continuing tradition is not enough, fairness also must be considered; fairness exists here because there is a continuing tradition.</w:t>
      </w:r>
    </w:p>
    <w:p>
      <w:pPr>
        <w:pStyle w:val="CaseBody"/>
      </w:pPr>
      <w:r>
        <w:rPr>
          <w:rStyle w:val="Elision"/>
        </w:rPr>
        <w:t xml:space="preserve">[ … ]</w:t>
      </w:r>
      <w:r>
        <w:t xml:space="preserve">JUSTICE BRENNAN's approach does not establish a rule of law at all, but only a "totality of the circumstances" test, guaranteeing what traditional territorial rules of jurisdiction were designed precisely to avoid: uncertainty and litigation over the preliminary issue of the forum's competence.</w:t>
      </w:r>
      <w:r>
        <w:t xml:space="preserve"> </w:t>
      </w:r>
      <w:r>
        <w:rPr>
          <w:rStyle w:val="Elision"/>
        </w:rPr>
        <w:t xml:space="preserve">[ … ]</w:t>
      </w:r>
    </w:p>
    <w:p>
      <w:pPr>
        <w:pStyle w:val="CaseBody"/>
      </w:pPr>
      <w:r>
        <w:t xml:space="preserve">The difference between us and JUSTICE BRENNAN has nothing to do with whether "further progress [is] to be made" in the "evolution of our legal system."</w:t>
      </w:r>
      <w:r>
        <w:t xml:space="preserve"> </w:t>
      </w:r>
      <w:r>
        <w:rPr>
          <w:rStyle w:val="Elision"/>
        </w:rPr>
        <w:t xml:space="preserve">[ … ]</w:t>
      </w:r>
      <w:r>
        <w:t xml:space="preserve"> </w:t>
      </w:r>
      <w:r>
        <w:t xml:space="preserve">It has to do with whether changes are to be adopted as progressive by the American people or decreed as progressive by the Justices of this Court. Nothing we say today prevents individual States from limiting or entirely abandoning the in-state-service basis of jurisdiction. And nothing prevents an overwhelming majority of them from doing so, with the consequence that the "traditional notions of fairness" that this Court applies may change. But the States have overwhelmingly declined to adopt such limitation or abandonment, evidently not considering it to be progress.</w:t>
      </w:r>
      <w:hyperlink w:anchor="X51ca398c1bde769f398cdde3e818f555a4631e8">
        <w:r>
          <w:rPr>
            <w:rStyle w:val="Elision"/>
            <w:vertAlign w:val="superscript"/>
          </w:rPr>
          <w:t xml:space="preserve">[ … ]</w:t>
        </w:r>
      </w:hyperlink>
      <w:r>
        <w:t xml:space="preserve"> </w:t>
      </w:r>
      <w:r>
        <w:t xml:space="preserve">The question is whether, armed with no authority other than individual Justices' perceptions of fairness that conflict with both past and current practice, this Court can compel the States to make such a change on the ground that "due process" requires it. We hold that it cannot.</w:t>
      </w:r>
    </w:p>
    <w:bookmarkEnd w:id="87"/>
    <w:bookmarkStart w:id="88" w:name="section-3"/>
    <w:p>
      <w:pPr>
        <w:pStyle w:val="Heading2"/>
      </w:pPr>
      <w:r>
        <w:t xml:space="preserve">* * *</w:t>
      </w:r>
    </w:p>
    <w:p>
      <w:pPr>
        <w:pStyle w:val="CaseBody"/>
      </w:pPr>
      <w:r>
        <w:rPr>
          <w:rStyle w:val="Elision"/>
        </w:rPr>
        <w:t xml:space="preserve">[ … ]</w:t>
      </w:r>
    </w:p>
    <w:p>
      <w:pPr>
        <w:pStyle w:val="CaseBody"/>
      </w:pPr>
      <w:r>
        <w:rPr>
          <w:iCs/>
          <w:i/>
        </w:rPr>
        <w:t xml:space="preserve">Affirmed.</w:t>
      </w:r>
    </w:p>
    <w:bookmarkEnd w:id="88"/>
    <w:bookmarkStart w:id="89" w:name="section-4"/>
    <w:p>
      <w:pPr>
        <w:pStyle w:val="Heading2"/>
      </w:pPr>
      <w:r>
        <w:rPr>
          <w:rStyle w:val="Elision"/>
        </w:rPr>
        <w:t xml:space="preserve">[ … ]</w:t>
      </w:r>
    </w:p>
    <w:bookmarkEnd w:id="89"/>
    <w:bookmarkStart w:id="90" w:name="Xb6d6638cb992c295b092875f5a295f5adc7c8f4"/>
    <w:p>
      <w:pPr>
        <w:pStyle w:val="Heading2"/>
      </w:pPr>
      <w:r>
        <w:t xml:space="preserve">JUSTICE BRENNAN, with whom JUSTICE MARSHALL, JUSTICE BLACKMUN, and JUSTICE O'CONNOR join, concurring in the judgment.</w:t>
      </w:r>
      <w:r>
        <w:rPr>
          <w:rStyle w:val="FootnoteReference"/>
        </w:rPr>
        <w:footnoteReference w:customMarkFollows="1" w:id="20"/>
        <w:t xml:space="preserve">*</w:t>
      </w:r>
    </w:p>
    <w:p>
      <w:pPr>
        <w:pStyle w:val="CaseBody"/>
      </w:pPr>
      <w:r>
        <w:t xml:space="preserve">I agree with JUSTICE SCALIA that the Due Process Clause of the Fourteenth Amendment generally permits a state [629] court to exercise jurisdiction over a defendant if he is served with process while voluntarily present in the forum State.</w:t>
      </w:r>
      <w:hyperlink w:anchor="X76078f8c239ebc44cd8641f4913b2dd1550e4d4">
        <w:r>
          <w:rPr>
            <w:rStyle w:val="Elision"/>
            <w:vertAlign w:val="superscript"/>
          </w:rPr>
          <w:t xml:space="preserve">[ … ]</w:t>
        </w:r>
      </w:hyperlink>
      <w:r>
        <w:t xml:space="preserve"> </w:t>
      </w:r>
      <w:r>
        <w:t xml:space="preserve">I do not perceive the need, however, to decide that a jurisdictional rule that " `has been immemorially the actual law of the land,'</w:t>
      </w:r>
      <w:r>
        <w:t xml:space="preserve"> </w:t>
      </w:r>
      <w:r>
        <w:rPr>
          <w:rStyle w:val="Elision"/>
        </w:rPr>
        <w:t xml:space="preserve">[ … ]</w:t>
      </w:r>
      <w:r>
        <w:t xml:space="preserve">, automatically comports with due process simply by virtue of its "pedigree."</w:t>
      </w:r>
      <w:r>
        <w:t xml:space="preserve"> </w:t>
      </w:r>
      <w:r>
        <w:rPr>
          <w:rStyle w:val="Elision"/>
        </w:rPr>
        <w:t xml:space="preserve">[ … ]</w:t>
      </w:r>
      <w:r>
        <w:t xml:space="preserve">Unlike JUSTICE SCALIA, I would undertake an "independent inquiry into the . . . fairness of the prevailing in-state service rule."</w:t>
      </w:r>
      <w:r>
        <w:t xml:space="preserve"> </w:t>
      </w:r>
      <w:r>
        <w:rPr>
          <w:iCs/>
          <w:i/>
        </w:rPr>
        <w:t xml:space="preserve">Ante,</w:t>
      </w:r>
      <w:r>
        <w:t xml:space="preserve"> </w:t>
      </w:r>
      <w:r>
        <w:t xml:space="preserve">at 621. I therefore concur only in the judgment.</w:t>
      </w:r>
    </w:p>
    <w:bookmarkEnd w:id="90"/>
    <w:bookmarkStart w:id="91" w:name="i-6"/>
    <w:p>
      <w:pPr>
        <w:pStyle w:val="Heading2"/>
      </w:pPr>
      <w:r>
        <w:t xml:space="preserve">I</w:t>
      </w:r>
    </w:p>
    <w:p>
      <w:pPr>
        <w:pStyle w:val="CaseBody"/>
      </w:pPr>
      <w:r>
        <w:t xml:space="preserve">I believe that the approach adopted by JUSTICE SCALIA's opinion today — reliance solely on historical pedigree — is foreclosed by our decisions in</w:t>
      </w:r>
      <w:r>
        <w:t xml:space="preserve"> </w:t>
      </w:r>
      <w:r>
        <w:rPr>
          <w:iCs/>
          <w:i/>
        </w:rPr>
        <w:t xml:space="preserve">International Shoe Co.</w:t>
      </w:r>
      <w:r>
        <w:t xml:space="preserve"> </w:t>
      </w:r>
      <w:r>
        <w:t xml:space="preserve">v.</w:t>
      </w:r>
      <w:r>
        <w:t xml:space="preserve"> </w:t>
      </w:r>
      <w:r>
        <w:rPr>
          <w:iCs/>
          <w:i/>
        </w:rPr>
        <w:t xml:space="preserve">Washington</w:t>
      </w:r>
      <w:r>
        <w:rPr>
          <w:rStyle w:val="Elision"/>
        </w:rPr>
        <w:t xml:space="preserve">[ … ]</w:t>
      </w:r>
      <w:r>
        <w:t xml:space="preserve">, and</w:t>
      </w:r>
      <w:r>
        <w:t xml:space="preserve"> </w:t>
      </w:r>
      <w:r>
        <w:rPr>
          <w:iCs/>
          <w:i/>
        </w:rPr>
        <w:t xml:space="preserve">Shaffer</w:t>
      </w:r>
      <w:r>
        <w:t xml:space="preserve"> </w:t>
      </w:r>
      <w:r>
        <w:t xml:space="preserve">v.</w:t>
      </w:r>
      <w:r>
        <w:t xml:space="preserve"> </w:t>
      </w:r>
      <w:r>
        <w:rPr>
          <w:iCs/>
          <w:i/>
        </w:rPr>
        <w:t xml:space="preserve">Heitner</w:t>
      </w:r>
      <w:r>
        <w:rPr>
          <w:rStyle w:val="Elision"/>
        </w:rPr>
        <w:t xml:space="preserve">[ … ]</w:t>
      </w:r>
      <w:r>
        <w:t xml:space="preserve">.</w:t>
      </w:r>
      <w:r>
        <w:t xml:space="preserve"> </w:t>
      </w:r>
      <w:r>
        <w:rPr>
          <w:rStyle w:val="Elision"/>
        </w:rPr>
        <w:t xml:space="preserve">[ … ]</w:t>
      </w:r>
      <w:r>
        <w:t xml:space="preserve"> </w:t>
      </w:r>
      <w:r>
        <w:t xml:space="preserve">The critical insight of</w:t>
      </w:r>
      <w:r>
        <w:t xml:space="preserve"> </w:t>
      </w:r>
      <w:r>
        <w:rPr>
          <w:iCs/>
          <w:i/>
        </w:rPr>
        <w:t xml:space="preserve">Shaffer</w:t>
      </w:r>
      <w:r>
        <w:t xml:space="preserve"> </w:t>
      </w:r>
      <w:r>
        <w:t xml:space="preserve">is that all rules of jurisdiction, even ancient ones, must satisfy contemporary notions of due process.</w:t>
      </w:r>
      <w:r>
        <w:t xml:space="preserve"> </w:t>
      </w:r>
      <w:r>
        <w:rPr>
          <w:rStyle w:val="Elision"/>
        </w:rPr>
        <w:t xml:space="preserve">[ … ]</w:t>
      </w:r>
      <w:r>
        <w:t xml:space="preserve"> </w:t>
      </w:r>
      <w:r>
        <w:t xml:space="preserve">I agree with this approach and continue to believe that "the minimum-contacts analysis developed in</w:t>
      </w:r>
      <w:r>
        <w:t xml:space="preserve"> </w:t>
      </w:r>
      <w:r>
        <w:rPr>
          <w:iCs/>
          <w:i/>
        </w:rPr>
        <w:t xml:space="preserve">International Shoe</w:t>
      </w:r>
      <w:r>
        <w:t xml:space="preserve"> </w:t>
      </w:r>
      <w:r>
        <w:t xml:space="preserve">. . . represents a far more sensible construct for the exercise of state-court jurisdiction than the patchwork of legal and factual fictions that has been generated from the decision in</w:t>
      </w:r>
      <w:r>
        <w:t xml:space="preserve"> </w:t>
      </w:r>
      <w:r>
        <w:rPr>
          <w:iCs/>
          <w:i/>
        </w:rPr>
        <w:t xml:space="preserve">Pennoyer</w:t>
      </w:r>
      <w:r>
        <w:t xml:space="preserve"> </w:t>
      </w:r>
      <w:r>
        <w:t xml:space="preserve">v.</w:t>
      </w:r>
      <w:r>
        <w:t xml:space="preserve"> </w:t>
      </w:r>
      <w:r>
        <w:rPr>
          <w:iCs/>
          <w:i/>
        </w:rPr>
        <w:t xml:space="preserve">Neff.</w:t>
      </w:r>
      <w:r>
        <w:t xml:space="preserve">"</w:t>
      </w:r>
      <w:r>
        <w:t xml:space="preserve"> </w:t>
      </w:r>
      <w:r>
        <w:rPr>
          <w:rStyle w:val="Elision"/>
        </w:rPr>
        <w:t xml:space="preserve">[ … ]</w:t>
      </w:r>
    </w:p>
    <w:p>
      <w:pPr>
        <w:pStyle w:val="CaseBody"/>
      </w:pPr>
      <w:r>
        <w:t xml:space="preserve">While our</w:t>
      </w:r>
      <w:r>
        <w:t xml:space="preserve"> </w:t>
      </w:r>
      <w:r>
        <w:rPr>
          <w:iCs/>
          <w:i/>
        </w:rPr>
        <w:t xml:space="preserve">holding</w:t>
      </w:r>
      <w:r>
        <w:t xml:space="preserve"> </w:t>
      </w:r>
      <w:r>
        <w:t xml:space="preserve">in</w:t>
      </w:r>
      <w:r>
        <w:t xml:space="preserve"> </w:t>
      </w:r>
      <w:r>
        <w:rPr>
          <w:iCs/>
          <w:i/>
        </w:rPr>
        <w:t xml:space="preserve">Shaffer</w:t>
      </w:r>
      <w:r>
        <w:t xml:space="preserve"> </w:t>
      </w:r>
      <w:r>
        <w:t xml:space="preserve">may have been limited to</w:t>
      </w:r>
      <w:r>
        <w:t xml:space="preserve"> </w:t>
      </w:r>
      <w:r>
        <w:rPr>
          <w:iCs/>
          <w:i/>
        </w:rPr>
        <w:t xml:space="preserve">quasi in rem</w:t>
      </w:r>
      <w:r>
        <w:t xml:space="preserve"> </w:t>
      </w:r>
      <w:r>
        <w:t xml:space="preserve">jurisdiction, our mode of analysis was not. Indeed, that we were willing in</w:t>
      </w:r>
      <w:r>
        <w:t xml:space="preserve"> </w:t>
      </w:r>
      <w:r>
        <w:rPr>
          <w:iCs/>
          <w:i/>
        </w:rPr>
        <w:t xml:space="preserve">Shaffer</w:t>
      </w:r>
      <w:r>
        <w:t xml:space="preserve"> </w:t>
      </w:r>
      <w:r>
        <w:t xml:space="preserve">to examine anew the appropriateness of the</w:t>
      </w:r>
      <w:r>
        <w:t xml:space="preserve"> </w:t>
      </w:r>
      <w:r>
        <w:rPr>
          <w:iCs/>
          <w:i/>
        </w:rPr>
        <w:t xml:space="preserve">quasi in rem</w:t>
      </w:r>
      <w:r>
        <w:t xml:space="preserve"> </w:t>
      </w:r>
      <w:r>
        <w:t xml:space="preserve">rule — until that time dutifully accepted by American courts for at least a century — demonstrates that we did not believe that the "pedigree" of a jurisdictional practice was dispositive in deciding whether it was consistent with due process.</w:t>
      </w:r>
      <w:r>
        <w:t xml:space="preserve"> </w:t>
      </w:r>
      <w:r>
        <w:rPr>
          <w:rStyle w:val="Elision"/>
        </w:rPr>
        <w:t xml:space="preserve">[ … ]</w:t>
      </w:r>
      <w:r>
        <w:t xml:space="preserve"> </w:t>
      </w:r>
      <w:r>
        <w:t xml:space="preserve">If we could discard an "ancient form without substantial modern justification" in</w:t>
      </w:r>
      <w:r>
        <w:t xml:space="preserve"> </w:t>
      </w:r>
      <w:r>
        <w:rPr>
          <w:iCs/>
          <w:i/>
        </w:rPr>
        <w:t xml:space="preserve">Shaffer</w:t>
      </w:r>
      <w:r>
        <w:rPr>
          <w:rStyle w:val="Elision"/>
        </w:rPr>
        <w:t xml:space="preserve">[ … ]</w:t>
      </w:r>
      <w:r>
        <w:t xml:space="preserve">, we can do so again.</w:t>
      </w:r>
      <w:hyperlink w:anchor="X8f276c62a3664de45400e15b8f85ccc0325595a">
        <w:r>
          <w:rPr>
            <w:rStyle w:val="Elision"/>
            <w:vertAlign w:val="superscript"/>
          </w:rPr>
          <w:t xml:space="preserve">[ … ]</w:t>
        </w:r>
      </w:hyperlink>
      <w:r>
        <w:t xml:space="preserve">Lower courts,</w:t>
      </w:r>
      <w:hyperlink w:anchor="X7319d2d58b09ba21211111638eae0d23d7c278c">
        <w:r>
          <w:rPr>
            <w:rStyle w:val="Elision"/>
            <w:vertAlign w:val="superscript"/>
          </w:rPr>
          <w:t xml:space="preserve">[ … ]</w:t>
        </w:r>
      </w:hyperlink>
      <w:r>
        <w:t xml:space="preserve"> </w:t>
      </w:r>
      <w:r>
        <w:t xml:space="preserve">commentators,</w:t>
      </w:r>
      <w:hyperlink w:anchor="X4bf40a427e1587bbdffe481a6a465e7f6194819">
        <w:r>
          <w:rPr>
            <w:rStyle w:val="Elision"/>
            <w:vertAlign w:val="superscript"/>
          </w:rPr>
          <w:t xml:space="preserve">[ … ]</w:t>
        </w:r>
      </w:hyperlink>
      <w:r>
        <w:t xml:space="preserve">and the American Law Institute</w:t>
      </w:r>
      <w:hyperlink w:anchor="X0047b146b19fe6cdf18dbed6fa56626fb33035f">
        <w:r>
          <w:rPr>
            <w:rStyle w:val="Elision"/>
            <w:vertAlign w:val="superscript"/>
          </w:rPr>
          <w:t xml:space="preserve">[ … ]</w:t>
        </w:r>
      </w:hyperlink>
      <w:r>
        <w:t xml:space="preserve"> </w:t>
      </w:r>
      <w:r>
        <w:rPr>
          <w:rStyle w:val="Elision"/>
        </w:rPr>
        <w:t xml:space="preserve">[ … ]</w:t>
      </w:r>
      <w:r>
        <w:t xml:space="preserve"> </w:t>
      </w:r>
      <w:r>
        <w:t xml:space="preserve">all have interpreted</w:t>
      </w:r>
      <w:r>
        <w:t xml:space="preserve"> </w:t>
      </w:r>
      <w:r>
        <w:rPr>
          <w:iCs/>
          <w:i/>
        </w:rPr>
        <w:t xml:space="preserve">International Shoe</w:t>
      </w:r>
      <w:r>
        <w:t xml:space="preserve"> </w:t>
      </w:r>
      <w:r>
        <w:t xml:space="preserve">and</w:t>
      </w:r>
      <w:r>
        <w:t xml:space="preserve"> </w:t>
      </w:r>
      <w:r>
        <w:rPr>
          <w:iCs/>
          <w:i/>
        </w:rPr>
        <w:t xml:space="preserve">Shaffer</w:t>
      </w:r>
      <w:r>
        <w:t xml:space="preserve"> </w:t>
      </w:r>
      <w:r>
        <w:t xml:space="preserve">to mean that</w:t>
      </w:r>
      <w:r>
        <w:t xml:space="preserve"> </w:t>
      </w:r>
      <w:r>
        <w:rPr>
          <w:iCs/>
          <w:i/>
        </w:rPr>
        <w:t xml:space="preserve">every</w:t>
      </w:r>
      <w:r>
        <w:t xml:space="preserve"> </w:t>
      </w:r>
      <w:r>
        <w:t xml:space="preserve">assertion of state-court jurisdiction, even one pursuant to a "traditional" rule such as transient jurisdiction, must comport with contemporary notions of due process. Notwithstanding the nimble gymnastics of JUSTICE</w:t>
      </w:r>
      <w:r>
        <w:t xml:space="preserve"> </w:t>
      </w:r>
      <w:r>
        <w:rPr>
          <w:rStyle w:val="Elision"/>
        </w:rPr>
        <w:t xml:space="preserve">[ … ]</w:t>
      </w:r>
      <w:r>
        <w:t xml:space="preserve"> </w:t>
      </w:r>
      <w:r>
        <w:t xml:space="preserve">SCALIA's opinion today, it is not faithful to our decision in</w:t>
      </w:r>
      <w:r>
        <w:t xml:space="preserve"> </w:t>
      </w:r>
      <w:r>
        <w:rPr>
          <w:iCs/>
          <w:i/>
        </w:rPr>
        <w:t xml:space="preserve">Shaffer.</w:t>
      </w:r>
    </w:p>
    <w:bookmarkEnd w:id="91"/>
    <w:bookmarkStart w:id="92" w:name="ii-6"/>
    <w:p>
      <w:pPr>
        <w:pStyle w:val="Heading2"/>
      </w:pPr>
      <w:r>
        <w:t xml:space="preserve">II</w:t>
      </w:r>
    </w:p>
    <w:p>
      <w:pPr>
        <w:pStyle w:val="CaseBody"/>
      </w:pPr>
      <w:r>
        <w:t xml:space="preserve">Tradition, though alone not dispositive, is of course</w:t>
      </w:r>
      <w:r>
        <w:t xml:space="preserve"> </w:t>
      </w:r>
      <w:r>
        <w:rPr>
          <w:iCs/>
          <w:i/>
        </w:rPr>
        <w:t xml:space="preserve">relevant</w:t>
      </w:r>
      <w:r>
        <w:t xml:space="preserve"> </w:t>
      </w:r>
      <w:r>
        <w:t xml:space="preserve">to the question whether the rule of transient jurisdiction is consistent with due process.</w:t>
      </w:r>
      <w:hyperlink w:anchor="X24dcb17c718e28aaaf49fea009d7e2910b700d5">
        <w:r>
          <w:rPr>
            <w:rStyle w:val="Elision"/>
            <w:vertAlign w:val="superscript"/>
          </w:rPr>
          <w:t xml:space="preserve">[ … ]</w:t>
        </w:r>
      </w:hyperlink>
      <w:r>
        <w:t xml:space="preserve"> </w:t>
      </w:r>
      <w:r>
        <w:t xml:space="preserve">Tradition is salient not in the sense that practices of the past are automatically reasonable today</w:t>
      </w:r>
      <w:r>
        <w:rPr>
          <w:rStyle w:val="Elision"/>
        </w:rPr>
        <w:t xml:space="preserve">[ … ]</w:t>
      </w:r>
    </w:p>
    <w:p>
      <w:pPr>
        <w:pStyle w:val="CaseBody"/>
      </w:pPr>
      <w:r>
        <w:t xml:space="preserve">Rather, I find the historical background relevant because, however murky the jurisprudential origins of transient jurisdiction,</w:t>
      </w:r>
      <w:r>
        <w:t xml:space="preserve"> </w:t>
      </w:r>
      <w:r>
        <w:rPr>
          <w:rStyle w:val="Elision"/>
        </w:rPr>
        <w:t xml:space="preserve">[ … ]</w:t>
      </w:r>
      <w:r>
        <w:t xml:space="preserve"> </w:t>
      </w:r>
      <w:r>
        <w:t xml:space="preserve">the fact that American courts have announced the rule for perhaps a century (first in dicta, more recently in holdings) provides a defendant voluntarily present in a particular State</w:t>
      </w:r>
      <w:r>
        <w:t xml:space="preserve"> </w:t>
      </w:r>
      <w:r>
        <w:rPr>
          <w:iCs/>
          <w:i/>
        </w:rPr>
        <w:t xml:space="preserve">today</w:t>
      </w:r>
      <w:r>
        <w:t xml:space="preserve"> </w:t>
      </w:r>
      <w:r>
        <w:t xml:space="preserve">"clear notice that [he] is subject to suit" in</w:t>
      </w:r>
      <w:r>
        <w:t xml:space="preserve"> </w:t>
      </w:r>
      <w:r>
        <w:rPr>
          <w:rStyle w:val="Elision"/>
        </w:rPr>
        <w:t xml:space="preserve">[ … ]</w:t>
      </w:r>
      <w:r>
        <w:t xml:space="preserve"> </w:t>
      </w:r>
      <w:r>
        <w:t xml:space="preserve">the forum.</w:t>
      </w:r>
      <w:r>
        <w:t xml:space="preserve"> </w:t>
      </w:r>
      <w:r>
        <w:rPr>
          <w:iCs/>
          <w:i/>
        </w:rPr>
        <w:t xml:space="preserve">World-Wide Volkswagen Corp.</w:t>
      </w:r>
      <w:r>
        <w:t xml:space="preserve"> </w:t>
      </w:r>
      <w:r>
        <w:t xml:space="preserve">v.</w:t>
      </w:r>
      <w:r>
        <w:t xml:space="preserve"> </w:t>
      </w:r>
      <w:r>
        <w:rPr>
          <w:iCs/>
          <w:i/>
        </w:rPr>
        <w:t xml:space="preserve">Woodson</w:t>
      </w:r>
      <w:r>
        <w:rPr>
          <w:rStyle w:val="Elision"/>
        </w:rPr>
        <w:t xml:space="preserve">[ … ]</w:t>
      </w:r>
      <w:r>
        <w:t xml:space="preserve">.</w:t>
      </w:r>
      <w:r>
        <w:t xml:space="preserve"> </w:t>
      </w:r>
      <w:r>
        <w:rPr>
          <w:rStyle w:val="Elision"/>
        </w:rPr>
        <w:t xml:space="preserve">[ … ]</w:t>
      </w:r>
      <w:r>
        <w:t xml:space="preserve"> </w:t>
      </w:r>
      <w:r>
        <w:t xml:space="preserve">The transient rule is consistent with reasonable expectations and is entitled to a strong presumption that it comports with due process.</w:t>
      </w:r>
      <w:r>
        <w:t xml:space="preserve"> </w:t>
      </w:r>
      <w:r>
        <w:rPr>
          <w:rStyle w:val="Elision"/>
        </w:rPr>
        <w:t xml:space="preserve">[ … ]</w:t>
      </w:r>
    </w:p>
    <w:p>
      <w:pPr>
        <w:pStyle w:val="CaseBody"/>
      </w:pPr>
      <w:r>
        <w:t xml:space="preserve">By visiting the forum State, a transient defendant actually "avail[s]" himself</w:t>
      </w:r>
      <w:r>
        <w:rPr>
          <w:rStyle w:val="Elision"/>
        </w:rPr>
        <w:t xml:space="preserve">[ … ]</w:t>
      </w:r>
      <w:r>
        <w:t xml:space="preserve"> </w:t>
      </w:r>
      <w:r>
        <w:t xml:space="preserve">of significant benefits provided by the State. His health and safety are guaranteed by the State's police, fire, and emergency medical services; he is free to travel on the State's roads and water-ways;</w:t>
      </w:r>
      <w:r>
        <w:t xml:space="preserve"> </w:t>
      </w:r>
      <w:r>
        <w:rPr>
          <w:rStyle w:val="Elision"/>
        </w:rPr>
        <w:t xml:space="preserve">[ … ]</w:t>
      </w:r>
      <w:r>
        <w:t xml:space="preserve"> </w:t>
      </w:r>
      <w:r>
        <w:t xml:space="preserve">he likely enjoys the fruits of the State's economy as well. Moreover, the Privileges and Immunities Clause of Article IV prevents a state government from discriminating against a transient defendant by denying him the protections of its law or the right of access to its courts.</w:t>
      </w:r>
      <w:hyperlink w:anchor="Xf3cd4f18f545103fa41fd3a88c7ae28869cb265">
        <w:r>
          <w:rPr>
            <w:rStyle w:val="Elision"/>
            <w:vertAlign w:val="superscript"/>
          </w:rPr>
          <w:t xml:space="preserve">[ … ]</w:t>
        </w:r>
      </w:hyperlink>
      <w:r>
        <w:t xml:space="preserve"> </w:t>
      </w:r>
      <w:r>
        <w:rPr>
          <w:rStyle w:val="Elision"/>
        </w:rPr>
        <w:t xml:space="preserve">[ … ]</w:t>
      </w:r>
      <w:r>
        <w:t xml:space="preserve"> </w:t>
      </w:r>
      <w:r>
        <w:t xml:space="preserve">Without transient jurisdiction, an asymmetry would arise: A transient would have the full benefit of the power of the forum State's courts as a plaintiff while retaining immunity from their authority as a defendant.</w:t>
      </w:r>
      <w:r>
        <w:t xml:space="preserve"> </w:t>
      </w:r>
      <w:r>
        <w:rPr>
          <w:rStyle w:val="Elision"/>
        </w:rPr>
        <w:t xml:space="preserve">[ … ]</w:t>
      </w:r>
    </w:p>
    <w:p>
      <w:pPr>
        <w:pStyle w:val="CaseBody"/>
      </w:pPr>
      <w:r>
        <w:t xml:space="preserve">The potential burdens on a transient defendant are slight. "</w:t>
      </w:r>
      <w:r>
        <w:t xml:space="preserve"> </w:t>
      </w:r>
      <w:r>
        <w:rPr>
          <w:rStyle w:val="Elision"/>
        </w:rPr>
        <w:t xml:space="preserve">[ … ]</w:t>
      </w:r>
      <w:r>
        <w:t xml:space="preserve"> </w:t>
      </w:r>
      <w:r>
        <w:t xml:space="preserve">That the defendant has already journeyed</w:t>
      </w:r>
      <w:r>
        <w:t xml:space="preserve"> </w:t>
      </w:r>
      <w:r>
        <w:rPr>
          <w:rStyle w:val="Elision"/>
        </w:rPr>
        <w:t xml:space="preserve">[ … ]</w:t>
      </w:r>
      <w:r>
        <w:t xml:space="preserve"> </w:t>
      </w:r>
      <w:r>
        <w:t xml:space="preserve">at least once before to the forum — as evidenced by the fact that he was served with process there — is an indication that suit in the forum likely would not be prohibitively inconvenient. Finally, any burdens that do arise can be ameliorated by a variety of procedural devices.</w:t>
      </w:r>
      <w:hyperlink w:anchor="Xccc2ec88e1ba11c7eab0ea71bd65e3c94ac87e3">
        <w:r>
          <w:rPr>
            <w:rStyle w:val="Elision"/>
            <w:vertAlign w:val="superscript"/>
          </w:rPr>
          <w:t xml:space="preserve">[ … ]</w:t>
        </w:r>
      </w:hyperlink>
      <w:r>
        <w:t xml:space="preserve"> </w:t>
      </w:r>
      <w:r>
        <w:t xml:space="preserve">For these reasons, as a rule the exercise of personal jurisdiction over a defendant based on his voluntary presence in the forum will satisfy the requirements of due process.</w:t>
      </w:r>
      <w:hyperlink w:anchor="Xed76f4778f5d5ce0a7e5917bb1e697aac96d17d">
        <w:r>
          <w:rPr>
            <w:rStyle w:val="Elision"/>
            <w:vertAlign w:val="superscript"/>
          </w:rPr>
          <w:t xml:space="preserve">[ … ]</w:t>
        </w:r>
      </w:hyperlink>
    </w:p>
    <w:p>
      <w:pPr>
        <w:pStyle w:val="CaseBody"/>
      </w:pPr>
      <w:r>
        <w:rPr>
          <w:rStyle w:val="Elision"/>
        </w:rPr>
        <w:t xml:space="preserve">[ … ]</w:t>
      </w:r>
      <w:r>
        <w:t xml:space="preserve"> </w:t>
      </w:r>
      <w:r>
        <w:t xml:space="preserve">In this case, it is undisputed that petitioner was served with process while voluntarily and knowingly in the State of California. I therefore concur in the judgment.</w:t>
      </w:r>
    </w:p>
    <w:bookmarkEnd w:id="92"/>
    <w:bookmarkStart w:id="93" w:name="X9c0055089cb9fdfffb5de36abcae67dc4a37ca0"/>
    <w:p>
      <w:pPr>
        <w:pStyle w:val="Heading2"/>
      </w:pPr>
      <w:r>
        <w:t xml:space="preserve">JUSTICE STEVENS, concurring in the judgment.</w:t>
      </w:r>
    </w:p>
    <w:p>
      <w:pPr>
        <w:pStyle w:val="CaseBody"/>
      </w:pPr>
      <w:r>
        <w:rPr>
          <w:rStyle w:val="FootnoteReference"/>
        </w:rPr>
        <w:footnoteReference w:customMarkFollows="1" w:id="71"/>
        <w:t xml:space="preserve">**</w:t>
      </w:r>
      <w:r>
        <w:t xml:space="preserve">As I explained in my separate writing, I did not join the Court's opinion in</w:t>
      </w:r>
      <w:r>
        <w:t xml:space="preserve"> </w:t>
      </w:r>
      <w:r>
        <w:rPr>
          <w:iCs/>
          <w:i/>
        </w:rPr>
        <w:t xml:space="preserve">Shaffer</w:t>
      </w:r>
      <w:r>
        <w:t xml:space="preserve"> </w:t>
      </w:r>
      <w:r>
        <w:t xml:space="preserve">v.</w:t>
      </w:r>
      <w:r>
        <w:t xml:space="preserve"> </w:t>
      </w:r>
    </w:p>
    <w:p>
      <w:pPr>
        <w:pStyle w:val="CaseBody"/>
      </w:pPr>
      <w:r>
        <w:t xml:space="preserve">Heitner</w:t>
      </w:r>
      <w:r>
        <w:rPr>
          <w:rStyle w:val="Elision"/>
        </w:rPr>
        <w:t xml:space="preserve">[ … ]</w:t>
      </w:r>
      <w:r>
        <w:t xml:space="preserve"> </w:t>
      </w:r>
      <w:r>
        <w:t xml:space="preserve">because I was concerned by its unnecessarily broad reach</w:t>
      </w:r>
      <w:r>
        <w:rPr>
          <w:rStyle w:val="Elision"/>
        </w:rPr>
        <w:t xml:space="preserve">[ … ]</w:t>
      </w:r>
      <w:r>
        <w:t xml:space="preserve">. The same concern prevents me from joining either JUSTICE SCALIA's or JUSTICE BRENNAN's opinion in this case. For me, it is sufficient to note that the historical evidence and consensus identified by JUSTICE SCALIA, the considerations of fairness identified by JUSTICE BRENNAN, and the common sense displayed by JUSTICE WHITE, all combine to demonstrate that this is, indeed, a very easy case.</w:t>
      </w:r>
      <w:hyperlink w:anchor="Xadfec8feb4cb35109bcbfbb553b6e9345151a75">
        <w:r>
          <w:rPr>
            <w:rStyle w:val="Elision"/>
            <w:vertAlign w:val="superscript"/>
          </w:rPr>
          <w:t xml:space="preserve">[ … ]</w:t>
        </w:r>
      </w:hyperlink>
      <w:r>
        <w:t xml:space="preserve">Accordingly, I agree that the judgment should be affirmed.</w:t>
      </w:r>
    </w:p>
    <w:p>
      <w:pPr>
        <w:pStyle w:val="CaseBody"/>
      </w:pPr>
      <w:hyperlink w:anchor="Xbe2291e0cd73c93ec7b4d3bfd3a6c24ee8ddf6a">
        <w:r>
          <w:rPr>
            <w:rStyle w:val="Elision"/>
          </w:rPr>
          <w:t xml:space="preserve">[ … ]</w:t>
        </w:r>
        <w:r>
          <w:rPr>
            <w:rStyle w:val="FootnoteReference"/>
          </w:rPr>
          <w:footnoteReference w:customMarkFollows="1" w:id="103"/>
          <w:t xml:space="preserve">***</w:t>
        </w:r>
      </w:hyperlink>
    </w:p>
    <w:p>
      <w:pPr>
        <w:pStyle w:val="CaseBody"/>
      </w:pPr>
      <w:hyperlink w:anchor="X7e1af499bd8d03d4131d0d5d3879d258437b783">
        <w:r>
          <w:rPr>
            <w:rStyle w:val="Elision"/>
          </w:rPr>
          <w:t xml:space="preserve">[ … ]</w:t>
        </w:r>
      </w:hyperlink>
    </w:p>
    <w:p>
      <w:pPr>
        <w:pStyle w:val="CaseBody"/>
      </w:pPr>
      <w:r>
        <w:rPr>
          <w:rStyle w:val="Elision"/>
        </w:rPr>
        <w:t xml:space="preserve">[ … ]</w:t>
      </w:r>
    </w:p>
    <w:p>
      <w:pPr>
        <w:pStyle w:val="CaseBody"/>
      </w:pPr>
      <w:hyperlink w:anchor="X88e7794b9f62c8518d8c0430602ce63f15e705d">
        <w:r>
          <w:rPr>
            <w:rStyle w:val="Elision"/>
          </w:rPr>
          <w:t xml:space="preserve">[ … ]</w:t>
        </w:r>
      </w:hyperlink>
    </w:p>
    <w:bookmarkEnd w:id="93"/>
    <w:p>
      <w:pPr>
        <w:pStyle w:val="NodeEnd"/>
      </w:pPr>
      <w:r>
        <w:t xml:space="preserve"> </w:t>
      </w:r>
    </w:p>
    <w:p>
      <w:pPr>
        <w:pStyle w:val="NodeStart"/>
      </w:pPr>
      <w:r>
        <w:t xml:space="preserve"> </w:t>
      </w:r>
    </w:p>
    <w:p>
      <w:pPr>
        <w:pStyle w:val="HeadSeparator"/>
      </w:pPr>
      <w:r>
        <w:t xml:space="preserve"> </w:t>
      </w:r>
    </w:p>
    <w:bookmarkStart w:id="87" w:name="_auto_toc_87"/>
    <w:bookmarkEnd w:id="87"/>
    <w:p>
      <w:pPr>
        <w:pStyle w:val="ResourceNumber"/>
      </w:pPr>
      <w:r>
        <w:t xml:space="preserve">8.3</w:t>
      </w:r>
    </w:p>
    <w:p>
      <w:pPr>
        <w:pStyle w:val="ResourceTitle"/>
      </w:pPr>
      <w:r>
        <w:t xml:space="preserve">Notes following Burnham</w:t>
      </w:r>
    </w:p>
    <w:p>
      <w:pPr>
        <w:pStyle w:val="HeadEnd"/>
      </w:pPr>
      <w:r>
        <w:t xml:space="preserve"> </w:t>
      </w:r>
    </w:p>
    <w:p>
      <w:pPr>
        <w:pStyle w:val="BodyText"/>
      </w:pPr>
      <w:r>
        <w:t xml:space="preserve">1. The court rules 9-0 that California could exercise personal jurisdiction over the husband in this case, but splits 4-4-1 on the rationale. Which opinion states the law?  In other words, in the next tag jurisdiction case, what analysis is a lower federal court to do?</w:t>
      </w:r>
    </w:p>
    <w:p>
      <w:pPr>
        <w:pStyle w:val="BodyText"/>
      </w:pPr>
      <w:r>
        <w:t xml:space="preserve">2.  This case provides a primer on the theory of constitutional interpretation.  You will not be tested on the competing theories in this case or on questions of constitutional theory.  In case you are interested, consider the following.</w:t>
      </w:r>
    </w:p>
    <w:p>
      <w:pPr>
        <w:pStyle w:val="BodyText"/>
      </w:pPr>
      <w:r>
        <w:t xml:space="preserve">A.  Justice Scalia's opinion relies heavily on his view of prior case holdings around tag jurisdiction, particularly those around the adoption of the Fourteenth Amendment. But wasn't</w:t>
      </w:r>
      <w:r>
        <w:t xml:space="preserve"> </w:t>
      </w:r>
      <w:r>
        <w:rPr>
          <w:iCs/>
          <w:i/>
        </w:rPr>
        <w:t xml:space="preserve">Pennoyer</w:t>
      </w:r>
      <w:r>
        <w:t xml:space="preserve"> </w:t>
      </w:r>
      <w:r>
        <w:t xml:space="preserve">decided at that same time, and didn't courts follow it for decades thereafter until the Supreme Court started deciding cases like</w:t>
      </w:r>
      <w:r>
        <w:t xml:space="preserve"> </w:t>
      </w:r>
      <w:r>
        <w:rPr>
          <w:iCs/>
          <w:i/>
        </w:rPr>
        <w:t xml:space="preserve">Kane</w:t>
      </w:r>
      <w:r>
        <w:t xml:space="preserve"> </w:t>
      </w:r>
      <w:r>
        <w:t xml:space="preserve">and</w:t>
      </w:r>
      <w:r>
        <w:t xml:space="preserve"> </w:t>
      </w:r>
      <w:r>
        <w:rPr>
          <w:iCs/>
          <w:i/>
        </w:rPr>
        <w:t xml:space="preserve">Hess</w:t>
      </w:r>
      <w:r>
        <w:t xml:space="preserve">?  Justice Scalia says that those cases concerned what was "necessary" for the exercise of personal jurisdiction, which according to him is "fundamental[ly]" different from what is "sufficient" for the exercise of personal jurisdiction.  But what in the Constitution or its history demands fidelity to text and tradition regarding sufficiency but allows disregard for text and tradition regarding necessity?  Of course it is true that sufficiency and necessity are distinct concepts, but what is the constitutional difference between them vis-a-vis whether one should be faithful to text and tradition (or, at least, Justice Scalia's view of text and tradition)?</w:t>
      </w:r>
    </w:p>
    <w:p>
      <w:pPr>
        <w:pStyle w:val="BodyText"/>
      </w:pPr>
      <w:r>
        <w:t xml:space="preserve">B.  Is Justice Brennan's opinion any more coherent?  It seems impossible to take seriously the idea that, absent the tag, California could have exercised personal jurisdiction over the husband/father in this case.  But if that's true, on what basis, consistent with Brennan's preferred focus on fairness and convenience, can the tag make a determinative difference?  Isn't Justice Scalia correct that any expectation the husband/father might have had about being tagged, and the relevance of being tagged for the exercise of personal jurisdiction, stems from the tradition to which Brennan purports not to give controlling weight?</w:t>
      </w:r>
    </w:p>
    <w:p>
      <w:pPr>
        <w:pStyle w:val="NodeEnd"/>
      </w:pPr>
      <w:r>
        <w:t xml:space="preserve"> </w:t>
      </w:r>
    </w:p>
    <w:p>
      <w:pPr>
        <w:pStyle w:val="NodeStart"/>
      </w:pPr>
      <w:r>
        <w:t xml:space="preserve"> </w:t>
      </w:r>
    </w:p>
    <w:p>
      <w:pPr>
        <w:pStyle w:val="HeadSeparator"/>
      </w:pPr>
      <w:r>
        <w:t xml:space="preserve"> </w:t>
      </w:r>
    </w:p>
    <w:bookmarkStart w:id="88" w:name="_auto_toc_88"/>
    <w:bookmarkEnd w:id="88"/>
    <w:p>
      <w:pPr>
        <w:pStyle w:val="ResourceNumber"/>
      </w:pPr>
      <w:r>
        <w:t xml:space="preserve">8.4</w:t>
      </w:r>
    </w:p>
    <w:p>
      <w:pPr>
        <w:pStyle w:val="ResourceTitle"/>
      </w:pPr>
      <w:r>
        <w:t xml:space="preserve">Grace v. MacArthur</w:t>
      </w:r>
    </w:p>
    <w:p>
      <w:pPr>
        <w:pStyle w:val="HeadFieldSeparator"/>
      </w:pPr>
      <w:r>
        <w:t xml:space="preserve"> </w:t>
      </w:r>
    </w:p>
    <w:p>
      <w:pPr>
        <w:pStyle w:val="ResourceHeadnote"/>
      </w:pPr>
      <w:r>
        <w:t xml:space="preserve">I wish I had made up the facts of this case.</w:t>
      </w:r>
    </w:p>
    <w:p>
      <w:pPr>
        <w:pStyle w:val="ResourceHeadnote"/>
      </w:pPr>
      <w:r>
        <w:t xml:space="preserve">By the way, I don't care about the Air Commerce Act or the Uniform Aeronautics Act.</w:t>
      </w:r>
    </w:p>
    <w:p>
      <w:pPr>
        <w:pStyle w:val="ResourceHeadnote"/>
      </w:pPr>
      <w:r>
        <w:t xml:space="preserve">Note that this case occurred before</w:t>
      </w:r>
      <w:r>
        <w:t xml:space="preserve"> </w:t>
      </w:r>
      <w:r>
        <w:rPr>
          <w:iCs/>
          <w:i/>
        </w:rPr>
        <w:t xml:space="preserve">Burnam</w:t>
      </w:r>
      <w:r>
        <w:t xml:space="preserve">. But doesn't</w:t>
      </w:r>
      <w:r>
        <w:t xml:space="preserve"> </w:t>
      </w:r>
      <w:r>
        <w:rPr>
          <w:iCs/>
          <w:i/>
        </w:rPr>
        <w:t xml:space="preserve">Burnam</w:t>
      </w:r>
      <w:r>
        <w:t xml:space="preserve"> </w:t>
      </w:r>
      <w:r>
        <w:t xml:space="preserve">beg the question of how to handle this fact pattern?</w:t>
      </w:r>
    </w:p>
    <w:p>
      <w:pPr>
        <w:pStyle w:val="HeadEnd"/>
      </w:pPr>
      <w:r>
        <w:t xml:space="preserve"> </w:t>
      </w:r>
    </w:p>
    <w:p>
      <w:pPr>
        <w:pStyle w:val="CaseHeader"/>
      </w:pPr>
      <w:r>
        <w:t xml:space="preserve">United States District Court for the Eastern District of Arkansas</w:t>
      </w:r>
    </w:p>
    <w:p>
      <w:pPr>
        <w:pStyle w:val="CaseHeader"/>
      </w:pPr>
      <w:r>
        <w:t xml:space="preserve">170 F. Supp. 442</w:t>
      </w:r>
    </w:p>
    <w:p>
      <w:pPr>
        <w:pStyle w:val="CaseHeader"/>
      </w:pPr>
      <w:r>
        <w:t xml:space="preserve">Civ. No. B-306</w:t>
      </w:r>
    </w:p>
    <w:p>
      <w:pPr>
        <w:pStyle w:val="CaseHeader"/>
      </w:pPr>
      <w:r>
        <w:t xml:space="preserve">1959-02-16</w:t>
      </w:r>
    </w:p>
    <w:p>
      <w:pPr>
        <w:pStyle w:val="CaseBody"/>
      </w:pPr>
      <w:r>
        <w:rPr>
          <w:rStyle w:val="Elision"/>
        </w:rPr>
        <w:t xml:space="preserve">[ … ]</w:t>
      </w:r>
    </w:p>
    <w:p>
      <w:pPr>
        <w:pStyle w:val="CaseBody"/>
      </w:pPr>
      <w:r>
        <w:t xml:space="preserve">HENLEY, District Judge.</w:t>
      </w:r>
    </w:p>
    <w:p>
      <w:pPr>
        <w:pStyle w:val="CaseBody"/>
      </w:pPr>
      <w:r>
        <w:t xml:space="preserve">On motions of</w:t>
      </w:r>
      <w:r>
        <w:t xml:space="preserve"> </w:t>
      </w:r>
      <w:r>
        <w:rPr>
          <w:rStyle w:val="ReplacementText"/>
        </w:rPr>
        <w:t xml:space="preserve">certain defendants</w:t>
      </w:r>
      <w:r>
        <w:t xml:space="preserve"> </w:t>
      </w:r>
      <w:r>
        <w:t xml:space="preserve">to</w:t>
      </w:r>
      <w:r>
        <w:t xml:space="preserve"> </w:t>
      </w:r>
      <w:r>
        <w:t xml:space="preserve">quash service of summons</w:t>
      </w:r>
      <w:r>
        <w:rPr>
          <w:rStyle w:val="FootnoteReference"/>
        </w:rPr>
        <w:footnoteReference w:customMarkFollows="1" w:id="21"/>
        <w:t xml:space="preserve">*</w:t>
      </w:r>
      <w:r>
        <w:t xml:space="preserve">.</w:t>
      </w:r>
    </w:p>
    <w:p>
      <w:pPr>
        <w:pStyle w:val="CaseBody"/>
      </w:pPr>
      <w:r>
        <w:t xml:space="preserve">This is an action brought by</w:t>
      </w:r>
      <w:r>
        <w:t xml:space="preserve"> </w:t>
      </w:r>
      <w:r>
        <w:rPr>
          <w:rStyle w:val="ReplacementText"/>
        </w:rPr>
        <w:t xml:space="preserve">plaintiffs</w:t>
      </w:r>
      <w:r>
        <w:rPr>
          <w:rStyle w:val="Elision"/>
        </w:rPr>
        <w:t xml:space="preserve">[ … ]</w:t>
      </w:r>
      <w:r>
        <w:t xml:space="preserve"> </w:t>
      </w:r>
      <w:r>
        <w:t xml:space="preserve">for damages for alleged breach of a written contract for the exchange of certain real and personal property, or, in the alternative, for specific performance of said contract and certain alleged amendments thereto.</w:t>
      </w:r>
      <w:r>
        <w:t xml:space="preserve"> </w:t>
      </w:r>
      <w:r>
        <w:rPr>
          <w:rStyle w:val="Elision"/>
        </w:rPr>
        <w:t xml:space="preserve">[ … ]</w:t>
      </w:r>
      <w:r>
        <w:t xml:space="preserve"> </w:t>
      </w:r>
      <w:r>
        <w:rPr>
          <w:rStyle w:val="Elision"/>
        </w:rPr>
        <w:t xml:space="preserve">[ … ]</w:t>
      </w:r>
      <w:r>
        <w:t xml:space="preserve">The amount in controversy is far in excess of the statutory minimum.</w:t>
      </w:r>
      <w:r>
        <w:t xml:space="preserve"> </w:t>
      </w:r>
      <w:r>
        <w:rPr>
          <w:rStyle w:val="Elision"/>
        </w:rPr>
        <w:t xml:space="preserve">[ … ]</w:t>
      </w:r>
    </w:p>
    <w:p>
      <w:pPr>
        <w:pStyle w:val="CaseBody"/>
      </w:pPr>
      <w:r>
        <w:t xml:space="preserve">The complaint was filed on July 21, 1958, and summons was issued on the same day. Jurisdiction</w:t>
      </w:r>
      <w:r>
        <w:t xml:space="preserve"> </w:t>
      </w:r>
      <w:r>
        <w:rPr>
          <w:rStyle w:val="ReplacementText"/>
        </w:rPr>
        <w:t xml:space="preserve">[over the other defendants was obtained via various service methods]</w:t>
      </w:r>
      <w:r>
        <w:t xml:space="preserve">.</w:t>
      </w:r>
      <w:r>
        <w:t xml:space="preserve"> </w:t>
      </w:r>
      <w:r>
        <w:rPr>
          <w:rStyle w:val="Elision"/>
        </w:rPr>
        <w:t xml:space="preserve">[ … ]</w:t>
      </w:r>
      <w:r>
        <w:t xml:space="preserve"> </w:t>
      </w:r>
      <w:r>
        <w:t xml:space="preserve">The Marshal’s return as to</w:t>
      </w:r>
      <w:r>
        <w:t xml:space="preserve"> </w:t>
      </w:r>
      <w:r>
        <w:rPr>
          <w:rStyle w:val="ReplacementText"/>
        </w:rPr>
        <w:t xml:space="preserve">the defendant who is objecting to personal jurisdiction</w:t>
      </w:r>
      <w:r>
        <w:t xml:space="preserve">recites that the writ came to hand on July 21, 1958, and that on the same day he served the same “by personally delivering to him a copy of this writ, together with a copy of the Complaint, on the Branif? Airplane, Flight No. 337, non-stop flight from Memphis, Tenn. to Dallas, Texas, said copy being delivered to him at 5:16 P.M. at which time the said airplane was in the Eastern District of Arkansas and directly above Pine Bluff, Arkansas, in said District.”</w:t>
      </w:r>
    </w:p>
    <w:p>
      <w:pPr>
        <w:pStyle w:val="CaseBody"/>
      </w:pPr>
      <w:r>
        <w:t xml:space="preserve">The motion to quash filed by</w:t>
      </w:r>
      <w:r>
        <w:t xml:space="preserve"> </w:t>
      </w:r>
      <w:r>
        <w:rPr>
          <w:rStyle w:val="ReplacementText"/>
        </w:rPr>
        <w:t xml:space="preserve">the defendant</w:t>
      </w:r>
      <w:r>
        <w:t xml:space="preserve">alleges that he “has not done any business or performed any character of work or service in the State of Arkansas and has not appointed the Secretary of State of the State of Arkansas as an Agent for acceptance of service of process upon him”, and that “there has been no lawful service of process upon (him) and the Court is without jurisdiction over his person”. Smith’s motion asserts that “he has not been properly served with process in this action</w:t>
      </w:r>
      <w:r>
        <w:t xml:space="preserve"> </w:t>
      </w:r>
      <w:r>
        <w:rPr>
          <w:iCs/>
          <w:i/>
        </w:rPr>
        <w:t xml:space="preserve">within the State of Arkansas,</w:t>
      </w:r>
      <w:r>
        <w:t xml:space="preserve"> </w:t>
      </w:r>
      <w:r>
        <w:t xml:space="preserve">and this Court is without jurisdiction over the person of said defendant”.</w:t>
      </w:r>
      <w:r>
        <w:t xml:space="preserve"> </w:t>
      </w:r>
      <w:r>
        <w:rPr>
          <w:rStyle w:val="Elision"/>
        </w:rPr>
        <w:t xml:space="preserve">[ … ]</w:t>
      </w:r>
    </w:p>
    <w:p>
      <w:pPr>
        <w:pStyle w:val="CaseBody"/>
      </w:pPr>
      <w:r>
        <w:t xml:space="preserve">Taking up first the motion of Ronnie Smith, it is noted that he does not question the recitals in the Marshal's return to the effect that he was served with a copy of the summons and of the complaint while he was a passenger on a Braniff airplane at a time when said aircraft was physically above the City of Pine Bluff in the Eastern District of Arkansas. His position is simply that at the time he was served, he was not within the “territorial limits” of the State of Arkansas, as required by Rule 4(f)</w:t>
      </w:r>
      <w:r>
        <w:t xml:space="preserve"> </w:t>
      </w:r>
      <w:r>
        <w:rPr>
          <w:rStyle w:val="Elision"/>
        </w:rPr>
        <w:t xml:space="preserve">[ … ]</w:t>
      </w:r>
    </w:p>
    <w:p>
      <w:pPr>
        <w:pStyle w:val="CaseBody"/>
      </w:pPr>
      <w:r>
        <w:t xml:space="preserve">In their briefs in connection with</w:t>
      </w:r>
      <w:r>
        <w:t xml:space="preserve"> </w:t>
      </w:r>
      <w:r>
        <w:rPr>
          <w:rStyle w:val="ReplacementText"/>
        </w:rPr>
        <w:t xml:space="preserve">the defendant'</w:t>
      </w:r>
      <w:r>
        <w:t xml:space="preserve">s motion counsel on both sides state that they have been unable to find any case dealing with the specific problem in hand. The Court likewise has been unable to find such a case. Nonetheless, the Court is persuaded that a person moving in interstate commerce across the State of Arkansas in a regular commercial aircraft, flying in the regular navigable airspace above the State, is within the “territorial limits” of the State and is amenable to service under the provisions of Rule 4(f),</w:t>
      </w:r>
      <w:r>
        <w:t xml:space="preserve"> </w:t>
      </w:r>
      <w:r>
        <w:rPr>
          <w:rStyle w:val="ReplacementText"/>
        </w:rPr>
        <w:t xml:space="preserve">[now 4(k)(1)(A)]</w:t>
      </w:r>
      <w:r>
        <w:t xml:space="preserve">.</w:t>
      </w:r>
    </w:p>
    <w:p>
      <w:pPr>
        <w:pStyle w:val="CaseBody"/>
      </w:pPr>
      <w:r>
        <w:rPr>
          <w:rStyle w:val="Elision"/>
        </w:rPr>
        <w:t xml:space="preserve">[ … ]</w:t>
      </w:r>
      <w:r>
        <w:t xml:space="preserve"> </w:t>
      </w:r>
      <w:r>
        <w:t xml:space="preserve">The narrow question for us to decide is whether for service purposes, the passengers on a commercial aircraft are within the territorial limits of the State over which the plane happens to be flying at a particular time.</w:t>
      </w:r>
    </w:p>
    <w:p>
      <w:pPr>
        <w:pStyle w:val="CaseBody"/>
      </w:pPr>
      <w:r>
        <w:t xml:space="preserve">Apart from any supposed effect of the Air Commerce Act of 1926,</w:t>
      </w:r>
      <w:r>
        <w:t xml:space="preserve"> </w:t>
      </w:r>
      <w:r>
        <w:t xml:space="preserve">49 U.S.C.A. § 171</w:t>
      </w:r>
      <w:r>
        <w:t xml:space="preserve"> </w:t>
      </w:r>
      <w:r>
        <w:t xml:space="preserve">et seq., as amended by the Civil Aeronautics Act of 1938,</w:t>
      </w:r>
      <w:r>
        <w:t xml:space="preserve"> </w:t>
      </w:r>
      <w:r>
        <w:t xml:space="preserve">49 U.S.C.A. § 401</w:t>
      </w:r>
      <w:r>
        <w:t xml:space="preserve"> </w:t>
      </w:r>
      <w:r>
        <w:t xml:space="preserve">et seq., it is. clear that an aircraft flying over a State is within that State and is subject to its jurisdiction. For example, in the leading case of Smith v. New England Aircraft Co., Inc.,</w:t>
      </w:r>
      <w:r>
        <w:t xml:space="preserve"> </w:t>
      </w:r>
      <w:r>
        <w:t xml:space="preserve">270 Mass. 511</w:t>
      </w:r>
      <w:r>
        <w:t xml:space="preserve">,</w:t>
      </w:r>
      <w:r>
        <w:t xml:space="preserve"> </w:t>
      </w:r>
      <w:r>
        <w:t xml:space="preserve">170 N.E. 385</w:t>
      </w:r>
      <w:r>
        <w:t xml:space="preserve">, 389,</w:t>
      </w:r>
      <w:r>
        <w:t xml:space="preserve"> </w:t>
      </w:r>
      <w:r>
        <w:t xml:space="preserve">69 A.L.R. 300</w:t>
      </w:r>
      <w:r>
        <w:t xml:space="preserve">, 308, the Court said:</w:t>
      </w:r>
    </w:p>
    <w:p>
      <w:pPr>
        <w:pStyle w:val="BlockText"/>
      </w:pPr>
      <w:r>
        <w:t xml:space="preserve">“ * * * It is essential to the safety of sovereign States that they possess jurisdiction to control the air space above their territories. It seems to us to rest on the obvious practical necessity of self-protection. Every government completely sovereign in character must possess power to prevent from entering its confines those whom it determines to be undesirable. That power extends to the exclusion from the air of all hostile persons or demonstrations, and to the regulation of passage through the air of all persons in the interests of the public welfare and the safety of those on the face of the earth. This jurisdiction was vested in this Commonwealth when it became a sovereign State on its separation from Great Britain. * *</w:t>
      </w:r>
      <w:r>
        <w:t xml:space="preserve"> </w:t>
      </w:r>
      <w:r>
        <w:rPr>
          <w:iCs/>
          <w:i/>
        </w:rPr>
        <w:t xml:space="preserve">»</w:t>
      </w:r>
    </w:p>
    <w:p>
      <w:pPr>
        <w:pStyle w:val="CaseBody"/>
      </w:pPr>
      <w:r>
        <w:rPr>
          <w:rStyle w:val="Elision"/>
        </w:rPr>
        <w:t xml:space="preserve">[ … ]</w:t>
      </w:r>
    </w:p>
    <w:p>
      <w:pPr>
        <w:pStyle w:val="CaseBody"/>
      </w:pPr>
      <w:r>
        <w:t xml:space="preserve">In United States v. One Pitcairn Biplane, D.C.N.Y.,</w:t>
      </w:r>
      <w:r>
        <w:t xml:space="preserve"> </w:t>
      </w:r>
      <w:r>
        <w:t xml:space="preserve">11 F.Supp. 24</w:t>
      </w:r>
      <w:r>
        <w:t xml:space="preserve">, 25, the facts were that an aircraft had taken on a load of liquor in Canada and had flown non-stop to a point in Ohio passing en route over a portion of the Western District of New York. On a subsequent flight the plane landed in the district just mentioned and was there seized by the customs officials on account of its previous smuggling operation. The question presented was whether the previous flight of the plane while in transit from Canada to Ohio “constituted an entry” into the Western District of New York so as to give the federal courts of that district jurisdiction with respect to the libel. The Court answered that question in the affirmative, employing the following language: “It is admitted that the respondent airplane smuggled merchandise into the United States. Therefore, when the airplane, carrying smuggled merchandise, crossed the international boundary and proceeded over the Western District of New York, it entered said district and gave this court jurisdiction for the purpose of this action.” 11 F.Supp. at page 26.</w:t>
      </w:r>
    </w:p>
    <w:p>
      <w:pPr>
        <w:pStyle w:val="CaseBody"/>
      </w:pPr>
      <w:r>
        <w:t xml:space="preserve">Moreover, a number of the States have adopted the Uniform Aeronautics Act, which declares, among other things, that sovereignty in the airspace rests with the State, except where granted to and assumed by the United States. Arkansas has adopted a version of that Act which now appears in Ark.Stats., Sections 74-101 et seq. Section 74-111 provides that all crimes, torts, and other wrongs committed by or against a pilot or passengers while 'in flight over the lands and waters of the State shall be governed by' its laws, and that the question of whether damage occasioned by or to án aircraft while over this State constitutes a toft, crime or' other wrong shall be determined by Arkansas law. And Sections 74-112 and 74-113 provide, respectively, that contractual relations entered into upon an aircraft over the State shall be governed by the laws applicable to similar- relations entered into on the lands of the State, and that the liability of the owner or pilot of an aircraft carrying passengers for injury or death to such passengers shall be determined by the rules of law applicable to torts on the lands or waters of this State arising out of similar relationships.</w:t>
      </w:r>
    </w:p>
    <w:p>
      <w:pPr>
        <w:pStyle w:val="CaseBody"/>
      </w:pPr>
      <w:r>
        <w:t xml:space="preserve">Obviously, the only rational and legal basis upon which State jurisdiction in the respects above mentioned could be asserted is that an aircraft flying over the State and its passengers are within the borders or limits of the State. That such assertions of jurisdiction are valid where they do not conflict with controlling federal legislation has been recognized by the Supreme Court of the United States in Braniff Airlines v. Nebraska Board of Equalization and Assessment, supra.</w:t>
      </w:r>
    </w:p>
    <w:p>
      <w:pPr>
        <w:pStyle w:val="CaseBody"/>
      </w:pPr>
      <w:r>
        <w:t xml:space="preserve">It is true that in the Air Commerce Act of 1926 Congress declared that: “The United States of America is declared to possess and exercise complete and exclusive national sovereignty in the air space above the United States, including the air space above all inland waters and the air space above those portions of the adjacent marginal high seas, bays, and lakes, over which by international law or treaty or convention the United States exercises national jurisdiction. Aircraft a part of the armed forces of any foreign nation shall not be navigated in the United States, including the Canal Zone, except in accordance with an authorization granted by the Secretary of State.”</w:t>
      </w:r>
      <w:r>
        <w:t xml:space="preserve"> </w:t>
      </w:r>
      <w:r>
        <w:t xml:space="preserve">49 U.S.C.A. § 176</w:t>
      </w:r>
      <w:r>
        <w:t xml:space="preserve">(a). And it is also true that by the Civil Aeronautics Act of 1938 Congress has largely, if not entirely, preempted the field of regulation of air traffic. See Alleghany Airlines, Inc., v. Village of Cedarhurst,</w:t>
      </w:r>
      <w:r>
        <w:t xml:space="preserve"> </w:t>
      </w:r>
      <w:r>
        <w:t xml:space="preserve">supra.</w:t>
      </w:r>
    </w:p>
    <w:p>
      <w:pPr>
        <w:pStyle w:val="CaseBody"/>
      </w:pPr>
      <w:r>
        <w:t xml:space="preserve">It does not follow, however, from Congressional declarations of National sovereignty over the navigable airspace of this country, or from Congressional regulation of air traffic, that the States have been denuded of all of their sovereignty and jurisdiction with respect to such airspace or that the same has been excluded from their boundaries or limits. That the contrary is true, is shown by the opinion in the Braniff case, supra, wherein the Court, after quoting from 49 U.S. C.A. § 176(a), set forth above, went on to say:</w:t>
      </w:r>
    </w:p>
    <w:p>
      <w:pPr>
        <w:pStyle w:val="BlockText"/>
      </w:pPr>
      <w:r>
        <w:rPr>
          <w:rStyle w:val="Elision"/>
        </w:rPr>
        <w:t xml:space="preserve">[ … ]</w:t>
      </w:r>
    </w:p>
    <w:p>
      <w:pPr>
        <w:pStyle w:val="CaseBody"/>
      </w:pPr>
      <w:r>
        <w:t xml:space="preserve">In view of the foregoing, it is concluded that at the time the Marshal served the summons on the defendant, Smith, the plane and its passengers were within the “territorial limits” of the State of Arkansas, as that term is used in Bule 4(f). Hence, Smith’s motion to quash will be denied. The result here reached seems to be just, equitable and practical. It cannot seriously be contended that a person moving in interstate commerce is on that account exempt from service of process while in transit, and we think it makes no practical difference whether he is traveling at the time on a plane, or on a bus or train, or in his own car. True, if he is going by plane the duration of his presence in the State will probably be much shorter than if he were availing himself of some other means of transportation, but that is a difference of degree only, not of principle.</w:t>
      </w:r>
    </w:p>
    <w:p>
      <w:pPr>
        <w:pStyle w:val="CaseBody"/>
      </w:pPr>
      <w:r>
        <w:t xml:space="preserve">It may be conceded, perhaps, that a time may come, and may not be far distant, when commercial aircraft will fly at altitudes so high that it would be unrealistic to consider them as being within the territorial limits of the United States or of any particular State while flying at such altitudes. But no such situation is here presented. We have an ordinary commercial aircraft, flying on an ordinary commercial flight in the ordinary navigable and navigated airspace of 1958.</w:t>
      </w:r>
    </w:p>
    <w:p>
      <w:pPr>
        <w:pStyle w:val="CaseBody"/>
      </w:pPr>
      <w:r>
        <w:rPr>
          <w:rStyle w:val="ReplacementText"/>
        </w:rPr>
        <w:t xml:space="preserve">[The court's rulings regarding the other defendants are omitted.]</w:t>
      </w:r>
    </w:p>
    <w:p>
      <w:pPr>
        <w:pStyle w:val="NodeEnd"/>
      </w:pPr>
      <w:r>
        <w:t xml:space="preserve"> </w:t>
      </w:r>
    </w:p>
    <w:p>
      <w:pPr>
        <w:pStyle w:val="NodeStart"/>
      </w:pPr>
      <w:r>
        <w:t xml:space="preserve"> </w:t>
      </w:r>
    </w:p>
    <w:p>
      <w:pPr>
        <w:pStyle w:val="HeadSeparator"/>
      </w:pPr>
      <w:r>
        <w:t xml:space="preserve"> </w:t>
      </w:r>
    </w:p>
    <w:bookmarkStart w:id="89" w:name="_auto_toc_89"/>
    <w:bookmarkEnd w:id="89"/>
    <w:p>
      <w:pPr>
        <w:pStyle w:val="ResourceNumber"/>
      </w:pPr>
      <w:r>
        <w:t xml:space="preserve">8.5</w:t>
      </w:r>
    </w:p>
    <w:p>
      <w:pPr>
        <w:pStyle w:val="ResourceTitle"/>
      </w:pPr>
      <w:r>
        <w:t xml:space="preserve">Notes following Grace v. MacArthur</w:t>
      </w:r>
    </w:p>
    <w:p>
      <w:pPr>
        <w:pStyle w:val="HeadEnd"/>
      </w:pPr>
      <w:r>
        <w:t xml:space="preserve"> </w:t>
      </w:r>
    </w:p>
    <w:p>
      <w:pPr>
        <w:numPr>
          <w:ilvl w:val="0"/>
          <w:numId w:val="1090"/>
        </w:numPr>
      </w:pPr>
      <w:r>
        <w:rPr>
          <w:iCs/>
          <w:i/>
        </w:rPr>
        <w:t xml:space="preserve">Revival of territorialism?</w:t>
      </w:r>
      <w:r>
        <w:t xml:space="preserve"> </w:t>
      </w:r>
      <w:r>
        <w:t xml:space="preserve">The court held that a tag was sufficient to assert general jurisdiction, even in an airplane flying over the state. While the court conceded that “the duration of [a defendant’s] presence in the State will probably be much shorter than if he were availing himself of some other means of transportation…that is a difference of degree only, not of principle.”</w:t>
      </w:r>
    </w:p>
    <w:p>
      <w:pPr>
        <w:numPr>
          <w:ilvl w:val="1"/>
          <w:numId w:val="1091"/>
        </w:numPr>
      </w:pPr>
      <w:r>
        <w:t xml:space="preserve">As we have seen, there are two themes woven into the personal jurisdiction case law: sovereignty and fairness to defendants. Which theme seems to be more emphasized by this court in this case? What about in</w:t>
      </w:r>
      <w:r>
        <w:t xml:space="preserve"> </w:t>
      </w:r>
      <w:r>
        <w:rPr>
          <w:iCs/>
          <w:i/>
        </w:rPr>
        <w:t xml:space="preserve">International Shoe</w:t>
      </w:r>
      <w:r>
        <w:t xml:space="preserve">? Do you agree with the</w:t>
      </w:r>
      <w:r>
        <w:t xml:space="preserve"> </w:t>
      </w:r>
      <w:r>
        <w:rPr>
          <w:iCs/>
          <w:i/>
        </w:rPr>
        <w:t xml:space="preserve">Grace</w:t>
      </w:r>
      <w:r>
        <w:t xml:space="preserve"> </w:t>
      </w:r>
      <w:r>
        <w:t xml:space="preserve">court that the holding is “just, equitable and practical”?</w:t>
      </w:r>
    </w:p>
    <w:p>
      <w:pPr>
        <w:numPr>
          <w:ilvl w:val="1"/>
          <w:numId w:val="1091"/>
        </w:numPr>
      </w:pPr>
      <w:r>
        <w:t xml:space="preserve">Note the court issuing the decision (Eastern District of Arkansas). This was decided about 15 years after</w:t>
      </w:r>
      <w:r>
        <w:t xml:space="preserve"> </w:t>
      </w:r>
      <w:r>
        <w:rPr>
          <w:iCs/>
          <w:i/>
        </w:rPr>
        <w:t xml:space="preserve">International Shoe</w:t>
      </w:r>
      <w:r>
        <w:t xml:space="preserve">. What does this suggest about how SCOTUS cases are followed by lower federal courts?</w:t>
      </w:r>
    </w:p>
    <w:p>
      <w:pPr>
        <w:numPr>
          <w:ilvl w:val="1"/>
          <w:numId w:val="1091"/>
        </w:numPr>
      </w:pPr>
      <w:r>
        <w:t xml:space="preserve">It is still not clear if a tag by itself is enough.</w:t>
      </w:r>
      <w:r>
        <w:t xml:space="preserve"> </w:t>
      </w:r>
      <w:r>
        <w:rPr>
          <w:iCs/>
          <w:i/>
        </w:rPr>
        <w:t xml:space="preserve">Burnham</w:t>
      </w:r>
      <w:r>
        <w:t xml:space="preserve">, which was decided after</w:t>
      </w:r>
      <w:r>
        <w:t xml:space="preserve"> </w:t>
      </w:r>
      <w:r>
        <w:rPr>
          <w:iCs/>
          <w:i/>
        </w:rPr>
        <w:t xml:space="preserve">Grace</w:t>
      </w:r>
      <w:r>
        <w:t xml:space="preserve">, had no majority opinion. Do you think this uncertainty in SCOTUS case law is really manifested in federal district courts “on the ground”? Why hasn’t there been more clarity from SCOTUS since the 1990</w:t>
      </w:r>
      <w:r>
        <w:t xml:space="preserve"> </w:t>
      </w:r>
      <w:r>
        <w:rPr>
          <w:iCs/>
          <w:i/>
        </w:rPr>
        <w:t xml:space="preserve">Burnham</w:t>
      </w:r>
      <w:r>
        <w:t xml:space="preserve"> </w:t>
      </w:r>
      <w:r>
        <w:t xml:space="preserve">case?</w:t>
      </w:r>
    </w:p>
    <w:p>
      <w:pPr>
        <w:numPr>
          <w:ilvl w:val="0"/>
          <w:numId w:val="1090"/>
        </w:numPr>
      </w:pPr>
      <w:r>
        <w:rPr>
          <w:iCs/>
          <w:i/>
        </w:rPr>
        <w:t xml:space="preserve">Federalism and sovereignty</w:t>
      </w:r>
      <w:r>
        <w:t xml:space="preserve">. Perhaps because it was focused on the interesting federalism issues that arise out of airspace, the court focuses on the territorial aspect of personal jurisdiction.</w:t>
      </w:r>
    </w:p>
    <w:p>
      <w:pPr>
        <w:numPr>
          <w:ilvl w:val="1"/>
          <w:numId w:val="1092"/>
        </w:numPr>
      </w:pPr>
      <w:r>
        <w:t xml:space="preserve">Though you may not have taken ConLaw yet, how helpful do you find the court’s discussion on Congressional regulation of air commerce in illuminating the concept of personal jurisdiction? Can’t sovereignty mean different things in the context of federalism (and interstate commerce) and in the context of personal jurisdiction? The court seems to depend on the constitutional concept of federalism to reach the conclusion that states have territorial sovereignty, and thus jurisdiction, over the defendant.</w:t>
      </w:r>
    </w:p>
    <w:p>
      <w:pPr>
        <w:numPr>
          <w:ilvl w:val="1"/>
          <w:numId w:val="1092"/>
        </w:numPr>
      </w:pPr>
      <w:r>
        <w:t xml:space="preserve">Does the Court imply that there is some airspace that can be considered purely “federal,” just as there are some issues that are only within the reach of the federal government?</w:t>
      </w:r>
    </w:p>
    <w:p>
      <w:pPr>
        <w:numPr>
          <w:ilvl w:val="0"/>
          <w:numId w:val="1090"/>
        </w:numPr>
      </w:pPr>
      <w:r>
        <w:rPr>
          <w:iCs/>
          <w:i/>
        </w:rPr>
        <w:t xml:space="preserve">Future technology and territory</w:t>
      </w:r>
      <w:r>
        <w:t xml:space="preserve">. What do you think about the last paragraph of the opinion? Is it suggesting that there could be a place or situation in which there is</w:t>
      </w:r>
      <w:r>
        <w:t xml:space="preserve"> </w:t>
      </w:r>
      <w:r>
        <w:rPr>
          <w:bCs/>
          <w:b/>
        </w:rPr>
        <w:t xml:space="preserve">no territory</w:t>
      </w:r>
      <w:r>
        <w:t xml:space="preserve">, and thus no personal jurisdiction? Doesn’t this evince a specific, even narrow, conceptualization of personal jurisdiction?  And if there is no personal jurisdiction in some place that human beings can reach, then is there no law in that place?  Isn't that a dangerous concept?</w:t>
      </w:r>
    </w:p>
    <w:p>
      <w:pPr>
        <w:pStyle w:val="NodeEnd"/>
      </w:pPr>
      <w:r>
        <w:t xml:space="preserve"> </w:t>
      </w:r>
    </w:p>
    <w:p>
      <w:pPr>
        <w:pStyle w:val="NodeStart"/>
      </w:pPr>
      <w:r>
        <w:t xml:space="preserve"> </w:t>
      </w:r>
    </w:p>
    <w:p>
      <w:pPr>
        <w:pStyle w:val="HeadSeparator"/>
      </w:pPr>
      <w:r>
        <w:t xml:space="preserve"> </w:t>
      </w:r>
    </w:p>
    <w:bookmarkStart w:id="90" w:name="_auto_toc_90"/>
    <w:bookmarkEnd w:id="90"/>
    <w:p>
      <w:pPr>
        <w:pStyle w:val="ResourceNumber"/>
      </w:pPr>
      <w:r>
        <w:t xml:space="preserve">8.6</w:t>
      </w:r>
    </w:p>
    <w:p>
      <w:pPr>
        <w:pStyle w:val="ResourceTitle"/>
      </w:pPr>
      <w:r>
        <w:t xml:space="preserve">Griffis v. Luban</w:t>
      </w:r>
    </w:p>
    <w:p>
      <w:pPr>
        <w:pStyle w:val="HeadFieldSeparator"/>
      </w:pPr>
      <w:r>
        <w:t xml:space="preserve"> </w:t>
      </w:r>
    </w:p>
    <w:p>
      <w:pPr>
        <w:pStyle w:val="ResourceHeadnote"/>
      </w:pPr>
      <w:r>
        <w:t xml:space="preserve">The type of personal jurisdiction at issue in the next case is specific personal jurisdiction – jurisdiction over a claim that allegedly arose out of the defendant's contacts with the forum. The plaintiff contended that the defendant had sufficient contacts with Alabama to support the Alabama court's exercise of personal jurisdiction. In prior personal jurisdiction cases, the location of the defendant’s conduct was important.</w:t>
      </w:r>
      <w:r>
        <w:t xml:space="preserve"> </w:t>
      </w:r>
      <w:r>
        <w:t xml:space="preserve">Where did the defendant’s conduct take place in the following case?</w:t>
      </w:r>
      <w:r>
        <w:t xml:space="preserve"> </w:t>
      </w:r>
      <w:r>
        <w:t xml:space="preserve">Similarly, sometimes the place of the injury matters (although from</w:t>
      </w:r>
      <w:r>
        <w:t xml:space="preserve"> </w:t>
      </w:r>
      <w:r>
        <w:rPr>
          <w:iCs/>
          <w:i/>
        </w:rPr>
        <w:t xml:space="preserve">J. McIntyre</w:t>
      </w:r>
      <w:r>
        <w:t xml:space="preserve">, we know that it is not enough for personal jurisdiction).</w:t>
      </w:r>
      <w:r>
        <w:t xml:space="preserve"> </w:t>
      </w:r>
      <w:r>
        <w:t xml:space="preserve">Where did the injury occur here?</w:t>
      </w:r>
    </w:p>
    <w:p>
      <w:pPr>
        <w:pStyle w:val="ResourceHeadnote"/>
      </w:pPr>
      <w:r>
        <w:t xml:space="preserve">This case summarizes, but does not follow faithfully, a 9-0 SCOTUS opinion called</w:t>
      </w:r>
      <w:r>
        <w:t xml:space="preserve"> </w:t>
      </w:r>
      <w:r>
        <w:rPr>
          <w:iCs/>
          <w:i/>
        </w:rPr>
        <w:t xml:space="preserve">Calder v. Jones</w:t>
      </w:r>
      <w:r>
        <w:t xml:space="preserve">. As it turns out, the Supreme Court subsequently adopted law much like what the Minnesota Supreme Court articulates in this case, likely overruling</w:t>
      </w:r>
      <w:r>
        <w:t xml:space="preserve"> </w:t>
      </w:r>
      <w:r>
        <w:rPr>
          <w:iCs/>
          <w:i/>
        </w:rPr>
        <w:t xml:space="preserve">Calder</w:t>
      </w:r>
      <w:r>
        <w:t xml:space="preserve">.</w:t>
      </w:r>
    </w:p>
    <w:p>
      <w:pPr>
        <w:pStyle w:val="HeadEnd"/>
      </w:pPr>
      <w:r>
        <w:t xml:space="preserve"> </w:t>
      </w:r>
    </w:p>
    <w:p>
      <w:pPr>
        <w:pStyle w:val="CaseHeader"/>
      </w:pPr>
      <w:r>
        <w:t xml:space="preserve">Minnesota Supreme Court</w:t>
      </w:r>
    </w:p>
    <w:p>
      <w:pPr>
        <w:pStyle w:val="CaseHeader"/>
      </w:pPr>
      <w:r>
        <w:t xml:space="preserve">646 N.W.2d 527</w:t>
      </w:r>
    </w:p>
    <w:p>
      <w:pPr>
        <w:pStyle w:val="CaseHeader"/>
      </w:pPr>
      <w:r>
        <w:t xml:space="preserve">No. C3-01-296</w:t>
      </w:r>
    </w:p>
    <w:p>
      <w:pPr>
        <w:pStyle w:val="CaseHeader"/>
      </w:pPr>
      <w:r>
        <w:t xml:space="preserve">2002-07-11</w:t>
      </w:r>
    </w:p>
    <w:p>
      <w:pPr>
        <w:pStyle w:val="CaseBody"/>
      </w:pPr>
      <w:r>
        <w:rPr>
          <w:rStyle w:val="Elision"/>
        </w:rPr>
        <w:t xml:space="preserve">[ … ]</w:t>
      </w:r>
    </w:p>
    <w:p>
      <w:pPr>
        <w:pStyle w:val="CaseBody"/>
      </w:pPr>
      <w:r>
        <w:t xml:space="preserve">BLATZ, Chief Justice.</w:t>
      </w:r>
    </w:p>
    <w:p>
      <w:pPr>
        <w:pStyle w:val="CaseBody"/>
      </w:pPr>
      <w:r>
        <w:t xml:space="preserve">Respondent Katherine Griffis brought suit against appellant Marianne Luban in Jefferson County, Alabama, alleging defamation and invasion of privacy arising out of statements made by Luban on the internet. Luban did not appear in the Alabama action, and the Alabama district court entered a default judgment for $25,000 in damages and issued an injunction prohibiting Luban from making certain statements in the future. Griffis filed the Alabama judgment in Ramsey County District Court, and Luban brought a motion to vacate, challenging the jurisdiction of the Alabama court. The Ramsey County District Court upheld personal jurisdiction of the Alabama court over Luban, and the court of appeals affirmed. We reverse.</w:t>
      </w:r>
    </w:p>
    <w:p>
      <w:pPr>
        <w:pStyle w:val="CaseBody"/>
      </w:pPr>
      <w:r>
        <w:t xml:space="preserve">Respondent Katherine Griffis, an Alabama resident, has taught noncredit courses in ancient Egyptian history and culture at the University of Alabama, Birmingham. Griffis also works as a self-employed consultant. Appellant Marianne Luban, a Minnesota resident, maintains a nonprofessional interest in the history and culture of ancient Egypt. Both Luban and Griffis have participated in an internet newsgroup on archeology, the</w:t>
      </w:r>
      <w:r>
        <w:t xml:space="preserve"> </w:t>
      </w:r>
      <w:r>
        <w:rPr>
          <w:iCs/>
          <w:i/>
        </w:rPr>
        <w:t xml:space="preserve">sci ar-chaeology</w:t>
      </w:r>
      <w:r>
        <w:t xml:space="preserve"> </w:t>
      </w:r>
      <w:r>
        <w:t xml:space="preserve">newsgroup, since at least 1996. A newsgroup is a forum for internet users that addresses a specific topic and allows participants to exchange information and engage in discussions or debate by “posting” messages on the website. The</w:t>
      </w:r>
      <w:r>
        <w:t xml:space="preserve"> </w:t>
      </w:r>
      <w:r>
        <w:rPr>
          <w:iCs/>
          <w:i/>
        </w:rPr>
        <w:t xml:space="preserve">sciar-chaeology</w:t>
      </w:r>
      <w:r>
        <w:t xml:space="preserve"> </w:t>
      </w:r>
      <w:r>
        <w:t xml:space="preserve">newsgroup is public and so messages posted there can be accessed anywhere by any person with internet access.</w:t>
      </w:r>
    </w:p>
    <w:p>
      <w:pPr>
        <w:pStyle w:val="CaseBody"/>
      </w:pPr>
      <w:r>
        <w:t xml:space="preserve">During the latter part of 1996 a disagreement arose between Luban and Grif-fis relating to the subject of Egypt and Egyptology. In December 1996 Luban posted a message challenging Griffis’s credentials as an Egyptologist, and accusing Griffis of obtaining her degree from a “box of Cracker Jacks.” Griffis states that she responded by citing her credentials in an electronic message sent directly to Luban. The disagreement continued into 1997, with both Luban and Griffis continuing to post messages relating to their disagreement on the</w:t>
      </w:r>
      <w:r>
        <w:t xml:space="preserve"> </w:t>
      </w:r>
      <w:r>
        <w:rPr>
          <w:iCs/>
          <w:i/>
        </w:rPr>
        <w:t xml:space="preserve">sciarchaeology</w:t>
      </w:r>
      <w:r>
        <w:t xml:space="preserve"> </w:t>
      </w:r>
      <w:r>
        <w:t xml:space="preserve">newsgroup. In May 1997, Griffis’s attorney sent a letter to Luban demanding that Luban refrain from attacking Griffis’s character and professional reputation. The letter threatened legal action if Luban did not retract the prior statements and refrain from future attacks. Although Griffis asserts that Luban continued posting defamatory messages after receiving this letter, the record before us does not include any statements made by Luban, whether on the</w:t>
      </w:r>
      <w:r>
        <w:t xml:space="preserve"> </w:t>
      </w:r>
      <w:r>
        <w:rPr>
          <w:iCs/>
          <w:i/>
        </w:rPr>
        <w:t xml:space="preserve">sci. ar-chaeology</w:t>
      </w:r>
      <w:r>
        <w:t xml:space="preserve"> </w:t>
      </w:r>
      <w:r>
        <w:t xml:space="preserve">newsgroup or elsewhere, after March, 1997.</w:t>
      </w:r>
    </w:p>
    <w:p>
      <w:pPr>
        <w:pStyle w:val="CaseBody"/>
      </w:pPr>
      <w:r>
        <w:t xml:space="preserve">In September 1997, Griffis brought a defamation action against Luban in Alabama state court. Griffis’s complaint alleged that Luban posted statements on the newsgroup asserting that Griffis obtained membership in the International Association of Egyptologists and inclusion on other lists of Egyptologists by misrepresenting her qualifications, that Griffis was a liar, was not affiliated with the University of Alabama, did not have a juris doctor degree, and that Griffis’s consulting business was not legitimate. Because Luban was advised by her attorney that the Alabama state court did not have personal jurisdiction over her, she did not answer the complaint or make any appearance in the Alabama action. On December 17, 1997, the Alabama court entered a default judgment against Luban</w:t>
      </w:r>
      <w:r>
        <w:rPr>
          <w:rStyle w:val="ReplacementText"/>
        </w:rPr>
        <w:t xml:space="preserve">[awarding Griffis $25,000.00 and enjoining Luban from future defamatory conduct].</w:t>
      </w:r>
    </w:p>
    <w:p>
      <w:pPr>
        <w:pStyle w:val="CaseBody"/>
      </w:pPr>
      <w:r>
        <w:t xml:space="preserve">On May 5, 1998, Griffis filed the Alabama judgment in Ramsey County District Court in order to enforce its terms against Luban.</w:t>
      </w:r>
      <w:r>
        <w:t xml:space="preserve"> </w:t>
      </w:r>
      <w:r>
        <w:rPr>
          <w:rStyle w:val="Elision"/>
        </w:rPr>
        <w:t xml:space="preserve">[ … ]</w:t>
      </w:r>
      <w:r>
        <w:rPr>
          <w:rStyle w:val="Elision"/>
        </w:rPr>
        <w:t xml:space="preserve">[ … ]</w:t>
      </w:r>
    </w:p>
    <w:p>
      <w:pPr>
        <w:pStyle w:val="CaseBody"/>
      </w:pPr>
      <w:r>
        <w:rPr>
          <w:rStyle w:val="Elision"/>
        </w:rPr>
        <w:t xml:space="preserve">[ … ]</w:t>
      </w:r>
      <w:r>
        <w:t xml:space="preserve"> </w:t>
      </w:r>
      <w:r>
        <w:t xml:space="preserve">The court found that the Alabama district court had personal jurisdiction over Luban</w:t>
      </w:r>
      <w:r>
        <w:t xml:space="preserve"> </w:t>
      </w:r>
      <w:r>
        <w:rPr>
          <w:rStyle w:val="Elision"/>
        </w:rPr>
        <w:t xml:space="preserve">[ … ]</w:t>
      </w:r>
      <w:r>
        <w:t xml:space="preserve"> </w:t>
      </w:r>
      <w:r>
        <w:t xml:space="preserve">On Luban’s appeal, the court of appeals affirmed,</w:t>
      </w:r>
      <w:r>
        <w:rPr>
          <w:rStyle w:val="Elision"/>
        </w:rPr>
        <w:t xml:space="preserve">[ … ]</w:t>
      </w:r>
      <w:r>
        <w:t xml:space="preserve"> </w:t>
      </w:r>
      <w:r>
        <w:t xml:space="preserve"> </w:t>
      </w:r>
      <w:r>
        <w:t xml:space="preserve">Luban sought and was granted review in this court.</w:t>
      </w:r>
    </w:p>
    <w:p>
      <w:pPr>
        <w:pStyle w:val="CaseBody"/>
      </w:pPr>
      <w:r>
        <w:t xml:space="preserve">The question presented is whether the Ramsey County District Court correctly determined that the Alabama district court had personal jurisdiction over Luban so that the Alabama judgment is entitled to full faith and credit in the Minnesota courts.</w:t>
      </w:r>
      <w:r>
        <w:t xml:space="preserve"> </w:t>
      </w:r>
      <w:r>
        <w:rPr>
          <w:rStyle w:val="Elision"/>
        </w:rPr>
        <w:t xml:space="preserve">[ … ]</w:t>
      </w:r>
    </w:p>
    <w:p>
      <w:pPr>
        <w:pStyle w:val="CaseBody"/>
      </w:pPr>
      <w:r>
        <w:t xml:space="preserve">The Due Process Clause of the Fourteenth Amendment limits the power of a state court to exercise personal jurisdiction over a nonresident defendant to circumstances where the defendant has “minimum contacts” with the state so that “maintenance of the suit does not offend ‘traditional notions of fair play and substantial justice.’ ”</w:t>
      </w:r>
      <w:r>
        <w:t xml:space="preserve"> </w:t>
      </w:r>
      <w:r>
        <w:rPr>
          <w:rStyle w:val="Elision"/>
        </w:rPr>
        <w:t xml:space="preserve">[ … ]</w:t>
      </w:r>
      <w:r>
        <w:rPr>
          <w:rStyle w:val="Elision"/>
        </w:rPr>
        <w:t xml:space="preserve">[ … ]</w:t>
      </w:r>
      <w:r>
        <w:t xml:space="preserve"> </w:t>
      </w:r>
      <w:r>
        <w:t xml:space="preserve">Griffis does not contend that the Alabama courts could exercise general jurisdiction over Luban. Where the nonresident defendant’s contacts with the forum state are not sufficient for general jurisdiction, the defendant may nonetheless be subject to “specific” jurisdiction — that is, jurisdiction over a claim that allegedly arose out of the defendant’s contacts with the forum.</w:t>
      </w:r>
      <w:r>
        <w:t xml:space="preserve"> </w:t>
      </w:r>
      <w:r>
        <w:rPr>
          <w:rStyle w:val="Elision"/>
        </w:rPr>
        <w:t xml:space="preserve">[ … ]</w:t>
      </w:r>
      <w:r>
        <w:t xml:space="preserve"> </w:t>
      </w:r>
      <w:r>
        <w:t xml:space="preserve">Griffis contends that Luban had sufficient contacts with Alabama, out of which her claims arose, to support the Alabama court’s exercise of specific jurisdiction.</w:t>
      </w:r>
    </w:p>
    <w:p>
      <w:pPr>
        <w:pStyle w:val="CaseBody"/>
      </w:pPr>
      <w:r>
        <w:t xml:space="preserve">In judging minimum contacts for purposes of assessing the validity of specific jurisdiction, a court focuses on the “relationship among the defendant, the forum, and the litigation.”</w:t>
      </w:r>
      <w:r>
        <w:rPr>
          <w:rStyle w:val="Elision"/>
        </w:rPr>
        <w:t xml:space="preserve">[ … ]</w:t>
      </w:r>
      <w:r>
        <w:t xml:space="preserve"> </w:t>
      </w:r>
      <w:r>
        <w:t xml:space="preserve">For the minimum contacts requirement to be satisfied, the defendant must have “purposefully avail[ed]” herself of the privilege of conducting activities within the jurisdiction.</w:t>
      </w:r>
      <w:r>
        <w:t xml:space="preserve"> </w:t>
      </w:r>
      <w:r>
        <w:rPr>
          <w:rStyle w:val="Elision"/>
        </w:rPr>
        <w:t xml:space="preserve">[ … ]</w:t>
      </w:r>
      <w:r>
        <w:t xml:space="preserve">The defendant’s conduct and connections with the forum state must be such that the defendant “should reasonably anticipate being haled into court there.”</w:t>
      </w:r>
      <w:r>
        <w:t xml:space="preserve"> </w:t>
      </w:r>
      <w:r>
        <w:rPr>
          <w:iCs/>
          <w:i/>
        </w:rPr>
        <w:t xml:space="preserve">World-Wide Volkswagen Corp. v. Woodson,</w:t>
      </w:r>
      <w:r>
        <w:t xml:space="preserve"> </w:t>
      </w:r>
      <w:r>
        <w:rPr>
          <w:rStyle w:val="Elision"/>
        </w:rPr>
        <w:t xml:space="preserve">[ … ]</w:t>
      </w:r>
      <w:r>
        <w:t xml:space="preserve"> </w:t>
      </w:r>
      <w:r>
        <w:t xml:space="preserve">The Supreme Court has explained that specific jurisdiction may be found where the nonresident defendant has “ ‘purposefully directed’ his activities at residents of the forum and the litigation results from alleged injuries that ‘arise out of or relate to’ those activities.”</w:t>
      </w:r>
      <w:r>
        <w:t xml:space="preserve"> </w:t>
      </w:r>
      <w:r>
        <w:rPr>
          <w:rStyle w:val="Elision"/>
        </w:rPr>
        <w:t xml:space="preserve">[ … ]</w:t>
      </w:r>
    </w:p>
    <w:p>
      <w:pPr>
        <w:pStyle w:val="CaseBody"/>
      </w:pPr>
      <w:r>
        <w:t xml:space="preserve">In asserting that the Alabama district court had personal jurisdiction over Lu-ban, Griffis relies in particular, as did the courts below, on</w:t>
      </w:r>
      <w:r>
        <w:t xml:space="preserve"> </w:t>
      </w:r>
      <w:r>
        <w:rPr>
          <w:iCs/>
          <w:i/>
        </w:rPr>
        <w:t xml:space="preserve">Calder v. Jones,</w:t>
      </w:r>
      <w:r>
        <w:t xml:space="preserve"> </w:t>
      </w:r>
      <w:r>
        <w:t xml:space="preserve">465 U.S. 783</w:t>
      </w:r>
      <w:r>
        <w:t xml:space="preserve">,</w:t>
      </w:r>
      <w:r>
        <w:t xml:space="preserve"> </w:t>
      </w:r>
      <w:r>
        <w:t xml:space="preserve">104 S.Ct. 1482</w:t>
      </w:r>
      <w:r>
        <w:t xml:space="preserve">,</w:t>
      </w:r>
      <w:r>
        <w:t xml:space="preserve"> </w:t>
      </w:r>
      <w:r>
        <w:t xml:space="preserve">79 L.Ed.2d 804</w:t>
      </w:r>
      <w:r>
        <w:t xml:space="preserve"> </w:t>
      </w:r>
      <w:r>
        <w:t xml:space="preserve">(1984). In</w:t>
      </w:r>
      <w:r>
        <w:t xml:space="preserve"> </w:t>
      </w:r>
      <w:r>
        <w:rPr>
          <w:iCs/>
          <w:i/>
        </w:rPr>
        <w:t xml:space="preserve">Calder</w:t>
      </w:r>
      <w:r>
        <w:t xml:space="preserve"> </w:t>
      </w:r>
      <w:r>
        <w:t xml:space="preserve">the Supreme Court approved a test that had been employed by the California courts in that case for determining personal jurisdiction over nonresident defendants who allegedly committed an intentional tort outside the forum.</w:t>
      </w:r>
      <w:r>
        <w:t xml:space="preserve"> </w:t>
      </w:r>
      <w:r>
        <w:rPr>
          <w:iCs/>
          <w:i/>
        </w:rPr>
        <w:t xml:space="preserve">Id.</w:t>
      </w:r>
      <w:r>
        <w:t xml:space="preserve"> </w:t>
      </w:r>
      <w:r>
        <w:t xml:space="preserve">at 787 &amp; n. 6,</w:t>
      </w:r>
      <w:r>
        <w:t xml:space="preserve"> </w:t>
      </w:r>
      <w:r>
        <w:t xml:space="preserve">104 S.Ct. 1482</w:t>
      </w:r>
      <w:r>
        <w:t xml:space="preserve">. Rather than focusing only on the defendant’s conduct within or contacts with the forum, the so-called “effects test” approved in</w:t>
      </w:r>
      <w:r>
        <w:t xml:space="preserve"> </w:t>
      </w:r>
      <w:r>
        <w:rPr>
          <w:iCs/>
          <w:i/>
        </w:rPr>
        <w:t xml:space="preserve">Calder</w:t>
      </w:r>
      <w:r>
        <w:t xml:space="preserve"> </w:t>
      </w:r>
      <w:r>
        <w:t xml:space="preserve">allowed long-arm jurisdiction to be based on the effects within the forum of tortious conduct outside the forum.</w:t>
      </w:r>
      <w:r>
        <w:t xml:space="preserve"> </w:t>
      </w:r>
      <w:r>
        <w:rPr>
          <w:iCs/>
          <w:i/>
        </w:rPr>
        <w:t xml:space="preserve">Id.</w:t>
      </w:r>
    </w:p>
    <w:p>
      <w:pPr>
        <w:pStyle w:val="CaseBody"/>
      </w:pPr>
      <w:r>
        <w:rPr>
          <w:iCs/>
          <w:i/>
        </w:rPr>
        <w:t xml:space="preserve">Calder</w:t>
      </w:r>
      <w:r>
        <w:t xml:space="preserve"> </w:t>
      </w:r>
      <w:r>
        <w:t xml:space="preserve">involved an allegedly libelous</w:t>
      </w:r>
      <w:r>
        <w:t xml:space="preserve"> </w:t>
      </w:r>
      <w:r>
        <w:rPr>
          <w:iCs/>
          <w:i/>
        </w:rPr>
        <w:t xml:space="preserve">National Enquirer</w:t>
      </w:r>
      <w:r>
        <w:t xml:space="preserve"> </w:t>
      </w:r>
      <w:r>
        <w:t xml:space="preserve">article written and edited by the defendants in Florida, but concerning the California activities of a Cali-forma resident.</w:t>
      </w:r>
      <w:r>
        <w:t xml:space="preserve"> </w:t>
      </w:r>
      <w:r>
        <w:rPr>
          <w:iCs/>
          <w:i/>
        </w:rPr>
        <w:t xml:space="preserve">Id.</w:t>
      </w:r>
      <w:r>
        <w:rPr>
          <w:iCs/>
          <w:i/>
        </w:rPr>
        <w:t xml:space="preserve"> </w:t>
      </w:r>
      <w:r>
        <w:t xml:space="preserve">at 784-85</w:t>
      </w:r>
      <w:r>
        <w:t xml:space="preserve">,</w:t>
      </w:r>
      <w:r>
        <w:t xml:space="preserve"> </w:t>
      </w:r>
      <w:r>
        <w:t xml:space="preserve">104 S.Ct. 1482</w:t>
      </w:r>
      <w:r>
        <w:t xml:space="preserve">. Although the</w:t>
      </w:r>
      <w:r>
        <w:t xml:space="preserve"> </w:t>
      </w:r>
      <w:r>
        <w:rPr>
          <w:iCs/>
          <w:i/>
        </w:rPr>
        <w:t xml:space="preserve">Enquirer</w:t>
      </w:r>
      <w:r>
        <w:t xml:space="preserve"> </w:t>
      </w:r>
      <w:r>
        <w:t xml:space="preserve">was distributed nationally, it had its largest circulation in California.</w:t>
      </w:r>
      <w:r>
        <w:t xml:space="preserve"> </w:t>
      </w:r>
      <w:r>
        <w:rPr>
          <w:iCs/>
          <w:i/>
        </w:rPr>
        <w:t xml:space="preserve">Id.</w:t>
      </w:r>
      <w:r>
        <w:rPr>
          <w:iCs/>
          <w:i/>
        </w:rPr>
        <w:t xml:space="preserve"> </w:t>
      </w:r>
      <w:r>
        <w:t xml:space="preserve">at 784-85</w:t>
      </w:r>
      <w:r>
        <w:t xml:space="preserve">,</w:t>
      </w:r>
      <w:r>
        <w:t xml:space="preserve"> </w:t>
      </w:r>
      <w:r>
        <w:t xml:space="preserve">104 S.Ct. 1482</w:t>
      </w:r>
      <w:r>
        <w:t xml:space="preserve">. Plaintiff was an entertainer whose profession, the Court pointed out, was centered in California.</w:t>
      </w:r>
      <w:r>
        <w:t xml:space="preserve"> </w:t>
      </w:r>
      <w:r>
        <w:rPr>
          <w:iCs/>
          <w:i/>
        </w:rPr>
        <w:t xml:space="preserve">Id.</w:t>
      </w:r>
      <w:r>
        <w:rPr>
          <w:iCs/>
          <w:i/>
        </w:rPr>
        <w:t xml:space="preserve"> </w:t>
      </w:r>
      <w:r>
        <w:t xml:space="preserve">at 788</w:t>
      </w:r>
      <w:r>
        <w:t xml:space="preserve">,</w:t>
      </w:r>
      <w:r>
        <w:t xml:space="preserve"> </w:t>
      </w:r>
      <w:r>
        <w:t xml:space="preserve">104 S.Ct. 1482</w:t>
      </w:r>
      <w:r>
        <w:t xml:space="preserve">. She brought suit in California against the Florida-based publication, its distributing company, and the reporter and editor of the article.</w:t>
      </w:r>
      <w:r>
        <w:t xml:space="preserve"> </w:t>
      </w:r>
      <w:r>
        <w:rPr>
          <w:iCs/>
          <w:i/>
        </w:rPr>
        <w:t xml:space="preserve">Id.</w:t>
      </w:r>
      <w:r>
        <w:rPr>
          <w:iCs/>
          <w:i/>
        </w:rPr>
        <w:t xml:space="preserve"> </w:t>
      </w:r>
      <w:r>
        <w:t xml:space="preserve">at 785-86</w:t>
      </w:r>
      <w:r>
        <w:t xml:space="preserve">,</w:t>
      </w:r>
      <w:r>
        <w:t xml:space="preserve"> </w:t>
      </w:r>
      <w:r>
        <w:t xml:space="preserve">104 S.Ct. 1482</w:t>
      </w:r>
      <w:r>
        <w:t xml:space="preserve">. The reporter and editor moved to quash service of process for lack of personal jurisdiction.</w:t>
      </w:r>
      <w:r>
        <w:t xml:space="preserve"> </w:t>
      </w:r>
      <w:r>
        <w:rPr>
          <w:iCs/>
          <w:i/>
        </w:rPr>
        <w:t xml:space="preserve">Id.</w:t>
      </w:r>
      <w:r>
        <w:rPr>
          <w:iCs/>
          <w:i/>
        </w:rPr>
        <w:t xml:space="preserve"> </w:t>
      </w:r>
      <w:r>
        <w:t xml:space="preserve">at 785-85</w:t>
      </w:r>
      <w:r>
        <w:t xml:space="preserve">,</w:t>
      </w:r>
      <w:r>
        <w:t xml:space="preserve"> </w:t>
      </w:r>
      <w:r>
        <w:t xml:space="preserve">104 S.Ct. 1482</w:t>
      </w:r>
      <w:r>
        <w:t xml:space="preserve">. Although the investigative contacts of one defendant with California, including a visit and several phone calls, were alleged as a basis for jurisdiction, the Court found it unnecessary to consider those direct contacts with the forum.</w:t>
      </w:r>
      <w:r>
        <w:t xml:space="preserve"> </w:t>
      </w:r>
      <w:r>
        <w:rPr>
          <w:iCs/>
          <w:i/>
        </w:rPr>
        <w:t xml:space="preserve">Id.</w:t>
      </w:r>
      <w:r>
        <w:t xml:space="preserve"> </w:t>
      </w:r>
      <w:r>
        <w:t xml:space="preserve">at 786-87 &amp; n. 6,</w:t>
      </w:r>
      <w:r>
        <w:t xml:space="preserve"> </w:t>
      </w:r>
      <w:r>
        <w:t xml:space="preserve">104 S.Ct. 1482</w:t>
      </w:r>
      <w:r>
        <w:t xml:space="preserve">. Instead, the Court held that California had personal jurisdiction over the reporter and editor because their Florida conduct was “expressly aimed” at California, knowing that the harmful effects would be felt primarily there.</w:t>
      </w:r>
      <w:r>
        <w:t xml:space="preserve"> </w:t>
      </w:r>
      <w:r>
        <w:rPr>
          <w:iCs/>
          <w:i/>
        </w:rPr>
        <w:t xml:space="preserve">Id.</w:t>
      </w:r>
      <w:r>
        <w:rPr>
          <w:iCs/>
          <w:i/>
        </w:rPr>
        <w:t xml:space="preserve"> </w:t>
      </w:r>
      <w:r>
        <w:t xml:space="preserve">at 789</w:t>
      </w:r>
      <w:r>
        <w:t xml:space="preserve">,</w:t>
      </w:r>
      <w:r>
        <w:t xml:space="preserve"> </w:t>
      </w:r>
      <w:r>
        <w:t xml:space="preserve">104 S.Ct. 1482</w:t>
      </w:r>
      <w:r>
        <w:t xml:space="preserve">. The Court emphasized that the alleged tort was not “mere untargeted negligence.”</w:t>
      </w:r>
      <w:r>
        <w:t xml:space="preserve"> </w:t>
      </w:r>
      <w:r>
        <w:rPr>
          <w:iCs/>
          <w:i/>
        </w:rPr>
        <w:t xml:space="preserve">Id.</w:t>
      </w:r>
      <w:r>
        <w:t xml:space="preserve"> </w:t>
      </w:r>
      <w:r>
        <w:t xml:space="preserve">Under these circumstances, the Court found that defendants “must ‘reasonably anticipate being haled into court’ ” in California for their out-of-state actions.</w:t>
      </w:r>
      <w:r>
        <w:t xml:space="preserve"> </w:t>
      </w:r>
      <w:r>
        <w:rPr>
          <w:iCs/>
          <w:i/>
        </w:rPr>
        <w:t xml:space="preserve">Id.</w:t>
      </w:r>
      <w:r>
        <w:rPr>
          <w:iCs/>
          <w:i/>
        </w:rPr>
        <w:t xml:space="preserve"> </w:t>
      </w:r>
      <w:r>
        <w:t xml:space="preserve">at 790</w:t>
      </w:r>
      <w:r>
        <w:t xml:space="preserve">,</w:t>
      </w:r>
      <w:r>
        <w:t xml:space="preserve"> </w:t>
      </w:r>
      <w:r>
        <w:t xml:space="preserve">104 S.Ct. 1482</w:t>
      </w:r>
      <w:r>
        <w:t xml:space="preserve"> </w:t>
      </w:r>
      <w:r>
        <w:t xml:space="preserve">(quoting</w:t>
      </w:r>
      <w:r>
        <w:t xml:space="preserve"> </w:t>
      </w:r>
      <w:r>
        <w:rPr>
          <w:iCs/>
          <w:i/>
        </w:rPr>
        <w:t xml:space="preserve">World-Wide Volkswagen Corp.,</w:t>
      </w:r>
      <w:r>
        <w:t xml:space="preserve"> </w:t>
      </w:r>
      <w:r>
        <w:t xml:space="preserve">444 U.S. at 297</w:t>
      </w:r>
      <w:r>
        <w:t xml:space="preserve">,</w:t>
      </w:r>
      <w:r>
        <w:t xml:space="preserve"> </w:t>
      </w:r>
      <w:r>
        <w:t xml:space="preserve">100 S.Ct. 559</w:t>
      </w:r>
      <w:r>
        <w:t xml:space="preserve">).</w:t>
      </w:r>
    </w:p>
    <w:p>
      <w:pPr>
        <w:pStyle w:val="CaseBody"/>
      </w:pPr>
      <w:r>
        <w:t xml:space="preserve">Courts have come to varying conclusions about how broadly the “effects test” approved in</w:t>
      </w:r>
      <w:r>
        <w:t xml:space="preserve"> </w:t>
      </w:r>
      <w:r>
        <w:rPr>
          <w:iCs/>
          <w:i/>
        </w:rPr>
        <w:t xml:space="preserve">Calder</w:t>
      </w:r>
      <w:r>
        <w:t xml:space="preserve"> </w:t>
      </w:r>
      <w:r>
        <w:t xml:space="preserve">can be applied to find jurisdiction.</w:t>
      </w:r>
      <w:r>
        <w:t xml:space="preserve"> </w:t>
      </w:r>
      <w:r>
        <w:rPr>
          <w:rStyle w:val="Elision"/>
        </w:rPr>
        <w:t xml:space="preserve">[ … ]</w:t>
      </w:r>
      <w:r>
        <w:rPr>
          <w:rStyle w:val="Elision"/>
        </w:rPr>
        <w:t xml:space="preserve">[ … ]</w:t>
      </w:r>
      <w:r>
        <w:rPr>
          <w:rStyle w:val="Elision"/>
        </w:rPr>
        <w:t xml:space="preserve">[ … ]</w:t>
      </w:r>
      <w:r>
        <w:rPr>
          <w:rStyle w:val="Elision"/>
        </w:rPr>
        <w:t xml:space="preserve">[ … ]</w:t>
      </w:r>
      <w:r>
        <w:rPr>
          <w:rStyle w:val="Elision"/>
        </w:rPr>
        <w:t xml:space="preserve">[ … ]</w:t>
      </w:r>
    </w:p>
    <w:p>
      <w:pPr>
        <w:pStyle w:val="CaseBody"/>
      </w:pPr>
      <w:r>
        <w:rPr>
          <w:rStyle w:val="Elision"/>
        </w:rPr>
        <w:t xml:space="preserve">[ … ]</w:t>
      </w:r>
    </w:p>
    <w:p>
      <w:pPr>
        <w:pStyle w:val="CaseBody"/>
      </w:pPr>
      <w:r>
        <w:t xml:space="preserve">Within the spectrum of differing circuit court interpretations of</w:t>
      </w:r>
      <w:r>
        <w:t xml:space="preserve"> </w:t>
      </w:r>
      <w:r>
        <w:rPr>
          <w:iCs/>
          <w:i/>
        </w:rPr>
        <w:t xml:space="preserve">Calder,</w:t>
      </w:r>
      <w:r>
        <w:t xml:space="preserve"> </w:t>
      </w:r>
      <w:r>
        <w:t xml:space="preserve">we believe the most cogent analysis of the</w:t>
      </w:r>
      <w:r>
        <w:t xml:space="preserve"> </w:t>
      </w:r>
      <w:r>
        <w:rPr>
          <w:iCs/>
          <w:i/>
        </w:rPr>
        <w:t xml:space="preserve">Calder</w:t>
      </w:r>
      <w:r>
        <w:t xml:space="preserve"> </w:t>
      </w:r>
      <w:r>
        <w:t xml:space="preserve">effects test is that of the Third Circuit in</w:t>
      </w:r>
      <w:r>
        <w:t xml:space="preserve"> </w:t>
      </w:r>
      <w:r>
        <w:rPr>
          <w:iCs/>
          <w:i/>
        </w:rPr>
        <w:t xml:space="preserve">Imo Industries.</w:t>
      </w:r>
      <w:r>
        <w:t xml:space="preserve"> </w:t>
      </w:r>
      <w:r>
        <w:rPr>
          <w:rStyle w:val="Elision"/>
        </w:rPr>
        <w:t xml:space="preserve">[ … ]</w:t>
      </w:r>
      <w:r>
        <w:rPr>
          <w:iCs/>
          <w:i/>
        </w:rPr>
        <w:t xml:space="preserve">Calder</w:t>
      </w:r>
      <w:r>
        <w:t xml:space="preserve">Calder's</w:t>
      </w:r>
      <w:r>
        <w:rPr>
          <w:iCs/>
          <w:i/>
        </w:rPr>
        <w:t xml:space="preserve">CalderCalder</w:t>
      </w:r>
      <w:r>
        <w:t xml:space="preserve">The test requires the plaintiff to show that: (1) the defendant committed an intentional tort; (2) the plaintiff felt the brunt of the harm caused by that tort in the forum such that the forum state was the focal point of the plaintiffs injury; and (3) the defendant expressly aimed the tortious conduct at the forum such that the forum state was the focal point of the tortious activity.</w:t>
      </w:r>
      <w:r>
        <w:t xml:space="preserve"> </w:t>
      </w:r>
      <w:r>
        <w:rPr>
          <w:iCs/>
          <w:i/>
        </w:rPr>
        <w:t xml:space="preserve">Id.</w:t>
      </w:r>
      <w:r>
        <w:rPr>
          <w:iCs/>
          <w:i/>
        </w:rPr>
        <w:t xml:space="preserve"> </w:t>
      </w:r>
      <w:r>
        <w:t xml:space="preserve">at 265-66</w:t>
      </w:r>
      <w:r>
        <w:t xml:space="preserve">. Significantly, the court emphasized that to satisfy the third prong, the plaintiff must show that “the defendant knew that the plaintiff would suffer the brunt of the harm caused by the tortious conduct in the forum, and</w:t>
      </w:r>
      <w:r>
        <w:t xml:space="preserve"> </w:t>
      </w:r>
      <w:r>
        <w:rPr>
          <w:iCs/>
          <w:i/>
        </w:rPr>
        <w:t xml:space="preserve">point to specific activity indicating that the defendant expressly aimed its tortious conduct at the forum.”</w:t>
      </w:r>
      <w:r>
        <w:rPr>
          <w:iCs/>
          <w:i/>
        </w:rPr>
        <w:t xml:space="preserve"> </w:t>
      </w:r>
      <w:r>
        <w:rPr>
          <w:iCs/>
          <w:i/>
        </w:rPr>
        <w:t xml:space="preserve">Id.</w:t>
      </w:r>
      <w:r>
        <w:rPr>
          <w:iCs/>
          <w:i/>
        </w:rPr>
        <w:t xml:space="preserve"> </w:t>
      </w:r>
      <w:r>
        <w:t xml:space="preserve">at 266</w:t>
      </w:r>
      <w:r>
        <w:t xml:space="preserve"> </w:t>
      </w:r>
      <w:r>
        <w:t xml:space="preserve">(emphasis added).</w:t>
      </w:r>
    </w:p>
    <w:p>
      <w:pPr>
        <w:pStyle w:val="CaseBody"/>
      </w:pPr>
      <w:r>
        <w:t xml:space="preserve">We, too, are cautious about applying</w:t>
      </w:r>
      <w:r>
        <w:t xml:space="preserve"> </w:t>
      </w:r>
      <w:r>
        <w:rPr>
          <w:iCs/>
          <w:i/>
        </w:rPr>
        <w:t xml:space="preserve">Calder</w:t>
      </w:r>
      <w:r>
        <w:t xml:space="preserve"> </w:t>
      </w:r>
      <w:r>
        <w:t xml:space="preserve">too broadly.</w:t>
      </w:r>
      <w:r>
        <w:t xml:space="preserve"> </w:t>
      </w:r>
      <w:r>
        <w:rPr>
          <w:rStyle w:val="Elision"/>
        </w:rPr>
        <w:t xml:space="preserve">[ … ]</w:t>
      </w:r>
      <w:r>
        <w:rPr>
          <w:iCs/>
          <w:i/>
        </w:rPr>
        <w:t xml:space="preserve">CalderpostCalder</w:t>
      </w:r>
    </w:p>
    <w:p>
      <w:pPr>
        <w:pStyle w:val="CaseBody"/>
      </w:pPr>
      <w:r>
        <w:rPr>
          <w:iCs/>
          <w:i/>
        </w:rPr>
        <w:t xml:space="preserve">CalderCalder</w:t>
      </w:r>
    </w:p>
    <w:p>
      <w:pPr>
        <w:pStyle w:val="CaseBody"/>
      </w:pPr>
      <w:r>
        <w:t xml:space="preserve">The critical question in this case turns on the third prong, whether the defendant expressly aimed the allegedly tor-tious conduct at the forum such that the forum was the focal point of the tortious activity</w:t>
      </w:r>
      <w:r>
        <w:rPr>
          <w:rStyle w:val="FootnoteReference"/>
        </w:rPr>
        <w:footnoteReference w:customMarkFollows="1" w:id="22"/>
        <w:t xml:space="preserve">*</w:t>
      </w:r>
      <w:r>
        <w:t xml:space="preserve">.</w:t>
      </w:r>
      <w:r>
        <w:rPr>
          <w:rStyle w:val="FootnoteReference"/>
        </w:rPr>
        <w:footnoteReference w:customMarkFollows="1" w:id="180"/>
        <w:t xml:space="preserve">2</w:t>
      </w:r>
      <w:r>
        <w:t xml:space="preserve"> </w:t>
      </w:r>
      <w:r>
        <w:t xml:space="preserve">As noted above, to satisfy the third prong, the plaintiff must show that “the defendant knew that the plaintiff would suffer the brunt of the harm caused by the tortious conduct in the forum, and point to specific activity indicating that the defendant expressly aimed its tortious conduct at the forum.”</w:t>
      </w:r>
      <w:r>
        <w:t xml:space="preserve"> </w:t>
      </w:r>
      <w:r>
        <w:rPr>
          <w:iCs/>
          <w:i/>
        </w:rPr>
        <w:t xml:space="preserve">Imo Indus.,</w:t>
      </w:r>
      <w:r>
        <w:t xml:space="preserve"> </w:t>
      </w:r>
      <w:r>
        <w:t xml:space="preserve">155 F.3d at 266</w:t>
      </w:r>
      <w:r>
        <w:t xml:space="preserve">.</w:t>
      </w:r>
    </w:p>
    <w:p>
      <w:pPr>
        <w:pStyle w:val="CaseBody"/>
      </w:pPr>
      <w:r>
        <w:t xml:space="preserve">Griffis argues that Luban directed the defamation at the Alabama forum because she targeted her messages at Griffis, whom she knew to be an Alabama resident, and because Luban knew that messages posted on the</w:t>
      </w:r>
      <w:r>
        <w:t xml:space="preserve"> </w:t>
      </w:r>
      <w:r>
        <w:rPr>
          <w:iCs/>
          <w:i/>
        </w:rPr>
        <w:t xml:space="preserve">sciarchaeology</w:t>
      </w:r>
      <w:r>
        <w:t xml:space="preserve"> </w:t>
      </w:r>
      <w:r>
        <w:t xml:space="preserve">newsgroup could be read anywhere in the world and in fact were read by Griffis in Alabama. Griffis further contends that Lu-ban’s defamatory statements had “deleterious effects” on Griffis’s consulting business and her professional reputation in Alabama. The district court agreed with Grif-fis, stating that Luban “never denied that she knew Plaintiff was located in Alabama, and that her allegedly defamatory messages would have an ‘effect’ on Plaintiffs professional career in Alabama.”</w:t>
      </w:r>
    </w:p>
    <w:p>
      <w:pPr>
        <w:pStyle w:val="CaseBody"/>
      </w:pPr>
      <w:r>
        <w:t xml:space="preserve">While the record supports the conclusion that Luban’s statements were intentionally directed at Griffis, whom she knew to be an Alabama resident, we conclude that the evidence does not demonstrate that Lu-ban’s statements were “expressly aimed” at the state of Alabama.</w:t>
      </w:r>
      <w:r>
        <w:rPr>
          <w:rStyle w:val="FootnoteReference"/>
        </w:rPr>
        <w:footnoteReference w:customMarkFollows="1" w:id="72"/>
        <w:t xml:space="preserve">**</w:t>
      </w:r>
      <w:r>
        <w:rPr>
          <w:rStyle w:val="FootnoteReference"/>
        </w:rPr>
        <w:footnoteReference w:customMarkFollows="1" w:id="217"/>
        <w:t xml:space="preserve">3</w:t>
      </w:r>
      <w:r>
        <w:t xml:space="preserve"> </w:t>
      </w:r>
      <w:r>
        <w:t xml:space="preserve">The parties agree that Luban published the allegedly defamatory statements on an internet newsgroup accessible to - the public, but nothing in the record indicates that the statements were targeted at the state of Alabama or at an Alabama audience beyond Griffis herself. The newsgroup on which Luban posted her statements was organized around the subjects of archeology and Egyptology, not Alabama or the University of Alabama academic community. According to Griffis, Luban’s messages were widely read by her colleagues — the other amateur Egyptologists who participated in the</w:t>
      </w:r>
      <w:r>
        <w:t xml:space="preserve"> </w:t>
      </w:r>
      <w:r>
        <w:rPr>
          <w:iCs/>
          <w:i/>
        </w:rPr>
        <w:t xml:space="preserve">sci archaeology</w:t>
      </w:r>
      <w:r>
        <w:t xml:space="preserve"> </w:t>
      </w:r>
      <w:r>
        <w:t xml:space="preserve">newsgroup. But Griffis has not presented evidence that any other person in Alabama read the statements. Nor has she asserted that Alabama has a unique relationship with the field of Egyptology, like the close relationship between the plaintiffs profession and the forum state that the Supreme Court found relevant in</w:t>
      </w:r>
      <w:r>
        <w:t xml:space="preserve"> </w:t>
      </w:r>
      <w:r>
        <w:rPr>
          <w:iCs/>
          <w:i/>
        </w:rPr>
        <w:t xml:space="preserve">Calder.</w:t>
      </w:r>
      <w:r>
        <w:t xml:space="preserve"> </w:t>
      </w:r>
      <w:r>
        <w:t xml:space="preserve">Therefore, even if we assume Luban’s statements were widely read by followers of the</w:t>
      </w:r>
      <w:r>
        <w:t xml:space="preserve"> </w:t>
      </w:r>
      <w:r>
        <w:rPr>
          <w:iCs/>
          <w:i/>
        </w:rPr>
        <w:t xml:space="preserve">sci archaeology</w:t>
      </w:r>
      <w:r>
        <w:t xml:space="preserve"> </w:t>
      </w:r>
      <w:r>
        <w:t xml:space="preserve">newsgroup, the readers most likely would be spread all around the country — maybe even around the world— and not necessarily in the Alabama forum. The fact that messages posted to the newsgroup</w:t>
      </w:r>
      <w:r>
        <w:t xml:space="preserve"> </w:t>
      </w:r>
      <w:r>
        <w:rPr>
          <w:iCs/>
          <w:i/>
        </w:rPr>
        <w:t xml:space="preserve">could</w:t>
      </w:r>
      <w:r>
        <w:t xml:space="preserve"> </w:t>
      </w:r>
      <w:r>
        <w:t xml:space="preserve">have been read in Alabama, just as they</w:t>
      </w:r>
      <w:r>
        <w:t xml:space="preserve"> </w:t>
      </w:r>
      <w:r>
        <w:rPr>
          <w:iCs/>
          <w:i/>
        </w:rPr>
        <w:t xml:space="preserve">could</w:t>
      </w:r>
      <w:r>
        <w:t xml:space="preserve"> </w:t>
      </w:r>
      <w:r>
        <w:t xml:space="preserve">have been read anywhere in the world, cannot suffice to establish Alabama as the focal point of the defendant’s conduct.</w:t>
      </w:r>
    </w:p>
    <w:p>
      <w:pPr>
        <w:pStyle w:val="CaseBody"/>
      </w:pPr>
      <w:r>
        <w:t xml:space="preserve">To support her assertion that Luban’s statements affected her professional integrity in Alabama, Griffis relies on the message posted by a dean at the University of Alabama. But that message simply verified that Griffis had taught noncredit classes related to ancient Egypt at the University of Alabama’s Department of Special Studies. The statement did not indicate an awareness of Luban’s statements, nor did it indicate that Griffis’s integrity or reputation had been impugned at the University. Significantly, the dean posted the message to another newsgroup because she did not have access to</w:t>
      </w:r>
      <w:r>
        <w:t xml:space="preserve"> </w:t>
      </w:r>
      <w:r>
        <w:rPr>
          <w:iCs/>
          <w:i/>
        </w:rPr>
        <w:t xml:space="preserve">sci ar-chaeology</w:t>
      </w:r>
      <w:r>
        <w:t xml:space="preserve"> </w:t>
      </w:r>
      <w:r>
        <w:t xml:space="preserve">newsgroup on which Luban made her postings. Griffis later copied the Dean’s message onto the</w:t>
      </w:r>
      <w:r>
        <w:t xml:space="preserve"> </w:t>
      </w:r>
      <w:r>
        <w:rPr>
          <w:iCs/>
          <w:i/>
        </w:rPr>
        <w:t xml:space="preserve">sci archaeolo-gy</w:t>
      </w:r>
      <w:r>
        <w:t xml:space="preserve"> </w:t>
      </w:r>
      <w:r>
        <w:t xml:space="preserve">newsgroup. Thus nothing in the factual record before us indicates that Luban’s messages were read by any other person in Alabama, or by anyone in the academic community at the University of Alabama. Griffis also relies on a letter her attorney wrote to Luban threatening litigation to establish that Luban knew her postings would harm Griffis’s consulting business in Alabama. But the letter states only that Luban’s statements were “threatening” Griffis’s business and did not specify any details about the business.</w:t>
      </w:r>
      <w:r>
        <w:t xml:space="preserve"> </w:t>
      </w:r>
      <w:r>
        <w:t xml:space="preserve">Nor does anything in the record establish that Griffis’s consulting business was focused in Alabama, beyond the fact that Griffis herself was located there</w:t>
      </w:r>
      <w:r>
        <w:rPr>
          <w:rStyle w:val="FootnoteReference"/>
        </w:rPr>
        <w:footnoteReference w:customMarkFollows="1" w:id="104"/>
        <w:t xml:space="preserve">***</w:t>
      </w:r>
      <w:r>
        <w:t xml:space="preserve">.</w:t>
      </w:r>
      <w:r>
        <w:rPr>
          <w:rStyle w:val="FootnoteReference"/>
        </w:rPr>
        <w:footnoteReference w:customMarkFollows="1" w:id="189"/>
        <w:t xml:space="preserve">4</w:t>
      </w:r>
      <w:r>
        <w:t xml:space="preserve"> </w:t>
      </w:r>
      <w:r>
        <w:t xml:space="preserve">Unlike the facts in</w:t>
      </w:r>
      <w:r>
        <w:t xml:space="preserve"> </w:t>
      </w:r>
      <w:r>
        <w:rPr>
          <w:iCs/>
          <w:i/>
        </w:rPr>
        <w:t xml:space="preserve">Calder,</w:t>
      </w:r>
      <w:r>
        <w:t xml:space="preserve"> </w:t>
      </w:r>
      <w:r>
        <w:t xml:space="preserve">where the defamatory article was focused on California activities of a California plaintiff whose professional industry was centralized in California and was carried by a national newspaper with its highest circulation in California, Luban did not “expressly aim” her statements at the state of Alabama such that Alabama was the focal point of the tortious activity.</w:t>
      </w:r>
    </w:p>
    <w:p>
      <w:pPr>
        <w:pStyle w:val="CaseBody"/>
      </w:pPr>
      <w:r>
        <w:t xml:space="preserve">In sum, we conclude that the record does not demonstrate that Luban expressly aimed her allegedly tortious conduct at the Alabama forum so as to satisfy the third prong of the</w:t>
      </w:r>
      <w:r>
        <w:t xml:space="preserve"> </w:t>
      </w:r>
      <w:r>
        <w:rPr>
          <w:iCs/>
          <w:i/>
        </w:rPr>
        <w:t xml:space="preserve">Imo Industries</w:t>
      </w:r>
      <w:r>
        <w:t xml:space="preserve"> </w:t>
      </w:r>
      <w:r>
        <w:t xml:space="preserve">analysis. The mere fact that Luban knew that Grif-fis resided and worked in Alabama is not sufficient to extend personal jurisdiction over Luban in Alabama, because that knowledge does not demonstrate targeting of Alabama as the focal point of the allegedly defamatory statements. As a result, even if Luban knew or should have known that defamatory statements about Griffis would affect her in her home state of Alabama, that alone is not enough to demonstrate that Alabama was the focal point of Luban’s tortious conduct. Failing this, Griffis cannot rely on</w:t>
      </w:r>
      <w:r>
        <w:t xml:space="preserve"> </w:t>
      </w:r>
      <w:r>
        <w:rPr>
          <w:iCs/>
          <w:i/>
        </w:rPr>
        <w:t xml:space="preserve">Calder</w:t>
      </w:r>
      <w:r>
        <w:t xml:space="preserve"> </w:t>
      </w:r>
      <w:r>
        <w:t xml:space="preserve">to confer personal jurisdiction based on Luban’s allegedly intentional tortious conduct. Because Griffis does not claim any other basis on which the Alabama court could properly extend personal jurisdiction over Luban, the judgment of the Alabama court is not entitled to full faith and credit in Minnesota. The decisions of the courts below enforcing the Alabama judgment are therefore reversed, and the Alabama judgment filed in Ramsey County District Court on May 5, 1998, under the Uniform Enforcement of Foreign Judgments Acts, MinmStat. § 548.27, and the Ramsey County District Court judgment entered on December 21, 2000, based on the Alabama judgment, are vacated.</w:t>
      </w:r>
    </w:p>
    <w:p>
      <w:pPr>
        <w:pStyle w:val="CaseBody"/>
      </w:pPr>
      <w:r>
        <w:t xml:space="preserve">Reversed and judgments vacated.</w:t>
      </w:r>
    </w:p>
    <w:p>
      <w:pPr>
        <w:pStyle w:val="CaseBody"/>
      </w:pPr>
      <w:r>
        <w:rPr>
          <w:rStyle w:val="Elision"/>
        </w:rPr>
        <w:t xml:space="preserve">[ … ]</w:t>
      </w:r>
    </w:p>
    <w:bookmarkStart w:id="91" w:name="_auto_toc_91"/>
    <w:bookmarkEnd w:id="91"/>
    <w:p>
      <w:pPr>
        <w:pStyle w:val="ResourceNumber"/>
      </w:pPr>
      <w:r>
        <w:t xml:space="preserve">8.7</w:t>
      </w:r>
    </w:p>
    <w:p>
      <w:pPr>
        <w:pStyle w:val="ResourceTitle"/>
      </w:pPr>
      <w:r>
        <w:t xml:space="preserve">Notes following Griffis v. Luban</w:t>
      </w:r>
    </w:p>
    <w:p>
      <w:pPr>
        <w:pStyle w:val="HeadEnd"/>
      </w:pPr>
      <w:r>
        <w:t xml:space="preserve"> </w:t>
      </w:r>
    </w:p>
    <w:p>
      <w:pPr>
        <w:pStyle w:val="BodyText"/>
      </w:pPr>
      <w:r>
        <w:t xml:space="preserve">As noted previously, the</w:t>
      </w:r>
      <w:r>
        <w:t xml:space="preserve"> </w:t>
      </w:r>
      <w:r>
        <w:rPr>
          <w:iCs/>
          <w:i/>
        </w:rPr>
        <w:t xml:space="preserve">Griffis</w:t>
      </w:r>
      <w:r>
        <w:t xml:space="preserve"> </w:t>
      </w:r>
      <w:r>
        <w:t xml:space="preserve">test is what SCOTUS later adopted.</w:t>
      </w:r>
    </w:p>
    <w:p>
      <w:pPr>
        <w:numPr>
          <w:ilvl w:val="0"/>
          <w:numId w:val="1093"/>
        </w:numPr>
      </w:pPr>
      <w:r>
        <w:rPr>
          <w:iCs/>
          <w:i/>
        </w:rPr>
        <w:t xml:space="preserve">Technology and “cyberspace.”</w:t>
      </w:r>
      <w:r>
        <w:t xml:space="preserve"> </w:t>
      </w:r>
      <w:r>
        <w:t xml:space="preserve">As you have probably realized by now, so much of civil procedure has to do with</w:t>
      </w:r>
      <w:r>
        <w:t xml:space="preserve"> </w:t>
      </w:r>
      <w:r>
        <w:rPr>
          <w:bCs/>
          <w:b/>
        </w:rPr>
        <w:t xml:space="preserve">geography</w:t>
      </w:r>
      <w:r>
        <w:t xml:space="preserve"> </w:t>
      </w:r>
      <w:r>
        <w:t xml:space="preserve">(e.g., where you can sue, where you are domiciled, which state’s law to use, etc.); think about what this means in the age of the Internet. Are we trying to locate Griffis’s reputation, an incorporeal entity? Suppose we do situate Griffis in a geographic area – is that enough to establish personal jurisdiction, according to the court?</w:t>
      </w:r>
    </w:p>
    <w:p>
      <w:pPr>
        <w:numPr>
          <w:ilvl w:val="0"/>
          <w:numId w:val="1093"/>
        </w:numPr>
      </w:pPr>
      <w:r>
        <w:rPr>
          <w:iCs/>
          <w:i/>
        </w:rPr>
        <w:t xml:space="preserve">Acts that target a forum</w:t>
      </w:r>
      <w:r>
        <w:t xml:space="preserve">. As the Supreme Court later clarified (effectively overruling the 9-0 decision in</w:t>
      </w:r>
      <w:r>
        <w:t xml:space="preserve"> </w:t>
      </w:r>
      <w:r>
        <w:rPr>
          <w:iCs/>
          <w:i/>
        </w:rPr>
        <w:t xml:space="preserve">Calder v. Jones</w:t>
      </w:r>
      <w:r>
        <w:t xml:space="preserve">), for</w:t>
      </w:r>
      <w:r>
        <w:t xml:space="preserve"> </w:t>
      </w:r>
      <w:r>
        <w:t xml:space="preserve">a</w:t>
      </w:r>
      <w:r>
        <w:t xml:space="preserve"> </w:t>
      </w:r>
      <w:r>
        <w:t xml:space="preserve"> </w:t>
      </w:r>
      <w:r>
        <w:t xml:space="preserve">court</w:t>
      </w:r>
      <w:r>
        <w:t xml:space="preserve"> </w:t>
      </w:r>
      <w:r>
        <w:t xml:space="preserve"> </w:t>
      </w:r>
      <w:r>
        <w:t xml:space="preserve">to</w:t>
      </w:r>
      <w:r>
        <w:t xml:space="preserve"> </w:t>
      </w:r>
      <w:r>
        <w:t xml:space="preserve"> </w:t>
      </w:r>
      <w:r>
        <w:t xml:space="preserve">exert</w:t>
      </w:r>
      <w:r>
        <w:t xml:space="preserve"> </w:t>
      </w:r>
      <w:r>
        <w:t xml:space="preserve"> </w:t>
      </w:r>
      <w:r>
        <w:t xml:space="preserve">personal jurisdiction</w:t>
      </w:r>
      <w:r>
        <w:t xml:space="preserve"> </w:t>
      </w:r>
      <w:r>
        <w:t xml:space="preserve"> </w:t>
      </w:r>
      <w:r>
        <w:t xml:space="preserve">over</w:t>
      </w:r>
      <w:r>
        <w:t xml:space="preserve"> </w:t>
      </w:r>
      <w:r>
        <w:t xml:space="preserve"> </w:t>
      </w:r>
      <w:r>
        <w:t xml:space="preserve">the</w:t>
      </w:r>
      <w:r>
        <w:t xml:space="preserve"> </w:t>
      </w:r>
      <w:r>
        <w:t xml:space="preserve"> </w:t>
      </w:r>
      <w:r>
        <w:t xml:space="preserve">defendant</w:t>
      </w:r>
      <w:r>
        <w:t xml:space="preserve"> </w:t>
      </w:r>
      <w:r>
        <w:t xml:space="preserve"> </w:t>
      </w:r>
      <w:r>
        <w:t xml:space="preserve">over</w:t>
      </w:r>
      <w:r>
        <w:t xml:space="preserve"> </w:t>
      </w:r>
      <w:r>
        <w:t xml:space="preserve"> </w:t>
      </w:r>
      <w:r>
        <w:t xml:space="preserve">an</w:t>
      </w:r>
      <w:r>
        <w:t xml:space="preserve"> </w:t>
      </w:r>
      <w:r>
        <w:t xml:space="preserve"> </w:t>
      </w:r>
      <w:r>
        <w:t xml:space="preserve">intentional tort, the plaintiff</w:t>
      </w:r>
      <w:r>
        <w:t xml:space="preserve"> </w:t>
      </w:r>
      <w:r>
        <w:t xml:space="preserve"> </w:t>
      </w:r>
      <w:r>
        <w:t xml:space="preserve">must</w:t>
      </w:r>
      <w:r>
        <w:t xml:space="preserve"> </w:t>
      </w:r>
      <w:r>
        <w:t xml:space="preserve"> </w:t>
      </w:r>
      <w:r>
        <w:t xml:space="preserve">point to specific activity indicating</w:t>
      </w:r>
      <w:r>
        <w:t xml:space="preserve"> </w:t>
      </w:r>
      <w:r>
        <w:t xml:space="preserve"> </w:t>
      </w:r>
      <w:r>
        <w:t xml:space="preserve">that</w:t>
      </w:r>
      <w:r>
        <w:t xml:space="preserve"> </w:t>
      </w:r>
      <w:r>
        <w:t xml:space="preserve"> </w:t>
      </w:r>
      <w:r>
        <w:t xml:space="preserve">the</w:t>
      </w:r>
      <w:r>
        <w:t xml:space="preserve"> </w:t>
      </w:r>
      <w:r>
        <w:t xml:space="preserve"> </w:t>
      </w:r>
      <w:r>
        <w:t xml:space="preserve">defendant expressly aimed its tortious conduct at the forum. Mere knowledge that someone resides and works in the state is not sufficient.</w:t>
      </w:r>
    </w:p>
    <w:p>
      <w:pPr>
        <w:numPr>
          <w:ilvl w:val="1"/>
          <w:numId w:val="1094"/>
        </w:numPr>
      </w:pPr>
      <w:r>
        <w:t xml:space="preserve">Do you sense some circular logic here?</w:t>
      </w:r>
    </w:p>
    <w:p>
      <w:pPr>
        <w:numPr>
          <w:ilvl w:val="1"/>
          <w:numId w:val="1094"/>
        </w:numPr>
      </w:pPr>
      <w:r>
        <w:t xml:space="preserve">Why might the fact that the tort was an intentional one matter?</w:t>
      </w:r>
    </w:p>
    <w:p>
      <w:pPr>
        <w:numPr>
          <w:ilvl w:val="1"/>
          <w:numId w:val="1094"/>
        </w:numPr>
      </w:pPr>
      <w:r>
        <w:t xml:space="preserve">What does it mean to expressly aim tortious conduct at a forum? What are the specific facts that the court expounded to show that Alabama was not targeted, but California was, in</w:t>
      </w:r>
      <w:r>
        <w:t xml:space="preserve"> </w:t>
      </w:r>
      <w:r>
        <w:rPr>
          <w:iCs/>
          <w:i/>
        </w:rPr>
        <w:t xml:space="preserve">Calder</w:t>
      </w:r>
      <w:r>
        <w:t xml:space="preserve">?</w:t>
      </w:r>
    </w:p>
    <w:p>
      <w:pPr>
        <w:pStyle w:val="NodeEnd"/>
      </w:pPr>
      <w:r>
        <w:t xml:space="preserve"> </w:t>
      </w:r>
    </w:p>
    <w:p>
      <w:pPr>
        <w:pStyle w:val="NodeStart"/>
      </w:pPr>
      <w:r>
        <w:t xml:space="preserve"> </w:t>
      </w:r>
    </w:p>
    <w:p>
      <w:pPr>
        <w:pStyle w:val="HeadSeparator"/>
      </w:pPr>
      <w:r>
        <w:t xml:space="preserve"> </w:t>
      </w:r>
    </w:p>
    <w:bookmarkStart w:id="92" w:name="_auto_toc_92"/>
    <w:bookmarkEnd w:id="92"/>
    <w:p>
      <w:pPr>
        <w:pStyle w:val="ResourceNumber"/>
      </w:pPr>
      <w:r>
        <w:t xml:space="preserve">8.8</w:t>
      </w:r>
    </w:p>
    <w:p>
      <w:pPr>
        <w:pStyle w:val="ResourceTitle"/>
      </w:pPr>
      <w:r>
        <w:t xml:space="preserve">Video Conferencing, Web Conferencing, Webinars, Screen Sharing - Zoom</w:t>
      </w:r>
    </w:p>
    <w:p>
      <w:pPr>
        <w:pStyle w:val="HeadFieldSeparator"/>
      </w:pPr>
      <w:r>
        <w:t xml:space="preserve"> </w:t>
      </w:r>
    </w:p>
    <w:p>
      <w:pPr>
        <w:pStyle w:val="ResourceLink"/>
      </w:pPr>
      <w:hyperlink r:id="rId94">
        <w:r>
          <w:rPr>
            <w:rStyle w:val="Hyperlink"/>
          </w:rPr>
          <w:t xml:space="preserve">https://harvard.zoom.us/rec/share/_0C66FJG8_485shkCh0TbWx3KT8N2WYFW-iaDtVHbNKWaHPBPuTMMzXBQ9_JBZSZ.aOZhv7sZaQKEF5Ay</w:t>
        </w:r>
      </w:hyperlink>
    </w:p>
    <w:p>
      <w:pPr>
        <w:pStyle w:val="HeadFieldSeparator"/>
      </w:pPr>
      <w:r>
        <w:t xml:space="preserve"> </w:t>
      </w:r>
    </w:p>
    <w:p>
      <w:pPr>
        <w:pStyle w:val="ResourceHeadnote"/>
      </w:pPr>
      <w:r>
        <w:t xml:space="preserve">Please watch the video below. It is 77 minutes long. It covers by lecture the material assigned for Class 8. We will spend Class 8 covering two or three issue-spotting exercises.</w:t>
      </w:r>
    </w:p>
    <w:p>
      <w:pPr>
        <w:pStyle w:val="HeadEnd"/>
      </w:pPr>
      <w:r>
        <w:t xml:space="preserve"> </w:t>
      </w:r>
    </w:p>
    <w:p>
      <w:pPr>
        <w:pStyle w:val="NodeEnd"/>
      </w:pPr>
      <w:r>
        <w:t xml:space="preserve"> </w:t>
      </w:r>
    </w:p>
    <w:p>
      <w:pPr>
        <w:pStyle w:val="NodeStart"/>
      </w:pPr>
      <w:r>
        <w:t xml:space="preserve"> </w:t>
      </w:r>
    </w:p>
    <w:p>
      <w:pPr>
        <w:pStyle w:val="HeadSeparator"/>
      </w:pPr>
      <w:r>
        <w:t xml:space="preserve"> </w:t>
      </w:r>
    </w:p>
    <w:bookmarkStart w:id="93" w:name="_auto_toc_93"/>
    <w:bookmarkEnd w:id="93"/>
    <w:p>
      <w:pPr>
        <w:pStyle w:val="ResourceNumber"/>
      </w:pPr>
      <w:r>
        <w:t xml:space="preserve">8.9</w:t>
      </w:r>
    </w:p>
    <w:p>
      <w:pPr>
        <w:pStyle w:val="ResourceTitle"/>
      </w:pPr>
      <w:r>
        <w:t xml:space="preserve">Class 8 Practice Questions</w:t>
      </w:r>
    </w:p>
    <w:p>
      <w:pPr>
        <w:pStyle w:val="HeadEnd"/>
      </w:pPr>
      <w:r>
        <w:t xml:space="preserve"> </w:t>
      </w:r>
    </w:p>
    <w:p>
      <w:pPr>
        <w:pStyle w:val="BodyText"/>
      </w:pPr>
      <w:r>
        <w:t xml:space="preserve">Please review the following practice questions:</w:t>
      </w:r>
    </w:p>
    <w:p>
      <w:pPr>
        <w:numPr>
          <w:ilvl w:val="0"/>
          <w:numId w:val="1095"/>
        </w:numPr>
      </w:pPr>
      <w:hyperlink r:id="rId95">
        <w:r>
          <w:rPr>
            <w:rStyle w:val="Hyperlink"/>
          </w:rPr>
          <w:t xml:space="preserve">2016's Assignment 1</w:t>
        </w:r>
      </w:hyperlink>
      <w:r>
        <w:t xml:space="preserve"> (pdf)</w:t>
      </w:r>
    </w:p>
    <w:p>
      <w:pPr>
        <w:numPr>
          <w:ilvl w:val="0"/>
          <w:numId w:val="1095"/>
        </w:numPr>
      </w:pPr>
      <w:hyperlink r:id="rId96">
        <w:r>
          <w:rPr>
            <w:rStyle w:val="Hyperlink"/>
          </w:rPr>
          <w:t xml:space="preserve">2021's Assignment 1</w:t>
        </w:r>
      </w:hyperlink>
      <w:r>
        <w:t xml:space="preserve"> (pdf)</w:t>
      </w:r>
    </w:p>
    <w:p>
      <w:pPr>
        <w:numPr>
          <w:ilvl w:val="0"/>
          <w:numId w:val="1095"/>
        </w:numPr>
      </w:pPr>
      <w:hyperlink r:id="rId97">
        <w:r>
          <w:rPr>
            <w:rStyle w:val="Hyperlink"/>
          </w:rPr>
          <w:t xml:space="preserve">An additional practice question on IPJ</w:t>
        </w:r>
      </w:hyperlink>
      <w:r>
        <w:t xml:space="preserve"> (pdf)</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94" w:name="_auto_toc_94"/>
    <w:bookmarkEnd w:id="94"/>
    <w:p>
      <w:pPr>
        <w:pStyle w:val="ChapterNumber"/>
      </w:pPr>
      <w:r>
        <w:t xml:space="preserve">9</w:t>
      </w:r>
    </w:p>
    <w:p>
      <w:pPr>
        <w:pStyle w:val="ChapterTitle"/>
      </w:pPr>
      <w:r>
        <w:t xml:space="preserve">Day 9</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95" w:name="_auto_toc_95"/>
    <w:bookmarkEnd w:id="95"/>
    <w:p>
      <w:pPr>
        <w:pStyle w:val="SectionNumber"/>
      </w:pPr>
      <w:r>
        <w:t xml:space="preserve">9.1</w:t>
      </w:r>
    </w:p>
    <w:p>
      <w:pPr>
        <w:pStyle w:val="SectionTitle"/>
      </w:pPr>
      <w:r>
        <w:t xml:space="preserve">Venue, Forum Non Conveniens, and Federal Court Transfers</w:t>
      </w:r>
    </w:p>
    <w:p>
      <w:pPr>
        <w:pStyle w:val="HeadFieldSeparator"/>
      </w:pPr>
      <w:r>
        <w:t xml:space="preserve"> </w:t>
      </w:r>
    </w:p>
    <w:p>
      <w:pPr>
        <w:pStyle w:val="SectionHeadnote"/>
      </w:pPr>
      <w:r>
        <w:t xml:space="preserve">Classes 6-8 concerned where, geographically, a plaintiff could initiate a case under the doctrines of jurisdiction over a person or a piece of property. Most of the law we studied in the personal jurisdiction doctrine came from the U.S. Constitution. Because of Fed. R. Civ. P. 4(k)(1)(A), we treated (for the purposes of this course) a federal court the same as a state court of the state in which the federal court sat.</w:t>
      </w:r>
    </w:p>
    <w:p>
      <w:pPr>
        <w:pStyle w:val="SectionHeadnote"/>
      </w:pPr>
      <w:r>
        <w:t xml:space="preserve">In this class period, we study another, overlapping geographic doctrine. This doctrine is called venue. Whereas personal jurisdiction concerned the</w:t>
      </w:r>
      <w:r>
        <w:t xml:space="preserve"> </w:t>
      </w:r>
      <w:r>
        <w:rPr>
          <w:iCs/>
          <w:i/>
        </w:rPr>
        <w:t xml:space="preserve">state</w:t>
      </w:r>
      <w:r>
        <w:t xml:space="preserve"> </w:t>
      </w:r>
      <w:r>
        <w:t xml:space="preserve">in which a plaintiff could initiate a case, in the federal courts, venue concerns the</w:t>
      </w:r>
      <w:r>
        <w:t xml:space="preserve"> </w:t>
      </w:r>
      <w:r>
        <w:rPr>
          <w:iCs/>
          <w:i/>
        </w:rPr>
        <w:t xml:space="preserve">federal</w:t>
      </w:r>
      <w:r>
        <w:t xml:space="preserve"> </w:t>
      </w:r>
      <w:r>
        <w:rPr>
          <w:iCs/>
          <w:i/>
        </w:rPr>
        <w:t xml:space="preserve">district</w:t>
      </w:r>
      <w:r>
        <w:t xml:space="preserve"> </w:t>
      </w:r>
      <w:r>
        <w:t xml:space="preserve">in which a plaintiff may initiate a case. The two (states and districts) are distinct. Some states have multiple districts. At least one federal district's boundaries cross a state line. (In the state courts, venue typically governs the county in which a plaintiff must initiate a case, but we do not study state court venue in this course.)</w:t>
      </w:r>
    </w:p>
    <w:p>
      <w:pPr>
        <w:pStyle w:val="SectionHeadnote"/>
      </w:pPr>
      <w:r>
        <w:t xml:space="preserve">Jurisdiction over the person or property implements constitutional values and doctrine; it concerns protecting the defendant from an oppressive forum and preventing distinct sovereigns, particularly states, from encroaching upon each other's power spheres. Venue, in contrast, is purely established by statutes and court rules, and its purpose is mostly minimization of expense and inconvenience of the court and the parties.</w:t>
      </w:r>
    </w:p>
    <w:p>
      <w:pPr>
        <w:pStyle w:val="SectionHeadnote"/>
      </w:pPr>
      <w:r>
        <w:t xml:space="preserve">In addition to venue, this class period will cover two doctrines available to move a case from one location to another, even if the plaintiff filed the case in a location consistent with all legal restrictions. In the first, forum non conveniens, the court dismisses the case before it and invites the plaintiff to refile in another location, frequently after the defendant (who has typically requested the FNC dismissal) has promised not to assert certain defenses. In the second, transfer, a court issues an order moving the case from one location to another.</w:t>
      </w:r>
    </w:p>
    <w:p>
      <w:pPr>
        <w:pStyle w:val="SectionHeadnote"/>
      </w:pPr>
      <w:r>
        <w:t xml:space="preserve">Courts use FNC to "move" a case from one state court to another state court, or from either a state or a federal court to a court outside the United States.</w:t>
      </w:r>
    </w:p>
    <w:p>
      <w:pPr>
        <w:pStyle w:val="SectionHeadnote"/>
      </w:pPr>
      <w:r>
        <w:t xml:space="preserve">The transfer statutes are available only to move a case from one federal court to another.</w:t>
      </w:r>
    </w:p>
    <w:p>
      <w:pPr>
        <w:pStyle w:val="SectionHeadnote"/>
      </w:pPr>
      <w:r>
        <w:t xml:space="preserve">Neither doctrine is available to "move" a case from a state court to a federal court, or from a federal court to a state court. At this point, you should be able to hazard a guess as to why not.</w:t>
      </w:r>
    </w:p>
    <w:p>
      <w:pPr>
        <w:pStyle w:val="HeadEnd"/>
      </w:pPr>
      <w:r>
        <w:t xml:space="preserve"> </w:t>
      </w:r>
    </w:p>
    <w:p>
      <w:pPr>
        <w:pStyle w:val="NodeEnd"/>
      </w:pPr>
      <w:r>
        <w:t xml:space="preserve"> </w:t>
      </w:r>
    </w:p>
    <w:p>
      <w:pPr>
        <w:pStyle w:val="NodeStart"/>
      </w:pPr>
      <w:r>
        <w:t xml:space="preserve"> </w:t>
      </w:r>
    </w:p>
    <w:p>
      <w:pPr>
        <w:pStyle w:val="HeadSeparator"/>
      </w:pPr>
      <w:r>
        <w:t xml:space="preserve"> </w:t>
      </w:r>
    </w:p>
    <w:bookmarkStart w:id="96" w:name="_auto_toc_96"/>
    <w:bookmarkEnd w:id="96"/>
    <w:p>
      <w:pPr>
        <w:pStyle w:val="ResourceNumber"/>
      </w:pPr>
      <w:r>
        <w:t xml:space="preserve">9.2</w:t>
      </w:r>
    </w:p>
    <w:p>
      <w:pPr>
        <w:pStyle w:val="ResourceTitle"/>
      </w:pPr>
      <w:r>
        <w:t xml:space="preserve">Statutes</w:t>
      </w:r>
    </w:p>
    <w:p>
      <w:pPr>
        <w:pStyle w:val="HeadFieldSeparator"/>
      </w:pPr>
      <w:r>
        <w:t xml:space="preserve"> </w:t>
      </w:r>
    </w:p>
    <w:p>
      <w:pPr>
        <w:pStyle w:val="ResourceHeadnote"/>
      </w:pPr>
      <w:r>
        <w:t xml:space="preserve">Read the following statutes. You can access them via the internet or the supplemental handout provided on Canvas.</w:t>
      </w:r>
    </w:p>
    <w:p>
      <w:pPr>
        <w:pStyle w:val="HeadEnd"/>
      </w:pPr>
      <w:r>
        <w:t xml:space="preserve"> </w:t>
      </w:r>
    </w:p>
    <w:p>
      <w:pPr>
        <w:numPr>
          <w:ilvl w:val="0"/>
          <w:numId w:val="1096"/>
        </w:numPr>
      </w:pPr>
      <w:r>
        <w:t xml:space="preserve">28 U.S.C.</w:t>
      </w:r>
      <w:r>
        <w:t xml:space="preserve"> </w:t>
      </w:r>
      <w:r>
        <w:t xml:space="preserve">§</w:t>
      </w:r>
      <w:r>
        <w:t xml:space="preserve"> </w:t>
      </w:r>
      <w:r>
        <w:t xml:space="preserve">1391(a-d), plus short explanation in "Explanation of Statutes" in the "Course Materials" Folder on Canvas</w:t>
      </w:r>
    </w:p>
    <w:p>
      <w:pPr>
        <w:numPr>
          <w:ilvl w:val="0"/>
          <w:numId w:val="1096"/>
        </w:numPr>
      </w:pPr>
      <w:r>
        <w:t xml:space="preserve">28 U.S.C. §§ 1404(a), 1406(a), 1631</w:t>
      </w:r>
      <w:r>
        <w:t xml:space="preserve">, plus short explanation in "Explanation of Statutes" in the "Course Materials" Folder on Canvas</w:t>
      </w:r>
    </w:p>
    <w:p>
      <w:pPr>
        <w:pStyle w:val="FirstParagraph"/>
      </w:pPr>
      <w:r>
        <w:t xml:space="preserve">The final three are grouped together for a reason - collectively, they are known as the "transfer statutes." Do not worry about them individually. For this class, it suffices to refer to them as the transfer statutes if a case needs be transferred, regardless of which of the three is actually activated. We have changed citation to any one of the transfer statutes in the following cases to read "the transfer statutes."</w:t>
      </w:r>
    </w:p>
    <w:p>
      <w:pPr>
        <w:pStyle w:val="BodyText"/>
      </w:pPr>
      <w:r>
        <w:t xml:space="preserve">One piece of black letter law that you should know at the outset: for the purposes of this course, venue is always proper in a case removed from state court to federal court. (</w:t>
      </w:r>
      <w:r>
        <w:rPr>
          <w:iCs/>
          <w:i/>
        </w:rPr>
        <w:t xml:space="preserve">This statement is mostly accurate on the law. There may be an exception if, under state venue law, venue was improper in the state court, and the case was removed before the state court took action due to that improper venue under state law, such as dismissing the case or transferring it under a state statute. But we will not study state law venue in this course, so you may assume that in any case removed from state court to federal court, venue is proper.</w:t>
      </w:r>
      <w:r>
        <w:t xml:space="preserve">)</w:t>
      </w:r>
    </w:p>
    <w:p>
      <w:pPr>
        <w:pStyle w:val="NodeEnd"/>
      </w:pPr>
      <w:r>
        <w:t xml:space="preserve"> </w:t>
      </w:r>
    </w:p>
    <w:p>
      <w:pPr>
        <w:pStyle w:val="NodeStart"/>
      </w:pPr>
      <w:r>
        <w:t xml:space="preserve"> </w:t>
      </w:r>
    </w:p>
    <w:p>
      <w:pPr>
        <w:pStyle w:val="HeadSeparator"/>
      </w:pPr>
      <w:r>
        <w:t xml:space="preserve"> </w:t>
      </w:r>
    </w:p>
    <w:bookmarkStart w:id="97" w:name="_auto_toc_97"/>
    <w:bookmarkEnd w:id="97"/>
    <w:p>
      <w:pPr>
        <w:pStyle w:val="ResourceNumber"/>
      </w:pPr>
      <w:r>
        <w:t xml:space="preserve">9.3</w:t>
      </w:r>
    </w:p>
    <w:p>
      <w:pPr>
        <w:pStyle w:val="ResourceTitle"/>
      </w:pPr>
      <w:r>
        <w:t xml:space="preserve">Gulf Oil Corp. v. Gilbert</w:t>
      </w:r>
    </w:p>
    <w:p>
      <w:pPr>
        <w:pStyle w:val="HeadFieldSeparator"/>
      </w:pPr>
      <w:r>
        <w:t xml:space="preserve"> </w:t>
      </w:r>
    </w:p>
    <w:p>
      <w:pPr>
        <w:pStyle w:val="ResourceHeadnote"/>
      </w:pPr>
      <w:r>
        <w:t xml:space="preserve">This case lists the factors that courts consider when a defendant moves to dismiss for forum non conveniens. It divides the list into public interest factors and private interest factors. Federal courts use these same factors when adjudicating motions to transfer.</w:t>
      </w:r>
    </w:p>
    <w:p>
      <w:pPr>
        <w:pStyle w:val="HeadEnd"/>
      </w:pPr>
      <w:r>
        <w:t xml:space="preserve"> </w:t>
      </w:r>
    </w:p>
    <w:p>
      <w:pPr>
        <w:pStyle w:val="CaseHeader"/>
      </w:pPr>
      <w:r>
        <w:t xml:space="preserve">Supreme Court of the United States</w:t>
      </w:r>
    </w:p>
    <w:p>
      <w:pPr>
        <w:pStyle w:val="CaseHeader"/>
      </w:pPr>
      <w:r>
        <w:t xml:space="preserve">330 U.S. 501, 91 L. Ed. 1055, 67 S. Ct. 839, 1947 U.S. LEXIS 2551, SCDB 1946-068</w:t>
      </w:r>
    </w:p>
    <w:p>
      <w:pPr>
        <w:pStyle w:val="CaseHeader"/>
      </w:pPr>
      <w:r>
        <w:t xml:space="preserve">No. 93</w:t>
      </w:r>
    </w:p>
    <w:p>
      <w:pPr>
        <w:pStyle w:val="CaseHeader"/>
      </w:pPr>
      <w:r>
        <w:t xml:space="preserve">1947-03-10</w:t>
      </w:r>
    </w:p>
    <w:p>
      <w:pPr>
        <w:pStyle w:val="CaseBody"/>
      </w:pPr>
      <w:r>
        <w:t xml:space="preserve">330 U.S. 501 (1947)</w:t>
      </w:r>
    </w:p>
    <w:p>
      <w:pPr>
        <w:pStyle w:val="CaseHeader"/>
      </w:pPr>
      <w:r>
        <w:t xml:space="preserve">GULF OIL CORP.</w:t>
      </w:r>
      <w:r>
        <w:br/>
      </w:r>
      <w:r>
        <w:t xml:space="preserve">v.</w:t>
      </w:r>
      <w:r>
        <w:br/>
      </w:r>
      <w:r>
        <w:t xml:space="preserve">GILBERT, DOING BUSINESS AS GILBERT STORAGE &amp; TRANSFER CO.</w:t>
      </w:r>
    </w:p>
    <w:p>
      <w:pPr>
        <w:pStyle w:val="CaseBody"/>
      </w:pPr>
      <w:r>
        <w:t xml:space="preserve">No. 93.</w:t>
      </w:r>
    </w:p>
    <w:p>
      <w:pPr>
        <w:pStyle w:val="CaseBody"/>
      </w:pPr>
      <w:r>
        <w:t xml:space="preserve">Supreme Court of United States.</w:t>
      </w:r>
    </w:p>
    <w:p>
      <w:pPr>
        <w:pStyle w:val="CaseBody"/>
      </w:pPr>
      <w:r>
        <w:t xml:space="preserve">Argued December 18, 19, 1946.</w:t>
      </w:r>
    </w:p>
    <w:p>
      <w:pPr>
        <w:pStyle w:val="CaseBody"/>
      </w:pPr>
      <w:r>
        <w:t xml:space="preserve">Decided March 10, 1947.</w:t>
      </w:r>
    </w:p>
    <w:p>
      <w:pPr>
        <w:pStyle w:val="CaseBody"/>
      </w:pPr>
      <w:r>
        <w:rPr>
          <w:rStyle w:val="Elision"/>
        </w:rPr>
        <w:t xml:space="preserve">[ … ]</w:t>
      </w:r>
    </w:p>
    <w:bookmarkStart w:id="98" w:name="Xea8168c2fa6ecb3c20ad2c94c2ddbb789381273"/>
    <w:p>
      <w:pPr>
        <w:pStyle w:val="Heading2"/>
      </w:pPr>
      <w:r>
        <w:t xml:space="preserve">MR. JUSTICE JACKSON delivered the opinion of the Court.</w:t>
      </w:r>
    </w:p>
    <w:p>
      <w:pPr>
        <w:pStyle w:val="CaseBody"/>
      </w:pPr>
      <w:r>
        <w:t xml:space="preserve">The questions are whether the United States District Court has inherent power to dismiss a suit pursuant to the doctrine of</w:t>
      </w:r>
      <w:r>
        <w:t xml:space="preserve"> </w:t>
      </w:r>
      <w:r>
        <w:rPr>
          <w:iCs/>
          <w:i/>
        </w:rPr>
        <w:t xml:space="preserve">forum non conveniens</w:t>
      </w:r>
      <w:r>
        <w:t xml:space="preserve"> </w:t>
      </w:r>
      <w:r>
        <w:t xml:space="preserve">and, if so, whether that power was abused in this case.</w:t>
      </w:r>
    </w:p>
    <w:p>
      <w:pPr>
        <w:pStyle w:val="CaseBody"/>
      </w:pPr>
      <w:r>
        <w:rPr>
          <w:rStyle w:val="Elision"/>
        </w:rPr>
        <w:t xml:space="preserve">[ … ]</w:t>
      </w:r>
    </w:p>
    <w:p>
      <w:pPr>
        <w:pStyle w:val="CaseBody"/>
      </w:pPr>
      <w:r>
        <w:rPr>
          <w:rStyle w:val="Elision"/>
        </w:rPr>
        <w:t xml:space="preserve">[ … ]</w:t>
      </w:r>
    </w:p>
    <w:bookmarkEnd w:id="98"/>
    <w:bookmarkStart w:id="99" w:name="ii."/>
    <w:p>
      <w:pPr>
        <w:pStyle w:val="Heading2"/>
      </w:pPr>
      <w:r>
        <w:t xml:space="preserve">II.</w:t>
      </w:r>
    </w:p>
    <w:p>
      <w:pPr>
        <w:pStyle w:val="CaseBody"/>
      </w:pPr>
      <w:r>
        <w:t xml:space="preserve">The principle of</w:t>
      </w:r>
      <w:r>
        <w:t xml:space="preserve"> </w:t>
      </w:r>
      <w:r>
        <w:rPr>
          <w:iCs/>
          <w:i/>
        </w:rPr>
        <w:t xml:space="preserve">forum non conveniens</w:t>
      </w:r>
      <w:r>
        <w:t xml:space="preserve"> </w:t>
      </w:r>
      <w:r>
        <w:t xml:space="preserve">is simply that a court may resist imposition upon its jurisdiction even when jurisdiction is authorized by the letter of a general venue statute. These statutes are drawn with a necessary generality and usually give a plaintiff a choice of courts, so that he may be quite sure of some place in which to pursue his remedy. But the open door may admit those who seek not simply justice but perhaps justice blended with some harassment. A plaintiff sometimes is under temptation to resort to a strategy of forcing the trial at a most inconvenient place for an adversary, even at some inconvenience to himself.</w:t>
      </w:r>
    </w:p>
    <w:p>
      <w:pPr>
        <w:pStyle w:val="CaseBody"/>
      </w:pPr>
      <w:r>
        <w:t xml:space="preserve">Many of the states have met misuse of venue by investing courts with a discretion to change the place of trial on various grounds, such as the convenience of witnesses and the ends of justice.</w:t>
      </w:r>
      <w:hyperlink w:anchor="Xe252122b18ab12d6a0835c58ea1dd1cbb702626">
        <w:r>
          <w:rPr>
            <w:rStyle w:val="Hyperlink"/>
            <w:vertAlign w:val="superscript"/>
          </w:rPr>
          <w:t xml:space="preserve">[5]</w:t>
        </w:r>
      </w:hyperlink>
      <w:r>
        <w:t xml:space="preserve"> </w:t>
      </w:r>
      <w:r>
        <w:t xml:space="preserve">The federal law contains no such express criteria to guide the district court in exercising its power. But the problem is a very old one affecting the administration of the courts as well as the rights of litigants, and both in England and in this country the common law worked out techniques and criteria for dealing with it.</w:t>
      </w:r>
      <w:hyperlink w:anchor="X441fd74099f04f4cafd2118045ce5e0602438f7">
        <w:r>
          <w:rPr>
            <w:rStyle w:val="Hyperlink"/>
            <w:vertAlign w:val="superscript"/>
          </w:rPr>
          <w:t xml:space="preserve">[6]</w:t>
        </w:r>
      </w:hyperlink>
    </w:p>
    <w:p>
      <w:pPr>
        <w:pStyle w:val="CaseBody"/>
      </w:pPr>
      <w:r>
        <w:t xml:space="preserve">[508] Wisely, it has not been attempted to catalogue the circumstances which will justify or require either grant or denial of remedy. The doctrine leaves much to the discretion of the court to which plaintiff resorts, and experience has not shown a judicial tendency to renounce one's own jurisdiction so strong as to result in many abuses.</w:t>
      </w:r>
      <w:hyperlink w:anchor="Xa0a88b561179c68aa99501285cbb975f4ebfe09">
        <w:r>
          <w:rPr>
            <w:rStyle w:val="Hyperlink"/>
            <w:vertAlign w:val="superscript"/>
          </w:rPr>
          <w:t xml:space="preserve">[7]</w:t>
        </w:r>
      </w:hyperlink>
    </w:p>
    <w:p>
      <w:pPr>
        <w:pStyle w:val="CaseBody"/>
      </w:pPr>
      <w:r>
        <w:t xml:space="preserve">If the combination and weight of factors requisite to given results are difficult to forecast or state, those to be considered are not difficult to name. An interest to be considered, and the one likely to be most pressed, is the private interest of the litigant. Important considerations are the relative ease of access to sources of proof; availability of compulsory process for attendance of unwilling, and the cost of obtaining attendance of willing, witnesses; possibility of view of premises if view would be appropriate to the action; and all other practical problems that make trial of a case easy, expeditious and inexpensive. There may also be questions as to the enforcibility of a judgment if one is obtained. The court will weigh relative advantages and obstacles to fair trial. It is often said that the plaintiff may not, by choice of an inconvenient forum, "vex," "harass," or "oppress" the defendant by inflicting upon him expense or trouble not necessary to his own right to pursue his remedy.</w:t>
      </w:r>
      <w:hyperlink w:anchor="Xad5081879a4c5250294f1604b5da3c8012a7b6a">
        <w:r>
          <w:rPr>
            <w:rStyle w:val="Hyperlink"/>
            <w:vertAlign w:val="superscript"/>
          </w:rPr>
          <w:t xml:space="preserve">[8]</w:t>
        </w:r>
      </w:hyperlink>
      <w:r>
        <w:t xml:space="preserve"> </w:t>
      </w:r>
      <w:r>
        <w:t xml:space="preserve">But unless the balance is strongly in favor of the defendant, the plaintiff's choice of forum should rarely be disturbed.</w:t>
      </w:r>
    </w:p>
    <w:p>
      <w:pPr>
        <w:pStyle w:val="CaseBody"/>
      </w:pPr>
      <w:r>
        <w:t xml:space="preserve">Factors of public interest also have place in applying the doctrine. Administrative difficulties follow for courts when litigation is piled up in congested centers instead of being handled at its origin. Jury duty is a burden that ought not to be imposed upon the people of a community [509] which has no relation to the litigation. In cases which touch the affairs of many persons, there is reason for holding the trial in their view and reach rather than in remote parts of the country where they can learn of it by report only. There is a local interest in having localized controversies decided at home. There is an appropriateness, too, in having the trial of a diversity case in a forum that is at home with the state law that must govern the case, rather than having a court in some other forum untangle problems in conflict of laws, and in law foreign to itself.</w:t>
      </w:r>
    </w:p>
    <w:p>
      <w:pPr>
        <w:pStyle w:val="CaseBody"/>
      </w:pPr>
      <w:r>
        <w:rPr>
          <w:rStyle w:val="Elision"/>
        </w:rPr>
        <w:t xml:space="preserve">[ … ]</w:t>
      </w:r>
    </w:p>
    <w:bookmarkEnd w:id="99"/>
    <w:bookmarkStart w:id="100" w:name="section-5"/>
    <w:p>
      <w:pPr>
        <w:pStyle w:val="Heading2"/>
      </w:pPr>
      <w:r>
        <w:rPr>
          <w:rStyle w:val="Elision"/>
        </w:rPr>
        <w:t xml:space="preserve">[ … ]</w:t>
      </w:r>
    </w:p>
    <w:p>
      <w:pPr>
        <w:pStyle w:val="CaseBody"/>
      </w:pPr>
      <w:r>
        <w:rPr>
          <w:rStyle w:val="Elision"/>
        </w:rPr>
        <w:t xml:space="preserve">[ … ]</w:t>
      </w:r>
    </w:p>
    <w:bookmarkEnd w:id="100"/>
    <w:p>
      <w:pPr>
        <w:pStyle w:val="NodeEnd"/>
      </w:pPr>
      <w:r>
        <w:t xml:space="preserve"> </w:t>
      </w:r>
    </w:p>
    <w:p>
      <w:pPr>
        <w:pStyle w:val="NodeStart"/>
      </w:pPr>
      <w:r>
        <w:t xml:space="preserve"> </w:t>
      </w:r>
    </w:p>
    <w:p>
      <w:pPr>
        <w:pStyle w:val="HeadSeparator"/>
      </w:pPr>
      <w:r>
        <w:t xml:space="preserve"> </w:t>
      </w:r>
    </w:p>
    <w:bookmarkStart w:id="98" w:name="_auto_toc_98"/>
    <w:bookmarkEnd w:id="98"/>
    <w:p>
      <w:pPr>
        <w:pStyle w:val="ResourceNumber"/>
      </w:pPr>
      <w:r>
        <w:t xml:space="preserve">9.4</w:t>
      </w:r>
    </w:p>
    <w:p>
      <w:pPr>
        <w:pStyle w:val="ResourceTitle"/>
      </w:pPr>
      <w:r>
        <w:t xml:space="preserve">Piper Aircraft Co. v. Reyno</w:t>
      </w:r>
    </w:p>
    <w:p>
      <w:pPr>
        <w:pStyle w:val="HeadFieldSeparator"/>
      </w:pPr>
      <w:r>
        <w:t xml:space="preserve"> </w:t>
      </w:r>
    </w:p>
    <w:p>
      <w:pPr>
        <w:pStyle w:val="ResourceHeadnote"/>
      </w:pPr>
      <w:r>
        <w:t xml:space="preserve">This case provides an example of an application of forum non conveniens doctrine. In addition to studying the application, see if you find persuasive the Court's holdings that (i) different standards apply to domestic versus foreign plaintiffs, and (ii) it is fatally inconvenient for a federal court located in Pennsylvania to litigate a case concerning allegedly defective design and manufacturing work performed in Pennsylvania.</w:t>
      </w:r>
    </w:p>
    <w:p>
      <w:pPr>
        <w:pStyle w:val="HeadEnd"/>
      </w:pPr>
      <w:r>
        <w:t xml:space="preserve"> </w:t>
      </w:r>
    </w:p>
    <w:p>
      <w:pPr>
        <w:pStyle w:val="CaseHeader"/>
      </w:pPr>
      <w:r>
        <w:t xml:space="preserve">Supreme Court of the United States</w:t>
      </w:r>
    </w:p>
    <w:p>
      <w:pPr>
        <w:pStyle w:val="CaseHeader"/>
      </w:pPr>
      <w:r>
        <w:t xml:space="preserve">454 U.S. 235, 70 L. Ed. 2d 419, 102 S. Ct. 252, 1981 U.S. LEXIS 133, SCDB 1981-013</w:t>
      </w:r>
    </w:p>
    <w:p>
      <w:pPr>
        <w:pStyle w:val="CaseHeader"/>
      </w:pPr>
      <w:r>
        <w:t xml:space="preserve">No. 80-848</w:t>
      </w:r>
    </w:p>
    <w:p>
      <w:pPr>
        <w:pStyle w:val="CaseHeader"/>
      </w:pPr>
      <w:r>
        <w:t xml:space="preserve">1981-12-08</w:t>
      </w:r>
    </w:p>
    <w:p>
      <w:pPr>
        <w:pStyle w:val="CaseBody"/>
      </w:pPr>
      <w:r>
        <w:t xml:space="preserve">454 U.S. 235 (1981)</w:t>
      </w:r>
    </w:p>
    <w:p>
      <w:pPr>
        <w:pStyle w:val="CaseHeader"/>
      </w:pPr>
      <w:r>
        <w:t xml:space="preserve">PIPER AIRCRAFT CO.</w:t>
      </w:r>
      <w:r>
        <w:br/>
      </w:r>
      <w:r>
        <w:t xml:space="preserve">v.</w:t>
      </w:r>
      <w:r>
        <w:br/>
      </w:r>
      <w:r>
        <w:t xml:space="preserve">REYNO, PERSONAL REPRESENTATIVE OF THE ESTATES OF FEHILLY ET AL.</w:t>
      </w:r>
    </w:p>
    <w:p>
      <w:pPr>
        <w:pStyle w:val="CaseBody"/>
      </w:pPr>
      <w:r>
        <w:rPr>
          <w:rStyle w:val="Elision"/>
        </w:rPr>
        <w:t xml:space="preserve">[ … ]</w:t>
      </w:r>
    </w:p>
    <w:p>
      <w:pPr>
        <w:pStyle w:val="CaseBody"/>
      </w:pPr>
      <w:r>
        <w:t xml:space="preserve">Supreme Court of United States.</w:t>
      </w:r>
    </w:p>
    <w:p>
      <w:pPr>
        <w:pStyle w:val="CaseBody"/>
      </w:pPr>
      <w:r>
        <w:rPr>
          <w:rStyle w:val="Elision"/>
        </w:rPr>
        <w:t xml:space="preserve">[ … ]</w:t>
      </w:r>
    </w:p>
    <w:bookmarkStart w:id="101" w:name="X95a70ed2d5994fdfd9beb4322b62e83d87871db"/>
    <w:p>
      <w:pPr>
        <w:pStyle w:val="Heading2"/>
      </w:pPr>
      <w:r>
        <w:t xml:space="preserve">JUSTICE MARSHALL delivered the opinion of the Court.</w:t>
      </w:r>
    </w:p>
    <w:p>
      <w:pPr>
        <w:pStyle w:val="CaseBody"/>
      </w:pPr>
      <w:r>
        <w:rPr>
          <w:rStyle w:val="Elision"/>
        </w:rPr>
        <w:t xml:space="preserve">[ … ]</w:t>
      </w:r>
    </w:p>
    <w:bookmarkEnd w:id="101"/>
    <w:bookmarkStart w:id="102" w:name="i-7"/>
    <w:p>
      <w:pPr>
        <w:pStyle w:val="Heading2"/>
      </w:pPr>
      <w:r>
        <w:t xml:space="preserve">I</w:t>
      </w:r>
    </w:p>
    <w:bookmarkEnd w:id="102"/>
    <w:bookmarkStart w:id="103" w:name="a-3"/>
    <w:p>
      <w:pPr>
        <w:pStyle w:val="Heading2"/>
      </w:pPr>
      <w:r>
        <w:t xml:space="preserve">A</w:t>
      </w:r>
    </w:p>
    <w:p>
      <w:pPr>
        <w:pStyle w:val="CaseBody"/>
      </w:pPr>
      <w:r>
        <w:t xml:space="preserve">In July 1976, a small commercial aircraft crashed in the Scottish highlands during the course of a charter flight from</w:t>
      </w:r>
      <w:r>
        <w:t xml:space="preserve"> </w:t>
      </w:r>
      <w:r>
        <w:rPr>
          <w:rStyle w:val="Elision"/>
        </w:rPr>
        <w:t xml:space="preserve">[ … ]</w:t>
      </w:r>
      <w:r>
        <w:t xml:space="preserve"> </w:t>
      </w:r>
      <w:r>
        <w:t xml:space="preserve">Blackpool to Perth. The pilot and five passengers were killed instantly. The decedents were all Scottish subjects and residents, as are their heirs and next of kin. There were no eyewitnesses to the accident. At the time of the crash the plane was subject to Scottish air traffic control.</w:t>
      </w:r>
    </w:p>
    <w:p>
      <w:pPr>
        <w:pStyle w:val="CaseBody"/>
      </w:pPr>
      <w:r>
        <w:t xml:space="preserve">The aircraft, a twin-engine Piper Aztec, was manufactured in Pennsylvania by petitioner Piper Aircraft Co. (Piper). The propellers were manufactured in Ohio by petitioner Hartzell Propeller, Inc. (Hartzell). At the time of the crash the aircraft was registered in Great Britain and was owned and maintained by Air Navigation and Trading Co., Ltd. (Air Navigation). It was operated by McDonald Aviation, Ltd. (McDonald), a Scottish air taxi service. Both Air Navigation and McDonald were organized in the United Kingdom. The wreckage of the plane is now in a hangar in Farnsborough, England.</w:t>
      </w:r>
    </w:p>
    <w:p>
      <w:pPr>
        <w:pStyle w:val="CaseBody"/>
      </w:pPr>
      <w:r>
        <w:t xml:space="preserve">The British Department of Trade investigated the accident shortly after it occurred. A preliminary report found that the plane crashed after developing a spin, and suggested that mechanical failure in the plane or the propeller was responsible. At Hartzell's request, this report was reviewed by a three-member Review Board, which held a 9-day adversary hearing attended by all interested parties. The Review Board found no evidence of defective equipment and indicated that pilot error may have contributed to the accident. The pilot, who had obtained his commercial pilot's license only three months earlier, was flying over high ground at an altitude considerably lower than the minimum height required by his company's operations manual.</w:t>
      </w:r>
    </w:p>
    <w:p>
      <w:pPr>
        <w:pStyle w:val="CaseBody"/>
      </w:pPr>
      <w:r>
        <w:t xml:space="preserve">In July 1977, a California probate court appointed respondent Gaynell Reyno administratrix of the estates of the five passengers. Reyno is not related to and does not know any of the decedents or their survivors; she was a legal secretary to the attorney who filed this lawsuit. Several days after her appointment, Reyno commenced separate wrongful-death</w:t>
      </w:r>
      <w:r>
        <w:t xml:space="preserve"> </w:t>
      </w:r>
      <w:r>
        <w:rPr>
          <w:rStyle w:val="Elision"/>
        </w:rPr>
        <w:t xml:space="preserve">[ … ]</w:t>
      </w:r>
      <w:r>
        <w:t xml:space="preserve"> </w:t>
      </w:r>
      <w:r>
        <w:t xml:space="preserve">actions against Piper and Hartzell in the Superior Court of California, claiming negligence and strict liability.</w:t>
      </w:r>
      <w:hyperlink w:anchor="Xec8122a2cf7a39c38b83f803d4c24421232c3b8">
        <w:r>
          <w:rPr>
            <w:rStyle w:val="Elision"/>
            <w:vertAlign w:val="superscript"/>
          </w:rPr>
          <w:t xml:space="preserve">[ … ]</w:t>
        </w:r>
      </w:hyperlink>
      <w:r>
        <w:t xml:space="preserve"> </w:t>
      </w:r>
      <w:r>
        <w:t xml:space="preserve">Air Navigation, McDonald, and the estate of the pilot are not parties to this litigation. The survivors of the five passengers whose estates are represented by Reyno filed a separate action in the United Kingdom against Air Navigation, McDonald, and the pilot's estate.</w:t>
      </w:r>
      <w:hyperlink w:anchor="X0c9fabe51a97046c51446a9cac18dd1cd0374a5">
        <w:r>
          <w:rPr>
            <w:rStyle w:val="Elision"/>
            <w:vertAlign w:val="superscript"/>
          </w:rPr>
          <w:t xml:space="preserve">[ … ]</w:t>
        </w:r>
      </w:hyperlink>
      <w:r>
        <w:t xml:space="preserve"> </w:t>
      </w:r>
      <w:r>
        <w:t xml:space="preserve">Reyno candidly admits that the action against Piper and Hartzell was filed in the United States because its laws regarding liability, capacity to sue, and damages are more favorable to her position than are those of Scotland. Scottish law does not recognize strict liability in tort. Moreover, it permits wrongful-death actions only when brought by a decedent's relatives. The relatives may sue only for "loss of support and society."</w:t>
      </w:r>
      <w:hyperlink w:anchor="X990cc5a66c66a9f7dda20455cd63ccae6e64d59">
        <w:r>
          <w:rPr>
            <w:rStyle w:val="Elision"/>
            <w:vertAlign w:val="superscript"/>
          </w:rPr>
          <w:t xml:space="preserve">[ … ]</w:t>
        </w:r>
      </w:hyperlink>
    </w:p>
    <w:p>
      <w:pPr>
        <w:pStyle w:val="CaseBody"/>
      </w:pPr>
      <w:r>
        <w:t xml:space="preserve">On petitioners' motion, the suit was removed to the United States District Court for the Central District of California. Piper then moved for transfer to the United States District Court for the Middle District of Pennsylvania, pursuant to</w:t>
      </w:r>
      <w:r>
        <w:t xml:space="preserve"> </w:t>
      </w:r>
      <w:r>
        <w:rPr>
          <w:rStyle w:val="ReplacementText"/>
        </w:rPr>
        <w:t xml:space="preserve">[the transfer statutes]</w:t>
      </w:r>
      <w:r>
        <w:t xml:space="preserve">.</w:t>
      </w:r>
      <w:hyperlink w:anchor="Xf404c4e50a19bdd5f127f80a7fe70c57210df5b">
        <w:r>
          <w:rPr>
            <w:rStyle w:val="Elision"/>
            <w:vertAlign w:val="superscript"/>
          </w:rPr>
          <w:t xml:space="preserve">[ … ]</w:t>
        </w:r>
      </w:hyperlink>
      <w:r>
        <w:t xml:space="preserve"> </w:t>
      </w:r>
      <w:r>
        <w:t xml:space="preserve">Hartzell moved to dismiss for lack of personal jurisdiction, or in the alternative, to transfer.</w:t>
      </w:r>
      <w:hyperlink w:anchor="X4517c427d683a568c95562eaa91fb753b9f546c">
        <w:r>
          <w:rPr>
            <w:rStyle w:val="Elision"/>
            <w:vertAlign w:val="superscript"/>
          </w:rPr>
          <w:t xml:space="preserve">[ … ]</w:t>
        </w:r>
      </w:hyperlink>
      <w:r>
        <w:t xml:space="preserve">In December 1977, the District Court quashed service on</w:t>
      </w:r>
      <w:r>
        <w:t xml:space="preserve"> </w:t>
      </w:r>
      <w:r>
        <w:rPr>
          <w:rStyle w:val="Elision"/>
        </w:rPr>
        <w:t xml:space="preserve">[ … ]</w:t>
      </w:r>
      <w:r>
        <w:t xml:space="preserve"> </w:t>
      </w:r>
      <w:r>
        <w:t xml:space="preserve">Hartzell and transferred the case to the Middle District of Pennsylvania. Respondent then properly served process on Hartzell.</w:t>
      </w:r>
    </w:p>
    <w:bookmarkEnd w:id="103"/>
    <w:bookmarkStart w:id="104" w:name="b-2"/>
    <w:p>
      <w:pPr>
        <w:pStyle w:val="Heading2"/>
      </w:pPr>
      <w:r>
        <w:t xml:space="preserve">B</w:t>
      </w:r>
    </w:p>
    <w:p>
      <w:pPr>
        <w:pStyle w:val="CaseBody"/>
      </w:pPr>
      <w:r>
        <w:t xml:space="preserve">In May 1978, after the suit had been transferred, both Hartzell and Piper moved to dismiss the action on the ground of</w:t>
      </w:r>
      <w:r>
        <w:t xml:space="preserve"> </w:t>
      </w:r>
      <w:r>
        <w:rPr>
          <w:iCs/>
          <w:i/>
        </w:rPr>
        <w:t xml:space="preserve">forum non conveniens.</w:t>
      </w:r>
      <w:r>
        <w:t xml:space="preserve"> </w:t>
      </w:r>
      <w:r>
        <w:t xml:space="preserve">The District Court granted these motions in October 1979. It relied on the balancing test set forth by this Court in</w:t>
      </w:r>
      <w:r>
        <w:t xml:space="preserve"> </w:t>
      </w:r>
      <w:r>
        <w:rPr>
          <w:iCs/>
          <w:i/>
        </w:rPr>
        <w:t xml:space="preserve">Gulf Oil Corp.</w:t>
      </w:r>
      <w:r>
        <w:t xml:space="preserve"> </w:t>
      </w:r>
      <w:r>
        <w:t xml:space="preserve">v.</w:t>
      </w:r>
      <w:r>
        <w:t xml:space="preserve"> </w:t>
      </w:r>
      <w:r>
        <w:rPr>
          <w:iCs/>
          <w:i/>
        </w:rPr>
        <w:t xml:space="preserve">Gilbert,</w:t>
      </w:r>
      <w:r>
        <w:t xml:space="preserve"> </w:t>
      </w:r>
      <w:r>
        <w:t xml:space="preserve">330 U. S. 501 (1947), and its companion case,</w:t>
      </w:r>
      <w:r>
        <w:t xml:space="preserve"> </w:t>
      </w:r>
      <w:r>
        <w:rPr>
          <w:iCs/>
          <w:i/>
        </w:rPr>
        <w:t xml:space="preserve">Koster</w:t>
      </w:r>
      <w:r>
        <w:t xml:space="preserve"> </w:t>
      </w:r>
      <w:r>
        <w:t xml:space="preserve">v.</w:t>
      </w:r>
      <w:r>
        <w:t xml:space="preserve"> </w:t>
      </w:r>
      <w:r>
        <w:rPr>
          <w:iCs/>
          <w:i/>
        </w:rPr>
        <w:t xml:space="preserve">Lumbermens Mut. Cas. Co.,</w:t>
      </w:r>
      <w:r>
        <w:t xml:space="preserve"> </w:t>
      </w:r>
      <w:r>
        <w:t xml:space="preserve">330 U. S. 518 (1947).</w:t>
      </w:r>
      <w:r>
        <w:t xml:space="preserve"> </w:t>
      </w:r>
      <w:r>
        <w:rPr>
          <w:rStyle w:val="Elision"/>
        </w:rPr>
        <w:t xml:space="preserve">[ … ]</w:t>
      </w:r>
    </w:p>
    <w:p>
      <w:pPr>
        <w:pStyle w:val="CaseBody"/>
      </w:pPr>
      <w:r>
        <w:rPr>
          <w:rStyle w:val="Elision"/>
        </w:rPr>
        <w:t xml:space="preserve">[ … ]</w:t>
      </w:r>
      <w:r>
        <w:t xml:space="preserve">After describing our decisions in</w:t>
      </w:r>
      <w:r>
        <w:t xml:space="preserve"> </w:t>
      </w:r>
      <w:r>
        <w:rPr>
          <w:iCs/>
          <w:i/>
        </w:rPr>
        <w:t xml:space="preserve">Gilbert</w:t>
      </w:r>
      <w:r>
        <w:t xml:space="preserve"> </w:t>
      </w:r>
      <w:r>
        <w:t xml:space="preserve">and</w:t>
      </w:r>
      <w:r>
        <w:t xml:space="preserve"> </w:t>
      </w:r>
      <w:r>
        <w:rPr>
          <w:iCs/>
          <w:i/>
        </w:rPr>
        <w:t xml:space="preserve">Koster,</w:t>
      </w:r>
      <w:r>
        <w:t xml:space="preserve"> </w:t>
      </w:r>
      <w:r>
        <w:t xml:space="preserve">the District Court analyzed the facts of these cases. It began by observing that an alternative forum existed in Scotland; Piper and Hartzell had agreed to submit to the jurisdiction of the Scottish courts and to waive any statute of limitations defense that might be available. It then stated that plaintiff's choice of forum was entitled to little weight. The court recognized that a plaintiff's choice ordinarily deserves substantial deference. It noted, however, that Reyno "is a representative of foreign citizens and residents seeking a forum in the United States because of the more liberal rules concerning products liability law," and that "the courts have been less solicitous when the plaintiff is not an American citizen or resident, and particularly when the foreign citizens seek to benefit from the more liberal tort rules provided for the protection of citizens and residents of the United States."</w:t>
      </w:r>
      <w:r>
        <w:rPr>
          <w:rStyle w:val="Elision"/>
        </w:rPr>
        <w:t xml:space="preserve">[ … ]</w:t>
      </w:r>
    </w:p>
    <w:p>
      <w:pPr>
        <w:pStyle w:val="CaseBody"/>
      </w:pPr>
      <w:r>
        <w:t xml:space="preserve">The District Court next examined several factors relating to the private interests of the litigants, and determined that these factors strongly pointed towards Scotland as the appropriate forum. Although evidence concerning the design, manufacture, and testing of the plane and propeller is located in the United States, the connections with Scotland are otherwise "overwhelming."</w:t>
      </w:r>
      <w:r>
        <w:t xml:space="preserve"> </w:t>
      </w:r>
      <w:r>
        <w:rPr>
          <w:rStyle w:val="Elision"/>
        </w:rPr>
        <w:t xml:space="preserve">[ … ]</w:t>
      </w:r>
      <w:r>
        <w:t xml:space="preserve"> </w:t>
      </w:r>
      <w:r>
        <w:t xml:space="preserve">The real parties in interest are citizens of Scotland, as were all the decedents. Witnesses who could testify regarding the maintenance of the aircraft, the training of the pilot, and the investigation of the accident — all essential to the defense — are in Great Britain. Moreover, all witnesses to damages are located in Scotland. Trial would be aided by familiarity with Scottish topography, and by easy access to the wreckage.</w:t>
      </w:r>
    </w:p>
    <w:p>
      <w:pPr>
        <w:pStyle w:val="CaseBody"/>
      </w:pPr>
      <w:r>
        <w:t xml:space="preserve">The District Court reasoned that because crucial witnesses and evidence were beyond the reach of compulsory process, and because the defendants would not be able to implead potential Scottish third-party defendants, it would be "unfair to make Piper and Hartzell proceed to trial in this forum."</w:t>
      </w:r>
      <w:r>
        <w:t xml:space="preserve"> </w:t>
      </w:r>
      <w:r>
        <w:rPr>
          <w:rStyle w:val="Elision"/>
        </w:rPr>
        <w:t xml:space="preserve">[ … ]</w:t>
      </w:r>
      <w:r>
        <w:t xml:space="preserve">The survivors had brought separate actions in Scotland against the pilot, McDonald, and Air Navigation. "[I]t would be fairer to all parties and less costly if the entire case was presented to one jury with available testimony from all relevant witnesses."</w:t>
      </w:r>
      <w:r>
        <w:t xml:space="preserve"> </w:t>
      </w:r>
      <w:r>
        <w:rPr>
          <w:rStyle w:val="Elision"/>
        </w:rPr>
        <w:t xml:space="preserve">[ … ]</w:t>
      </w:r>
      <w:r>
        <w:t xml:space="preserve"> </w:t>
      </w:r>
      <w:r>
        <w:t xml:space="preserve">Although the court recognized that if trial were held in the United States, Piper and Hartzell could file indemnity or contribution actions against the Scottish defendants, it believed that there was a significant risk of inconsistent verdicts.</w:t>
      </w:r>
      <w:hyperlink w:anchor="Xa9d51818dc4648ca2e0abdeea1cc9c653233b6b">
        <w:r>
          <w:rPr>
            <w:rStyle w:val="Elision"/>
            <w:vertAlign w:val="superscript"/>
          </w:rPr>
          <w:t xml:space="preserve">[ … ]</w:t>
        </w:r>
      </w:hyperlink>
    </w:p>
    <w:p>
      <w:pPr>
        <w:pStyle w:val="CaseBody"/>
      </w:pPr>
      <w:r>
        <w:t xml:space="preserve">The District Court concluded that the relevant public interests also pointed strongly towards dismissal. The court determined that Pennsylvania law would apply to Piper and Scottish law to Hartzell if the case were tried in the Middle District of Pennsylvania.</w:t>
      </w:r>
      <w:hyperlink w:anchor="X28aaacac5c9dce4faca9be760981ef754c18707">
        <w:r>
          <w:rPr>
            <w:rStyle w:val="Elision"/>
            <w:vertAlign w:val="superscript"/>
          </w:rPr>
          <w:t xml:space="preserve">[ … ]</w:t>
        </w:r>
      </w:hyperlink>
      <w:r>
        <w:t xml:space="preserve"> </w:t>
      </w:r>
      <w:r>
        <w:t xml:space="preserve">As a result, "trial in this forum would be hopelessly complex and confusing for a jury."</w:t>
      </w:r>
      <w:r>
        <w:t xml:space="preserve"> </w:t>
      </w:r>
      <w:r>
        <w:rPr>
          <w:rStyle w:val="Elision"/>
        </w:rPr>
        <w:t xml:space="preserve">[ … ]</w:t>
      </w:r>
      <w:r>
        <w:t xml:space="preserve"> </w:t>
      </w:r>
      <w:r>
        <w:t xml:space="preserve">In addition, the court noted that it was unfamiliar with Scottish law and thus would have to rely upon experts from that country. The court also found that the trial would be enormously costly and time-consuming; that it would be unfair to burden citizens with jury duty when the Middle District</w:t>
      </w:r>
      <w:r>
        <w:t xml:space="preserve"> </w:t>
      </w:r>
      <w:r>
        <w:rPr>
          <w:rStyle w:val="Elision"/>
        </w:rPr>
        <w:t xml:space="preserve">[ … ]</w:t>
      </w:r>
      <w:r>
        <w:t xml:space="preserve"> </w:t>
      </w:r>
      <w:r>
        <w:t xml:space="preserve">of Pennsylvania has little connection with the controversy; and that Scotland has a substantial interest in the outcome of the litigation.</w:t>
      </w:r>
    </w:p>
    <w:p>
      <w:pPr>
        <w:pStyle w:val="CaseBody"/>
      </w:pPr>
      <w:r>
        <w:t xml:space="preserve">In opposing the motions to dismiss, respondent contended that dismissal would be unfair because Scottish law was less favorable. The District Court explicitly rejected this claim.</w:t>
      </w:r>
      <w:r>
        <w:t xml:space="preserve"> </w:t>
      </w:r>
      <w:r>
        <w:rPr>
          <w:rStyle w:val="Elision"/>
        </w:rPr>
        <w:t xml:space="preserve">[ … ]</w:t>
      </w:r>
    </w:p>
    <w:bookmarkEnd w:id="104"/>
    <w:bookmarkStart w:id="105" w:name="c-1"/>
    <w:p>
      <w:pPr>
        <w:pStyle w:val="Heading2"/>
      </w:pPr>
      <w:r>
        <w:t xml:space="preserve">C</w:t>
      </w:r>
    </w:p>
    <w:p>
      <w:pPr>
        <w:pStyle w:val="CaseBody"/>
      </w:pPr>
      <w:r>
        <w:t xml:space="preserve">On appeal, the United States Court of Appeals for the Third Circuit reversed and remanded for trial. The decision to reverse appears to be based on two alternative grounds. First, the Court held that the District Court abused its discretion in conducting the</w:t>
      </w:r>
      <w:r>
        <w:t xml:space="preserve"> </w:t>
      </w:r>
      <w:r>
        <w:rPr>
          <w:iCs/>
          <w:i/>
        </w:rPr>
        <w:t xml:space="preserve">Gilbert</w:t>
      </w:r>
      <w:r>
        <w:t xml:space="preserve"> </w:t>
      </w:r>
      <w:r>
        <w:t xml:space="preserve">analysis. Second, the Court held that dismissal is never appropriate where the law of the alternative forum is less favorable to the plaintiff.</w:t>
      </w:r>
    </w:p>
    <w:p>
      <w:pPr>
        <w:pStyle w:val="CaseBody"/>
      </w:pPr>
      <w:r>
        <w:rPr>
          <w:rStyle w:val="Elision"/>
        </w:rPr>
        <w:t xml:space="preserve">[ … ]</w:t>
      </w:r>
    </w:p>
    <w:p>
      <w:pPr>
        <w:pStyle w:val="CaseBody"/>
      </w:pPr>
      <w:r>
        <w:rPr>
          <w:rStyle w:val="Elision"/>
        </w:rPr>
        <w:t xml:space="preserve">[ … ]</w:t>
      </w:r>
    </w:p>
    <w:bookmarkEnd w:id="105"/>
    <w:bookmarkStart w:id="106" w:name="ii-7"/>
    <w:p>
      <w:pPr>
        <w:pStyle w:val="Heading2"/>
      </w:pPr>
      <w:r>
        <w:rPr>
          <w:rStyle w:val="Elision"/>
        </w:rPr>
        <w:t xml:space="preserve">[ … ]</w:t>
      </w:r>
      <w:r>
        <w:t xml:space="preserve"> </w:t>
      </w:r>
      <w:r>
        <w:t xml:space="preserve">II</w:t>
      </w:r>
    </w:p>
    <w:p>
      <w:pPr>
        <w:pStyle w:val="CaseBody"/>
      </w:pPr>
      <w:r>
        <w:t xml:space="preserve">The Court of Appeals erred in holding that plaintiffs may defeat a motion to dismiss on the ground of</w:t>
      </w:r>
      <w:r>
        <w:t xml:space="preserve"> </w:t>
      </w:r>
      <w:r>
        <w:rPr>
          <w:iCs/>
          <w:i/>
        </w:rPr>
        <w:t xml:space="preserve">forum non conveniens</w:t>
      </w:r>
      <w:r>
        <w:t xml:space="preserve"> </w:t>
      </w:r>
      <w:r>
        <w:t xml:space="preserve">merely by showing that the substantive law that would be applied in the alternative forum is less favorable to the plaintiffs than that of the present forum. The possibility of a change in substantive law should ordinarily not be given conclusive or even substantial weight in the</w:t>
      </w:r>
      <w:r>
        <w:t xml:space="preserve"> </w:t>
      </w:r>
      <w:r>
        <w:rPr>
          <w:iCs/>
          <w:i/>
        </w:rPr>
        <w:t xml:space="preserve">forum non conveniens</w:t>
      </w:r>
      <w:r>
        <w:t xml:space="preserve"> </w:t>
      </w:r>
      <w:r>
        <w:t xml:space="preserve">inquiry.</w:t>
      </w:r>
    </w:p>
    <w:p>
      <w:pPr>
        <w:pStyle w:val="CaseBody"/>
      </w:pPr>
      <w:r>
        <w:rPr>
          <w:rStyle w:val="Elision"/>
        </w:rPr>
        <w:t xml:space="preserve">[ … ]</w:t>
      </w:r>
    </w:p>
    <w:p>
      <w:pPr>
        <w:pStyle w:val="CaseBody"/>
      </w:pPr>
      <w:r>
        <w:t xml:space="preserve">In fact, if conclusive or substantial weight were given to the possibility of a change in law, the</w:t>
      </w:r>
      <w:r>
        <w:t xml:space="preserve"> </w:t>
      </w:r>
      <w:r>
        <w:rPr>
          <w:iCs/>
          <w:i/>
        </w:rPr>
        <w:t xml:space="preserve">forum non conveniens</w:t>
      </w:r>
      <w:r>
        <w:t xml:space="preserve"> </w:t>
      </w:r>
      <w:r>
        <w:t xml:space="preserve">doctrine would become virtually useless. Jurisdiction and venue requirements are often easily satisfied. As a result, many plaintiffs are able to choose from among several forums. Ordinarily, these plaintiffs will select that forum whose choice-of-law rules are most advantageous. Thus, if the possibility of an unfavorable change in substantive law is given substantial weight in the</w:t>
      </w:r>
      <w:r>
        <w:t xml:space="preserve"> </w:t>
      </w:r>
      <w:r>
        <w:rPr>
          <w:iCs/>
          <w:i/>
        </w:rPr>
        <w:t xml:space="preserve">forum non conveniens</w:t>
      </w:r>
      <w:r>
        <w:t xml:space="preserve"> </w:t>
      </w:r>
      <w:r>
        <w:t xml:space="preserve">inquiry, dismissal would rarely be proper.</w:t>
      </w:r>
    </w:p>
    <w:p>
      <w:pPr>
        <w:pStyle w:val="CaseBody"/>
      </w:pPr>
      <w:r>
        <w:rPr>
          <w:rStyle w:val="Elision"/>
        </w:rPr>
        <w:t xml:space="preserve">[ … ]</w:t>
      </w:r>
    </w:p>
    <w:p>
      <w:pPr>
        <w:pStyle w:val="CaseBody"/>
      </w:pPr>
      <w:r>
        <w:t xml:space="preserve">The Court of Appeals' approach is not only inconsistent with the purpose of the</w:t>
      </w:r>
      <w:r>
        <w:t xml:space="preserve"> </w:t>
      </w:r>
      <w:r>
        <w:rPr>
          <w:iCs/>
          <w:i/>
        </w:rPr>
        <w:t xml:space="preserve">forum non conveniens</w:t>
      </w:r>
      <w:r>
        <w:t xml:space="preserve"> </w:t>
      </w:r>
      <w:r>
        <w:t xml:space="preserve">doctrine, but also poses substantial practical problems. If the possibility of a change in law were given substantial weight, deciding motions to dismiss on the ground of</w:t>
      </w:r>
      <w:r>
        <w:t xml:space="preserve"> </w:t>
      </w:r>
      <w:r>
        <w:rPr>
          <w:iCs/>
          <w:i/>
        </w:rPr>
        <w:t xml:space="preserve">forum non conveniens</w:t>
      </w:r>
      <w:r>
        <w:t xml:space="preserve"> </w:t>
      </w:r>
      <w:r>
        <w:t xml:space="preserve">would become quite difficult. Choice-of-law analysis would become extremely important, and the courts would frequently be required to interpret the law of foreign jurisdictions. First, the trial court would have to determine what law would apply if the case were tried in the chosen forum, and what law would apply if the case were tried in the alternative forum. It would then have to compare the rights, remedies, and procedures available under the law that would be applied in each forum. Dismissal would be appropriate only if the court concluded that the law applied by the alternative forum is as favorable to the plaintiff as that of the chosen forum. The doctrine of</w:t>
      </w:r>
      <w:r>
        <w:t xml:space="preserve"> </w:t>
      </w:r>
      <w:r>
        <w:rPr>
          <w:iCs/>
          <w:i/>
        </w:rPr>
        <w:t xml:space="preserve">forum non conveniens,</w:t>
      </w:r>
      <w:r>
        <w:t xml:space="preserve"> </w:t>
      </w:r>
      <w:r>
        <w:t xml:space="preserve">however, is designed in part to help courts avoid conducting complex exercises in comparative law. As we stated in</w:t>
      </w:r>
      <w:r>
        <w:t xml:space="preserve"> </w:t>
      </w:r>
      <w:r>
        <w:rPr>
          <w:iCs/>
          <w:i/>
        </w:rPr>
        <w:t xml:space="preserve">Gilbert,</w:t>
      </w:r>
      <w:r>
        <w:t xml:space="preserve"> </w:t>
      </w:r>
      <w:r>
        <w:t xml:space="preserve">the public interest factors point towards dismissal where the court would be required to "untangle problems in conflict of laws, and in law foreign to itself."</w:t>
      </w:r>
      <w:r>
        <w:rPr>
          <w:rStyle w:val="Elision"/>
        </w:rPr>
        <w:t xml:space="preserve">[ … ]</w:t>
      </w:r>
    </w:p>
    <w:p>
      <w:pPr>
        <w:pStyle w:val="CaseBody"/>
      </w:pPr>
      <w:r>
        <w:t xml:space="preserve">Upholding the decision of the Court of Appeals would result in other practical problems. At least where the foreign plaintiff named an American manufacturer as defendant,</w:t>
      </w:r>
      <w:hyperlink w:anchor="X217008a8ea2b162ddaedb0d08ba12d609f55fad">
        <w:r>
          <w:rPr>
            <w:rStyle w:val="Elision"/>
            <w:vertAlign w:val="superscript"/>
          </w:rPr>
          <w:t xml:space="preserve">[ … ]</w:t>
        </w:r>
      </w:hyperlink>
      <w:r>
        <w:t xml:space="preserve"> </w:t>
      </w:r>
      <w:r>
        <w:t xml:space="preserve">a court could not dismiss the case on grounds of</w:t>
      </w:r>
      <w:r>
        <w:t xml:space="preserve"> </w:t>
      </w:r>
      <w:r>
        <w:rPr>
          <w:iCs/>
          <w:i/>
        </w:rPr>
        <w:t xml:space="preserve">forum non</w:t>
      </w:r>
      <w:r>
        <w:t xml:space="preserve"> </w:t>
      </w:r>
      <w:r>
        <w:rPr>
          <w:rStyle w:val="Elision"/>
        </w:rPr>
        <w:t xml:space="preserve">[ … ]</w:t>
      </w:r>
      <w:r>
        <w:rPr>
          <w:iCs/>
          <w:i/>
        </w:rPr>
        <w:t xml:space="preserve">conveniens</w:t>
      </w:r>
      <w:r>
        <w:t xml:space="preserve"> </w:t>
      </w:r>
      <w:r>
        <w:t xml:space="preserve">where dismissal might lead to an unfavorable change in law. The American courts, which are already extremely attractive to foreign plaintiffs,</w:t>
      </w:r>
      <w:hyperlink w:anchor="X6474d71430a3cfc145694b512d84f5f7e927115">
        <w:r>
          <w:rPr>
            <w:rStyle w:val="Elision"/>
            <w:vertAlign w:val="superscript"/>
          </w:rPr>
          <w:t xml:space="preserve">[ … ]</w:t>
        </w:r>
      </w:hyperlink>
      <w:r>
        <w:t xml:space="preserve">would become even more attractive. The flow of litigation into the United States would increase and further congest already crowded courts.</w:t>
      </w:r>
      <w:hyperlink w:anchor="Xcce9effdc79fbbf4e47ebca6cfe08b750258455">
        <w:r>
          <w:rPr>
            <w:rStyle w:val="Elision"/>
            <w:vertAlign w:val="superscript"/>
          </w:rPr>
          <w:t xml:space="preserve">[ … ]</w:t>
        </w:r>
      </w:hyperlink>
    </w:p>
    <w:p>
      <w:pPr>
        <w:pStyle w:val="CaseBody"/>
      </w:pPr>
      <w:r>
        <w:rPr>
          <w:rStyle w:val="Elision"/>
        </w:rPr>
        <w:t xml:space="preserve">[ … ]</w:t>
      </w:r>
    </w:p>
    <w:p>
      <w:pPr>
        <w:pStyle w:val="CaseBody"/>
      </w:pPr>
      <w:r>
        <w:t xml:space="preserve">We do not hold that the possibility of an unfavorable change in law should</w:t>
      </w:r>
      <w:r>
        <w:t xml:space="preserve"> </w:t>
      </w:r>
      <w:r>
        <w:rPr>
          <w:iCs/>
          <w:i/>
        </w:rPr>
        <w:t xml:space="preserve">never</w:t>
      </w:r>
      <w:r>
        <w:t xml:space="preserve"> </w:t>
      </w:r>
      <w:r>
        <w:t xml:space="preserve">be a relevant consideration in a</w:t>
      </w:r>
      <w:r>
        <w:t xml:space="preserve"> </w:t>
      </w:r>
      <w:r>
        <w:rPr>
          <w:iCs/>
          <w:i/>
        </w:rPr>
        <w:t xml:space="preserve">forum non conveniens</w:t>
      </w:r>
      <w:r>
        <w:t xml:space="preserve"> </w:t>
      </w:r>
      <w:r>
        <w:t xml:space="preserve">inquiry. Of course, if the remedy provided by the alternative forum is so clearly inadequate or unsatisfactory that it is no remedy at all, the unfavorable change in law may be given substantial weight; the district court may conclude that dismissal would not be in the interests of justice.</w:t>
      </w:r>
      <w:hyperlink w:anchor="X6cf5358fe59f2b967b11c443c61892e8f801908">
        <w:r>
          <w:rPr>
            <w:rStyle w:val="Elision"/>
            <w:vertAlign w:val="superscript"/>
          </w:rPr>
          <w:t xml:space="preserve">[ … ]</w:t>
        </w:r>
      </w:hyperlink>
      <w:r>
        <w:t xml:space="preserve">In these cases, however, the remedies that</w:t>
      </w:r>
      <w:r>
        <w:t xml:space="preserve"> </w:t>
      </w:r>
      <w:r>
        <w:rPr>
          <w:rStyle w:val="Elision"/>
        </w:rPr>
        <w:t xml:space="preserve">[ … ]</w:t>
      </w:r>
      <w:r>
        <w:t xml:space="preserve">would be provided by the Scottish courts do not fall within this category.</w:t>
      </w:r>
      <w:r>
        <w:t xml:space="preserve"> </w:t>
      </w:r>
      <w:r>
        <w:rPr>
          <w:rStyle w:val="Elision"/>
        </w:rPr>
        <w:t xml:space="preserve">[ … ]</w:t>
      </w:r>
    </w:p>
    <w:bookmarkEnd w:id="106"/>
    <w:bookmarkStart w:id="107" w:name="iii-5"/>
    <w:p>
      <w:pPr>
        <w:pStyle w:val="Heading2"/>
      </w:pPr>
      <w:r>
        <w:t xml:space="preserve">III</w:t>
      </w:r>
    </w:p>
    <w:p>
      <w:pPr>
        <w:pStyle w:val="CaseBody"/>
      </w:pPr>
      <w:r>
        <w:t xml:space="preserve">The Court of Appeals also erred in rejecting the District Court's</w:t>
      </w:r>
      <w:r>
        <w:t xml:space="preserve"> </w:t>
      </w:r>
      <w:r>
        <w:rPr>
          <w:iCs/>
          <w:i/>
        </w:rPr>
        <w:t xml:space="preserve">Gilbert</w:t>
      </w:r>
      <w:r>
        <w:t xml:space="preserve"> </w:t>
      </w:r>
      <w:r>
        <w:t xml:space="preserve">analysis. The Court of Appeals stated that more weight should have been given to the plaintiff's choice of forum, and criticized the District Court's analysis of the private and public interests. However, the District Court's decision regarding the deference due plaintiff's choice of forum was appropriate. Furthermore, we do not believe that the District Court abused its discretion in weighing the private and public interests.</w:t>
      </w:r>
    </w:p>
    <w:bookmarkEnd w:id="107"/>
    <w:bookmarkStart w:id="108" w:name="a-4"/>
    <w:p>
      <w:pPr>
        <w:pStyle w:val="Heading2"/>
      </w:pPr>
      <w:r>
        <w:t xml:space="preserve">A</w:t>
      </w:r>
    </w:p>
    <w:p>
      <w:pPr>
        <w:pStyle w:val="CaseBody"/>
      </w:pPr>
      <w:r>
        <w:rPr>
          <w:rStyle w:val="Elision"/>
        </w:rPr>
        <w:t xml:space="preserve">[ … ]</w:t>
      </w:r>
    </w:p>
    <w:p>
      <w:pPr>
        <w:pStyle w:val="CaseBody"/>
      </w:pPr>
      <w:r>
        <w:t xml:space="preserve">The District Court's distinction between resident or citizen plaintiffs and foreign plaintiffs is fully justified. In</w:t>
      </w:r>
      <w:r>
        <w:t xml:space="preserve"> </w:t>
      </w:r>
      <w:r>
        <w:rPr>
          <w:iCs/>
          <w:i/>
        </w:rPr>
        <w:t xml:space="preserve">Koster,</w:t>
      </w:r>
      <w:r>
        <w:t xml:space="preserve"> </w:t>
      </w:r>
      <w:r>
        <w:t xml:space="preserve">the Court indicated that a plaintiff's choice of forum is entitled to greater deference when the plaintiff has chosen the home forum. 330 U. S., at 524.</w:t>
      </w:r>
      <w:hyperlink w:anchor="X8e5c9241aa272539116663ecf72b49f03089193">
        <w:r>
          <w:rPr>
            <w:rStyle w:val="Elision"/>
            <w:vertAlign w:val="superscript"/>
          </w:rPr>
          <w:t xml:space="preserve">[ … ]</w:t>
        </w:r>
      </w:hyperlink>
      <w:r>
        <w:t xml:space="preserve">When the home forum has [256] been chosen, it is reasonable to assume that this choice is convenient. When the plaintiff is foreign, however, this assumption is much less reasonable. Because the central purpose of any</w:t>
      </w:r>
      <w:r>
        <w:t xml:space="preserve"> </w:t>
      </w:r>
      <w:r>
        <w:rPr>
          <w:iCs/>
          <w:i/>
        </w:rPr>
        <w:t xml:space="preserve">forum non conveniens</w:t>
      </w:r>
      <w:r>
        <w:t xml:space="preserve"> </w:t>
      </w:r>
      <w:r>
        <w:t xml:space="preserve">inquiry is to ensure that the trial is convenient, a foreign plaintiff's choice deserves less deference.</w:t>
      </w:r>
      <w:hyperlink w:anchor="X0612bb87ed5abad2c2dafd3ceb07f840c1ee9ab">
        <w:r>
          <w:rPr>
            <w:rStyle w:val="Elision"/>
            <w:vertAlign w:val="superscript"/>
          </w:rPr>
          <w:t xml:space="preserve">[ … ]</w:t>
        </w:r>
      </w:hyperlink>
    </w:p>
    <w:bookmarkEnd w:id="108"/>
    <w:bookmarkStart w:id="109" w:name="b-3"/>
    <w:p>
      <w:pPr>
        <w:pStyle w:val="Heading2"/>
      </w:pPr>
      <w:r>
        <w:rPr>
          <w:rStyle w:val="Elision"/>
        </w:rPr>
        <w:t xml:space="preserve">[ … ]</w:t>
      </w:r>
      <w:r>
        <w:t xml:space="preserve"> </w:t>
      </w:r>
      <w:r>
        <w:t xml:space="preserve">B</w:t>
      </w:r>
    </w:p>
    <w:p>
      <w:pPr>
        <w:pStyle w:val="CaseBody"/>
      </w:pPr>
      <w:r>
        <w:t xml:space="preserve">The</w:t>
      </w:r>
      <w:r>
        <w:t xml:space="preserve"> </w:t>
      </w:r>
      <w:r>
        <w:rPr>
          <w:iCs/>
          <w:i/>
        </w:rPr>
        <w:t xml:space="preserve">forum non conveniens</w:t>
      </w:r>
      <w:r>
        <w:t xml:space="preserve"> </w:t>
      </w:r>
      <w:r>
        <w:t xml:space="preserve">determination is committed to the sound discretion of the trial court. It may be reversed only when there has been a clear abuse of discretion; where the court has considered all relevant public and private interest factors, and where its balancing of these factors is reasonable, its decision deserves substantial deference.</w:t>
      </w:r>
      <w:r>
        <w:t xml:space="preserve"> </w:t>
      </w:r>
      <w:r>
        <w:rPr>
          <w:rStyle w:val="Elision"/>
        </w:rPr>
        <w:t xml:space="preserve">[ … ]</w:t>
      </w:r>
      <w:r>
        <w:t xml:space="preserve"> </w:t>
      </w:r>
      <w:r>
        <w:t xml:space="preserve">Here, the Court of Appeals expressly acknowledged that the standard of review was one of abuse of discretion. In examining the District Court's analysis of the public and private interests, however, the Court of Appeals seems to have lost sight of this rule, and substituted its own judgment for that of the District Court.</w:t>
      </w:r>
    </w:p>
    <w:bookmarkEnd w:id="109"/>
    <w:bookmarkStart w:id="110" w:name="section-6"/>
    <w:p>
      <w:pPr>
        <w:pStyle w:val="Heading2"/>
      </w:pPr>
      <w:r>
        <w:t xml:space="preserve">(1)</w:t>
      </w:r>
    </w:p>
    <w:p>
      <w:pPr>
        <w:pStyle w:val="CaseBody"/>
      </w:pPr>
      <w:r>
        <w:t xml:space="preserve">In analyzing the private interest factors, the District Court stated that the connections with Scotland are "overwhelming."</w:t>
      </w:r>
      <w:r>
        <w:t xml:space="preserve"> </w:t>
      </w:r>
      <w:r>
        <w:rPr>
          <w:rStyle w:val="Elision"/>
        </w:rPr>
        <w:t xml:space="preserve">[ … ]</w:t>
      </w:r>
      <w:r>
        <w:t xml:space="preserve"> </w:t>
      </w:r>
      <w:r>
        <w:t xml:space="preserve">This characterization may be somewhat exaggerated. Particularly with respect to the question of relative ease of access to sources of proof, the private interests point in both directions. As respondent emphasizes, records concerning the design, manufacture, and testing of the propeller and plane are located in the United States. She would have greater access to sources of proof relevant to her strict liability and negligence theories if trial were held here.</w:t>
      </w:r>
      <w:hyperlink w:anchor="X63b56efac1b5c5dec50610a69f479d62c34c919">
        <w:r>
          <w:rPr>
            <w:rStyle w:val="Elision"/>
            <w:vertAlign w:val="superscript"/>
          </w:rPr>
          <w:t xml:space="preserve">[ … ]</w:t>
        </w:r>
      </w:hyperlink>
      <w:r>
        <w:t xml:space="preserve"> </w:t>
      </w:r>
      <w:r>
        <w:t xml:space="preserve">However, the District Court did not act</w:t>
      </w:r>
      <w:r>
        <w:rPr>
          <w:rStyle w:val="Elision"/>
        </w:rPr>
        <w:t xml:space="preserve">[ … ]</w:t>
      </w:r>
      <w:r>
        <w:t xml:space="preserve"> </w:t>
      </w:r>
      <w:r>
        <w:t xml:space="preserve">unreasonably in concluding that fewer evidentiary problems would be posed if the trial were held in Scotland. A large proportion of the relevant evidence is located in Great Britain.</w:t>
      </w:r>
    </w:p>
    <w:p>
      <w:pPr>
        <w:pStyle w:val="CaseBody"/>
      </w:pPr>
      <w:r>
        <w:t xml:space="preserve">The Court of Appeals found that the problems of proof could not be given any weight because Piper and Hartzell failed to describe with specificity the evidence they would not be able to obtain if trial were held in the United States. It suggested that defendants seeking</w:t>
      </w:r>
      <w:r>
        <w:t xml:space="preserve"> </w:t>
      </w:r>
      <w:r>
        <w:rPr>
          <w:iCs/>
          <w:i/>
        </w:rPr>
        <w:t xml:space="preserve">forum non conveniens</w:t>
      </w:r>
      <w:r>
        <w:t xml:space="preserve"> </w:t>
      </w:r>
      <w:r>
        <w:t xml:space="preserve">dismissal must submit affidavits identifying the witnesses they would call and the testimony these witnesses would provide if the trial were held in the alternative forum. Such detail is not necessary.</w:t>
      </w:r>
      <w:hyperlink w:anchor="X3b358384264092a8a36f2d28899e61ab34b6769">
        <w:r>
          <w:rPr>
            <w:rStyle w:val="Elision"/>
            <w:vertAlign w:val="superscript"/>
          </w:rPr>
          <w:t xml:space="preserve">[ … ]</w:t>
        </w:r>
      </w:hyperlink>
      <w:r>
        <w:t xml:space="preserve">Piper and Hartzell have moved for dismissal precisely because many crucial witnesses are located beyond the reach of compulsory process, and thus are difficult to identify or interview. Requiring extensive investigation would defeat the purpose of their motion. Of course, defendants must provide enough information to enable the District Court to balance the parties' interests. Our examination of the record convinces us that sufficient information</w:t>
      </w:r>
      <w:r>
        <w:t xml:space="preserve"> </w:t>
      </w:r>
      <w:r>
        <w:rPr>
          <w:rStyle w:val="Elision"/>
        </w:rPr>
        <w:t xml:space="preserve">[ … ]</w:t>
      </w:r>
      <w:r>
        <w:t xml:space="preserve">was provided here. Both Piper and Hartzell submitted affidavits describing the evidentiary problems they would face if the trial were held in the United States.</w:t>
      </w:r>
      <w:hyperlink w:anchor="X2b7af88eef84560f8e59e2c67ffedc00b0c4ffd">
        <w:r>
          <w:rPr>
            <w:rStyle w:val="Elision"/>
            <w:vertAlign w:val="superscript"/>
          </w:rPr>
          <w:t xml:space="preserve">[ … ]</w:t>
        </w:r>
      </w:hyperlink>
    </w:p>
    <w:p>
      <w:pPr>
        <w:pStyle w:val="CaseBody"/>
      </w:pPr>
      <w:r>
        <w:t xml:space="preserve">The District Court correctly concluded that the problems posed by the inability to implead potential third-party defendants clearly supported holding the trial in Scotland. Joinder of the pilot's estate, Air Navigation, and McDonald is crucial to the presentation of petitioners' defense. If Piper and Hartzell can show that the accident was caused not by a design defect, but rather by the negligence of the pilot, the plane's owners, or the charter company, they will be relieved of all liability. It is true, of course, that if Hartzell and Piper were found liable after a trial in the United States, they could institute an action for indemnity or contribution against these parties in Scotland. It would be far more convenient, however, to resolve all claims in one trial.</w:t>
      </w:r>
      <w:r>
        <w:t xml:space="preserve"> </w:t>
      </w:r>
      <w:r>
        <w:rPr>
          <w:rStyle w:val="Elision"/>
        </w:rPr>
        <w:t xml:space="preserve">[ … ]</w:t>
      </w:r>
      <w:r>
        <w:t xml:space="preserve">Finding that trial in the plaintiff's chosen forum would be burdensome, however, is sufficient to support dismissal on grounds of</w:t>
      </w:r>
      <w:r>
        <w:t xml:space="preserve"> </w:t>
      </w:r>
      <w:r>
        <w:rPr>
          <w:iCs/>
          <w:i/>
        </w:rPr>
        <w:t xml:space="preserve">forum non conveniens.</w:t>
      </w:r>
      <w:hyperlink w:anchor="Xa7a0700a020c8d601d7b2cd15426af3fafbbc55">
        <w:r>
          <w:rPr>
            <w:rStyle w:val="Elision"/>
            <w:vertAlign w:val="superscript"/>
          </w:rPr>
          <w:t xml:space="preserve">[ … ]</w:t>
        </w:r>
      </w:hyperlink>
    </w:p>
    <w:bookmarkEnd w:id="110"/>
    <w:bookmarkStart w:id="111" w:name="section-7"/>
    <w:p>
      <w:pPr>
        <w:pStyle w:val="Heading2"/>
      </w:pPr>
      <w:r>
        <w:t xml:space="preserve">(2)</w:t>
      </w:r>
    </w:p>
    <w:p>
      <w:pPr>
        <w:pStyle w:val="CaseBody"/>
      </w:pPr>
      <w:r>
        <w:t xml:space="preserve">The District Court's review of the factors relating to the public interest was also reasonable. On the basis of its</w:t>
      </w:r>
      <w:r>
        <w:t xml:space="preserve"> </w:t>
      </w:r>
      <w:r>
        <w:rPr>
          <w:rStyle w:val="Elision"/>
        </w:rPr>
        <w:t xml:space="preserve">[ … ]</w:t>
      </w:r>
      <w:r>
        <w:t xml:space="preserve"> </w:t>
      </w:r>
      <w:r>
        <w:t xml:space="preserve">choice-of-law analysis, it concluded that if the case were tried in the Middle District of Pennsylvania, Pennsylvania law would apply to Piper and Scottish law to Hartzell. It stated that a trial involving two sets of laws would be confusing to the jury. It also noted its own lack of familiarity with Scottish law. Consideration of these problems was clearly appropriate under</w:t>
      </w:r>
      <w:r>
        <w:t xml:space="preserve"> </w:t>
      </w:r>
      <w:r>
        <w:rPr>
          <w:iCs/>
          <w:i/>
        </w:rPr>
        <w:t xml:space="preserve">Gilbert;</w:t>
      </w:r>
      <w:r>
        <w:t xml:space="preserve"> </w:t>
      </w:r>
      <w:r>
        <w:t xml:space="preserve">in that case we explicitly held that the need to apply foreign law pointed towards dismissal.</w:t>
      </w:r>
      <w:hyperlink w:anchor="X67810508248747ed31223a7c84d69773ba89f77">
        <w:r>
          <w:rPr>
            <w:rStyle w:val="Elision"/>
            <w:vertAlign w:val="superscript"/>
          </w:rPr>
          <w:t xml:space="preserve">[ … ]</w:t>
        </w:r>
      </w:hyperlink>
      <w:r>
        <w:t xml:space="preserve"> </w:t>
      </w:r>
      <w:r>
        <w:t xml:space="preserve">The Court of Appeals found that the District Court's choice-of-law analysis was incorrect, and that American law would apply to both Hartzell and Piper. Thus, lack of familiarity with foreign law would not be a problem. Even if the Court of Appeals' conclusion is correct, however, all other public interest factors favored trial in Scotland.</w:t>
      </w:r>
    </w:p>
    <w:p>
      <w:pPr>
        <w:pStyle w:val="CaseBody"/>
      </w:pPr>
      <w:r>
        <w:t xml:space="preserve">Scotland has a very strong interest in this litigation. The accident occurred in its airspace. All of the decedents were Scottish. Apart from Piper and Hartzell, all potential plaintiffs and defendants are either Scottish or English. As we stated in</w:t>
      </w:r>
      <w:r>
        <w:t xml:space="preserve"> </w:t>
      </w:r>
      <w:r>
        <w:rPr>
          <w:iCs/>
          <w:i/>
        </w:rPr>
        <w:t xml:space="preserve">Gilbert,</w:t>
      </w:r>
      <w:r>
        <w:t xml:space="preserve"> </w:t>
      </w:r>
      <w:r>
        <w:t xml:space="preserve">there is "a local interest in having localized controversies decided at home."</w:t>
      </w:r>
      <w:r>
        <w:t xml:space="preserve"> </w:t>
      </w:r>
      <w:r>
        <w:rPr>
          <w:rStyle w:val="Elision"/>
        </w:rPr>
        <w:t xml:space="preserve">[ … ]</w:t>
      </w:r>
      <w:r>
        <w:t xml:space="preserve"> </w:t>
      </w:r>
      <w:r>
        <w:t xml:space="preserve">Respondent argues that American citizens have an interest in ensuring that American manufacturers are deterred from producing defective products, and that additional deterrence might be obtained if Piper and Hartzell were tried in the United States, where they could be sued on the basis of both negligence and strict liability. However, the incremental deterrence that would be gained if this trial were held in an</w:t>
      </w:r>
      <w:r>
        <w:t xml:space="preserve"> </w:t>
      </w:r>
      <w:r>
        <w:rPr>
          <w:rStyle w:val="Elision"/>
        </w:rPr>
        <w:t xml:space="preserve">[ … ]</w:t>
      </w:r>
      <w:r>
        <w:t xml:space="preserve"> </w:t>
      </w:r>
      <w:r>
        <w:t xml:space="preserve">American court is likely to be insignificant. The American interest in this accident is simply not sufficient to justify the enormous commitment of judicial time and resources that would inevitably be required if the case were to be tried here.</w:t>
      </w:r>
    </w:p>
    <w:bookmarkEnd w:id="111"/>
    <w:bookmarkStart w:id="112" w:name="iv-2"/>
    <w:p>
      <w:pPr>
        <w:pStyle w:val="Heading2"/>
      </w:pPr>
      <w:r>
        <w:t xml:space="preserve">IV</w:t>
      </w:r>
    </w:p>
    <w:p>
      <w:pPr>
        <w:pStyle w:val="CaseBody"/>
      </w:pPr>
      <w:r>
        <w:rPr>
          <w:rStyle w:val="Elision"/>
        </w:rPr>
        <w:t xml:space="preserve">[ … ]</w:t>
      </w:r>
      <w:r>
        <w:t xml:space="preserve">. Thus, the judgment of the Court of Appeals is</w:t>
      </w:r>
    </w:p>
    <w:p>
      <w:pPr>
        <w:pStyle w:val="CaseBody"/>
      </w:pPr>
      <w:r>
        <w:rPr>
          <w:iCs/>
          <w:i/>
        </w:rPr>
        <w:t xml:space="preserve">Reversed.</w:t>
      </w:r>
    </w:p>
    <w:p>
      <w:pPr>
        <w:pStyle w:val="CaseBody"/>
      </w:pPr>
      <w:r>
        <w:rPr>
          <w:rStyle w:val="Elision"/>
        </w:rPr>
        <w:t xml:space="preserve">[ … ]</w:t>
      </w:r>
    </w:p>
    <w:p>
      <w:pPr>
        <w:pStyle w:val="CaseBody"/>
      </w:pPr>
      <w:hyperlink w:anchor="X593cabf068ab69eb7721e0570f761cfe146310a">
        <w:r>
          <w:rPr>
            <w:rStyle w:val="Elision"/>
          </w:rPr>
          <w:t xml:space="preserve">[ … ]</w:t>
        </w:r>
      </w:hyperlink>
    </w:p>
    <w:p>
      <w:pPr>
        <w:pStyle w:val="CaseBody"/>
      </w:pPr>
      <w:hyperlink w:anchor="Xa1131f18b0760898bad6a2c040384e0cbb317dc">
        <w:r>
          <w:rPr>
            <w:rStyle w:val="Elision"/>
          </w:rPr>
          <w:t xml:space="preserve">[ … ]</w:t>
        </w:r>
      </w:hyperlink>
    </w:p>
    <w:bookmarkEnd w:id="112"/>
    <w:p>
      <w:pPr>
        <w:pStyle w:val="NodeEnd"/>
      </w:pPr>
      <w:r>
        <w:t xml:space="preserve"> </w:t>
      </w:r>
    </w:p>
    <w:p>
      <w:pPr>
        <w:pStyle w:val="NodeStart"/>
      </w:pPr>
      <w:r>
        <w:t xml:space="preserve"> </w:t>
      </w:r>
    </w:p>
    <w:p>
      <w:pPr>
        <w:pStyle w:val="HeadSeparator"/>
      </w:pPr>
      <w:r>
        <w:t xml:space="preserve"> </w:t>
      </w:r>
    </w:p>
    <w:bookmarkStart w:id="99" w:name="_auto_toc_99"/>
    <w:bookmarkEnd w:id="99"/>
    <w:p>
      <w:pPr>
        <w:pStyle w:val="ResourceNumber"/>
      </w:pPr>
      <w:r>
        <w:t xml:space="preserve">9.5</w:t>
      </w:r>
    </w:p>
    <w:p>
      <w:pPr>
        <w:pStyle w:val="ResourceTitle"/>
      </w:pPr>
      <w:r>
        <w:t xml:space="preserve">Goldlawr, Inc. v. Heiman</w:t>
      </w:r>
    </w:p>
    <w:p>
      <w:pPr>
        <w:pStyle w:val="HeadFieldSeparator"/>
      </w:pPr>
      <w:r>
        <w:t xml:space="preserve"> </w:t>
      </w:r>
    </w:p>
    <w:p>
      <w:pPr>
        <w:pStyle w:val="ResourceHeadnote"/>
      </w:pPr>
      <w:r>
        <w:t xml:space="preserve">The previous two cases explored the doctrine of forum non conveniens. We now turn to transfers from one federal district court to another.</w:t>
      </w:r>
    </w:p>
    <w:p>
      <w:pPr>
        <w:pStyle w:val="ResourceHeadnote"/>
      </w:pPr>
      <w:r>
        <w:t xml:space="preserve">There are four questions that motions to transfer, or in the alternative to dismiss, implicate:</w:t>
      </w:r>
    </w:p>
    <w:p>
      <w:pPr>
        <w:pStyle w:val="ResourceHeadnote"/>
      </w:pPr>
      <w:r>
        <w:t xml:space="preserve">(1) Must the federal district court transfer or dismiss? The answer here is easy to state: A federal district court must transfer or dismiss if venue is improper or if it cannot exercise jurisdiction over the person/property (either one). That is what the summary of this case establishes.</w:t>
      </w:r>
    </w:p>
    <w:p>
      <w:pPr>
        <w:pStyle w:val="ResourceHeadnote"/>
      </w:pPr>
      <w:r>
        <w:t xml:space="preserve">(2) May the federal court transfer, or must it dismiss? This answer depends on whether another federal district exists in which venue is proper and jurisdiction over the person/property is present. If so, the federal court may transfer. If not, it cannot do so; rather, it must dismiss.</w:t>
      </w:r>
    </w:p>
    <w:p>
      <w:pPr>
        <w:pStyle w:val="ResourceHeadnote"/>
      </w:pPr>
      <w:r>
        <w:t xml:space="preserve">(3) If the federal court need not transfer (#1 is "no"), but may transfer (#2 is "yes"), should it transfer? This answer here is easy to state: apply the forum non conveniens analysis from Gilbert and Piper.</w:t>
      </w:r>
    </w:p>
    <w:p>
      <w:pPr>
        <w:pStyle w:val="ResourceHeadnote"/>
      </w:pPr>
      <w:r>
        <w:t xml:space="preserve">(4) If the federal court transfers, what consequences are there for the applicable law? The answer here is not easy to state. You need the Greiner Happy Court rule (explained below).</w:t>
      </w:r>
    </w:p>
    <w:p>
      <w:pPr>
        <w:pStyle w:val="ResourceHeadnote"/>
      </w:pPr>
      <w:r>
        <w:t xml:space="preserve">You also need to understand how the presence of a forum selection clause alters the answers to questions (3) and (4).</w:t>
      </w:r>
    </w:p>
    <w:p>
      <w:pPr>
        <w:pStyle w:val="ResourceHeadnote"/>
      </w:pPr>
      <w:r>
        <w:t xml:space="preserve">As just suggested, this case,</w:t>
      </w:r>
      <w:r>
        <w:t xml:space="preserve"> </w:t>
      </w:r>
      <w:r>
        <w:rPr>
          <w:iCs/>
          <w:i/>
        </w:rPr>
        <w:t xml:space="preserve">Goldlawr</w:t>
      </w:r>
      <w:r>
        <w:t xml:space="preserve">, concerns question (1).</w:t>
      </w:r>
    </w:p>
    <w:p>
      <w:pPr>
        <w:pStyle w:val="HeadEnd"/>
      </w:pPr>
      <w:r>
        <w:t xml:space="preserve"> </w:t>
      </w:r>
    </w:p>
    <w:p>
      <w:pPr>
        <w:pStyle w:val="BodyText"/>
      </w:pPr>
      <w:r>
        <w:t xml:space="preserve">Petitioner filed antitrust action in PA district court. Defendants moved to dismiss based on improper venue and lack of personal jurisdiction. Court found that the defendants were not inhabitants of PA, but, instead of dismissing the case, transferred it to NY, where venue was proper. Defendants then moved (in NY) to dismiss the case because the PA court lacked personal jurisdiction over them.  The defendants argued that the PA court's lack of personal jurisdiction over them meant that transfer was not an option, only dismissal.  The Supreme Court held that a federal court in its discretion, upon finding either that venue was improper or that it lacked personal jurisdiction (either one), could choose either to dismiss or to transfer.  In other words, the transfer statutes were just as available to cure a defect in personal jurisdiction as they were to cure a defect in venue.</w:t>
      </w:r>
    </w:p>
    <w:p>
      <w:pPr>
        <w:pStyle w:val="NodeEnd"/>
      </w:pPr>
      <w:r>
        <w:t xml:space="preserve"> </w:t>
      </w:r>
    </w:p>
    <w:p>
      <w:pPr>
        <w:pStyle w:val="NodeStart"/>
      </w:pPr>
      <w:r>
        <w:t xml:space="preserve"> </w:t>
      </w:r>
    </w:p>
    <w:p>
      <w:pPr>
        <w:pStyle w:val="HeadSeparator"/>
      </w:pPr>
      <w:r>
        <w:t xml:space="preserve"> </w:t>
      </w:r>
    </w:p>
    <w:bookmarkStart w:id="100" w:name="_auto_toc_100"/>
    <w:bookmarkEnd w:id="100"/>
    <w:p>
      <w:pPr>
        <w:pStyle w:val="ResourceNumber"/>
      </w:pPr>
      <w:r>
        <w:t xml:space="preserve">9.6</w:t>
      </w:r>
    </w:p>
    <w:p>
      <w:pPr>
        <w:pStyle w:val="ResourceTitle"/>
      </w:pPr>
      <w:r>
        <w:t xml:space="preserve">Hoffman v. Blaski</w:t>
      </w:r>
    </w:p>
    <w:p>
      <w:pPr>
        <w:pStyle w:val="HeadFieldSeparator"/>
      </w:pPr>
      <w:r>
        <w:t xml:space="preserve"> </w:t>
      </w:r>
    </w:p>
    <w:p>
      <w:pPr>
        <w:pStyle w:val="ResourceHeadnote"/>
      </w:pPr>
      <w:r>
        <w:t xml:space="preserve">As a reminder, these are the four questions (in case you're wondering, yes, my wife is Jewish):</w:t>
      </w:r>
    </w:p>
    <w:p>
      <w:pPr>
        <w:pStyle w:val="ResourceHeadnote"/>
      </w:pPr>
      <w:r>
        <w:t xml:space="preserve">(1) Must the federal district court transfer or dismiss? The answer here is easy to state: A federal district court must either transfer or dismiss if venue is improper or if it cannot exercise jurisdiction over the person/property (either one).</w:t>
      </w:r>
    </w:p>
    <w:p>
      <w:pPr>
        <w:pStyle w:val="ResourceHeadnote"/>
      </w:pPr>
      <w:r>
        <w:t xml:space="preserve">(2) May the federal court transfer, or must it dismiss? The answer depends on whether another federal district exists in which venue is proper and jurisdiction over the person/property is present. If so, the federal court may transfer. If not, it cannot do so, so that if the answer to (1) is "yes" (meaning the court must transfer or dismiss but cannot transfer), then the court must dismiss.</w:t>
      </w:r>
    </w:p>
    <w:p>
      <w:pPr>
        <w:pStyle w:val="ResourceHeadnote"/>
      </w:pPr>
      <w:r>
        <w:t xml:space="preserve">(3) If the federal court need not transfer (#1 is "no"), but may transfer (#2 is "yes"), should it transfer? The answer here is easy to state: apply the forum non conveniens factors.</w:t>
      </w:r>
    </w:p>
    <w:p>
      <w:pPr>
        <w:pStyle w:val="ResourceHeadnote"/>
      </w:pPr>
      <w:r>
        <w:t xml:space="preserve">(4) If the federal court transfers, what consequences are there for the applicable law? The answer here is not easy to state. You need the Greiner Happy Court rule.</w:t>
      </w:r>
    </w:p>
    <w:p>
      <w:pPr>
        <w:pStyle w:val="ResourceHeadnote"/>
      </w:pPr>
      <w:r>
        <w:t xml:space="preserve">You also need to understand how the presence of a forum selection clause alters the answers to questions (3) and (4).</w:t>
      </w:r>
    </w:p>
    <w:p>
      <w:pPr>
        <w:pStyle w:val="ResourceHeadnote"/>
      </w:pPr>
      <w:r>
        <w:t xml:space="preserve">This case concerns question (2).</w:t>
      </w:r>
    </w:p>
    <w:p>
      <w:pPr>
        <w:pStyle w:val="HeadEnd"/>
      </w:pPr>
      <w:r>
        <w:t xml:space="preserve"> </w:t>
      </w:r>
    </w:p>
    <w:p>
      <w:pPr>
        <w:pStyle w:val="CaseHeader"/>
      </w:pPr>
      <w:r>
        <w:t xml:space="preserve">Supreme Court of the United States</w:t>
      </w:r>
    </w:p>
    <w:p>
      <w:pPr>
        <w:pStyle w:val="CaseHeader"/>
      </w:pPr>
      <w:r>
        <w:t xml:space="preserve">363 U.S. 335, 4 L. Ed. 2d 1254, 80 S. Ct. 1084, SCDB 1959-102, 1960 U.S. LEXIS 1998</w:t>
      </w:r>
    </w:p>
    <w:p>
      <w:pPr>
        <w:pStyle w:val="CaseHeader"/>
      </w:pPr>
      <w:r>
        <w:t xml:space="preserve">No. 25</w:t>
      </w:r>
    </w:p>
    <w:p>
      <w:pPr>
        <w:pStyle w:val="CaseHeader"/>
      </w:pPr>
      <w:r>
        <w:t xml:space="preserve">1960-06-13</w:t>
      </w:r>
    </w:p>
    <w:p>
      <w:pPr>
        <w:pStyle w:val="CaseBody"/>
      </w:pPr>
      <w:r>
        <w:t xml:space="preserve">363 U.S. 335 (1960)</w:t>
      </w:r>
    </w:p>
    <w:p>
      <w:pPr>
        <w:pStyle w:val="CaseHeader"/>
      </w:pPr>
      <w:r>
        <w:t xml:space="preserve">HOFFMAN, U. S. DISTRICT JUDGE,</w:t>
      </w:r>
      <w:r>
        <w:br/>
      </w:r>
      <w:r>
        <w:t xml:space="preserve">v.</w:t>
      </w:r>
      <w:r>
        <w:br/>
      </w:r>
      <w:r>
        <w:t xml:space="preserve">BLASKI ET AL.</w:t>
      </w:r>
    </w:p>
    <w:p>
      <w:pPr>
        <w:pStyle w:val="CaseBody"/>
      </w:pPr>
      <w:r>
        <w:rPr>
          <w:rStyle w:val="Elision"/>
        </w:rPr>
        <w:t xml:space="preserve">[ … ]</w:t>
      </w:r>
    </w:p>
    <w:p>
      <w:pPr>
        <w:pStyle w:val="CaseBody"/>
      </w:pPr>
      <w:r>
        <w:t xml:space="preserve">Supreme Court of United States.</w:t>
      </w:r>
    </w:p>
    <w:p>
      <w:pPr>
        <w:pStyle w:val="CaseBody"/>
      </w:pPr>
      <w:r>
        <w:rPr>
          <w:rStyle w:val="Elision"/>
        </w:rPr>
        <w:t xml:space="preserve">[ … ]</w:t>
      </w:r>
    </w:p>
    <w:bookmarkStart w:id="113" w:name="X449e86f8e36c3ee5e3bfcbb92b3038b47338c9e"/>
    <w:p>
      <w:pPr>
        <w:pStyle w:val="Heading2"/>
      </w:pPr>
      <w:r>
        <w:t xml:space="preserve">MR. JUSTICE WHITTAKER delivered the opinion of the Court.</w:t>
      </w:r>
    </w:p>
    <w:p>
      <w:pPr>
        <w:pStyle w:val="CaseBody"/>
      </w:pPr>
      <w:r>
        <w:rPr>
          <w:rStyle w:val="Elision"/>
        </w:rPr>
        <w:t xml:space="preserve">[ … ]</w:t>
      </w:r>
    </w:p>
    <w:p>
      <w:pPr>
        <w:pStyle w:val="CaseBody"/>
      </w:pPr>
      <w:r>
        <w:t xml:space="preserve">The instant cases present the question whether a District Court, in which a civil action has been properly brought, is empowered by</w:t>
      </w:r>
      <w:r>
        <w:t xml:space="preserve"> </w:t>
      </w:r>
      <w:r>
        <w:rPr>
          <w:rStyle w:val="ReplacementText"/>
        </w:rPr>
        <w:t xml:space="preserve">[the transfer statutes]</w:t>
      </w:r>
      <w:r>
        <w:t xml:space="preserve">to transfer the action, on the motion of the defendant, to a district in which the plaintiff did not have a</w:t>
      </w:r>
      <w:r>
        <w:t xml:space="preserve"> </w:t>
      </w:r>
      <w:r>
        <w:rPr>
          <w:iCs/>
          <w:i/>
        </w:rPr>
        <w:t xml:space="preserve">right</w:t>
      </w:r>
      <w:r>
        <w:t xml:space="preserve"> </w:t>
      </w:r>
      <w:r>
        <w:t xml:space="preserve">to bring it.</w:t>
      </w:r>
    </w:p>
    <w:p>
      <w:pPr>
        <w:pStyle w:val="CaseBody"/>
      </w:pPr>
      <w:r>
        <w:rPr>
          <w:rStyle w:val="Elision"/>
        </w:rPr>
        <w:t xml:space="preserve">[ … ]</w:t>
      </w:r>
      <w:r>
        <w:t xml:space="preserve">Respondents, Blaski and others, residents of Illinois, brought this patent infringement action in the United States District Court for the Northern District of Texas against one Howell and a Texas corporation controlled by him, alleging that the defendants are residents of, and maintain their only place of business in, the City of Dallas, in the Northern District of Texas, where they are infringing respondents' patents. After being served with process and filing their answer, the defendants moved, under</w:t>
      </w:r>
      <w:r>
        <w:t xml:space="preserve"> </w:t>
      </w:r>
      <w:r>
        <w:rPr>
          <w:rStyle w:val="ReplacementText"/>
        </w:rPr>
        <w:t xml:space="preserve">[the transfer statutes]</w:t>
      </w:r>
      <w:r>
        <w:t xml:space="preserve">, to transfer the action to the United States District Court for the Northern District of Illinois.</w:t>
      </w:r>
      <w:hyperlink w:anchor="X12553e8dfe1a1fc582e724ef17196b0a3956985">
        <w:r>
          <w:rPr>
            <w:rStyle w:val="Elision"/>
            <w:vertAlign w:val="superscript"/>
          </w:rPr>
          <w:t xml:space="preserve">[ … ]</w:t>
        </w:r>
      </w:hyperlink>
      <w:r>
        <w:t xml:space="preserve"> </w:t>
      </w:r>
      <w:r>
        <w:t xml:space="preserve">Respondents objected to the</w:t>
      </w:r>
      <w:r>
        <w:t xml:space="preserve"> </w:t>
      </w:r>
      <w:r>
        <w:rPr>
          <w:rStyle w:val="Elision"/>
        </w:rPr>
        <w:t xml:space="preserve">[ … ]</w:t>
      </w:r>
      <w:r>
        <w:t xml:space="preserve">transfer on the ground that, inasmuch as the defendants did not reside, maintain a place of business, or infringe the patents in, and could not have been served with process in, the Illinois district, the courts of that district lacked venue over the action</w:t>
      </w:r>
      <w:hyperlink w:anchor="X50371307e660c8ed8538e9bef40fe4cb57bb47a">
        <w:r>
          <w:rPr>
            <w:rStyle w:val="Elision"/>
            <w:vertAlign w:val="superscript"/>
          </w:rPr>
          <w:t xml:space="preserve">[ … ]</w:t>
        </w:r>
      </w:hyperlink>
      <w:r>
        <w:t xml:space="preserve"> </w:t>
      </w:r>
      <w:r>
        <w:t xml:space="preserve">and ability to command jurisdiction over the defendants;</w:t>
      </w:r>
      <w:hyperlink w:anchor="Xca529476797c08898c668e177ef3933757719a6">
        <w:r>
          <w:rPr>
            <w:rStyle w:val="Elision"/>
            <w:vertAlign w:val="superscript"/>
          </w:rPr>
          <w:t xml:space="preserve">[ … ]</w:t>
        </w:r>
      </w:hyperlink>
      <w:r>
        <w:t xml:space="preserve"> </w:t>
      </w:r>
      <w:r>
        <w:t xml:space="preserve">that therefore that district was not a forum in which the respondents had a right to bring the action, and, hence, the court was without power to transfer it to that district. Without mentioning that objection or the question it raised, the District Court found that "the motion should be granted for the convenience of the parties and witnesses in the interest of justice," and ordered the case transferred to the Illinois district. Thereupon, respondents moved in the Fifth Circuit for leave to file a petition for a writ of mandamus directing the vacation of that order. That court, holding that "[t]he purposes for which</w:t>
      </w:r>
      <w:r>
        <w:t xml:space="preserve"> </w:t>
      </w:r>
      <w:r>
        <w:rPr>
          <w:rStyle w:val="ReplacementText"/>
        </w:rPr>
        <w:t xml:space="preserve">[the transfer statutes]</w:t>
      </w:r>
      <w:r>
        <w:t xml:space="preserve"> </w:t>
      </w:r>
      <w:r>
        <w:t xml:space="preserve">was enacted would be unduly circumscribed if a transfer could not be made `in the interest of justice' to a district where the defendants not only waive venue but to which they seek the transfer," denied the motion.</w:t>
      </w:r>
      <w:r>
        <w:t xml:space="preserve"> </w:t>
      </w:r>
      <w:r>
        <w:rPr>
          <w:rStyle w:val="Elision"/>
        </w:rPr>
        <w:t xml:space="preserve">[ … ]</w:t>
      </w:r>
    </w:p>
    <w:p>
      <w:pPr>
        <w:pStyle w:val="CaseBody"/>
      </w:pPr>
      <w:r>
        <w:t xml:space="preserve">Upon receipt of a certified copy of the pleadings and record, the Illinois District Court assigned the action to Judge Hoffman's calendar. Respondents promptly moved for an order</w:t>
      </w:r>
      <w:r>
        <w:t xml:space="preserve"> </w:t>
      </w:r>
      <w:r>
        <w:t xml:space="preserve">remanding the action</w:t>
      </w:r>
      <w:r>
        <w:rPr>
          <w:rStyle w:val="FootnoteReference"/>
        </w:rPr>
        <w:footnoteReference w:customMarkFollows="1" w:id="23"/>
        <w:t xml:space="preserve">*</w:t>
      </w:r>
      <w:r>
        <w:t xml:space="preserve"> </w:t>
      </w:r>
      <w:r>
        <w:t xml:space="preserve">on the ground that the Texas District Court did not have power to make the transfer order and, hence, the Illinois District Court was not thereby vested with jurisdiction of the action.</w:t>
      </w:r>
      <w:r>
        <w:t xml:space="preserve"> </w:t>
      </w:r>
      <w:r>
        <w:rPr>
          <w:rStyle w:val="Elision"/>
        </w:rPr>
        <w:t xml:space="preserve">[ … ]</w:t>
      </w:r>
      <w:r>
        <w:t xml:space="preserve"> </w:t>
      </w:r>
      <w:r>
        <w:t xml:space="preserve">After expressing his view that the "weight of reason and logic" favored "retransfer of this case to Texas," Judge Hoffman, with misgivings, denied the motion. Respondents then filed in the Seventh Circuit a petition for a writ of mandamus directing Judge Hoffman to reverse his order. After hearing and rehearing, the Seventh Circuit, holding that "[w]hen Congress provided [in</w:t>
      </w:r>
      <w:r>
        <w:t xml:space="preserve"> </w:t>
      </w:r>
      <w:r>
        <w:rPr>
          <w:rStyle w:val="ReplacementText"/>
        </w:rPr>
        <w:t xml:space="preserve">[the transfer statutes]</w:t>
      </w:r>
      <w:r>
        <w:t xml:space="preserve">] for transfer [of a civil action] to a district `where it might have been brought,' it is hardly open to doubt but that it referred to a district where the plaintiff . . . had a right to bring the case," and that respondents did not have a</w:t>
      </w:r>
      <w:r>
        <w:t xml:space="preserve"> </w:t>
      </w:r>
      <w:r>
        <w:rPr>
          <w:iCs/>
          <w:i/>
        </w:rPr>
        <w:t xml:space="preserve">right</w:t>
      </w:r>
      <w:r>
        <w:t xml:space="preserve"> </w:t>
      </w:r>
      <w:r>
        <w:t xml:space="preserve">to bring this action in the Illinois district, granted the writ, one judge dissenting.</w:t>
      </w:r>
      <w:r>
        <w:t xml:space="preserve"> </w:t>
      </w:r>
      <w:r>
        <w:rPr>
          <w:rStyle w:val="Elision"/>
        </w:rPr>
        <w:t xml:space="preserve">[ … ]</w:t>
      </w:r>
    </w:p>
    <w:p>
      <w:pPr>
        <w:pStyle w:val="CaseBody"/>
      </w:pPr>
      <w:r>
        <w:rPr>
          <w:rStyle w:val="Elision"/>
        </w:rPr>
        <w:t xml:space="preserve">[ … ]</w:t>
      </w:r>
    </w:p>
    <w:p>
      <w:pPr>
        <w:pStyle w:val="CaseBody"/>
      </w:pPr>
      <w:r>
        <w:rPr>
          <w:rStyle w:val="Elision"/>
        </w:rPr>
        <w:t xml:space="preserve">[ … ]</w:t>
      </w:r>
      <w:r>
        <w:rPr>
          <w:rStyle w:val="ReplacementText"/>
        </w:rPr>
        <w:t xml:space="preserve">[the transfer statutes]</w:t>
      </w:r>
    </w:p>
    <w:p>
      <w:pPr>
        <w:pStyle w:val="CaseBody"/>
      </w:pPr>
      <w:r>
        <w:rPr>
          <w:rStyle w:val="Elision"/>
        </w:rPr>
        <w:t xml:space="preserve">[ … ]</w:t>
      </w:r>
    </w:p>
    <w:p>
      <w:pPr>
        <w:pStyle w:val="CaseBody"/>
      </w:pPr>
      <w:r>
        <w:t xml:space="preserve">Petitioners' "thesis" and sole claim is that</w:t>
      </w:r>
      <w:r>
        <w:t xml:space="preserve"> </w:t>
      </w:r>
      <w:r>
        <w:rPr>
          <w:rStyle w:val="ReplacementText"/>
        </w:rPr>
        <w:t xml:space="preserve">[the transfer statutes]</w:t>
      </w:r>
      <w:r>
        <w:t xml:space="preserve">, being remedial</w:t>
      </w:r>
      <w:r>
        <w:rPr>
          <w:rStyle w:val="Elision"/>
        </w:rPr>
        <w:t xml:space="preserve">[ … ]</w:t>
      </w:r>
      <w:r>
        <w:t xml:space="preserve">, should be broadly construed, and, when so construed, the phrase "where it might have been brought" should be held to relate not only to the time of the bringing of the action, but also to the time of the transfer; and that "if at such time the transferee forum has the power to adjudicate the issues of the action, it is a forum in which the action might</w:t>
      </w:r>
      <w:r>
        <w:t xml:space="preserve"> </w:t>
      </w:r>
      <w:r>
        <w:rPr>
          <w:iCs/>
          <w:i/>
        </w:rPr>
        <w:t xml:space="preserve">then</w:t>
      </w:r>
      <w:r>
        <w:t xml:space="preserve"> </w:t>
      </w:r>
      <w:r>
        <w:t xml:space="preserve">have been brought."</w:t>
      </w:r>
      <w:hyperlink w:anchor="X938776a19b86ffe0bfe212cc60b5fb0a152abd8">
        <w:r>
          <w:rPr>
            <w:rStyle w:val="Elision"/>
            <w:vertAlign w:val="superscript"/>
          </w:rPr>
          <w:t xml:space="preserve">[ … ]</w:t>
        </w:r>
      </w:hyperlink>
      <w:r>
        <w:t xml:space="preserve"> </w:t>
      </w:r>
      <w:r>
        <w:rPr>
          <w:rStyle w:val="Elision"/>
        </w:rPr>
        <w:t xml:space="preserve">[ … ]</w:t>
      </w:r>
      <w:r>
        <w:t xml:space="preserve"> </w:t>
      </w:r>
      <w:r>
        <w:t xml:space="preserve">They argue that in the interim between the bringing of the action and the filing of a motion to transfer it, the defendants may move their residence to, or, if corporations, may begin the transaction of business in, some other district, and, if such is done, the phrase "where it might have been brought" should be construed to empower the District Court to transfer the action, on motion of the defendants, to such other district; and that, similarly, if, as here, the defendants move to transfer the action to some other district and consent to submit to the jurisdiction of such other district, the latter district should be held one "in which the action might</w:t>
      </w:r>
      <w:r>
        <w:t xml:space="preserve"> </w:t>
      </w:r>
      <w:r>
        <w:rPr>
          <w:iCs/>
          <w:i/>
        </w:rPr>
        <w:t xml:space="preserve">then</w:t>
      </w:r>
      <w:r>
        <w:t xml:space="preserve"> </w:t>
      </w:r>
      <w:r>
        <w:t xml:space="preserve">have been brought."</w:t>
      </w:r>
      <w:r>
        <w:t xml:space="preserve"> </w:t>
      </w:r>
      <w:r>
        <w:rPr>
          <w:rStyle w:val="Elision"/>
        </w:rPr>
        <w:t xml:space="preserve">[ … ]</w:t>
      </w:r>
    </w:p>
    <w:p>
      <w:pPr>
        <w:pStyle w:val="CaseBody"/>
      </w:pPr>
      <w:r>
        <w:t xml:space="preserve">We do not agree.</w:t>
      </w:r>
      <w:r>
        <w:t xml:space="preserve"> </w:t>
      </w:r>
      <w:r>
        <w:rPr>
          <w:rStyle w:val="Elision"/>
        </w:rPr>
        <w:t xml:space="preserve">[ … ]</w:t>
      </w:r>
    </w:p>
    <w:p>
      <w:pPr>
        <w:pStyle w:val="CaseBody"/>
      </w:pPr>
      <w:r>
        <w:t xml:space="preserve">It is not to be doubted that the transferee courts, like every District Court, had jurisdiction to entertain actions of the character involved, but it is obvious that they did not acquire jurisdiction over these particular actions when they were brought in the transferor courts.</w:t>
      </w:r>
      <w:r>
        <w:t xml:space="preserve"> </w:t>
      </w:r>
      <w:r>
        <w:rPr>
          <w:rStyle w:val="FootnoteReference"/>
        </w:rPr>
        <w:footnoteReference w:customMarkFollows="1" w:id="73"/>
        <w:t xml:space="preserve">**</w:t>
      </w:r>
      <w:r>
        <w:t xml:space="preserve">The transferee courts could have acquired jurisdiction over these actions only if properly brought in those courts, or if validly transferred thereto under</w:t>
      </w:r>
      <w:r>
        <w:t xml:space="preserve"> </w:t>
      </w:r>
      <w:r>
        <w:rPr>
          <w:rStyle w:val="ReplacementText"/>
        </w:rPr>
        <w:t xml:space="preserve">[the transfer statutes]</w:t>
      </w:r>
      <w:r>
        <w:rPr>
          <w:rStyle w:val="FootnoteReference"/>
        </w:rPr>
        <w:footnoteReference w:customMarkFollows="1" w:id="105"/>
        <w:t xml:space="preserve">***</w:t>
      </w:r>
      <w:r>
        <w:t xml:space="preserve">. Of course, venue, like jurisdiction over the person, may be waived. A defendant, properly served with process by a court having subject matter jurisdiction, waives venue by failing seasonably to assert it, or even simply by making default.</w:t>
      </w:r>
      <w:r>
        <w:t xml:space="preserve"> </w:t>
      </w:r>
      <w:r>
        <w:rPr>
          <w:rStyle w:val="Elision"/>
        </w:rPr>
        <w:t xml:space="preserve">[ … ]</w:t>
      </w:r>
      <w:r>
        <w:t xml:space="preserve"> </w:t>
      </w:r>
      <w:r>
        <w:t xml:space="preserve">But the power of a District Court under</w:t>
      </w:r>
      <w:r>
        <w:t xml:space="preserve"> </w:t>
      </w:r>
      <w:r>
        <w:rPr>
          <w:rStyle w:val="ReplacementText"/>
        </w:rPr>
        <w:t xml:space="preserve">[the transfer statutes]</w:t>
      </w:r>
      <w:r>
        <w:t xml:space="preserve"> </w:t>
      </w:r>
      <w:r>
        <w:t xml:space="preserve">to transfer an action to another district is made to depend not upon the wish or waiver of the defendant but, rather, upon whether the transferee district was one</w:t>
      </w:r>
      <w:r>
        <w:t xml:space="preserve"> </w:t>
      </w:r>
      <w:r>
        <w:rPr>
          <w:rStyle w:val="Elision"/>
        </w:rPr>
        <w:t xml:space="preserve">[ … ]</w:t>
      </w:r>
      <w:r>
        <w:t xml:space="preserve"> </w:t>
      </w:r>
      <w:r>
        <w:t xml:space="preserve">in which the action "might have been brought" by the plaintiff.</w:t>
      </w:r>
    </w:p>
    <w:p>
      <w:pPr>
        <w:pStyle w:val="CaseBody"/>
      </w:pPr>
      <w:r>
        <w:t xml:space="preserve">The thesis urged by petitioners would not only do violence to the plain words of</w:t>
      </w:r>
      <w:r>
        <w:t xml:space="preserve"> </w:t>
      </w:r>
      <w:r>
        <w:rPr>
          <w:rStyle w:val="ReplacementText"/>
        </w:rPr>
        <w:t xml:space="preserve">[the transfer statutes]</w:t>
      </w:r>
      <w:r>
        <w:t xml:space="preserve">, but would also inject gross discrimination. That thesis, if adopted, would empower a District Court, upon a finding of convenience, to transfer an action to any district desired by the</w:t>
      </w:r>
      <w:r>
        <w:t xml:space="preserve"> </w:t>
      </w:r>
      <w:r>
        <w:rPr>
          <w:iCs/>
          <w:i/>
        </w:rPr>
        <w:t xml:space="preserve">defendants</w:t>
      </w:r>
      <w:r>
        <w:t xml:space="preserve"> </w:t>
      </w:r>
      <w:r>
        <w:t xml:space="preserve">and in which they were willing to waive their statutory defenses as to venue and jurisdiction over their persons, regardless of the fact that such transferee district was not one in which the action "might have been brought" by the plaintiff. Conversely, that thesis would not permit the court, upon motion of the</w:t>
      </w:r>
      <w:r>
        <w:t xml:space="preserve"> </w:t>
      </w:r>
      <w:r>
        <w:rPr>
          <w:iCs/>
          <w:i/>
        </w:rPr>
        <w:t xml:space="preserve">plaintiffs</w:t>
      </w:r>
      <w:r>
        <w:t xml:space="preserve"> </w:t>
      </w:r>
      <w:r>
        <w:t xml:space="preserve">and a like showing of convenience, to transfer the action to the same district, without the consent and waiver of venue and personal jurisdiction defenses by the defendants. Nothing in</w:t>
      </w:r>
      <w:r>
        <w:t xml:space="preserve"> </w:t>
      </w:r>
      <w:r>
        <w:rPr>
          <w:rStyle w:val="ReplacementText"/>
        </w:rPr>
        <w:t xml:space="preserve">[the transfer statutes]</w:t>
      </w:r>
      <w:r>
        <w:t xml:space="preserve">, or in</w:t>
      </w:r>
      <w:r>
        <w:t xml:space="preserve"> </w:t>
      </w:r>
      <w:r>
        <w:rPr>
          <w:rStyle w:val="ReplacementText"/>
        </w:rPr>
        <w:t xml:space="preserve">[their]</w:t>
      </w:r>
      <w:r>
        <w:t xml:space="preserve"> </w:t>
      </w:r>
      <w:r>
        <w:t xml:space="preserve">legislative history, suggests such a unilateral objective and we should not, under the guise of interpretation, ascribe to Congress any such discriminatory purpose.</w:t>
      </w:r>
    </w:p>
    <w:p>
      <w:pPr>
        <w:pStyle w:val="CaseBody"/>
      </w:pPr>
      <w:r>
        <w:rPr>
          <w:rStyle w:val="Elision"/>
        </w:rPr>
        <w:t xml:space="preserve">[ … ]</w:t>
      </w:r>
    </w:p>
    <w:p>
      <w:pPr>
        <w:pStyle w:val="CaseBody"/>
      </w:pPr>
      <w:r>
        <w:t xml:space="preserve">Inasmuch as the respondents (plaintiffs) did not have a right to bring these actions in the respective transferee districts, it follows that the judgments of the Court of Appeals were correct and must be</w:t>
      </w:r>
    </w:p>
    <w:p>
      <w:pPr>
        <w:pStyle w:val="CaseBody"/>
      </w:pPr>
      <w:r>
        <w:rPr>
          <w:iCs/>
          <w:i/>
        </w:rPr>
        <w:t xml:space="preserve">Affirmed.</w:t>
      </w:r>
    </w:p>
    <w:bookmarkEnd w:id="113"/>
    <w:bookmarkStart w:id="114" w:name="section-8"/>
    <w:p>
      <w:pPr>
        <w:pStyle w:val="Heading2"/>
      </w:pPr>
      <w:r>
        <w:rPr>
          <w:rStyle w:val="Elision"/>
        </w:rPr>
        <w:t xml:space="preserve">[ … ]</w:t>
      </w:r>
    </w:p>
    <w:bookmarkEnd w:id="114"/>
    <w:bookmarkStart w:id="115" w:name="section-9"/>
    <w:p>
      <w:pPr>
        <w:pStyle w:val="Heading2"/>
      </w:pPr>
      <w:r>
        <w:rPr>
          <w:rStyle w:val="Elision"/>
        </w:rPr>
        <w:t xml:space="preserve">[ … ]</w:t>
      </w:r>
    </w:p>
    <w:bookmarkEnd w:id="115"/>
    <w:bookmarkStart w:id="116" w:name="X3445e5ccd939f108e658ae8d2494b6a3813b0df"/>
    <w:p>
      <w:pPr>
        <w:pStyle w:val="Heading2"/>
      </w:pPr>
      <w:r>
        <w:t xml:space="preserve">[351] MR. JUSTICE FRANKFURTER, whom MR. JUSTICE HARLAN and MR. JUSTICE BRENNAN join, dissenting.</w:t>
      </w:r>
      <w:hyperlink w:anchor="X7a2fabc6e6e6001242290462d2411451e5b7abb">
        <w:r>
          <w:rPr>
            <w:rStyle w:val="Elision"/>
            <w:vertAlign w:val="superscript"/>
          </w:rPr>
          <w:t xml:space="preserve">[ … ]</w:t>
        </w:r>
      </w:hyperlink>
    </w:p>
    <w:p>
      <w:pPr>
        <w:pStyle w:val="CaseBody"/>
      </w:pPr>
      <w:r>
        <w:rPr>
          <w:rStyle w:val="Elision"/>
        </w:rPr>
        <w:t xml:space="preserve">[ … ]</w:t>
      </w:r>
      <w:r>
        <w:rPr>
          <w:rStyle w:val="FootnoteReference"/>
        </w:rPr>
        <w:footnoteReference w:customMarkFollows="1" w:id="125"/>
        <w:t xml:space="preserve">****</w:t>
      </w:r>
    </w:p>
    <w:p>
      <w:pPr>
        <w:pStyle w:val="CaseBody"/>
      </w:pPr>
      <w:r>
        <w:t xml:space="preserve">The terms of</w:t>
      </w:r>
      <w:r>
        <w:t xml:space="preserve"> </w:t>
      </w:r>
      <w:r>
        <w:rPr>
          <w:rStyle w:val="ReplacementText"/>
        </w:rPr>
        <w:t xml:space="preserve">[one of the transfer statutes]</w:t>
      </w:r>
      <w:r>
        <w:t xml:space="preserve"> </w:t>
      </w:r>
      <w:r>
        <w:t xml:space="preserve">are as follows:</w:t>
      </w:r>
    </w:p>
    <w:p>
      <w:pPr>
        <w:pStyle w:val="BlockText"/>
      </w:pPr>
      <w:r>
        <w:t xml:space="preserve">"For the convenience of parties and witnesses, in the interest of justice, a district court may transfer any civil action to any other district or division where it might have been brought."</w:t>
      </w:r>
    </w:p>
    <w:p>
      <w:pPr>
        <w:pStyle w:val="CaseBody"/>
      </w:pPr>
      <w:r>
        <w:t xml:space="preserve">The part of</w:t>
      </w:r>
      <w:r>
        <w:t xml:space="preserve"> </w:t>
      </w:r>
      <w:r>
        <w:rPr>
          <w:rStyle w:val="ReplacementText"/>
        </w:rPr>
        <w:t xml:space="preserve">[the transfer statutes]</w:t>
      </w:r>
      <w:r>
        <w:t xml:space="preserve"> </w:t>
      </w:r>
      <w:r>
        <w:t xml:space="preserve">the meaning of which is at issue here is its last phrase, "any other district or division where it [the action] might have been brought." The significance of this phrase is this: even though a place be found to be an overwhelmingly more appropriate forum from the standpoint of "convenience" and "justice," the litigation may not be sent to go forward there unless it is a</w:t>
      </w:r>
      <w:r>
        <w:t xml:space="preserve"> </w:t>
      </w:r>
      <w:r>
        <w:rPr>
          <w:rStyle w:val="Elision"/>
        </w:rPr>
        <w:t xml:space="preserve">[ … ]</w:t>
      </w:r>
      <w:r>
        <w:t xml:space="preserve"> </w:t>
      </w:r>
      <w:r>
        <w:t xml:space="preserve">place where the action "might have been brought." Upon the scope to be given this phrase thus depends almost entirely the effectiveness of</w:t>
      </w:r>
      <w:r>
        <w:rPr>
          <w:rStyle w:val="ReplacementText"/>
        </w:rPr>
        <w:t xml:space="preserve">[the transfer statutes]</w:t>
      </w:r>
      <w:r>
        <w:t xml:space="preserve"> </w:t>
      </w:r>
      <w:r>
        <w:t xml:space="preserve">to insure an appropriate place of trial, when the action is begun in an oppressive forum.</w:t>
      </w:r>
    </w:p>
    <w:p>
      <w:pPr>
        <w:pStyle w:val="CaseBody"/>
      </w:pPr>
      <w:r>
        <w:t xml:space="preserve">One would have to be singularly unmindful of the treachery and versatility of our language to deny that as a mere matter of English the words "where it might have been brought" may carry more than one meaning.</w:t>
      </w:r>
      <w:r>
        <w:t xml:space="preserve"> </w:t>
      </w:r>
      <w:r>
        <w:rPr>
          <w:rStyle w:val="Elision"/>
        </w:rPr>
        <w:t xml:space="preserve">[ … ]</w:t>
      </w:r>
      <w:r>
        <w:t xml:space="preserve"> </w:t>
      </w:r>
      <w:r>
        <w:t xml:space="preserve">As a matter of English alone, the phrase might just as well be thought to refer either to those places where the defendant "might have been" served with process, or to those places where the action "might have been brought" in light of the applicable venue provision, for those provisions speak generally of where actions "may be brought." Or the phrase may be thought as a matter of English alone to refer to those places where the action "might have been brought" in light of the applicable statute of limitations, or other provisions preventing a court from reaching the merits of the litigation.</w:t>
      </w:r>
      <w:r>
        <w:rPr>
          <w:rStyle w:val="Elision"/>
        </w:rPr>
        <w:t xml:space="preserve">[ … ]</w:t>
      </w:r>
      <w:hyperlink w:anchor="X19ab393e3be81ebd21a9516e5665e1de142ac7b">
        <w:r>
          <w:rPr>
            <w:rStyle w:val="Elision"/>
            <w:vertAlign w:val="superscript"/>
          </w:rPr>
          <w:t xml:space="preserve">[ … ]</w:t>
        </w:r>
      </w:hyperlink>
      <w:r>
        <w:t xml:space="preserve"> </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t xml:space="preserve">Surely, the Court creates its own verbal prison in holding that "the plain words" of</w:t>
      </w:r>
      <w:r>
        <w:t xml:space="preserve"> </w:t>
      </w:r>
      <w:r>
        <w:rPr>
          <w:rStyle w:val="ReplacementText"/>
        </w:rPr>
        <w:t xml:space="preserve">[the transfer statutes]</w:t>
      </w:r>
      <w:r>
        <w:t xml:space="preserve"> </w:t>
      </w:r>
      <w:r>
        <w:t xml:space="preserve">dictate that transfer may not be made in this case although transfer concededly was in the interest of "convenience" and "justice." Moreover, the Court, while finding the statutory words "plain," decides the case by applying, not the statutory language, but a formula of words found nowhere in the statute, namely, whether plaintiffs had "a right to bring these actions in the respective transferee districts." This is the Court's language, not that of Congress.</w:t>
      </w:r>
      <w:r>
        <w:t xml:space="preserve"> </w:t>
      </w:r>
      <w:r>
        <w:rPr>
          <w:rStyle w:val="Elision"/>
        </w:rPr>
        <w:t xml:space="preserve">[ … ]</w:t>
      </w:r>
    </w:p>
    <w:p>
      <w:pPr>
        <w:pStyle w:val="CaseBody"/>
      </w:pPr>
      <w:r>
        <w:rPr>
          <w:rStyle w:val="Elision"/>
        </w:rPr>
        <w:t xml:space="preserve">[ … ]</w:t>
      </w:r>
    </w:p>
    <w:p>
      <w:pPr>
        <w:pStyle w:val="CaseBody"/>
      </w:pPr>
      <w:r>
        <w:t xml:space="preserve">The transferee court in this case plainly had and has</w:t>
      </w:r>
      <w:r>
        <w:t xml:space="preserve"> </w:t>
      </w:r>
      <w:r>
        <w:t xml:space="preserve">jurisdiction</w:t>
      </w:r>
      <w:r>
        <w:t xml:space="preserve"> </w:t>
      </w:r>
      <w:r>
        <w:rPr>
          <w:rStyle w:val="FootnoteReference"/>
        </w:rPr>
        <w:footnoteReference w:customMarkFollows="1" w:id="136"/>
        <w:t xml:space="preserve">*****</w:t>
      </w:r>
      <w:r>
        <w:t xml:space="preserve">to adjudicate this action with the defendant's acquiescence.</w:t>
      </w:r>
      <w:r>
        <w:t xml:space="preserve"> </w:t>
      </w:r>
      <w:r>
        <w:rPr>
          <w:rStyle w:val="Elision"/>
        </w:rPr>
        <w:t xml:space="preserve">[ … ]</w:t>
      </w:r>
      <w:r>
        <w:rPr>
          <w:rStyle w:val="ReplacementText"/>
        </w:rPr>
        <w:t xml:space="preserve">[the transfer statutes]</w:t>
      </w:r>
      <w:r>
        <w:t xml:space="preserve"> </w:t>
      </w:r>
      <w:r>
        <w:t xml:space="preserve">A transfer can be made under</w:t>
      </w:r>
      <w:r>
        <w:t xml:space="preserve"> </w:t>
      </w:r>
      <w:r>
        <w:rPr>
          <w:rStyle w:val="ReplacementText"/>
        </w:rPr>
        <w:t xml:space="preserve">[the transfer statutes]</w:t>
      </w:r>
      <w:r>
        <w:t xml:space="preserve"> </w:t>
      </w:r>
      <w:r>
        <w:t xml:space="preserve">to a place where the action "might have been brought" only when "convenience" and "justice" so dictate, not whenever the defendant so moves. A legitimate objection by the plaintiff to proceeding in the transferee forum will presumably be reflected in a decision that</w:t>
      </w:r>
      <w:r>
        <w:t xml:space="preserve"> </w:t>
      </w:r>
      <w:r>
        <w:rPr>
          <w:rStyle w:val="Elision"/>
        </w:rPr>
        <w:t xml:space="preserve">[ … ]</w:t>
      </w:r>
      <w:r>
        <w:t xml:space="preserve"> </w:t>
      </w:r>
      <w:r>
        <w:t xml:space="preserve">the interest of justice does not require the transfer, and so it becomes irrelevant that the proposed place of transfer is deemed one where the action "might have been brought."</w:t>
      </w:r>
      <w:r>
        <w:t xml:space="preserve"> </w:t>
      </w:r>
      <w:r>
        <w:rPr>
          <w:rStyle w:val="Elision"/>
        </w:rPr>
        <w:t xml:space="preserve">[ … ]</w:t>
      </w:r>
    </w:p>
    <w:p>
      <w:pPr>
        <w:pStyle w:val="CaseBody"/>
      </w:pPr>
      <w:r>
        <w:rPr>
          <w:rStyle w:val="ReplacementText"/>
        </w:rPr>
        <w:t xml:space="preserve">T</w:t>
      </w:r>
    </w:p>
    <w:p>
      <w:pPr>
        <w:pStyle w:val="CaseBody"/>
      </w:pPr>
      <w:r>
        <w:rPr>
          <w:rStyle w:val="Elision"/>
        </w:rPr>
        <w:t xml:space="preserve">[ … ]</w:t>
      </w:r>
    </w:p>
    <w:p>
      <w:pPr>
        <w:pStyle w:val="CaseBody"/>
      </w:pPr>
      <w:r>
        <w:rPr>
          <w:rStyle w:val="ReplacementText"/>
        </w:rPr>
        <w:t xml:space="preserve">[the transfer statutes]</w:t>
      </w:r>
      <w:r>
        <w:rPr>
          <w:rStyle w:val="Elision"/>
        </w:rPr>
        <w:t xml:space="preserve">[ … ]</w:t>
      </w:r>
      <w:r>
        <w:rPr>
          <w:rStyle w:val="ReplacementText"/>
        </w:rPr>
        <w:t xml:space="preserve">the transfer statutes</w:t>
      </w:r>
    </w:p>
    <w:p>
      <w:pPr>
        <w:pStyle w:val="CaseBody"/>
      </w:pPr>
      <w:r>
        <w:rPr>
          <w:rStyle w:val="ReplacementText"/>
        </w:rPr>
        <w:t xml:space="preserve">the transfer statutes</w:t>
      </w:r>
      <w:r>
        <w:t xml:space="preserve">he doctrine of</w:t>
      </w:r>
      <w:r>
        <w:t xml:space="preserve"> </w:t>
      </w:r>
      <w:r>
        <w:rPr>
          <w:iCs/>
          <w:i/>
        </w:rPr>
        <w:t xml:space="preserve">forum non conveniens</w:t>
      </w:r>
      <w:r>
        <w:t xml:space="preserve"> </w:t>
      </w:r>
      <w:r>
        <w:t xml:space="preserve">"in accordance with" which</w:t>
      </w:r>
      <w:r>
        <w:t xml:space="preserve"> </w:t>
      </w:r>
      <w:r>
        <w:rPr>
          <w:rStyle w:val="ReplacementText"/>
        </w:rPr>
        <w:t xml:space="preserve">the transfer statutes were</w:t>
      </w:r>
      <w:r>
        <w:t xml:space="preserve"> </w:t>
      </w:r>
      <w:r>
        <w:t xml:space="preserve">drafted, also took into account the defendant's consent to proceed in another forum to which he was not obligated to submit.</w:t>
      </w:r>
      <w:r>
        <w:t xml:space="preserve"> </w:t>
      </w:r>
      <w:r>
        <w:rPr>
          <w:rStyle w:val="Elision"/>
        </w:rPr>
        <w:t xml:space="preserve">[ … ]</w:t>
      </w:r>
    </w:p>
    <w:p>
      <w:pPr>
        <w:pStyle w:val="CaseBody"/>
      </w:pPr>
      <w:hyperlink w:anchor="X7dbb4e63e7419d06a5a4366d1578d1b220970f6">
        <w:r>
          <w:rPr>
            <w:rStyle w:val="Elision"/>
          </w:rPr>
          <w:t xml:space="preserve">[ … ]</w:t>
        </w:r>
      </w:hyperlink>
    </w:p>
    <w:p>
      <w:pPr>
        <w:pStyle w:val="CaseBody"/>
      </w:pPr>
      <w:r>
        <w:rPr>
          <w:rStyle w:val="Elision"/>
        </w:rPr>
        <w:t xml:space="preserve">[ … ]</w:t>
      </w:r>
    </w:p>
    <w:p>
      <w:pPr>
        <w:pStyle w:val="BlockText"/>
      </w:pPr>
      <w:r>
        <w:rPr>
          <w:rStyle w:val="Elision"/>
        </w:rPr>
        <w:t xml:space="preserve">[ … ]</w:t>
      </w:r>
    </w:p>
    <w:bookmarkEnd w:id="116"/>
    <w:p>
      <w:pPr>
        <w:pStyle w:val="NodeEnd"/>
      </w:pPr>
      <w:r>
        <w:t xml:space="preserve"> </w:t>
      </w:r>
    </w:p>
    <w:p>
      <w:pPr>
        <w:pStyle w:val="NodeStart"/>
      </w:pPr>
      <w:r>
        <w:t xml:space="preserve"> </w:t>
      </w:r>
    </w:p>
    <w:p>
      <w:pPr>
        <w:pStyle w:val="HeadSeparator"/>
      </w:pPr>
      <w:r>
        <w:t xml:space="preserve"> </w:t>
      </w:r>
    </w:p>
    <w:bookmarkStart w:id="101" w:name="_auto_toc_101"/>
    <w:bookmarkEnd w:id="101"/>
    <w:p>
      <w:pPr>
        <w:pStyle w:val="ResourceNumber"/>
      </w:pPr>
      <w:r>
        <w:t xml:space="preserve">9.7</w:t>
      </w:r>
    </w:p>
    <w:p>
      <w:pPr>
        <w:pStyle w:val="ResourceTitle"/>
      </w:pPr>
      <w:r>
        <w:t xml:space="preserve">Van Dusen v. Barrack</w:t>
      </w:r>
    </w:p>
    <w:p>
      <w:pPr>
        <w:pStyle w:val="HeadFieldSeparator"/>
      </w:pPr>
      <w:r>
        <w:t xml:space="preserve"> </w:t>
      </w:r>
    </w:p>
    <w:p>
      <w:pPr>
        <w:pStyle w:val="ResourceHeadnote"/>
      </w:pPr>
      <w:r>
        <w:t xml:space="preserve">As a reminder, these are the four questions:</w:t>
      </w:r>
    </w:p>
    <w:p>
      <w:pPr>
        <w:pStyle w:val="ResourceHeadnote"/>
      </w:pPr>
      <w:r>
        <w:t xml:space="preserve">(1) Must the federal district court transfer or dismiss? The answer here is easy to state: A federal district court must dismiss if venue is improper or if it cannot exercise jurisdiction over the person/property (either one).</w:t>
      </w:r>
    </w:p>
    <w:p>
      <w:pPr>
        <w:pStyle w:val="ResourceHeadnote"/>
      </w:pPr>
      <w:r>
        <w:t xml:space="preserve">(2) May the federal court transfer, or must it dismiss? The answer depends on whether another federal district exists in which venue is proper and jurisdiction over the person/property is present. If so, the federal court may transfer. If not, it cannot do so; it must dismiss.</w:t>
      </w:r>
    </w:p>
    <w:p>
      <w:pPr>
        <w:pStyle w:val="ResourceHeadnote"/>
      </w:pPr>
      <w:r>
        <w:t xml:space="preserve">(3) If the federal court need not transfer (#1 is "no"), but may transfer (#2 is "yes"), should it transfer? The answer here is easy to state: apply the forum non conveniens analysis.</w:t>
      </w:r>
    </w:p>
    <w:p>
      <w:pPr>
        <w:pStyle w:val="ResourceHeadnote"/>
      </w:pPr>
      <w:r>
        <w:t xml:space="preserve">(4) If the federal court transfers, what consequences are there for the applicable law? The answer here is not easy to state. You need the Greiner Happy Court rule.</w:t>
      </w:r>
    </w:p>
    <w:p>
      <w:pPr>
        <w:pStyle w:val="ResourceHeadnote"/>
      </w:pPr>
      <w:r>
        <w:t xml:space="preserve">You also need to understand how the presence of a forum selection clause alters the answers to questions (3) and (4).</w:t>
      </w:r>
    </w:p>
    <w:p>
      <w:pPr>
        <w:pStyle w:val="ResourceHeadnote"/>
      </w:pPr>
      <w:r>
        <w:t xml:space="preserve">This case concerns question (4). In particular, it concerns the issue of horizontal choice of law in diversity cases.</w:t>
      </w:r>
    </w:p>
    <w:p>
      <w:pPr>
        <w:pStyle w:val="ResourceHeadnote"/>
      </w:pPr>
      <w:r>
        <w:t xml:space="preserve">By way of background for this case and the next two cases: one of the most hotly disputed issues in the history of the United States federal court system is what law should apply when a federal district court sits in diversity. Very generally speaking, the current rule is that the federal district court uses federal law for matters of procedure and state law for matters of substance. The rule was not always this way, but it is the rule now. Even under this current rule (federal law for procedure, state law for substance), we need to have some way to separate things into either "substance" or "procedure." This challenge is called "vertical choice of law," and the general area of law is called the "Erie doctrine." We will spend much of the next two class periods discussing precisely this matter. For now, however, all you need to know is two things:</w:t>
      </w:r>
    </w:p>
    <w:p>
      <w:pPr>
        <w:pStyle w:val="ResourceHeadnote"/>
      </w:pPr>
      <w:r>
        <w:t xml:space="preserve">First, the dividing line between "substance" and "procedure" for horizontal choice of law is different from the dividing line between "substance" and "procedure" for vertical choice of law/the Erie doctrine. Many things considered "procedural" in the horizontal context are considered "substantive" in the vertical context. One example is statutes of limitations. We will assume in this class that all limitations are procedural for horizontal purposes, but as we will learn in the next couple of class periods, limitations periods are substantive for vertical purposes (unless Congress passes a limitations period for state causes of action, which it hasn't so far).</w:t>
      </w:r>
    </w:p>
    <w:p>
      <w:pPr>
        <w:pStyle w:val="ResourceHeadnote"/>
      </w:pPr>
      <w:r>
        <w:t xml:space="preserve">Second, a federal court sitting in diversity uses the horizontal choice of law rules of the state in which it sits to resolve conflicts of state law.</w:t>
      </w:r>
      <w:r>
        <w:t xml:space="preserve"> </w:t>
      </w:r>
      <w:r>
        <w:rPr>
          <w:iCs/>
          <w:i/>
        </w:rPr>
        <w:t xml:space="preserve">Klaxon Company v. Stentor Electric Manufacturing Company</w:t>
      </w:r>
      <w:r>
        <w:t xml:space="preserve">, 313 U.S. 487 (1941). Thus, choice of law rules are substantive for vertical choice of law purposes: state law (not federal law) governs.</w:t>
      </w:r>
    </w:p>
    <w:p>
      <w:pPr>
        <w:pStyle w:val="ResourceHeadnote"/>
      </w:pPr>
      <w:r>
        <w:t xml:space="preserve">Now, recall the horizontal choice of law rule that a forum will always use its own law for matters of procedure, such as limitations periods.</w:t>
      </w:r>
    </w:p>
    <w:p>
      <w:pPr>
        <w:pStyle w:val="ResourceHeadnote"/>
      </w:pPr>
      <w:r>
        <w:t xml:space="preserve">Putting all of this together, we have the following rule: a federal court sitting in diversity will apply the choice of law rules of the state in which it sits. As just stated, we will assume in this course that limitations periods are always procedural for horizontal purposes (which is almost always true in the real world). Ergo, a federal court sitting in diversity will apply the limitations period of the state in which it sits.</w:t>
      </w:r>
    </w:p>
    <w:p>
      <w:pPr>
        <w:pStyle w:val="ResourceHeadnote"/>
      </w:pPr>
      <w:r>
        <w:t xml:space="preserve">The problem then arises: when there is a transfer, which state supplies the limitations period, the transferor court's state or the transferee court's state? This case (in summary form only) and the two cases after it concern this question.</w:t>
      </w:r>
    </w:p>
    <w:p>
      <w:pPr>
        <w:pStyle w:val="HeadEnd"/>
      </w:pPr>
      <w:r>
        <w:t xml:space="preserve"> </w:t>
      </w:r>
    </w:p>
    <w:p>
      <w:pPr>
        <w:pStyle w:val="BodyText"/>
      </w:pPr>
      <w:r>
        <w:t xml:space="preserve">In</w:t>
      </w:r>
      <w:r>
        <w:t xml:space="preserve"> </w:t>
      </w:r>
      <w:r>
        <w:rPr>
          <w:iCs/>
          <w:i/>
        </w:rPr>
        <w:t xml:space="preserve">Van Dusen v. Barrack</w:t>
      </w:r>
      <w:r>
        <w:t xml:space="preserve">, the Supreme Court considered which state law to apply when a court sitting in diversity transfers a case to a district in another state. The court held that if venue is proper in the transferor court, and if the transferor court had personal jurisdiction, and if the defendant (not the plaintiff or the court sua sponte) requested the transfer, then the choice of law rules and analysis of the transferor court's state govern.  Under these circumstances, the Court reasoned, the transfer should only change the physical location of the courtroom. It should not change the law being applied from one state's to another's.</w:t>
      </w:r>
    </w:p>
    <w:p>
      <w:pPr>
        <w:pStyle w:val="NodeEnd"/>
      </w:pPr>
      <w:r>
        <w:t xml:space="preserve"> </w:t>
      </w:r>
    </w:p>
    <w:p>
      <w:pPr>
        <w:pStyle w:val="NodeStart"/>
      </w:pPr>
      <w:r>
        <w:t xml:space="preserve"> </w:t>
      </w:r>
    </w:p>
    <w:p>
      <w:pPr>
        <w:pStyle w:val="HeadSeparator"/>
      </w:pPr>
      <w:r>
        <w:t xml:space="preserve"> </w:t>
      </w:r>
    </w:p>
    <w:bookmarkStart w:id="102" w:name="_auto_toc_102"/>
    <w:bookmarkEnd w:id="102"/>
    <w:p>
      <w:pPr>
        <w:pStyle w:val="ResourceNumber"/>
      </w:pPr>
      <w:r>
        <w:t xml:space="preserve">9.8</w:t>
      </w:r>
    </w:p>
    <w:p>
      <w:pPr>
        <w:pStyle w:val="ResourceTitle"/>
      </w:pPr>
      <w:r>
        <w:t xml:space="preserve">Ferens v. John Deere Co.</w:t>
      </w:r>
    </w:p>
    <w:p>
      <w:pPr>
        <w:pStyle w:val="HeadFieldSeparator"/>
      </w:pPr>
      <w:r>
        <w:t xml:space="preserve"> </w:t>
      </w:r>
    </w:p>
    <w:p>
      <w:pPr>
        <w:pStyle w:val="ResourceHeadnote"/>
      </w:pPr>
      <w:r>
        <w:t xml:space="preserve">In the previous case,</w:t>
      </w:r>
      <w:r>
        <w:t xml:space="preserve"> </w:t>
      </w:r>
      <w:r>
        <w:rPr>
          <w:iCs/>
          <w:i/>
        </w:rPr>
        <w:t xml:space="preserve">Van Dusen</w:t>
      </w:r>
      <w:r>
        <w:t xml:space="preserve">, the Supreme Court held that</w:t>
      </w:r>
      <w:r>
        <w:t xml:space="preserve"> </w:t>
      </w:r>
      <w:r>
        <w:t xml:space="preserve">if venue is proper in the transferor court, and if the transferor court had personal jurisdiction, and if the defendant (not the plaintiff or the court sua sponte) requested the transfer, then the choice of law rules and analysis of the transferor court's state govern in a diversity case.</w:t>
      </w:r>
    </w:p>
    <w:p>
      <w:pPr>
        <w:pStyle w:val="ResourceHeadnote"/>
      </w:pPr>
      <w:r>
        <w:t xml:space="preserve">What happens when venue is proper in the transferor court, and the transferor court has personal jurisdiction, but the plaintiff (not the defendant, nor the court sua sponte) requests the transfer? Should the choice of law rules and analysis of the transferor court still govern?</w:t>
      </w:r>
    </w:p>
    <w:p>
      <w:pPr>
        <w:pStyle w:val="ResourceHeadnote"/>
      </w:pPr>
      <w:r>
        <w:t xml:space="preserve">You may be thinking: why would a plaintiff file a diversity lawsuit in a federal court in State A and then request a transfer to a federal court in State B? Read on.</w:t>
      </w:r>
    </w:p>
    <w:p>
      <w:pPr>
        <w:pStyle w:val="HeadEnd"/>
      </w:pPr>
      <w:r>
        <w:t xml:space="preserve"> </w:t>
      </w:r>
    </w:p>
    <w:p>
      <w:pPr>
        <w:pStyle w:val="BodyText"/>
      </w:pPr>
      <w:r>
        <w:t xml:space="preserve">In this case, the Supreme Court applied the rule from</w:t>
      </w:r>
      <w:r>
        <w:t xml:space="preserve"> </w:t>
      </w:r>
      <w:r>
        <w:rPr>
          <w:iCs/>
          <w:i/>
        </w:rPr>
        <w:t xml:space="preserve">Van Dusen</w:t>
      </w:r>
      <w:r>
        <w:t xml:space="preserve"> to a plaintiff-initiated transfer.</w:t>
      </w:r>
    </w:p>
    <w:p>
      <w:pPr>
        <w:pStyle w:val="BodyText"/>
      </w:pPr>
      <w:r>
        <w:t xml:space="preserve">Ferens was a Pennsylvania citizen who lost his hand in a John Deere harvester he was using in Pennsylvania. John Deere was a Delaware corporation with its principal place of business in Mississippi.  Ferens wanted to bring two causes of action:</w:t>
      </w:r>
    </w:p>
    <w:p>
      <w:pPr>
        <w:pStyle w:val="BodyText"/>
      </w:pPr>
      <w:r>
        <w:t xml:space="preserve">1) Breach of contract:  Ferens bought the harvester from John Deere. He therefore could sue for breach of contract, alleging the existence of some defect in the harvester that violated some provision (perhaps an implied warranty of fitness) in his (written) purchase contract.  Breach of a written contract limitations periods are typically long, sometimes decades long.  At the time he contemplated his lawsuit, Ferens was easily within the breach of a written contract limitations periods of both Pennsylvania and Mississippi.</w:t>
      </w:r>
    </w:p>
    <w:p>
      <w:pPr>
        <w:pStyle w:val="BodyText"/>
      </w:pPr>
      <w:r>
        <w:t xml:space="preserve">2) Products liability/tort: Ferens could sue for products liability or negligence or some consumer-product tort theory.  Tort limitations periods are sometimes short.  Pennsylvania's applicable tort limitations period was two years, but Mississippi's was six years.  At the time Ferens contemplated filing his lawsuit, Pennsylvania's two-year period had lapsed, but not Mississippi's six-year period.</w:t>
      </w:r>
    </w:p>
    <w:p>
      <w:pPr>
        <w:pStyle w:val="BodyText"/>
      </w:pPr>
      <w:r>
        <w:t xml:space="preserve">In the third year following his injury, Ferens filed two lawsuits.</w:t>
      </w:r>
    </w:p>
    <w:p>
      <w:pPr>
        <w:pStyle w:val="BodyText"/>
      </w:pPr>
      <w:r>
        <w:rPr>
          <w:bCs/>
          <w:b/>
        </w:rPr>
        <w:t xml:space="preserve">Lawsuit 1</w:t>
      </w:r>
      <w:r>
        <w:t xml:space="preserve">: Ferens filed a diversity lawsuit in the United States District Court for the Eastern District of Pennsylvania asserting his contract/warranty claims. That court had jurisdiction because John Deere had sold Ferens the harvester there.  Venue was proper under 1392(b)(2). These breach of a written contract claims were not time-barred in Pennsylvania.</w:t>
      </w:r>
    </w:p>
    <w:p>
      <w:pPr>
        <w:pStyle w:val="BodyText"/>
      </w:pPr>
      <w:r>
        <w:rPr>
          <w:bCs/>
          <w:b/>
        </w:rPr>
        <w:t xml:space="preserve">Lawsuit 2</w:t>
      </w:r>
      <w:r>
        <w:t xml:space="preserve">: Ferens filed his tort (products liability) claims in the United States District Court for the District of Mississippi.  This was, again, a diversity case.  That court had personal jurisdiction because John Deere's principal place of business was in Mississippi.  Venue was proper under 1392(b)(1).  Those claims were not time-barred under Mississippi's limitations period.</w:t>
      </w:r>
    </w:p>
    <w:p>
      <w:pPr>
        <w:pStyle w:val="BodyText"/>
      </w:pPr>
      <w:r>
        <w:t xml:space="preserve">Ferens did not want to litigate two lawsuits over the same injury in two locations. John Deere probably did not particularly want to either.  In any event, Ferens moved to transfer his Mississippi lawsuit to Pennsylvania. The Mississippi federal court granted the transfer.  John Deere then moved to dismiss the tort claims, arguing that because the plaintiff, not the defendant, had requested the transfer, the</w:t>
      </w:r>
      <w:r>
        <w:t xml:space="preserve"> </w:t>
      </w:r>
      <w:r>
        <w:rPr>
          <w:iCs/>
          <w:i/>
        </w:rPr>
        <w:t xml:space="preserve">Van Dusen</w:t>
      </w:r>
      <w:r>
        <w:t xml:space="preserve"> </w:t>
      </w:r>
      <w:r>
        <w:t xml:space="preserve">rule did not apply.  Instead, John Deere argued, when a plaintiff requests a transfer in a diversity case, the horizontal choice of law rules of the transferee court should apply, just as they would if the plaintiff had filed there without a transfer.  Under Pennsylvania's choice of law rules, the two-year Pennsylvania tort limitations period would apply, making Ferens' tort claims untimely.</w:t>
      </w:r>
    </w:p>
    <w:p>
      <w:pPr>
        <w:pStyle w:val="BodyText"/>
      </w:pPr>
      <w:r>
        <w:t xml:space="preserve">The Supreme Court held that the rule in</w:t>
      </w:r>
      <w:r>
        <w:t xml:space="preserve"> </w:t>
      </w:r>
      <w:r>
        <w:rPr>
          <w:iCs/>
          <w:i/>
        </w:rPr>
        <w:t xml:space="preserve">Van Dusen</w:t>
      </w:r>
      <w:r>
        <w:t xml:space="preserve"> </w:t>
      </w:r>
      <w:r>
        <w:t xml:space="preserve">applied regardless of who initiated the transfer. Thus,</w:t>
      </w:r>
      <w:r>
        <w:t xml:space="preserve"> </w:t>
      </w:r>
      <w:r>
        <w:t xml:space="preserve">if venue is proper in the transferor court, and if the transferor court has personal jurisdiction, then the choice of law rules and analysis of the transferor court's state govern in a diversity case.</w:t>
      </w:r>
    </w:p>
    <w:p>
      <w:pPr>
        <w:pStyle w:val="BodyText"/>
      </w:pPr>
      <w:r>
        <w:t xml:space="preserve">[This is half of what we will call the "Greiner Happy Court rule."]</w:t>
      </w:r>
    </w:p>
    <w:p>
      <w:pPr>
        <w:pStyle w:val="NodeEnd"/>
      </w:pPr>
      <w:r>
        <w:t xml:space="preserve"> </w:t>
      </w:r>
    </w:p>
    <w:p>
      <w:pPr>
        <w:pStyle w:val="NodeStart"/>
      </w:pPr>
      <w:r>
        <w:t xml:space="preserve"> </w:t>
      </w:r>
    </w:p>
    <w:p>
      <w:pPr>
        <w:pStyle w:val="HeadSeparator"/>
      </w:pPr>
      <w:r>
        <w:t xml:space="preserve"> </w:t>
      </w:r>
    </w:p>
    <w:bookmarkStart w:id="103" w:name="_auto_toc_103"/>
    <w:bookmarkEnd w:id="103"/>
    <w:p>
      <w:pPr>
        <w:pStyle w:val="ResourceNumber"/>
      </w:pPr>
      <w:r>
        <w:t xml:space="preserve">9.9</w:t>
      </w:r>
    </w:p>
    <w:p>
      <w:pPr>
        <w:pStyle w:val="ResourceTitle"/>
      </w:pPr>
      <w:r>
        <w:t xml:space="preserve">Atlantic Marine Construction Co., Inc. v. U.S. District Court for the Western District of Texas</w:t>
      </w:r>
    </w:p>
    <w:p>
      <w:pPr>
        <w:pStyle w:val="HeadFieldSeparator"/>
      </w:pPr>
      <w:r>
        <w:t xml:space="preserve"> </w:t>
      </w:r>
    </w:p>
    <w:p>
      <w:pPr>
        <w:pStyle w:val="ResourceHeadnote"/>
      </w:pPr>
      <w:r>
        <w:t xml:space="preserve">As a reminder, these are the four questions:</w:t>
      </w:r>
    </w:p>
    <w:p>
      <w:pPr>
        <w:pStyle w:val="ResourceHeadnote"/>
      </w:pPr>
      <w:r>
        <w:t xml:space="preserve">(1) Must the federal district court transfer or dismiss? The answer here is easy to state: A federal district court must dismiss if venue is improper or if it cannot exercise jurisdiction over the person/property (either one).</w:t>
      </w:r>
    </w:p>
    <w:p>
      <w:pPr>
        <w:pStyle w:val="ResourceHeadnote"/>
      </w:pPr>
      <w:r>
        <w:t xml:space="preserve">(2) May the federal court transfer, or must it dismiss? The answer depends on whether another federal district exists in which venue is proper and jurisdiction over the person/property is present. If so, the federal court may transfer. If not, it cannot do so; it must dismiss.</w:t>
      </w:r>
    </w:p>
    <w:p>
      <w:pPr>
        <w:pStyle w:val="ResourceHeadnote"/>
      </w:pPr>
      <w:r>
        <w:t xml:space="preserve">(3) If the federal court need not transfer (#1 is "no"), but may transfer (#2 is "yes"), should it transfer? The answer here is easy to state: apply the forum non conveniens analysis.</w:t>
      </w:r>
    </w:p>
    <w:p>
      <w:pPr>
        <w:pStyle w:val="ResourceHeadnote"/>
      </w:pPr>
      <w:r>
        <w:t xml:space="preserve">(4) If the federal court transfers, what consequences are there for the applicable law? The answer here is not easy to state. You need the Greiner Happy Court rule.</w:t>
      </w:r>
    </w:p>
    <w:p>
      <w:pPr>
        <w:pStyle w:val="ResourceHeadnote"/>
      </w:pPr>
      <w:r>
        <w:t xml:space="preserve">This case concerns questions (3) and (4). In particular, it concerns the issue of horizontal choice of law in diversity cases after a transfer when the parties have a contract that includes a forum selection clause.</w:t>
      </w:r>
    </w:p>
    <w:p>
      <w:pPr>
        <w:pStyle w:val="ResourceHeadnote"/>
      </w:pPr>
      <w:r>
        <w:t xml:space="preserve">By way of first reminder, recall the basic structure of the answer to question (3): unless the plaintiff is from outside the United States, presume that the plaintiff's choice of forum should be honored, then apply the public interest factors and the private interest factors from forum non conveniens to see if they outweigh this presumption.</w:t>
      </w:r>
    </w:p>
    <w:p>
      <w:pPr>
        <w:pStyle w:val="ResourceHeadnote"/>
      </w:pPr>
      <w:r>
        <w:t xml:space="preserve">By way of second reminder, remember the Greiner Happy Court rule:</w:t>
      </w:r>
    </w:p>
    <w:p>
      <w:pPr>
        <w:pStyle w:val="ResourceHeadnote"/>
      </w:pPr>
      <w:r>
        <w:t xml:space="preserve">1) If a transferor court in a diversity case has personal jurisdiction and venue is proper there, then we say that the transferor court is "happy." In that circumstance, the horizontal choice of law rules and analysis of the transferor court's state apply to the case now being litigated in the transferee court.</w:t>
      </w:r>
    </w:p>
    <w:p>
      <w:pPr>
        <w:pStyle w:val="ResourceHeadnote"/>
      </w:pPr>
      <w:r>
        <w:t xml:space="preserve">2) If in a diversity case either the transferor court lacks personal jurisdiction or venue is improper, then we say that the transferor court is "unhappy." In that circumstance, the horizontal choice of law rules and analysis of the transferee court's state apply.</w:t>
      </w:r>
    </w:p>
    <w:p>
      <w:pPr>
        <w:pStyle w:val="ResourceHeadnote"/>
      </w:pPr>
      <w:r>
        <w:t xml:space="preserve">But: what happens when the parties to the lawsuit have a contract with a forum selection clause? This case holds that two aspects of the answer to question (3) and one aspect of the answer to question (4) change.</w:t>
      </w:r>
    </w:p>
    <w:p>
      <w:pPr>
        <w:pStyle w:val="HeadEnd"/>
      </w:pPr>
      <w:r>
        <w:t xml:space="preserve"> </w:t>
      </w:r>
    </w:p>
    <w:p>
      <w:pPr>
        <w:pStyle w:val="BodyText"/>
      </w:pPr>
      <w:r>
        <w:t xml:space="preserve">134 S.Ct. 568</w:t>
      </w:r>
    </w:p>
    <w:p>
      <w:pPr>
        <w:pStyle w:val="BodyText"/>
      </w:pPr>
      <w:r>
        <w:t xml:space="preserve">Supreme Court of the United States</w:t>
      </w:r>
    </w:p>
    <w:p>
      <w:pPr>
        <w:pStyle w:val="BodyText"/>
      </w:pPr>
      <w:r>
        <w:t xml:space="preserve">ATLANTIC MARINE CONSTRUCTION COMPANY, INC., Petitioner</w:t>
      </w:r>
    </w:p>
    <w:p>
      <w:pPr>
        <w:pStyle w:val="BodyText"/>
      </w:pPr>
      <w:r>
        <w:t xml:space="preserve">v.</w:t>
      </w:r>
    </w:p>
    <w:p>
      <w:pPr>
        <w:pStyle w:val="BodyText"/>
      </w:pPr>
      <w:r>
        <w:t xml:space="preserve">UNITED STATES DISTRICT COURT FOR the WESTERN DISTRICT OF TEXAS et al.</w:t>
      </w:r>
    </w:p>
    <w:p>
      <w:pPr>
        <w:pStyle w:val="BodyText"/>
      </w:pPr>
      <w:r>
        <w:t xml:space="preserve">Decided December 3, 2013</w:t>
      </w:r>
    </w:p>
    <w:p>
      <w:pPr>
        <w:pStyle w:val="BodyText"/>
      </w:pPr>
      <w:r>
        <w:t xml:space="preserve">Justice</w:t>
      </w:r>
      <w:r>
        <w:t xml:space="preserve"> </w:t>
      </w:r>
      <w:hyperlink r:id="rId117">
        <w:r>
          <w:rPr>
            <w:rStyle w:val="Hyperlink"/>
          </w:rPr>
          <w:t xml:space="preserve">ALITO</w:t>
        </w:r>
      </w:hyperlink>
      <w:r>
        <w:t xml:space="preserve"> </w:t>
      </w:r>
      <w:r>
        <w:t xml:space="preserve">delivered the opinion of the Court.</w:t>
      </w:r>
    </w:p>
    <w:bookmarkStart w:id="121" w:name="Xf6923df79d5aae6c5544dfcfc1a07cda9daaadd"/>
    <w:p>
      <w:pPr>
        <w:pStyle w:val="BodyText"/>
      </w:pPr>
      <w:r>
        <w:t xml:space="preserve">The question in this case concerns the procedure that is available for a defendant in a civil case who seeks to enforce a forum-selection clause. We reject petitioner's argument that such a clause may be enforced by a motion to dismiss under</w:t>
      </w:r>
      <w:r>
        <w:t xml:space="preserve"> </w:t>
      </w:r>
      <w:hyperlink r:id="rId118">
        <w:r>
          <w:rPr>
            <w:rStyle w:val="ReplacementText"/>
          </w:rPr>
          <w:t xml:space="preserve">[one of the transfer statutes]</w:t>
        </w:r>
      </w:hyperlink>
      <w:r>
        <w:t xml:space="preserve"> </w:t>
      </w:r>
      <w:r>
        <w:t xml:space="preserve">or</w:t>
      </w:r>
      <w:r>
        <w:t xml:space="preserve"> </w:t>
      </w:r>
      <w:hyperlink r:id="rId119">
        <w:r>
          <w:rPr>
            <w:rStyle w:val="Hyperlink"/>
          </w:rPr>
          <w:t xml:space="preserve">Rule 12(b)(3) of the Federal Rules of Civil Procedure</w:t>
        </w:r>
      </w:hyperlink>
      <w:r>
        <w:t xml:space="preserve">. Instead, a forum-selection clause may be enforced by a motion to transfer under</w:t>
      </w:r>
      <w:r>
        <w:t xml:space="preserve"> </w:t>
      </w:r>
      <w:hyperlink r:id="rId120">
        <w:r>
          <w:rPr>
            <w:rStyle w:val="ReplacementText"/>
          </w:rPr>
          <w:t xml:space="preserve">[one of the other transfer statutes]</w:t>
        </w:r>
      </w:hyperlink>
      <w:r>
        <w:t xml:space="preserve"> </w:t>
      </w:r>
      <w:r>
        <w:rPr>
          <w:rStyle w:val="Elision"/>
        </w:rPr>
        <w:t xml:space="preserve">[ … ]</w:t>
      </w:r>
      <w:r>
        <w:rPr>
          <w:rStyle w:val="Elision"/>
        </w:rPr>
        <w:t xml:space="preserve">[ … ]</w:t>
      </w:r>
      <w:r>
        <w:t xml:space="preserve"> </w:t>
      </w:r>
      <w:r>
        <w:t xml:space="preserve">When a defendant files such a motion, we conclude, a district court should transfer the case unless extraordinary circumstances unrelated to the convenience of the parties clearly disfavor a transfer. In the present case, both the District Court and the Court of Appeals misunderstood the standards to be applied in adjudicating a</w:t>
      </w:r>
      <w:r>
        <w:rPr>
          <w:rStyle w:val="ReplacementText"/>
        </w:rPr>
        <w:t xml:space="preserve">motion under the transfer statutes</w:t>
      </w:r>
      <w:r>
        <w:t xml:space="preserve"> </w:t>
      </w:r>
      <w:r>
        <w:t xml:space="preserve">in a case involving a forum-selection clause, and we therefore reverse the judgment below.</w:t>
      </w:r>
    </w:p>
    <w:bookmarkEnd w:id="121"/>
    <w:bookmarkStart w:id="130" w:name="X0faecb931b81a2cb011df230d53ef51411429e4"/>
    <w:p>
      <w:pPr>
        <w:pStyle w:val="BodyText"/>
      </w:pPr>
      <w:r>
        <w:t xml:space="preserve">I</w:t>
      </w:r>
    </w:p>
    <w:bookmarkStart w:id="123" w:name="Xddc3560bdb9d6e60ce332de79c2ab0e509b4a83"/>
    <w:p>
      <w:pPr>
        <w:pStyle w:val="BodyText"/>
      </w:pPr>
      <w:r>
        <w:t xml:space="preserve">Petitioner Atlantic Marine Construction Co., a Virginia corporation with its principal place of business in Virginia,</w:t>
      </w:r>
      <w:r>
        <w:t xml:space="preserve"> </w:t>
      </w:r>
      <w:bookmarkStart w:id="122" w:name="X88ddf73bb3f8ad447213bcf9bdf0eb9da900d90"/>
      <w:r>
        <w:t xml:space="preserve">*53</w:t>
      </w:r>
      <w:bookmarkEnd w:id="122"/>
      <w:r>
        <w:t xml:space="preserve"> </w:t>
      </w:r>
      <w:r>
        <w:t xml:space="preserve">entered into a contract with the United States Army Corps of Engineers to construct a child-development center at Fort Hood in the Western District of Texas. Atlantic Marine then entered into a subcontract with respondent J–Crew Management, Inc., a Texas corporation, for work on the project. This subcontract included a forum-selection clause, which stated that all disputes between the parties “ ‘shall be litigated in the Circuit Court for the City of Norfolk, Virginia, or the United States District Court for the Eastern District of Virginia, Norfolk Division.’ ”</w:t>
      </w:r>
      <w:r>
        <w:rPr>
          <w:rStyle w:val="Elision"/>
        </w:rPr>
        <w:t xml:space="preserve">[ … ]</w:t>
      </w:r>
    </w:p>
    <w:bookmarkEnd w:id="123"/>
    <w:p>
      <w:pPr>
        <w:pStyle w:val="BodyText"/>
      </w:pPr>
      <w:bookmarkStart w:id="124" w:name="Xd8c96789ba33809bbf3c661aac436ed411c377d"/>
      <w:r>
        <w:t xml:space="preserve">**576</w:t>
      </w:r>
      <w:bookmarkEnd w:id="124"/>
      <w:r>
        <w:t xml:space="preserve"> </w:t>
      </w:r>
      <w:r>
        <w:t xml:space="preserve">When a dispute about payment under the subcontract arose, however, J–Crew sued Atlantic Marine in the Western District of Texas, invoking that court's diversity jurisdiction. Atlantic Marine moved to dismiss the suit, arguing that the forum-selection clause rendered venue in the Western District of Texas “wrong” under</w:t>
      </w:r>
      <w:r>
        <w:t xml:space="preserve"> </w:t>
      </w:r>
      <w:hyperlink r:id="rId118">
        <w:r>
          <w:rPr>
            <w:rStyle w:val="ReplacementText"/>
          </w:rPr>
          <w:t xml:space="preserve">[one of the transfer statutes]</w:t>
        </w:r>
      </w:hyperlink>
      <w:r>
        <w:t xml:space="preserve"> </w:t>
      </w:r>
      <w:r>
        <w:t xml:space="preserve">and “improper” under</w:t>
      </w:r>
      <w:r>
        <w:t xml:space="preserve"> </w:t>
      </w:r>
      <w:hyperlink r:id="rId119">
        <w:r>
          <w:rPr>
            <w:rStyle w:val="Hyperlink"/>
          </w:rPr>
          <w:t xml:space="preserve">Federal Rule of Civil Procedure 12(b)(3)</w:t>
        </w:r>
      </w:hyperlink>
      <w:r>
        <w:t xml:space="preserve">. In the alternative, Atlantic Marine moved to transfer the case to the Eastern District of Virginia under</w:t>
      </w:r>
      <w:r>
        <w:t xml:space="preserve"> </w:t>
      </w:r>
      <w:hyperlink r:id="rId120">
        <w:r>
          <w:rPr>
            <w:rStyle w:val="ReplacementText"/>
          </w:rPr>
          <w:t xml:space="preserve">[a different transfer statute]</w:t>
        </w:r>
      </w:hyperlink>
      <w:r>
        <w:t xml:space="preserve">. J–Crew opposed these motions.</w:t>
      </w:r>
    </w:p>
    <w:p>
      <w:pPr>
        <w:pStyle w:val="BodyText"/>
      </w:pPr>
      <w:r>
        <w:t xml:space="preserve">The District Court denied both motions. It first concluded that</w:t>
      </w:r>
      <w:r>
        <w:t xml:space="preserve"> </w:t>
      </w:r>
      <w:hyperlink r:id="rId120">
        <w:r>
          <w:rPr>
            <w:rStyle w:val="ReplacementText"/>
          </w:rPr>
          <w:t xml:space="preserve">[the transfer statutes are]</w:t>
        </w:r>
      </w:hyperlink>
      <w:r>
        <w:t xml:space="preserve"> </w:t>
      </w:r>
      <w:r>
        <w:t xml:space="preserve">the exclusive mechanism for enforcing a forum-selection clause that points to another federal forum. The District Court then held that Atlantic Marine bore the burden of establishing that a transfer would be appropriate under</w:t>
      </w:r>
      <w:r>
        <w:t xml:space="preserve"> </w:t>
      </w:r>
      <w:hyperlink r:id="rId120">
        <w:r>
          <w:rPr>
            <w:rStyle w:val="ReplacementText"/>
          </w:rPr>
          <w:t xml:space="preserve">[the transfer statutes]</w:t>
        </w:r>
      </w:hyperlink>
      <w:r>
        <w:t xml:space="preserve"> </w:t>
      </w:r>
      <w:r>
        <w:t xml:space="preserve">and that the court would “consider a nonexhaustive and nonexclusive list of public and private interest factors,” of which the “forum-selection clause [was] only one such factor.”</w:t>
      </w:r>
      <w:r>
        <w:t xml:space="preserve"> </w:t>
      </w:r>
      <w:hyperlink r:id="rId125">
        <w:r>
          <w:rPr>
            <w:rStyle w:val="Elision"/>
            <w:iCs/>
            <w:i/>
          </w:rPr>
          <w:t xml:space="preserve">[ … ]</w:t>
        </w:r>
      </w:hyperlink>
      <w:r>
        <w:t xml:space="preserve"> </w:t>
      </w:r>
      <w:r>
        <w:t xml:space="preserve">Giving particular weight to its findings that “compulsory process will not be available for the majority of J–Crew's witnesses” and that there would be “significant expense for those willing witnesses,” the District Court held that Atlantic Marine had failed to carry its</w:t>
      </w:r>
      <w:r>
        <w:t xml:space="preserve"> </w:t>
      </w:r>
      <w:bookmarkStart w:id="126" w:name="X47ad0b309072f33dd5cfeff14e6fa52417dde85"/>
      <w:r>
        <w:t xml:space="preserve">*54</w:t>
      </w:r>
      <w:bookmarkEnd w:id="126"/>
      <w:r>
        <w:t xml:space="preserve"> </w:t>
      </w:r>
      <w:r>
        <w:t xml:space="preserve">burden of showing that transfer “would be in the interest of justice or increase the convenience to the parties and their witnesses.”</w:t>
      </w:r>
      <w:r>
        <w:t xml:space="preserve"> </w:t>
      </w:r>
      <w:hyperlink r:id="rId127">
        <w:r>
          <w:rPr>
            <w:rStyle w:val="Elision"/>
            <w:iCs/>
            <w:i/>
          </w:rPr>
          <w:t xml:space="preserve">[ … ]</w:t>
        </w:r>
      </w:hyperlink>
    </w:p>
    <w:p>
      <w:pPr>
        <w:pStyle w:val="BodyText"/>
      </w:pPr>
      <w:r>
        <w:t xml:space="preserve">Atlantic Marine petitioned the Court of Appeals for a writ of mandamus directing the District Court to</w:t>
      </w:r>
      <w:r>
        <w:t xml:space="preserve"> </w:t>
      </w:r>
      <w:r>
        <w:rPr>
          <w:rStyle w:val="ReplacementText"/>
        </w:rPr>
        <w:t xml:space="preserve">[either dismiss or transfer the case to the Eastern District of Virginia under the transfer statutes]</w:t>
      </w:r>
      <w:r>
        <w:t xml:space="preserve">. The Court of Appeals denied Atlantic Marine's petition because Atlantic Marine had not established a “ ‘clear and indisputable’ ” right to relief.</w:t>
      </w:r>
      <w:r>
        <w:rPr>
          <w:rStyle w:val="Elision"/>
        </w:rPr>
        <w:t xml:space="preserve">[ … ]</w:t>
      </w:r>
      <w:hyperlink r:id="rId120">
        <w:r>
          <w:rPr>
            <w:rStyle w:val="ReplacementText"/>
          </w:rPr>
          <w:t xml:space="preserve">[the transfer statutes are]</w:t>
        </w:r>
      </w:hyperlink>
      <w:hyperlink r:id="rId120">
        <w:r>
          <w:rPr>
            <w:rStyle w:val="ReplacementText"/>
          </w:rPr>
          <w:t xml:space="preserve">[the transfer statutes]</w:t>
        </w:r>
      </w:hyperlink>
      <w:r>
        <w:rPr>
          <w:rStyle w:val="ReplacementText"/>
        </w:rPr>
        <w:t xml:space="preserve">[their]</w:t>
      </w:r>
      <w:hyperlink r:id="rId120">
        <w:r>
          <w:rPr>
            <w:rStyle w:val="ReplacementText"/>
          </w:rPr>
          <w:t xml:space="preserve">[the transfer statutes]</w:t>
        </w:r>
      </w:hyperlink>
      <w:r>
        <w:t xml:space="preserve"> </w:t>
      </w:r>
      <w:r>
        <w:t xml:space="preserve">even though there was no</w:t>
      </w:r>
      <w:r>
        <w:t xml:space="preserve"> </w:t>
      </w:r>
      <w:bookmarkStart w:id="128" w:name="Xa15083c8165b4f88cfc8bdc2b2884ab0d0fdba7"/>
      <w:r>
        <w:t xml:space="preserve">*55</w:t>
      </w:r>
      <w:bookmarkEnd w:id="128"/>
      <w:r>
        <w:t xml:space="preserve"> </w:t>
      </w:r>
      <w:r>
        <w:t xml:space="preserve">dispute that the forum-selection clause was valid.</w:t>
      </w:r>
      <w:r>
        <w:rPr>
          <w:rStyle w:val="Elision"/>
        </w:rPr>
        <w:t xml:space="preserve">[ … ]</w:t>
      </w:r>
      <w:r>
        <w:t xml:space="preserve">We granted certiorari.</w:t>
      </w:r>
      <w:r>
        <w:t xml:space="preserve"> </w:t>
      </w:r>
      <w:hyperlink r:id="rId129">
        <w:r>
          <w:rPr>
            <w:rStyle w:val="Hyperlink"/>
          </w:rPr>
          <w:t xml:space="preserve">569 U.S. ––––, 133 S.Ct. 1748, 185 L.Ed.2d 784 (2013)</w:t>
        </w:r>
      </w:hyperlink>
      <w:r>
        <w:t xml:space="preserve">.</w:t>
      </w:r>
    </w:p>
    <w:bookmarkEnd w:id="130"/>
    <w:bookmarkStart w:id="132" w:name="Xda6b40041cfad3bf56a155bd444bc5e868940c3"/>
    <w:bookmarkStart w:id="131" w:name="Xb5625e229e256f99bda5ebb178e1c475ea325f4"/>
    <w:p>
      <w:pPr>
        <w:pStyle w:val="BodyText"/>
      </w:pPr>
      <w:r>
        <w:t xml:space="preserve">II</w:t>
      </w:r>
    </w:p>
    <w:bookmarkEnd w:id="131"/>
    <w:p>
      <w:pPr>
        <w:pStyle w:val="BodyText"/>
      </w:pPr>
      <w:r>
        <w:t xml:space="preserve">Atlantic Marine contends that a party may enforce a forum-selection clause by seeking dismissal of the suit under</w:t>
      </w:r>
      <w:r>
        <w:t xml:space="preserve"> </w:t>
      </w:r>
      <w:hyperlink r:id="rId118">
        <w:r>
          <w:rPr>
            <w:rStyle w:val="ReplacementText"/>
          </w:rPr>
          <w:t xml:space="preserve">[the transfer statutes]</w:t>
        </w:r>
      </w:hyperlink>
      <w:r>
        <w:t xml:space="preserve">and</w:t>
      </w:r>
      <w:r>
        <w:t xml:space="preserve"> </w:t>
      </w:r>
      <w:hyperlink r:id="rId119">
        <w:r>
          <w:rPr>
            <w:rStyle w:val="Hyperlink"/>
          </w:rPr>
          <w:t xml:space="preserve">Rule 12(b)(3)</w:t>
        </w:r>
      </w:hyperlink>
      <w:r>
        <w:t xml:space="preserve">. We disagree.</w:t>
      </w:r>
      <w:r>
        <w:t xml:space="preserve"> </w:t>
      </w:r>
      <w:hyperlink r:id="rId118">
        <w:r>
          <w:rPr>
            <w:rStyle w:val="ReplacementText"/>
          </w:rPr>
          <w:t xml:space="preserve">[The transfer statutes]</w:t>
        </w:r>
      </w:hyperlink>
      <w:r>
        <w:t xml:space="preserve">and</w:t>
      </w:r>
      <w:r>
        <w:t xml:space="preserve"> </w:t>
      </w:r>
      <w:hyperlink r:id="rId119">
        <w:r>
          <w:rPr>
            <w:rStyle w:val="Hyperlink"/>
          </w:rPr>
          <w:t xml:space="preserve">Rule 12(b)(3)</w:t>
        </w:r>
      </w:hyperlink>
      <w:r>
        <w:t xml:space="preserve"> </w:t>
      </w:r>
      <w:r>
        <w:t xml:space="preserve">allow dismissal only when venue is “wrong” or “improper.” Whether venue is “wrong” or “improper” depends exclusively on whether the court in which the case was brought satisfies the requirements of federal venue laws, and those provisions say nothing about a forum-selection clause.</w:t>
      </w:r>
    </w:p>
    <w:bookmarkEnd w:id="132"/>
    <w:bookmarkStart w:id="175" w:name="X6ea972f7b8a2a47164f97a059542d4d15d564a3"/>
    <w:p>
      <w:pPr>
        <w:pStyle w:val="BodyText"/>
      </w:pPr>
      <w:r>
        <w:t xml:space="preserve">A</w:t>
      </w:r>
    </w:p>
    <w:bookmarkStart w:id="134" w:name="X6a19bafd79664faad9cb2e777a433f20a72587b"/>
    <w:p>
      <w:pPr>
        <w:pStyle w:val="BodyText"/>
      </w:pPr>
      <w:hyperlink r:id="rId133">
        <w:r>
          <w:rPr>
            <w:rStyle w:val="Elision"/>
          </w:rPr>
          <w:t xml:space="preserve">[ … ]</w:t>
        </w:r>
      </w:hyperlink>
    </w:p>
    <w:bookmarkEnd w:id="134"/>
    <w:p>
      <w:pPr>
        <w:pStyle w:val="BodyText"/>
      </w:pPr>
      <w:r>
        <w:t xml:space="preserve">When venue is challenged, the court must determine whether the case falls within one of the three categories set out in</w:t>
      </w:r>
      <w:r>
        <w:t xml:space="preserve"> </w:t>
      </w:r>
      <w:hyperlink r:id="rId135">
        <w:r>
          <w:rPr>
            <w:rStyle w:val="Hyperlink"/>
          </w:rPr>
          <w:t xml:space="preserve">§ 1391(b)</w:t>
        </w:r>
      </w:hyperlink>
      <w:r>
        <w:t xml:space="preserve">. If it does, venue is proper; if it does not, venue is improper, and the case must be dismissed or transferred under</w:t>
      </w:r>
      <w:r>
        <w:t xml:space="preserve"> </w:t>
      </w:r>
      <w:hyperlink r:id="rId118">
        <w:r>
          <w:rPr>
            <w:rStyle w:val="ReplacementText"/>
          </w:rPr>
          <w:t xml:space="preserve">[the transfer statutes]</w:t>
        </w:r>
      </w:hyperlink>
      <w:r>
        <w:t xml:space="preserve">. Whether the parties entered into a contract containing a forum-selection clause has no bearing on whether a case falls into one of the categories of cases listed in</w:t>
      </w:r>
      <w:r>
        <w:t xml:space="preserve"> </w:t>
      </w:r>
      <w:hyperlink r:id="rId135">
        <w:r>
          <w:rPr>
            <w:rStyle w:val="Hyperlink"/>
          </w:rPr>
          <w:t xml:space="preserve">§ 1391(b)</w:t>
        </w:r>
      </w:hyperlink>
      <w:r>
        <w:t xml:space="preserve">. As a result, a case filed in a district that falls within</w:t>
      </w:r>
      <w:r>
        <w:t xml:space="preserve"> </w:t>
      </w:r>
      <w:hyperlink r:id="rId136">
        <w:r>
          <w:rPr>
            <w:rStyle w:val="Hyperlink"/>
          </w:rPr>
          <w:t xml:space="preserve">§ 1391</w:t>
        </w:r>
      </w:hyperlink>
      <w:r>
        <w:t xml:space="preserve"> </w:t>
      </w:r>
      <w:r>
        <w:t xml:space="preserve">may not be dismissed under</w:t>
      </w:r>
      <w:r>
        <w:rPr>
          <w:rStyle w:val="ReplacementText"/>
        </w:rPr>
        <w:t xml:space="preserve">[the transfer statutes]</w:t>
      </w:r>
      <w:r>
        <w:t xml:space="preserve"> </w:t>
      </w:r>
      <w:r>
        <w:t xml:space="preserve">or</w:t>
      </w:r>
      <w:r>
        <w:t xml:space="preserve"> </w:t>
      </w:r>
      <w:hyperlink r:id="rId119">
        <w:r>
          <w:rPr>
            <w:rStyle w:val="Hyperlink"/>
          </w:rPr>
          <w:t xml:space="preserve">Rule 12(b)(3)</w:t>
        </w:r>
      </w:hyperlink>
      <w:r>
        <w:t xml:space="preserve">.</w:t>
      </w:r>
    </w:p>
    <w:p>
      <w:pPr>
        <w:pStyle w:val="BodyText"/>
      </w:pPr>
      <w:r>
        <w:t xml:space="preserve">Petitioner's contrary view improperly conflates the special statutory term “venue” and the word “forum.” It is certainly true that, in some contexts, the word “venue” is used synonymously with the term “forum,” but</w:t>
      </w:r>
      <w:r>
        <w:t xml:space="preserve"> </w:t>
      </w:r>
      <w:hyperlink r:id="rId136">
        <w:r>
          <w:rPr>
            <w:rStyle w:val="Hyperlink"/>
          </w:rPr>
          <w:t xml:space="preserve">§ 1391</w:t>
        </w:r>
      </w:hyperlink>
      <w:r>
        <w:t xml:space="preserve"> </w:t>
      </w:r>
      <w:r>
        <w:t xml:space="preserve">makes clear that venue in “all civil actions” must be determined in accordance with the criteria outlined in that section. That language cannot reasonably be read to allow judicial consideration of other, extrastatutory limitations on the forum in which a case may be brought.</w:t>
      </w:r>
    </w:p>
    <w:p>
      <w:pPr>
        <w:pStyle w:val="BodyText"/>
      </w:pPr>
      <w:bookmarkStart w:id="137" w:name="X46e583d6e63617d87952ddc88cf2e56b5da3ee1"/>
      <w:r>
        <w:t xml:space="preserve">**578</w:t>
      </w:r>
      <w:bookmarkEnd w:id="137"/>
      <w:hyperlink r:id="rId138">
        <w:r>
          <w:rPr>
            <w:rStyle w:val="Hyperlink"/>
          </w:rPr>
          <w:t xml:space="preserve">4</w:t>
        </w:r>
      </w:hyperlink>
    </w:p>
    <w:p>
      <w:pPr>
        <w:pStyle w:val="BodyText"/>
      </w:pPr>
      <w:hyperlink r:id="rId139">
        <w:r>
          <w:rPr>
            <w:rStyle w:val="Hyperlink"/>
          </w:rPr>
          <w:t xml:space="preserve">5</w:t>
        </w:r>
      </w:hyperlink>
    </w:p>
    <w:p>
      <w:pPr>
        <w:pStyle w:val="BodyText"/>
      </w:pPr>
      <w:hyperlink r:id="rId140">
        <w:r>
          <w:rPr>
            <w:rStyle w:val="Hyperlink"/>
          </w:rPr>
          <w:t xml:space="preserve">6</w:t>
        </w:r>
      </w:hyperlink>
    </w:p>
    <w:p>
      <w:pPr>
        <w:pStyle w:val="BodyText"/>
      </w:pPr>
      <w:r>
        <w:t xml:space="preserve">The structure of the federal venue provisions confirms that they alone define whether venue exists in a given forum. In particular, the venue statutes reflect Congress' intent that venue should always lie in</w:t>
      </w:r>
      <w:r>
        <w:t xml:space="preserve"> </w:t>
      </w:r>
      <w:r>
        <w:rPr>
          <w:iCs/>
          <w:i/>
        </w:rPr>
        <w:t xml:space="preserve">some</w:t>
      </w:r>
      <w:r>
        <w:t xml:space="preserve"> </w:t>
      </w:r>
      <w:r>
        <w:t xml:space="preserve">federal court whenever federal courts have personal jurisdiction over the defendant.</w:t>
      </w:r>
      <w:r>
        <w:t xml:space="preserve"> </w:t>
      </w:r>
      <w:r>
        <w:rPr>
          <w:rStyle w:val="Elision"/>
        </w:rPr>
        <w:t xml:space="preserve">[ … ]</w:t>
      </w:r>
      <w:r>
        <w:t xml:space="preserve"> </w:t>
      </w:r>
      <w:r>
        <w:t xml:space="preserve">Yet petitioner's approach would mean that in some number of cases—those in which the forum-selection clause points to a state or foreign court—venue would not lie in any federal district. That would not comport with the statute's design, which contemplates that venue will always exist in some federal court.</w:t>
      </w:r>
    </w:p>
    <w:p>
      <w:pPr>
        <w:pStyle w:val="BodyText"/>
      </w:pPr>
      <w:hyperlink r:id="rId141">
        <w:r>
          <w:rPr>
            <w:rStyle w:val="Hyperlink"/>
          </w:rPr>
          <w:t xml:space="preserve">7</w:t>
        </w:r>
      </w:hyperlink>
    </w:p>
    <w:p>
      <w:pPr>
        <w:pStyle w:val="BodyText"/>
      </w:pPr>
      <w:r>
        <w:rPr>
          <w:rStyle w:val="Elision"/>
        </w:rPr>
        <w:t xml:space="preserve">[ … ]</w:t>
      </w:r>
      <w:r>
        <w:rPr>
          <w:rStyle w:val="Elision"/>
        </w:rPr>
        <w:t xml:space="preserve">[ … ]</w:t>
      </w:r>
      <w:hyperlink r:id="rId120">
        <w:r>
          <w:rPr>
            <w:rStyle w:val="ReplacementText"/>
          </w:rPr>
          <w:t xml:space="preserve">[the transfer statutes allow]</w:t>
        </w:r>
      </w:hyperlink>
      <w:r>
        <w:rPr>
          <w:rStyle w:val="ReplacementText"/>
        </w:rPr>
        <w:t xml:space="preserve">[§ 1391 and the transfer statutes]</w:t>
      </w:r>
    </w:p>
    <w:p>
      <w:pPr>
        <w:pStyle w:val="BodyText"/>
      </w:pPr>
      <w:hyperlink r:id="rId142">
        <w:r>
          <w:rPr>
            <w:rStyle w:val="Elision"/>
          </w:rPr>
          <w:t xml:space="preserve">[ … ]</w:t>
        </w:r>
      </w:hyperlink>
    </w:p>
    <w:bookmarkStart w:id="174" w:name="Xa571407e898196321fce3067e47aac61a0d4647"/>
    <w:p>
      <w:pPr>
        <w:pStyle w:val="BodyText"/>
      </w:pPr>
      <w:r>
        <w:t xml:space="preserve">B</w:t>
      </w:r>
    </w:p>
    <w:bookmarkStart w:id="173" w:name="X2db628e18f3db636d29b2f8ddfbd1ce6ebb7acb"/>
    <w:p>
      <w:pPr>
        <w:pStyle w:val="BodyText"/>
      </w:pPr>
      <w:hyperlink r:id="rId143">
        <w:r>
          <w:rPr>
            <w:rStyle w:val="Elision"/>
          </w:rPr>
          <w:t xml:space="preserve">[ … ]</w:t>
        </w:r>
      </w:hyperlink>
    </w:p>
    <w:p>
      <w:pPr>
        <w:pStyle w:val="BodyText"/>
      </w:pPr>
      <w:r>
        <w:t xml:space="preserve">Although a forum-selection clause does not render venue in a court “wrong” or “improper” within the meaning of</w:t>
      </w:r>
      <w:r>
        <w:t xml:space="preserve"> </w:t>
      </w:r>
      <w:hyperlink r:id="rId118">
        <w:r>
          <w:rPr>
            <w:rStyle w:val="ReplacementText"/>
          </w:rPr>
          <w:t xml:space="preserve">[one ofthe transfer statutes]</w:t>
        </w:r>
      </w:hyperlink>
      <w:r>
        <w:t xml:space="preserve"> </w:t>
      </w:r>
      <w:r>
        <w:t xml:space="preserve">or</w:t>
      </w:r>
      <w:r>
        <w:t xml:space="preserve"> </w:t>
      </w:r>
      <w:hyperlink r:id="rId119">
        <w:r>
          <w:rPr>
            <w:rStyle w:val="Hyperlink"/>
          </w:rPr>
          <w:t xml:space="preserve">Rule 12(b)(3)</w:t>
        </w:r>
      </w:hyperlink>
      <w:r>
        <w:t xml:space="preserve">, the clause may be enforced through a motion to transfer under</w:t>
      </w:r>
      <w:r>
        <w:t xml:space="preserve"> </w:t>
      </w:r>
      <w:hyperlink r:id="rId120">
        <w:r>
          <w:rPr>
            <w:rStyle w:val="ReplacementText"/>
          </w:rPr>
          <w:t xml:space="preserve">[another of the transfer statutes]</w:t>
        </w:r>
      </w:hyperlink>
      <w:r>
        <w:t xml:space="preserve">. That provision states that “[f]or the convenience of parties and witnesses, in the interest of justice, a district court may transfer any civil action to any other district or division where it might have been brought or to any district or division to which all parties have consented.”</w:t>
      </w:r>
      <w:r>
        <w:t xml:space="preserve"> </w:t>
      </w:r>
      <w:r>
        <w:rPr>
          <w:rStyle w:val="ReplacementText"/>
        </w:rPr>
        <w:t xml:space="preserve">The latter of the transfer statutes does</w:t>
      </w:r>
      <w:r>
        <w:t xml:space="preserve"> </w:t>
      </w:r>
      <w:r>
        <w:t xml:space="preserve">not condition transfer on the initial forum's being “wrong.” And it permits transfer to any district where venue is also proper (</w:t>
      </w:r>
      <w:r>
        <w:rPr>
          <w:iCs/>
          <w:i/>
        </w:rPr>
        <w:t xml:space="preserve">i.e.,</w:t>
      </w:r>
      <w:r>
        <w:t xml:space="preserve"> </w:t>
      </w:r>
      <w:r>
        <w:t xml:space="preserve">“where [the case] might have been brought”) or to any other district to which the parties have agreed by contract or stipulation.</w:t>
      </w:r>
    </w:p>
    <w:p>
      <w:pPr>
        <w:pStyle w:val="BodyText"/>
      </w:pPr>
      <w:hyperlink r:id="rId120">
        <w:r>
          <w:rPr>
            <w:rStyle w:val="Elision"/>
          </w:rPr>
          <w:t xml:space="preserve">[ … ]</w:t>
        </w:r>
      </w:hyperlink>
    </w:p>
    <w:p>
      <w:pPr>
        <w:pStyle w:val="BodyText"/>
      </w:pPr>
      <w:r>
        <w:t xml:space="preserve">Atlantic Marine argues that</w:t>
      </w:r>
      <w:r>
        <w:t xml:space="preserve"> </w:t>
      </w:r>
      <w:hyperlink r:id="rId120">
        <w:r>
          <w:rPr>
            <w:rStyle w:val="ReplacementText"/>
          </w:rPr>
          <w:t xml:space="preserve">[the transfer statutes are]</w:t>
        </w:r>
      </w:hyperlink>
      <w:r>
        <w:t xml:space="preserve">not a suitable mechanism to enforce forum-selection clauses because that provision cannot provide for transfer when a forum-selection clause specifies a state or foreign tribunal,</w:t>
      </w:r>
      <w:r>
        <w:t xml:space="preserve"> </w:t>
      </w:r>
      <w:r>
        <w:rPr>
          <w:rStyle w:val="Elision"/>
        </w:rPr>
        <w:t xml:space="preserve">[ … ]</w:t>
      </w:r>
      <w:r>
        <w:t xml:space="preserve">and we agree with Atlantic Marine that the Court of Appeals failed to provide a sound answer to this problem. The</w:t>
      </w:r>
      <w:r>
        <w:t xml:space="preserve"> </w:t>
      </w:r>
      <w:bookmarkStart w:id="144" w:name="X90b10c48c243262e287d607e5e636faa22fc5d2"/>
      <w:r>
        <w:t xml:space="preserve">**580</w:t>
      </w:r>
      <w:bookmarkEnd w:id="144"/>
      <w:r>
        <w:t xml:space="preserve"> </w:t>
      </w:r>
      <w:r>
        <w:t xml:space="preserve">Court of Appeals opined that a forum-selection clause pointing to a nonfederal forum should be enforced through</w:t>
      </w:r>
      <w:r>
        <w:t xml:space="preserve"> </w:t>
      </w:r>
      <w:hyperlink r:id="rId119">
        <w:r>
          <w:rPr>
            <w:rStyle w:val="Hyperlink"/>
          </w:rPr>
          <w:t xml:space="preserve">Rule 12(b)(3)</w:t>
        </w:r>
      </w:hyperlink>
      <w:r>
        <w:t xml:space="preserve">, which permits a party to move for dismissal of a case based on “improper venue.”</w:t>
      </w:r>
      <w:r>
        <w:t xml:space="preserve"> </w:t>
      </w:r>
      <w:hyperlink r:id="rId145">
        <w:r>
          <w:rPr>
            <w:rStyle w:val="Hyperlink"/>
          </w:rPr>
          <w:t xml:space="preserve">701 F.3d, at 740.</w:t>
        </w:r>
      </w:hyperlink>
      <w:r>
        <w:t xml:space="preserve"> </w:t>
      </w:r>
      <w:r>
        <w:t xml:space="preserve">As Atlantic Marine persuasively argues, however, that conclusion cannot be reconciled with our construction of the term “improper venue” in</w:t>
      </w:r>
      <w:r>
        <w:t xml:space="preserve"> </w:t>
      </w:r>
      <w:hyperlink r:id="rId146">
        <w:r>
          <w:rPr>
            <w:rStyle w:val="ReplacementText"/>
          </w:rPr>
          <w:t xml:space="preserve">[one of the transfer statutes]</w:t>
        </w:r>
      </w:hyperlink>
      <w:r>
        <w:t xml:space="preserve"> </w:t>
      </w:r>
      <w:r>
        <w:t xml:space="preserve">to refer only to a forum that does not satisfy federal venue laws. If venue is proper under federal venue rules, it does not matter for the purpose of</w:t>
      </w:r>
      <w:r>
        <w:t xml:space="preserve"> </w:t>
      </w:r>
      <w:hyperlink r:id="rId119">
        <w:r>
          <w:rPr>
            <w:rStyle w:val="Hyperlink"/>
          </w:rPr>
          <w:t xml:space="preserve">Rule 12(b)(3)</w:t>
        </w:r>
      </w:hyperlink>
      <w:r>
        <w:t xml:space="preserve"> </w:t>
      </w:r>
      <w:r>
        <w:t xml:space="preserve">whether the forum-selection clause points to a federal or a nonfederal forum.</w:t>
      </w:r>
    </w:p>
    <w:p>
      <w:pPr>
        <w:pStyle w:val="BodyText"/>
      </w:pPr>
      <w:hyperlink r:id="rId147">
        <w:r>
          <w:rPr>
            <w:rStyle w:val="Elision"/>
          </w:rPr>
          <w:t xml:space="preserve">[ … ]</w:t>
        </w:r>
      </w:hyperlink>
    </w:p>
    <w:p>
      <w:pPr>
        <w:pStyle w:val="BodyText"/>
      </w:pPr>
      <w:r>
        <w:t xml:space="preserve">Instead, the appropriate way to enforce a forum-selection clause pointing to a state or foreign forum is through the doctrine of</w:t>
      </w:r>
      <w:r>
        <w:t xml:space="preserve"> </w:t>
      </w:r>
      <w:r>
        <w:rPr>
          <w:iCs/>
          <w:i/>
        </w:rPr>
        <w:t xml:space="preserve">forum non conveniens</w:t>
      </w:r>
      <w:r>
        <w:t xml:space="preserve">.</w:t>
      </w:r>
      <w:r>
        <w:rPr>
          <w:rStyle w:val="ReplacementText"/>
        </w:rPr>
        <w:t xml:space="preserve">[The transfer statutes are]</w:t>
      </w:r>
      <w:r>
        <w:t xml:space="preserve"> </w:t>
      </w:r>
      <w:r>
        <w:t xml:space="preserve">merely a codification of the doctrine of</w:t>
      </w:r>
      <w:r>
        <w:t xml:space="preserve"> </w:t>
      </w:r>
      <w:r>
        <w:rPr>
          <w:iCs/>
          <w:i/>
        </w:rPr>
        <w:t xml:space="preserve">forum non conveniens</w:t>
      </w:r>
      <w:r>
        <w:t xml:space="preserve"> </w:t>
      </w:r>
      <w:r>
        <w:t xml:space="preserve">for the subset of cases in which the transferee forum is within the federal court system; in such cases, Congress has replaced the traditional remedy of outright dismissal with transfer.</w:t>
      </w:r>
      <w:r>
        <w:t xml:space="preserve"> </w:t>
      </w:r>
      <w:r>
        <w:rPr>
          <w:rStyle w:val="Elision"/>
        </w:rPr>
        <w:t xml:space="preserve">[ … ]</w:t>
      </w:r>
      <w:r>
        <w:t xml:space="preserve">And because both</w:t>
      </w:r>
      <w:r>
        <w:t xml:space="preserve"> </w:t>
      </w:r>
      <w:hyperlink r:id="rId120">
        <w:r>
          <w:rPr>
            <w:rStyle w:val="ReplacementText"/>
          </w:rPr>
          <w:t xml:space="preserve">[the transfer statutes]</w:t>
        </w:r>
      </w:hyperlink>
      <w:r>
        <w:t xml:space="preserve"> </w:t>
      </w:r>
      <w:r>
        <w:t xml:space="preserve">and the</w:t>
      </w:r>
      <w:r>
        <w:t xml:space="preserve"> </w:t>
      </w:r>
      <w:r>
        <w:rPr>
          <w:iCs/>
          <w:i/>
        </w:rPr>
        <w:t xml:space="preserve">forum non conveniens</w:t>
      </w:r>
      <w:r>
        <w:t xml:space="preserve">doctrine from which it derives entail the same balancing-of-interests standard, courts should evaluate a forum-selection clause pointing to a nonfederal forum in the same way that they evaluate a forum-selection clause pointing to a federal forum.</w:t>
      </w:r>
      <w:r>
        <w:t xml:space="preserve"> </w:t>
      </w:r>
      <w:r>
        <w:rPr>
          <w:rStyle w:val="Elision"/>
        </w:rPr>
        <w:t xml:space="preserve">[ … ]</w:t>
      </w:r>
    </w:p>
    <w:bookmarkStart w:id="172" w:name="X68073d8b487bbf6fc1da031b7f843960bf5733b"/>
    <w:bookmarkStart w:id="148" w:name="X97c19fc05a22be35335a1236ca065062756bd4f"/>
    <w:p>
      <w:pPr>
        <w:pStyle w:val="BodyText"/>
      </w:pPr>
      <w:r>
        <w:t xml:space="preserve">III</w:t>
      </w:r>
    </w:p>
    <w:bookmarkEnd w:id="148"/>
    <w:p>
      <w:pPr>
        <w:pStyle w:val="BodyText"/>
      </w:pPr>
      <w:hyperlink r:id="rId149">
        <w:r>
          <w:rPr>
            <w:rStyle w:val="Elision"/>
          </w:rPr>
          <w:t xml:space="preserve">[ … ]</w:t>
        </w:r>
      </w:hyperlink>
    </w:p>
    <w:p>
      <w:pPr>
        <w:pStyle w:val="BodyText"/>
      </w:pPr>
      <w:bookmarkStart w:id="150" w:name="X53fe58682b738b6ffbed0d3af1ea428649e890a"/>
      <w:r>
        <w:t xml:space="preserve">*62</w:t>
      </w:r>
      <w:bookmarkEnd w:id="150"/>
      <w:r>
        <w:t xml:space="preserve"> </w:t>
      </w:r>
      <w:r>
        <w:t xml:space="preserve">Although the Court of Appeals correctly identified</w:t>
      </w:r>
      <w:r>
        <w:t xml:space="preserve"> </w:t>
      </w:r>
      <w:hyperlink r:id="rId120">
        <w:r>
          <w:rPr>
            <w:rStyle w:val="ReplacementText"/>
          </w:rPr>
          <w:t xml:space="preserve">[the transfer statutes]</w:t>
        </w:r>
      </w:hyperlink>
      <w:r>
        <w:t xml:space="preserve"> </w:t>
      </w:r>
      <w:r>
        <w:t xml:space="preserve">as the appropriate provision to enforce the forum-selection clause in this case, the Court of Appeals erred in failing to make the adjustments required in a</w:t>
      </w:r>
      <w:r>
        <w:t xml:space="preserve"> </w:t>
      </w:r>
      <w:hyperlink r:id="rId120">
        <w:r>
          <w:rPr>
            <w:rStyle w:val="ReplacementText"/>
          </w:rPr>
          <w:t xml:space="preserve">[transfer statutes]</w:t>
        </w:r>
      </w:hyperlink>
      <w:r>
        <w:t xml:space="preserve"> </w:t>
      </w:r>
      <w:r>
        <w:t xml:space="preserve">analysis when the transfer motion is premised on a forum-selection clause. When the parties have agreed to a valid forum-selection clause, a district court should ordinarily transfer the case to the forum specified in that clause.</w:t>
      </w:r>
      <w:hyperlink r:id="rId151">
        <w:r>
          <w:rPr>
            <w:rStyle w:val="Hyperlink"/>
            <w:vertAlign w:val="superscript"/>
          </w:rPr>
          <w:t xml:space="preserve">5</w:t>
        </w:r>
      </w:hyperlink>
      <w:r>
        <w:t xml:space="preserve"> </w:t>
      </w:r>
      <w:r>
        <w:t xml:space="preserve">Only under extraordinary circumstances unrelated to the convenience of the parties should a</w:t>
      </w:r>
      <w:r>
        <w:t xml:space="preserve"> </w:t>
      </w:r>
      <w:hyperlink r:id="rId120">
        <w:r>
          <w:rPr>
            <w:rStyle w:val="ReplacementText"/>
          </w:rPr>
          <w:t xml:space="preserve">[transfer statutes]</w:t>
        </w:r>
      </w:hyperlink>
      <w:r>
        <w:t xml:space="preserve"> </w:t>
      </w:r>
      <w:r>
        <w:t xml:space="preserve">motion be denied. And no such exceptional factors appear to be present in this case.</w:t>
      </w:r>
    </w:p>
    <w:bookmarkStart w:id="171" w:name="X297171671ce7effd1a4f4f6ce908213b15f2cc8"/>
    <w:p>
      <w:pPr>
        <w:pStyle w:val="BodyText"/>
      </w:pPr>
      <w:r>
        <w:t xml:space="preserve">A</w:t>
      </w:r>
    </w:p>
    <w:bookmarkStart w:id="170" w:name="Xb3606e5c1599ec7cf066178fd1eab7307f8d194"/>
    <w:p>
      <w:pPr>
        <w:pStyle w:val="BodyText"/>
      </w:pPr>
      <w:hyperlink r:id="rId152">
        <w:r>
          <w:rPr>
            <w:rStyle w:val="Elision"/>
          </w:rPr>
          <w:t xml:space="preserve">[ … ]</w:t>
        </w:r>
      </w:hyperlink>
    </w:p>
    <w:p>
      <w:pPr>
        <w:pStyle w:val="BodyText"/>
      </w:pPr>
      <w:r>
        <w:t xml:space="preserve">In the typical case not involving a forum-selection clause, a district court considering a</w:t>
      </w:r>
      <w:r>
        <w:t xml:space="preserve"> </w:t>
      </w:r>
      <w:hyperlink r:id="rId120">
        <w:r>
          <w:rPr>
            <w:rStyle w:val="ReplacementText"/>
          </w:rPr>
          <w:t xml:space="preserve">[motionunder the transfer statutes]</w:t>
        </w:r>
      </w:hyperlink>
      <w:r>
        <w:t xml:space="preserve"> </w:t>
      </w:r>
      <w:r>
        <w:t xml:space="preserve">(or a</w:t>
      </w:r>
      <w:r>
        <w:t xml:space="preserve"> </w:t>
      </w:r>
      <w:r>
        <w:rPr>
          <w:iCs/>
          <w:i/>
        </w:rPr>
        <w:t xml:space="preserve">forum non conveniens</w:t>
      </w:r>
      <w:r>
        <w:t xml:space="preserve"> </w:t>
      </w:r>
      <w:r>
        <w:t xml:space="preserve">motion) must evaluate both the convenience of the parties and various public-interest considerations.</w:t>
      </w:r>
      <w:hyperlink r:id="rId153">
        <w:r>
          <w:rPr>
            <w:rStyle w:val="Hyperlink"/>
            <w:vertAlign w:val="superscript"/>
          </w:rPr>
          <w:t xml:space="preserve">6</w:t>
        </w:r>
      </w:hyperlink>
      <w:r>
        <w:t xml:space="preserve"> </w:t>
      </w:r>
      <w:r>
        <w:t xml:space="preserve">Ordinarily, the district court would weigh the relevant factors</w:t>
      </w:r>
      <w:r>
        <w:t xml:space="preserve"> </w:t>
      </w:r>
      <w:bookmarkStart w:id="154" w:name="Xb2be0611443c60771fae8d48d3643670a1772d0"/>
      <w:r>
        <w:t xml:space="preserve">*63</w:t>
      </w:r>
      <w:bookmarkEnd w:id="154"/>
      <w:r>
        <w:t xml:space="preserve"> </w:t>
      </w:r>
      <w:r>
        <w:t xml:space="preserve">and decide whether, on balance, a transfer would serve “the convenience of parties and witnesses” and otherwise promote “the interest of justice.”</w:t>
      </w:r>
      <w:r>
        <w:rPr>
          <w:rStyle w:val="Elision"/>
        </w:rPr>
        <w:t xml:space="preserve">[ … ]</w:t>
      </w:r>
    </w:p>
    <w:p>
      <w:pPr>
        <w:pStyle w:val="BodyText"/>
      </w:pPr>
      <w:hyperlink r:id="rId155">
        <w:r>
          <w:rPr>
            <w:rStyle w:val="Elision"/>
          </w:rPr>
          <w:t xml:space="preserve">[ … ]</w:t>
        </w:r>
      </w:hyperlink>
    </w:p>
    <w:p>
      <w:pPr>
        <w:pStyle w:val="BodyText"/>
      </w:pPr>
      <w:r>
        <w:t xml:space="preserve">The calculus changes, however, when the parties' contract contains a valid forum-selection clause, which “represents the parties' agreement as to the most proper forum.”</w:t>
      </w:r>
      <w:r>
        <w:t xml:space="preserve"> </w:t>
      </w:r>
      <w:hyperlink r:id="rId156">
        <w:r>
          <w:rPr>
            <w:rStyle w:val="Hyperlink"/>
            <w:iCs/>
            <w:i/>
          </w:rPr>
          <w:t xml:space="preserve">Stewart,</w:t>
        </w:r>
        <w:r>
          <w:rPr>
            <w:rStyle w:val="Hyperlink"/>
          </w:rPr>
          <w:t xml:space="preserve"> </w:t>
        </w:r>
        <w:r>
          <w:rPr>
            <w:rStyle w:val="Hyperlink"/>
          </w:rPr>
          <w:t xml:space="preserve">487 U.S., at 31, 108 S.Ct. 2239.</w:t>
        </w:r>
      </w:hyperlink>
      <w:r>
        <w:t xml:space="preserve"> </w:t>
      </w:r>
      <w:r>
        <w:rPr>
          <w:rStyle w:val="Elision"/>
        </w:rPr>
        <w:t xml:space="preserve">[ … ]</w:t>
      </w:r>
      <w:r>
        <w:t xml:space="preserve"> </w:t>
      </w:r>
      <w:r>
        <w:t xml:space="preserve">The presence of a valid forum-selection clause requires district courts to adjust their usual</w:t>
      </w:r>
      <w:r>
        <w:rPr>
          <w:rStyle w:val="ReplacementText"/>
        </w:rPr>
        <w:t xml:space="preserve">[transfer statutes]</w:t>
      </w:r>
      <w:r>
        <w:t xml:space="preserve">analysis in three ways.</w:t>
      </w:r>
    </w:p>
    <w:p>
      <w:pPr>
        <w:pStyle w:val="BodyText"/>
      </w:pPr>
      <w:hyperlink r:id="rId157">
        <w:r>
          <w:rPr>
            <w:rStyle w:val="Elision"/>
          </w:rPr>
          <w:t xml:space="preserve">[ … ]</w:t>
        </w:r>
      </w:hyperlink>
    </w:p>
    <w:p>
      <w:pPr>
        <w:pStyle w:val="BodyText"/>
      </w:pPr>
      <w:r>
        <w:t xml:space="preserve">First, the plaintiff's choice of forum merits no weight. Rather, as the party defying the forum-selection clause, the plaintiff bears the burden of establishing that transfer to the forum for which the parties bargained is unwarranted. Because plaintiffs are ordinarily allowed to select whatever forum they consider most advantageous (consistent with jurisdictional and venue limitations), we have termed their selection the “plaintiff's venue privilege.”</w:t>
      </w:r>
      <w:r>
        <w:t xml:space="preserve"> </w:t>
      </w:r>
      <w:bookmarkStart w:id="158" w:name="X46c0c24eac1fcd21d6efe0484323f6b4d967083"/>
      <w:r>
        <w:t xml:space="preserve">**582</w:t>
      </w:r>
      <w:bookmarkEnd w:id="158"/>
      <w:r>
        <w:t xml:space="preserve"> </w:t>
      </w:r>
      <w:hyperlink r:id="rId159">
        <w:r>
          <w:rPr>
            <w:rStyle w:val="Elision"/>
            <w:iCs/>
            <w:i/>
          </w:rPr>
          <w:t xml:space="preserve">[ … ]</w:t>
        </w:r>
      </w:hyperlink>
      <w:r>
        <w:t xml:space="preserve">But when a plaintiff agrees by contract to bring suit only in a specified forum—presumably in exchange for other binding promises by the defendant—the plaintiff has effectively exercised its “venue privilege” before a dispute arises. Only that initial choice deserves deference, and</w:t>
      </w:r>
      <w:r>
        <w:t xml:space="preserve"> </w:t>
      </w:r>
      <w:bookmarkStart w:id="160" w:name="Xa387597c3effb66d88aab5e115db8ecc9c75106"/>
      <w:r>
        <w:t xml:space="preserve">*64</w:t>
      </w:r>
      <w:bookmarkEnd w:id="160"/>
      <w:r>
        <w:t xml:space="preserve"> </w:t>
      </w:r>
      <w:r>
        <w:t xml:space="preserve">the plaintiff must bear the burden of showing why the court should not transfer the case to the forum to which the parties agreed.</w:t>
      </w:r>
    </w:p>
    <w:p>
      <w:pPr>
        <w:pStyle w:val="BodyText"/>
      </w:pPr>
      <w:hyperlink r:id="rId161">
        <w:r>
          <w:rPr>
            <w:rStyle w:val="Hyperlink"/>
          </w:rPr>
          <w:t xml:space="preserve">28</w:t>
        </w:r>
      </w:hyperlink>
    </w:p>
    <w:p>
      <w:pPr>
        <w:pStyle w:val="BodyText"/>
      </w:pPr>
      <w:r>
        <w:t xml:space="preserve">Second, a court evaluating a defendant's</w:t>
      </w:r>
      <w:r>
        <w:t xml:space="preserve"> </w:t>
      </w:r>
      <w:hyperlink r:id="rId120">
        <w:r>
          <w:rPr>
            <w:rStyle w:val="ReplacementText"/>
          </w:rPr>
          <w:t xml:space="preserve">[transfer statutes]</w:t>
        </w:r>
      </w:hyperlink>
      <w:r>
        <w:t xml:space="preserve">motion to transfer based on a forum-selection clause should not consider arguments about the parties' private interests. When parties agree to a forum-selection clause, they waive the right to challenge the preselected forum as inconvenient or less convenient for themselves or their witnesses, or for their pursuit of the litigation. A court accordingly must deem the private-interest factors to weigh entirely in favor of the preselected forum.</w:t>
      </w:r>
      <w:r>
        <w:t xml:space="preserve"> </w:t>
      </w:r>
      <w:r>
        <w:rPr>
          <w:rStyle w:val="Elision"/>
        </w:rPr>
        <w:t xml:space="preserve">[ … ]</w:t>
      </w:r>
    </w:p>
    <w:p>
      <w:pPr>
        <w:pStyle w:val="BodyText"/>
      </w:pPr>
      <w:r>
        <w:t xml:space="preserve">As a consequence, a district court may consider arguments about public-interest factors only. See n. 6,</w:t>
      </w:r>
      <w:r>
        <w:t xml:space="preserve"> </w:t>
      </w:r>
      <w:r>
        <w:rPr>
          <w:iCs/>
          <w:i/>
        </w:rPr>
        <w:t xml:space="preserve">supra</w:t>
      </w:r>
      <w:r>
        <w:t xml:space="preserve">. Because those factors will rarely defeat a transfer motion, the practical result is that forum-selection clauses should control except in unusual cases.</w:t>
      </w:r>
      <w:r>
        <w:t xml:space="preserve"> </w:t>
      </w:r>
      <w:r>
        <w:rPr>
          <w:rStyle w:val="Elision"/>
        </w:rPr>
        <w:t xml:space="preserve">[ … ]</w:t>
      </w:r>
    </w:p>
    <w:p>
      <w:pPr>
        <w:pStyle w:val="BodyText"/>
      </w:pPr>
      <w:hyperlink r:id="rId162">
        <w:r>
          <w:rPr>
            <w:rStyle w:val="Hyperlink"/>
          </w:rPr>
          <w:t xml:space="preserve">29</w:t>
        </w:r>
      </w:hyperlink>
    </w:p>
    <w:p>
      <w:pPr>
        <w:pStyle w:val="BodyText"/>
      </w:pPr>
      <w:r>
        <w:t xml:space="preserve">Third, when a party bound by a forum-selection clause flouts its contractual obligation and files suit in a different forum, a</w:t>
      </w:r>
      <w:r>
        <w:t xml:space="preserve"> </w:t>
      </w:r>
      <w:hyperlink r:id="rId120">
        <w:r>
          <w:rPr>
            <w:rStyle w:val="ReplacementText"/>
          </w:rPr>
          <w:t xml:space="preserve">[transfer statutes]</w:t>
        </w:r>
      </w:hyperlink>
      <w:r>
        <w:t xml:space="preserve"> </w:t>
      </w:r>
      <w:r>
        <w:t xml:space="preserve">transfer of venue will not carry with it the original venue's choice-of-law rules—a factor that in some circumstances may affect public-interest considerations. See</w:t>
      </w:r>
      <w:r>
        <w:t xml:space="preserve"> </w:t>
      </w:r>
      <w:hyperlink r:id="rId163">
        <w:r>
          <w:rPr>
            <w:rStyle w:val="Hyperlink"/>
            <w:iCs/>
            <w:i/>
          </w:rPr>
          <w:t xml:space="preserve">Piper Aircraft Co. v</w:t>
        </w:r>
        <w:r>
          <w:rPr>
            <w:rStyle w:val="Hyperlink"/>
          </w:rPr>
          <w:t xml:space="preserve">.</w:t>
        </w:r>
        <w:r>
          <w:rPr>
            <w:rStyle w:val="Hyperlink"/>
          </w:rPr>
          <w:t xml:space="preserve"> </w:t>
        </w:r>
        <w:r>
          <w:rPr>
            <w:rStyle w:val="Hyperlink"/>
            <w:iCs/>
            <w:i/>
          </w:rPr>
          <w:t xml:space="preserve">Reyno,</w:t>
        </w:r>
        <w:r>
          <w:rPr>
            <w:rStyle w:val="Hyperlink"/>
          </w:rPr>
          <w:t xml:space="preserve"> </w:t>
        </w:r>
        <w:r>
          <w:rPr>
            <w:rStyle w:val="Hyperlink"/>
          </w:rPr>
          <w:t xml:space="preserve">454 U.S. 235, 241, n. 6, 102 S.Ct. 252, 70 L.Ed.2d 419 (1981)</w:t>
        </w:r>
      </w:hyperlink>
      <w:r>
        <w:t xml:space="preserve"> </w:t>
      </w:r>
      <w:r>
        <w:t xml:space="preserve">(listing a court's familiarity with the “law that must</w:t>
      </w:r>
      <w:r>
        <w:t xml:space="preserve"> </w:t>
      </w:r>
      <w:bookmarkStart w:id="164" w:name="X59e8bef8f284bfadec42bd9305192dd51aed3d1"/>
      <w:r>
        <w:t xml:space="preserve">*65</w:t>
      </w:r>
      <w:bookmarkEnd w:id="164"/>
      <w:r>
        <w:t xml:space="preserve"> </w:t>
      </w:r>
      <w:r>
        <w:t xml:space="preserve">govern the action” as a potential factor). A federal court sitting in diversity ordinarily must follow the choice-of-law rules of the State in which it sits. See</w:t>
      </w:r>
      <w:r>
        <w:t xml:space="preserve"> </w:t>
      </w:r>
      <w:hyperlink r:id="rId165">
        <w:r>
          <w:rPr>
            <w:rStyle w:val="Hyperlink"/>
            <w:iCs/>
            <w:i/>
          </w:rPr>
          <w:t xml:space="preserve">Klaxon Co. v. Stentor Elec. Mfg. Co.,</w:t>
        </w:r>
        <w:r>
          <w:rPr>
            <w:rStyle w:val="Hyperlink"/>
          </w:rPr>
          <w:t xml:space="preserve"> </w:t>
        </w:r>
        <w:r>
          <w:rPr>
            <w:rStyle w:val="Hyperlink"/>
          </w:rPr>
          <w:t xml:space="preserve">313 U.S. 487, 494–496, 61 S.Ct. 1020, 85 L.Ed. 1477 (1941)</w:t>
        </w:r>
      </w:hyperlink>
      <w:r>
        <w:t xml:space="preserve">. However, we previously identified an exception to that principle for</w:t>
      </w:r>
      <w:r>
        <w:t xml:space="preserve"> </w:t>
      </w:r>
      <w:hyperlink r:id="rId120">
        <w:r>
          <w:rPr>
            <w:rStyle w:val="Elision"/>
          </w:rPr>
          <w:t xml:space="preserve">[ … ]</w:t>
        </w:r>
      </w:hyperlink>
      <w:r>
        <w:t xml:space="preserve">transfers, requiring that the state law applicable in the original court also apply in the transferee court. See</w:t>
      </w:r>
      <w:r>
        <w:t xml:space="preserve"> </w:t>
      </w:r>
      <w:hyperlink r:id="rId159">
        <w:r>
          <w:rPr>
            <w:rStyle w:val="Hyperlink"/>
            <w:iCs/>
            <w:i/>
          </w:rPr>
          <w:t xml:space="preserve">Van Dusen,</w:t>
        </w:r>
        <w:r>
          <w:rPr>
            <w:rStyle w:val="Hyperlink"/>
          </w:rPr>
          <w:t xml:space="preserve"> </w:t>
        </w:r>
        <w:r>
          <w:rPr>
            <w:rStyle w:val="Hyperlink"/>
          </w:rPr>
          <w:t xml:space="preserve">376 U.S., at 639, 84 S.Ct. 805.</w:t>
        </w:r>
      </w:hyperlink>
      <w:r>
        <w:t xml:space="preserve"> </w:t>
      </w:r>
      <w:r>
        <w:rPr>
          <w:rStyle w:val="Elision"/>
        </w:rPr>
        <w:t xml:space="preserve">[ … ]</w:t>
      </w:r>
    </w:p>
    <w:p>
      <w:pPr>
        <w:pStyle w:val="BodyText"/>
      </w:pPr>
      <w:bookmarkStart w:id="166" w:name="X60fb5f8aff5828c5e8c471a780aa8d57c8fe1d5"/>
      <w:r>
        <w:rPr>
          <w:rStyle w:val="Elision"/>
        </w:rPr>
        <w:t xml:space="preserve">[ … ]</w:t>
      </w:r>
      <w:bookmarkEnd w:id="166"/>
    </w:p>
    <w:p>
      <w:pPr>
        <w:pStyle w:val="BodyText"/>
      </w:pPr>
      <w:r>
        <w:t xml:space="preserve">In</w:t>
      </w:r>
      <w:r>
        <w:t xml:space="preserve"> </w:t>
      </w:r>
      <w:r>
        <w:rPr>
          <w:iCs/>
          <w:i/>
        </w:rPr>
        <w:t xml:space="preserve">Van Dusen,</w:t>
      </w:r>
      <w:r>
        <w:t xml:space="preserve"> </w:t>
      </w:r>
      <w:r>
        <w:t xml:space="preserve">we were concerned that, through a</w:t>
      </w:r>
      <w:r>
        <w:t xml:space="preserve"> </w:t>
      </w:r>
      <w:hyperlink r:id="rId120">
        <w:r>
          <w:rPr>
            <w:rStyle w:val="Elision"/>
          </w:rPr>
          <w:t xml:space="preserve">[ … ]</w:t>
        </w:r>
      </w:hyperlink>
      <w:r>
        <w:t xml:space="preserve"> </w:t>
      </w:r>
      <w:r>
        <w:t xml:space="preserve">transfer, a defendant could “defeat the state-law advantages that might accrue from the exercise of [the plaintiff's] venue privilege.”</w:t>
      </w:r>
      <w:r>
        <w:t xml:space="preserve"> </w:t>
      </w:r>
      <w:hyperlink r:id="rId159">
        <w:r>
          <w:rPr>
            <w:rStyle w:val="Hyperlink"/>
          </w:rPr>
          <w:t xml:space="preserve">376 U.S., at 635, 84 S.Ct. 805.</w:t>
        </w:r>
      </w:hyperlink>
      <w:r>
        <w:t xml:space="preserve"> </w:t>
      </w:r>
      <w:r>
        <w:t xml:space="preserve">But as discussed above, a plaintiff who files suit in violation of a forum-selection clause enjoys no such “privilege” with respect to its choice of forum, and therefore it is entitled to no concomitant “state-law advantages.” Not only would it be inequitable to allow the plaintiff to fasten its choice of substantive law to the venue transfer, but it would also encourage gamesmanship.</w:t>
      </w:r>
      <w:r>
        <w:t xml:space="preserve"> </w:t>
      </w:r>
      <w:r>
        <w:rPr>
          <w:rStyle w:val="Elision"/>
        </w:rPr>
        <w:t xml:space="preserve">[ … ]</w:t>
      </w:r>
    </w:p>
    <w:p>
      <w:pPr>
        <w:pStyle w:val="BodyText"/>
      </w:pPr>
      <w:hyperlink r:id="rId167">
        <w:r>
          <w:rPr>
            <w:rStyle w:val="Hyperlink"/>
          </w:rPr>
          <w:t xml:space="preserve">33</w:t>
        </w:r>
      </w:hyperlink>
    </w:p>
    <w:p>
      <w:pPr>
        <w:pStyle w:val="BodyText"/>
      </w:pPr>
      <w:r>
        <w:t xml:space="preserve">When parties have contracted in advance to litigate disputes in a particular forum, courts should not unnecessarily disrupt the parties' settled expectations. A forum-selection clause, after all, may have figured centrally in the parties' negotiations and may have affected how they set monetary and other contractual terms; it may, in fact, have been a critical factor in their agreement to do business together in the first place. In all but the most unusual cases, therefore, “the interest of justice” is served by holding parties to their bargain.</w:t>
      </w:r>
    </w:p>
    <w:bookmarkStart w:id="169" w:name="Xd9cc66c2adc97a298239fa9bee90591a7180846"/>
    <w:p>
      <w:pPr>
        <w:pStyle w:val="BodyText"/>
      </w:pPr>
      <w:r>
        <w:rPr>
          <w:rStyle w:val="Elision"/>
        </w:rPr>
        <w:t xml:space="preserve">[ … ]</w:t>
      </w:r>
    </w:p>
    <w:bookmarkStart w:id="168" w:name="X0bb2153a4af348b16ba48f159449962ce0511c7"/>
    <w:p>
      <w:pPr>
        <w:pStyle w:val="BodyText"/>
      </w:pPr>
      <w:hyperlink r:id="rId120">
        <w:r>
          <w:rPr>
            <w:rStyle w:val="ReplacementText"/>
          </w:rPr>
          <w:t xml:space="preserve">[the transfer statutes]</w:t>
        </w:r>
      </w:hyperlink>
    </w:p>
    <w:bookmarkEnd w:id="168"/>
    <w:p>
      <w:pPr>
        <w:pStyle w:val="BodyText"/>
      </w:pPr>
      <w:r>
        <w:rPr>
          <w:rStyle w:val="Elision"/>
        </w:rPr>
        <w:t xml:space="preserve">[ … ]</w:t>
      </w:r>
    </w:p>
    <w:p>
      <w:pPr>
        <w:pStyle w:val="BodyText"/>
      </w:pPr>
      <w:r>
        <w:rPr>
          <w:rStyle w:val="Elision"/>
        </w:rPr>
        <w:t xml:space="preserve">[ … ]</w:t>
      </w:r>
    </w:p>
    <w:p>
      <w:pPr>
        <w:pStyle w:val="BodyText"/>
      </w:pPr>
      <w:r>
        <w:t xml:space="preserve">* * *</w:t>
      </w:r>
    </w:p>
    <w:p>
      <w:pPr>
        <w:pStyle w:val="BodyText"/>
      </w:pPr>
      <w:r>
        <w:t xml:space="preserve">We reverse the judgment of the Court of Appeals for the Fifth Circuit. Although no public-interest factors that might support the denial of Atlantic Marine's motion to transfer are apparent on the record before us, we remand the case for the courts below to decide that question.</w:t>
      </w:r>
    </w:p>
    <w:p>
      <w:pPr>
        <w:pStyle w:val="BodyText"/>
      </w:pPr>
      <w:r>
        <w:rPr>
          <w:iCs/>
          <w:i/>
        </w:rPr>
        <w:t xml:space="preserve">It is so ordered.</w:t>
      </w:r>
    </w:p>
    <w:bookmarkEnd w:id="169"/>
    <w:bookmarkEnd w:id="170"/>
    <w:bookmarkEnd w:id="171"/>
    <w:bookmarkEnd w:id="172"/>
    <w:bookmarkEnd w:id="173"/>
    <w:bookmarkEnd w:id="174"/>
    <w:bookmarkEnd w:id="175"/>
    <w:p>
      <w:pPr>
        <w:pStyle w:val="NodeEnd"/>
      </w:pPr>
      <w:r>
        <w:t xml:space="preserve"> </w:t>
      </w:r>
    </w:p>
    <w:p>
      <w:pPr>
        <w:pStyle w:val="NodeStart"/>
      </w:pPr>
      <w:r>
        <w:t xml:space="preserve"> </w:t>
      </w:r>
    </w:p>
    <w:p>
      <w:pPr>
        <w:pStyle w:val="HeadSeparator"/>
      </w:pPr>
      <w:r>
        <w:t xml:space="preserve"> </w:t>
      </w:r>
    </w:p>
    <w:bookmarkStart w:id="104" w:name="_auto_toc_104"/>
    <w:bookmarkEnd w:id="104"/>
    <w:p>
      <w:pPr>
        <w:pStyle w:val="ResourceNumber"/>
      </w:pPr>
      <w:r>
        <w:t xml:space="preserve">9.10</w:t>
      </w:r>
    </w:p>
    <w:p>
      <w:pPr>
        <w:pStyle w:val="ResourceTitle"/>
      </w:pPr>
      <w:r>
        <w:t xml:space="preserve">Statutes and Constitutional Provisions</w:t>
      </w:r>
    </w:p>
    <w:p>
      <w:pPr>
        <w:pStyle w:val="HeadFieldSeparator"/>
      </w:pPr>
      <w:r>
        <w:t xml:space="preserve"> </w:t>
      </w:r>
    </w:p>
    <w:p>
      <w:pPr>
        <w:pStyle w:val="ResourceHeadnote"/>
      </w:pPr>
      <w:r>
        <w:t xml:space="preserve">This reading begins a new module. We are no longer concerned directly with the power of a court to hear a case. Instead, we will discuss the law that applies in the federal district courts assuming that they do have power to hear the case. Specifically, we will discuss diversity lawsuits, and the choice between federal law and the law of some state.</w:t>
      </w:r>
    </w:p>
    <w:p>
      <w:pPr>
        <w:pStyle w:val="ResourceHeadnote"/>
      </w:pPr>
      <w:r>
        <w:t xml:space="preserve">In Class 5, we discussed "horizontal" choice of law, meaning the (state) law applicable when the transaction giving rise to the lawsuit crossed a state boundary, so there was more than one state whose law might apply. Now, we will discuss for what issues a federal court sitting in diversity should use state law, and for what issues it should use federal law.</w:t>
      </w:r>
    </w:p>
    <w:p>
      <w:pPr>
        <w:pStyle w:val="HeadEnd"/>
      </w:pPr>
      <w:r>
        <w:t xml:space="preserve"> </w:t>
      </w:r>
    </w:p>
    <w:p>
      <w:pPr>
        <w:numPr>
          <w:ilvl w:val="0"/>
          <w:numId w:val="1097"/>
        </w:numPr>
      </w:pPr>
      <w:r>
        <w:t xml:space="preserve">U.S. Const. art. I sec. 8 cl. 18 (necessary and proper clause)</w:t>
      </w:r>
    </w:p>
    <w:p>
      <w:pPr>
        <w:numPr>
          <w:ilvl w:val="0"/>
          <w:numId w:val="1097"/>
        </w:numPr>
      </w:pPr>
      <w:r>
        <w:t xml:space="preserve">U.S. Const. art. III sec. 1 cl. 1 (power to create the lower federal courts)</w:t>
      </w:r>
    </w:p>
    <w:p>
      <w:pPr>
        <w:numPr>
          <w:ilvl w:val="0"/>
          <w:numId w:val="1097"/>
        </w:numPr>
      </w:pPr>
      <w:r>
        <w:t xml:space="preserve">U.S. Const. amend XIV (equal protection clause)</w:t>
      </w:r>
    </w:p>
    <w:p>
      <w:pPr>
        <w:numPr>
          <w:ilvl w:val="0"/>
          <w:numId w:val="1097"/>
        </w:numPr>
      </w:pPr>
      <w:r>
        <w:t xml:space="preserve">28 U.S.C. § 1652</w:t>
      </w:r>
      <w:r>
        <w:t xml:space="preserve">, plus short explanation in "Explanation of Statutes" in the "Course Materials" Folder on Canvas</w:t>
      </w:r>
    </w:p>
    <w:p>
      <w:pPr>
        <w:pStyle w:val="NodeEnd"/>
      </w:pPr>
      <w:r>
        <w:t xml:space="preserve"> </w:t>
      </w:r>
    </w:p>
    <w:p>
      <w:pPr>
        <w:pStyle w:val="NodeStart"/>
      </w:pPr>
      <w:r>
        <w:t xml:space="preserve"> </w:t>
      </w:r>
    </w:p>
    <w:p>
      <w:pPr>
        <w:pStyle w:val="HeadSeparator"/>
      </w:pPr>
      <w:r>
        <w:t xml:space="preserve"> </w:t>
      </w:r>
    </w:p>
    <w:bookmarkStart w:id="105" w:name="_auto_toc_105"/>
    <w:bookmarkEnd w:id="105"/>
    <w:p>
      <w:pPr>
        <w:pStyle w:val="ResourceNumber"/>
      </w:pPr>
      <w:r>
        <w:t xml:space="preserve">9.11</w:t>
      </w:r>
    </w:p>
    <w:p>
      <w:pPr>
        <w:pStyle w:val="ResourceTitle"/>
      </w:pPr>
      <w:r>
        <w:t xml:space="preserve">Video (14 min)</w:t>
      </w:r>
    </w:p>
    <w:p>
      <w:pPr>
        <w:pStyle w:val="HeadEnd"/>
      </w:pPr>
      <w:r>
        <w:t xml:space="preserve"> </w:t>
      </w:r>
    </w:p>
    <w:p>
      <w:pPr>
        <w:pStyle w:val="BodyText"/>
      </w:pPr>
      <w:r>
        <w:t xml:space="preserve">Watch the video located</w:t>
      </w:r>
      <w:r>
        <w:t xml:space="preserve"> </w:t>
      </w:r>
      <w:hyperlink r:id="rId176">
        <w:r>
          <w:rPr>
            <w:rStyle w:val="Hyperlink"/>
          </w:rPr>
          <w:t xml:space="preserve">here</w:t>
        </w:r>
      </w:hyperlink>
      <w:r>
        <w:t xml:space="preserve">. It is 14 minutes long.</w:t>
      </w:r>
    </w:p>
    <w:p>
      <w:pPr>
        <w:pStyle w:val="NodeEnd"/>
      </w:pPr>
      <w:r>
        <w:t xml:space="preserve"> </w:t>
      </w:r>
    </w:p>
    <w:p>
      <w:pPr>
        <w:pStyle w:val="NodeStart"/>
      </w:pPr>
      <w:r>
        <w:t xml:space="preserve"> </w:t>
      </w:r>
    </w:p>
    <w:p>
      <w:pPr>
        <w:pStyle w:val="HeadSeparator"/>
      </w:pPr>
      <w:r>
        <w:t xml:space="preserve"> </w:t>
      </w:r>
    </w:p>
    <w:bookmarkStart w:id="106" w:name="_auto_toc_106"/>
    <w:bookmarkEnd w:id="106"/>
    <w:p>
      <w:pPr>
        <w:pStyle w:val="ResourceNumber"/>
      </w:pPr>
      <w:r>
        <w:t xml:space="preserve">9.12</w:t>
      </w:r>
    </w:p>
    <w:p>
      <w:pPr>
        <w:pStyle w:val="ResourceTitle"/>
      </w:pPr>
      <w:r>
        <w:t xml:space="preserve">Swift v. Tyson</w:t>
      </w:r>
    </w:p>
    <w:p>
      <w:pPr>
        <w:pStyle w:val="HeadFieldSeparator"/>
      </w:pPr>
      <w:r>
        <w:t xml:space="preserve"> </w:t>
      </w:r>
    </w:p>
    <w:p>
      <w:pPr>
        <w:pStyle w:val="ResourceHeadnote"/>
      </w:pPr>
      <w:r>
        <w:t xml:space="preserve">Massively, massively oversimplified, here is the history of doctrine on the</w:t>
      </w:r>
      <w:r>
        <w:t xml:space="preserve"> </w:t>
      </w:r>
      <w:r>
        <w:rPr>
          <w:iCs/>
          <w:i/>
        </w:rPr>
        <w:t xml:space="preserve">Erie</w:t>
      </w:r>
      <w:r>
        <w:t xml:space="preserve"> </w:t>
      </w:r>
      <w:r>
        <w:t xml:space="preserve">question.</w:t>
      </w:r>
    </w:p>
    <w:p>
      <w:pPr>
        <w:pStyle w:val="ResourceHeadnote"/>
      </w:pPr>
      <w:r>
        <w:t xml:space="preserve">Before 1938: Federal courts sitting in diversity used the rules of procedure of the state in which they sat (because Congress told them to do so in a statute called the Conformity Act, and because there were no federal rules of civil procedure). Under the doctrine of</w:t>
      </w:r>
      <w:r>
        <w:t xml:space="preserve"> </w:t>
      </w:r>
      <w:r>
        <w:rPr>
          <w:iCs/>
          <w:i/>
        </w:rPr>
        <w:t xml:space="preserve">Swift v. Tyson</w:t>
      </w:r>
      <w:r>
        <w:t xml:space="preserve">, the next case we read, federal diversity courts used the "general law" on matters of substance; as we will discuss in class, modern thinkers now believe that the "general law" was actually federal common law, meaning law that federal judges made up. This "general" law/federal common law often conflicted with the substantive law of the state in which they sat.</w:t>
      </w:r>
    </w:p>
    <w:p>
      <w:pPr>
        <w:pStyle w:val="ResourceHeadnote"/>
      </w:pPr>
      <w:r>
        <w:t xml:space="preserve">After 1938: In matters of substance, the 1938 decision of</w:t>
      </w:r>
      <w:r>
        <w:t xml:space="preserve"> </w:t>
      </w:r>
      <w:r>
        <w:rPr>
          <w:iCs/>
          <w:i/>
        </w:rPr>
        <w:t xml:space="preserve">Erie RR v. Tompkins</w:t>
      </w:r>
      <w:r>
        <w:t xml:space="preserve"> </w:t>
      </w:r>
      <w:r>
        <w:t xml:space="preserve">overruled</w:t>
      </w:r>
      <w:r>
        <w:t xml:space="preserve"> </w:t>
      </w:r>
      <w:r>
        <w:rPr>
          <w:iCs/>
          <w:i/>
        </w:rPr>
        <w:t xml:space="preserve">Swift v. Tyson</w:t>
      </w:r>
      <w:r>
        <w:t xml:space="preserve">, and held that federal diversity courts should use state law in matters of substance. In that same year, pursuant to a congressional statute called the Rules Enabling Act (which we will study), the federal court system adopted the Federal Rules of Civil Procedure. So, federal courts now use federal law for matters of procedure.</w:t>
      </w:r>
    </w:p>
    <w:p>
      <w:pPr>
        <w:pStyle w:val="ResourceHeadnote"/>
      </w:pPr>
      <w:r>
        <w:t xml:space="preserve">We will begin with a focus on matters of substance. We will start with the ruling of</w:t>
      </w:r>
      <w:r>
        <w:t xml:space="preserve"> </w:t>
      </w:r>
      <w:r>
        <w:rPr>
          <w:iCs/>
          <w:i/>
        </w:rPr>
        <w:t xml:space="preserve">Swift</w:t>
      </w:r>
      <w:r>
        <w:t xml:space="preserve">, which said that the "general law" governed most matters adjudicated in federal diversity cases. As we will learn, part of the</w:t>
      </w:r>
      <w:r>
        <w:t xml:space="preserve"> </w:t>
      </w:r>
      <w:r>
        <w:rPr>
          <w:iCs/>
          <w:i/>
        </w:rPr>
        <w:t xml:space="preserve">Swift</w:t>
      </w:r>
      <w:r>
        <w:t xml:space="preserve"> </w:t>
      </w:r>
      <w:r>
        <w:t xml:space="preserve">doctrine rested on its interpretation of 28 U.S.C. § 1652, the Rules of Decision Act, which appeared to direct the federal courts to use "the laws of the several states" in diversity cases.</w:t>
      </w:r>
    </w:p>
    <w:p>
      <w:pPr>
        <w:pStyle w:val="ResourceHeadnote"/>
      </w:pPr>
      <w:r>
        <w:t xml:space="preserve">The facts of</w:t>
      </w:r>
      <w:r>
        <w:t xml:space="preserve"> </w:t>
      </w:r>
      <w:r>
        <w:rPr>
          <w:iCs/>
          <w:i/>
        </w:rPr>
        <w:t xml:space="preserve">Swift</w:t>
      </w:r>
      <w:r>
        <w:t xml:space="preserve"> </w:t>
      </w:r>
      <w:r>
        <w:t xml:space="preserve">are complicated. Oversimplified, they are as follows: Norton and Keith were swindlers who tried to sell land they did not own to Tyson. Tyson paid with a bill of exchange, which was a promise to pay a certain amount of money at a later date. The bill of exchange was made in Maine. Norton and Keith then gave this bill to Swift to pay off a debt. Swift tried to cash in the bill by giving it to Tyson. Tyson, realizing that Norton and Keith did not own the land they tried to sell, refused to pay Swift. Swift sued in New York federal court.</w:t>
      </w:r>
    </w:p>
    <w:p>
      <w:pPr>
        <w:pStyle w:val="ResourceHeadnote"/>
      </w:pPr>
      <w:r>
        <w:t xml:space="preserve">The main question at issue was whether the federal court had to apply New York state law. The question turned on the meaning of the phrase "laws of the several states" in the Rules of Decision Act. Under New York state common law (meaning judge-made law), the original swindle relieved Tyson of the obligation to pay. Justice Story, however, believed that the better rule was what we now call the "holder in due course" doctrine, under which Tyson had to pay Swift and then sue the swindlers himself.</w:t>
      </w:r>
    </w:p>
    <w:p>
      <w:pPr>
        <w:pStyle w:val="HeadEnd"/>
      </w:pPr>
      <w:r>
        <w:t xml:space="preserve"> </w:t>
      </w:r>
    </w:p>
    <w:p>
      <w:pPr>
        <w:pStyle w:val="CaseHeader"/>
      </w:pPr>
      <w:r>
        <w:t xml:space="preserve">Supreme Court of the United States</w:t>
      </w:r>
    </w:p>
    <w:p>
      <w:pPr>
        <w:pStyle w:val="CaseHeader"/>
      </w:pPr>
      <w:r>
        <w:t xml:space="preserve">16 Pet. 1, 41 U.S. 1, 10 L. Ed. 865, 1842 U.S. LEXIS 345, SCDB 1842-001</w:t>
      </w:r>
    </w:p>
    <w:p>
      <w:pPr>
        <w:pStyle w:val="CaseHeader"/>
      </w:pPr>
      <w:r>
        <w:t xml:space="preserve">1842-01</w:t>
      </w:r>
    </w:p>
    <w:p>
      <w:pPr>
        <w:pStyle w:val="CaseBody"/>
      </w:pPr>
      <w:r>
        <w:rPr>
          <w:rStyle w:val="Elision"/>
        </w:rPr>
        <w:t xml:space="preserve">[ … ]</w:t>
      </w:r>
    </w:p>
    <w:p>
      <w:pPr>
        <w:pStyle w:val="CaseBody"/>
      </w:pPr>
      <w:r>
        <w:t xml:space="preserve">Mr. Justice Story</w:t>
      </w:r>
    </w:p>
    <w:p>
      <w:pPr>
        <w:pStyle w:val="CaseBody"/>
      </w:pPr>
      <w:r>
        <w:t xml:space="preserve">delivered the opinion of the Court.</w:t>
      </w:r>
    </w:p>
    <w:p>
      <w:pPr>
        <w:pStyle w:val="CaseBody"/>
      </w:pPr>
      <w:r>
        <w:rPr>
          <w:rStyle w:val="Elision"/>
        </w:rPr>
        <w:t xml:space="preserve">[ … ]</w:t>
      </w:r>
    </w:p>
    <w:p>
      <w:pPr>
        <w:pStyle w:val="CaseBody"/>
      </w:pPr>
      <w:r>
        <w:t xml:space="preserve">The action was</w:t>
      </w:r>
      <w:r>
        <w:rPr>
          <w:rStyle w:val="ReplacementText"/>
        </w:rPr>
        <w:t xml:space="preserve">b</w:t>
      </w:r>
      <w:r>
        <w:t xml:space="preserve">rought- by the plaintiff, Swift, as endorsee, against the defendant, Tyson, as acceptor, upon a-bill of exchange</w:t>
      </w:r>
      <w:r>
        <w:t xml:space="preserve"> </w:t>
      </w:r>
      <w:r>
        <w:rPr>
          <w:rStyle w:val="Elision"/>
        </w:rPr>
        <w:t xml:space="preserve">[ … ]</w:t>
      </w:r>
      <w:r>
        <w:t xml:space="preserve">. The bill was dishonoured at maturity.</w:t>
      </w:r>
    </w:p>
    <w:p>
      <w:pPr>
        <w:pStyle w:val="CaseBody"/>
      </w:pPr>
      <w:r>
        <w:rPr>
          <w:rStyle w:val="Elision"/>
        </w:rPr>
        <w:t xml:space="preserve">[ … ]</w:t>
      </w:r>
    </w:p>
    <w:p>
      <w:pPr>
        <w:pStyle w:val="CaseBody"/>
      </w:pPr>
      <w:r>
        <w:rPr>
          <w:rStyle w:val="Elision"/>
        </w:rPr>
        <w:t xml:space="preserve">[ … ]</w:t>
      </w:r>
      <w:r>
        <w:t xml:space="preserve"> </w:t>
      </w:r>
      <w:r>
        <w:t xml:space="preserve">It is observable that the Courts of</w:t>
      </w:r>
      <w:r>
        <w:t xml:space="preserve"> </w:t>
      </w:r>
      <w:r>
        <w:rPr>
          <w:rStyle w:val="ReplacementText"/>
        </w:rPr>
        <w:t xml:space="preserve">New York, whose judge-made/common law provided that Tyson did not have to pay,</w:t>
      </w:r>
      <w:r>
        <w:t xml:space="preserve"> </w:t>
      </w:r>
      <w:r>
        <w:t xml:space="preserve">do not found their decisions upon this point upon any local statute, or positive, fixed, or ancient local usage: but they deduce the doc</w:t>
      </w:r>
      <w:r>
        <w:softHyphen/>
      </w:r>
      <w:r>
        <w:t xml:space="preserve">trine from the general principles of commercial law. It is, how</w:t>
      </w:r>
      <w:r>
        <w:softHyphen/>
      </w:r>
      <w:r>
        <w:t xml:space="preserve">ever, contended, that the</w:t>
      </w:r>
      <w:r>
        <w:t xml:space="preserve"> </w:t>
      </w:r>
      <w:r>
        <w:rPr>
          <w:rStyle w:val="ReplacementText"/>
        </w:rPr>
        <w:t xml:space="preserve">28 U.S.C. 1652</w:t>
      </w:r>
      <w:r>
        <w:t xml:space="preserve">, furnishes a rule obligatory upon- this Court to</w:t>
      </w:r>
      <w:r>
        <w:t xml:space="preserve"> </w:t>
      </w:r>
      <w:r>
        <w:rPr>
          <w:rStyle w:val="Elision"/>
        </w:rPr>
        <w:t xml:space="preserve">[ … ]</w:t>
      </w:r>
      <w:r>
        <w:t xml:space="preserve">follow the decisions of the state tribunals in all cases to which they apply. That section provides “ that the laws of the several states, except- where the Constitution, treaties, or statutes of the United States shall otherwise require</w:t>
      </w:r>
      <w:r>
        <w:rPr>
          <w:rStyle w:val="Elision"/>
        </w:rPr>
        <w:t xml:space="preserve">[ … ]</w:t>
      </w:r>
      <w:r>
        <w:t xml:space="preserve">or provide, shall be' re</w:t>
      </w:r>
      <w:r>
        <w:softHyphen/>
      </w:r>
      <w:r>
        <w:t xml:space="preserve">garded as rules of decision in trials at common law in the Courts of the United</w:t>
      </w:r>
      <w:r>
        <w:t xml:space="preserve"> </w:t>
      </w:r>
      <w:r>
        <w:rPr>
          <w:rStyle w:val="Elision"/>
        </w:rPr>
        <w:t xml:space="preserve">[ … ]</w:t>
      </w:r>
      <w:r>
        <w:t xml:space="preserve">States, in cases where they apply.” In order to maintain the argument, it' is éssential, therefore, to hold, that the</w:t>
      </w:r>
      <w:r>
        <w:t xml:space="preserve"> </w:t>
      </w:r>
      <w:r>
        <w:rPr>
          <w:rStyle w:val="Elision"/>
        </w:rPr>
        <w:t xml:space="preserve">[ … ]</w:t>
      </w:r>
      <w:r>
        <w:t xml:space="preserve">word “ laws,” in this section, includes within the scope of its meaning the decisions of the</w:t>
      </w:r>
      <w:r>
        <w:t xml:space="preserve"> </w:t>
      </w:r>
      <w:r>
        <w:t xml:space="preserve">local</w:t>
      </w:r>
      <w:r>
        <w:t xml:space="preserve"> </w:t>
      </w:r>
      <w:r>
        <w:rPr>
          <w:rStyle w:val="FootnoteReference"/>
        </w:rPr>
        <w:footnoteReference w:customMarkFollows="1" w:id="24"/>
        <w:t xml:space="preserve">*</w:t>
      </w:r>
      <w:r>
        <w:t xml:space="preserve">tribunals. In the ordinary use of language it will hardly be contended that the</w:t>
      </w:r>
      <w:r>
        <w:rPr>
          <w:rStyle w:val="Elision"/>
        </w:rPr>
        <w:t xml:space="preserve">[ … ]</w:t>
      </w:r>
      <w:r>
        <w:t xml:space="preserve">decisions of Courts constitute laws. They are, at most, only evidence of what the laws are; and are not</w:t>
      </w:r>
      <w:r>
        <w:t xml:space="preserve"> </w:t>
      </w:r>
      <w:r>
        <w:rPr>
          <w:rStyle w:val="ReplacementText"/>
        </w:rPr>
        <w:t xml:space="preserve">by</w:t>
      </w:r>
      <w:r>
        <w:t xml:space="preserve"> </w:t>
      </w:r>
      <w:r>
        <w:t xml:space="preserve">themselves laws. They are often re</w:t>
      </w:r>
      <w:r>
        <w:softHyphen/>
      </w:r>
      <w:r>
        <w:t xml:space="preserve">examined, reversed, and qualified by the Courts themselves, whenever they are found to be either defective,</w:t>
      </w:r>
      <w:r>
        <w:rPr>
          <w:rStyle w:val="Elision"/>
        </w:rPr>
        <w:t xml:space="preserve">[ … ]</w:t>
      </w:r>
      <w:r>
        <w:t xml:space="preserve">or ill-founded, or otherwise incorrecf. The laws of a state are more usually under</w:t>
      </w:r>
      <w:r>
        <w:softHyphen/>
      </w:r>
      <w:r>
        <w:t xml:space="preserve">stood to mean the r</w:t>
      </w:r>
      <w:r>
        <w:rPr>
          <w:rStyle w:val="ReplacementText"/>
        </w:rPr>
        <w:t xml:space="preserve">u</w:t>
      </w:r>
      <w:r>
        <w:t xml:space="preserve">les and</w:t>
      </w:r>
      <w:r>
        <w:t xml:space="preserve"> </w:t>
      </w:r>
      <w:r>
        <w:rPr>
          <w:rStyle w:val="Elision"/>
        </w:rPr>
        <w:t xml:space="preserve">[ … ]</w:t>
      </w:r>
      <w:r>
        <w:t xml:space="preserve">enactments promulgated by the legislative authority -thereof, or long established local customs having the force of laws.</w:t>
      </w:r>
      <w:r>
        <w:t xml:space="preserve"> </w:t>
      </w:r>
      <w:r>
        <w:rPr>
          <w:rStyle w:val="Elision"/>
        </w:rPr>
        <w:t xml:space="preserve">[ … ]</w:t>
      </w:r>
      <w:r>
        <w:t xml:space="preserve"> </w:t>
      </w:r>
      <w:r>
        <w:t xml:space="preserve">In all the various casés which have hitherto come before, us for decision, this Court have uniformly supposed, that the true interpretation of the thirty-fourth section limited its application to state laws strictly local, that is to say, to</w:t>
      </w:r>
      <w:r>
        <w:t xml:space="preserve"> </w:t>
      </w:r>
      <w:r>
        <w:rPr>
          <w:rStyle w:val="Elision"/>
        </w:rPr>
        <w:t xml:space="preserve">[ … ]</w:t>
      </w:r>
      <w:r>
        <w:t xml:space="preserve">the positive statutes of the state, and the construction thereof adopted by the local tribunals, and to rights</w:t>
      </w:r>
      <w:r>
        <w:rPr>
          <w:rStyle w:val="Elision"/>
        </w:rPr>
        <w:t xml:space="preserve">[ … ]</w:t>
      </w:r>
      <w:r>
        <w:t xml:space="preserve">and title</w:t>
      </w:r>
      <w:r>
        <w:rPr>
          <w:rStyle w:val="ReplacementText"/>
        </w:rPr>
        <w:t xml:space="preserve">s</w:t>
      </w:r>
      <w:r>
        <w:t xml:space="preserve"> </w:t>
      </w:r>
      <w:r>
        <w:t xml:space="preserve">to things</w:t>
      </w:r>
      <w:r>
        <w:rPr>
          <w:rStyle w:val="Elision"/>
        </w:rPr>
        <w:t xml:space="preserve">[ … ]</w:t>
      </w:r>
      <w:r>
        <w:t xml:space="preserve"> </w:t>
      </w:r>
      <w:r>
        <w:t xml:space="preserve">having a permanent locality, such as the rights and titles to real estate, and other matters immovable and</w:t>
      </w:r>
      <w:r>
        <w:rPr>
          <w:rStyle w:val="ReplacementText"/>
        </w:rPr>
        <w:t xml:space="preserve">intraterritorial</w:t>
      </w:r>
      <w:r>
        <w:t xml:space="preserve"> </w:t>
      </w:r>
      <w:r>
        <w:t xml:space="preserve">in their nature and character.</w:t>
      </w:r>
      <w:r>
        <w:t xml:space="preserve"> </w:t>
      </w:r>
      <w:r>
        <w:rPr>
          <w:rStyle w:val="Elision"/>
        </w:rPr>
        <w:t xml:space="preserve">[ … ]</w:t>
      </w:r>
      <w:r>
        <w:t xml:space="preserve">It never has been supposed by us, that the section did apply, or was designed to apply, to questions of a more general nature,- not at-all dependent upon local statutes or</w:t>
      </w:r>
      <w:r>
        <w:rPr>
          <w:rStyle w:val="Elision"/>
        </w:rPr>
        <w:t xml:space="preserve">[ … ]</w:t>
      </w:r>
      <w:r>
        <w:t xml:space="preserve"> </w:t>
      </w:r>
      <w:r>
        <w:t xml:space="preserve">local usages of a fixed and permanent operation, as, for example, to the construction of ordinary contracts or other</w:t>
      </w:r>
      <w:r>
        <w:t xml:space="preserve"> </w:t>
      </w:r>
      <w:r>
        <w:rPr>
          <w:rStyle w:val="Elision"/>
        </w:rPr>
        <w:t xml:space="preserve">[ … ]</w:t>
      </w:r>
      <w:r>
        <w:t xml:space="preserve">written instru</w:t>
      </w:r>
      <w:r>
        <w:softHyphen/>
      </w:r>
      <w:r>
        <w:t xml:space="preserve">ments, and especially to questions of general commercial law, where the state tribunals are called upon to perform the like functions as ourselves, that is, to ascertain upon géneral reason</w:t>
      </w:r>
      <w:r>
        <w:softHyphen/>
      </w:r>
      <w:r>
        <w:t xml:space="preserve">ing and legal analogies, what is the true exposition of the contract or instrument, or what is the just rule furnished by the principles of commercial law to govern the case. And we have not now the slightest difficulty in holding, that this section, upon its true intendment and construction, is strictly limited to local statutes and local usages of the character before stated, and does not ex</w:t>
      </w:r>
      <w:r>
        <w:softHyphen/>
      </w:r>
      <w:r>
        <w:t xml:space="preserve">tend to contracts and other instruments of a commercial- nature, the true, interpretation and effect whereof are . to be sought, not in the decisions of the local tribunals, but in the general principlés and doctrines of commercial jurisprudence..</w:t>
      </w:r>
      <w:r>
        <w:rPr>
          <w:rStyle w:val="Elision"/>
        </w:rPr>
        <w:t xml:space="preserve">[ … ]</w:t>
      </w:r>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107" w:name="_auto_toc_107"/>
    <w:bookmarkEnd w:id="107"/>
    <w:p>
      <w:pPr>
        <w:pStyle w:val="ResourceNumber"/>
      </w:pPr>
      <w:r>
        <w:t xml:space="preserve">9.13</w:t>
      </w:r>
    </w:p>
    <w:p>
      <w:pPr>
        <w:pStyle w:val="ResourceTitle"/>
      </w:pPr>
      <w:r>
        <w:t xml:space="preserve">Erie Railroad v. Tompkins</w:t>
      </w:r>
    </w:p>
    <w:p>
      <w:pPr>
        <w:pStyle w:val="HeadFieldSeparator"/>
      </w:pPr>
      <w:r>
        <w:t xml:space="preserve"> </w:t>
      </w:r>
    </w:p>
    <w:p>
      <w:pPr>
        <w:pStyle w:val="ResourceHeadnote"/>
      </w:pPr>
      <w:r>
        <w:t xml:space="preserve">Harry (later in his life known, alas, as "Lefty") Tompkins was walking parallel to railroad tracks on a commonly-used footpath on land that the Erie Railroad Corporation owned in Pennsylvania when he was struck by an object (likely a door that someone had forgotten to close, and that the Erie Railroad employees had failed to notice before the train's run) sticking off a passing train. This object severed Tompkins' right arm.</w:t>
      </w:r>
    </w:p>
    <w:p>
      <w:pPr>
        <w:pStyle w:val="ResourceHeadnote"/>
      </w:pPr>
      <w:r>
        <w:t xml:space="preserve">According to Pennsylvania law, Tompkins was considered a trespasser (because the Erie Railroad Corporation owned the land on which the commonly used footpath laid) and would not be able to recover damages. Under Pennsylvania law, the railroad would only owe trespassers the duty to avoid wanton negligence. The majority rule in other states, however, and the rule under the "general law" regime of Swift v. Tyson, was that the railroad company owed a duty of ordinary care to Tompkins, meaning he might be able to recover damages.</w:t>
      </w:r>
    </w:p>
    <w:p>
      <w:pPr>
        <w:pStyle w:val="ResourceHeadnote"/>
      </w:pPr>
      <w:r>
        <w:t xml:space="preserve">Tompkins' lawyers tried to avoid Pennsylvania's law by suing in New York federal court. This move was calculated to take advantage of the rule established by Swift, which said that federal courts must apply "general law" in the absence of state statutory law. The district court applied the general law and upheld a jury's award of damages to Tompkins. The court of appeals affirmed, and the Supreme Court granted certiorari.</w:t>
      </w:r>
    </w:p>
    <w:p>
      <w:pPr>
        <w:pStyle w:val="HeadEnd"/>
      </w:pPr>
      <w:r>
        <w:t xml:space="preserve"> </w:t>
      </w:r>
    </w:p>
    <w:p>
      <w:pPr>
        <w:pStyle w:val="CaseHeader"/>
      </w:pPr>
      <w:r>
        <w:t xml:space="preserve">Supreme Court of the United States</w:t>
      </w:r>
    </w:p>
    <w:p>
      <w:pPr>
        <w:pStyle w:val="CaseHeader"/>
      </w:pPr>
      <w:r>
        <w:t xml:space="preserve">304 U.S. 64, 58 S. Ct. 817, 82 L. Ed. 1188, 1938 U.S. LEXIS 984, 11 Ohio Op. 246, 114 A.L.R. 1487</w:t>
      </w:r>
    </w:p>
    <w:p>
      <w:pPr>
        <w:pStyle w:val="CaseHeader"/>
      </w:pPr>
      <w:r>
        <w:t xml:space="preserve">367</w:t>
      </w:r>
    </w:p>
    <w:p>
      <w:pPr>
        <w:pStyle w:val="CaseHeader"/>
      </w:pPr>
      <w:r>
        <w:t xml:space="preserve">1938-04-25</w:t>
      </w:r>
    </w:p>
    <w:bookmarkStart w:id="177" w:name="X881a19bf5fe544d17147776576c4d034fc84642"/>
    <w:p>
      <w:pPr>
        <w:pStyle w:val="Heading4"/>
      </w:pPr>
      <w:r>
        <w:t xml:space="preserve">ERIE RAILROAD CO.</w:t>
      </w:r>
      <w:r>
        <w:t xml:space="preserve"> </w:t>
      </w:r>
      <w:r>
        <w:rPr>
          <w:iCs/>
          <w:i/>
        </w:rPr>
        <w:t xml:space="preserve">v.</w:t>
      </w:r>
      <w:r>
        <w:t xml:space="preserve"> </w:t>
      </w:r>
      <w:r>
        <w:t xml:space="preserve">TOMPKINS.</w:t>
      </w:r>
    </w:p>
    <w:p>
      <w:pPr>
        <w:pStyle w:val="FirstParagraph"/>
      </w:pPr>
      <w:r>
        <w:t xml:space="preserve">No. 367.</w:t>
      </w:r>
    </w:p>
    <w:p>
      <w:pPr>
        <w:pStyle w:val="BodyText"/>
      </w:pPr>
      <w:r>
        <w:rPr>
          <w:rStyle w:val="Elision"/>
        </w:rPr>
        <w:t xml:space="preserve">[ … ]</w:t>
      </w:r>
    </w:p>
    <w:bookmarkEnd w:id="177"/>
    <w:p>
      <w:pPr>
        <w:pStyle w:val="BodyText"/>
      </w:pPr>
      <w:hyperlink w:anchor="X2c896af761e294520d8022db02c70cb56326098">
        <w:r>
          <w:rPr>
            <w:rStyle w:val="Hyperlink"/>
          </w:rPr>
          <w:t xml:space="preserve">*69</w:t>
        </w:r>
      </w:hyperlink>
      <w:r>
        <w:t xml:space="preserve">•Mr. Justice Brandéis</w:t>
      </w:r>
    </w:p>
    <w:p>
      <w:pPr>
        <w:pStyle w:val="BodyText"/>
      </w:pPr>
      <w:r>
        <w:t xml:space="preserve">delivered the opinion of the Court.</w:t>
      </w:r>
    </w:p>
    <w:p>
      <w:pPr>
        <w:pStyle w:val="BodyText"/>
      </w:pPr>
      <w:r>
        <w:t xml:space="preserve">The question for decision is whether the oft-challenged doctrine of</w:t>
      </w:r>
      <w:r>
        <w:t xml:space="preserve"> </w:t>
      </w:r>
      <w:r>
        <w:rPr>
          <w:iCs/>
          <w:i/>
        </w:rPr>
        <w:t xml:space="preserve">Swift</w:t>
      </w:r>
      <w:r>
        <w:t xml:space="preserve"> </w:t>
      </w:r>
      <w:r>
        <w:t xml:space="preserve">v. Tyson</w:t>
      </w:r>
      <w:r>
        <w:rPr>
          <w:rStyle w:val="Elision"/>
        </w:rPr>
        <w:t xml:space="preserve">[ … ]</w:t>
      </w:r>
      <w:r>
        <w:t xml:space="preserve"> </w:t>
      </w:r>
      <w:r>
        <w:t xml:space="preserve">shall now be disapproved.</w:t>
      </w:r>
    </w:p>
    <w:p>
      <w:pPr>
        <w:pStyle w:val="BodyText"/>
      </w:pPr>
      <w:r>
        <w:rPr>
          <w:rStyle w:val="Elision"/>
        </w:rPr>
        <w:t xml:space="preserve">[ … ]</w:t>
      </w:r>
    </w:p>
    <w:p>
      <w:pPr>
        <w:pStyle w:val="BodyText"/>
      </w:pPr>
      <w:hyperlink w:anchor="X502409333403df5c8c885833d030353d69c55a9">
        <w:r>
          <w:rPr>
            <w:rStyle w:val="Hyperlink"/>
          </w:rPr>
          <w:t xml:space="preserve">*71</w:t>
        </w:r>
      </w:hyperlink>
      <w:r>
        <w:t xml:space="preserve">The Erie had contended that application of the Pennsylvania rule was required, among other things, by</w:t>
      </w:r>
      <w:r>
        <w:t xml:space="preserve"> </w:t>
      </w:r>
      <w:r>
        <w:rPr>
          <w:rStyle w:val="ReplacementText"/>
        </w:rPr>
        <w:t xml:space="preserve">the Rules of Decision Act.</w:t>
      </w:r>
    </w:p>
    <w:p>
      <w:pPr>
        <w:pStyle w:val="BodyText"/>
      </w:pPr>
      <w:r>
        <w:rPr>
          <w:iCs/>
          <w:i/>
        </w:rPr>
        <w:t xml:space="preserve">First. Swift</w:t>
      </w:r>
      <w:r>
        <w:t xml:space="preserve"> </w:t>
      </w:r>
      <w:r>
        <w:t xml:space="preserve">v.</w:t>
      </w:r>
      <w:r>
        <w:t xml:space="preserve"> </w:t>
      </w:r>
      <w:r>
        <w:rPr>
          <w:iCs/>
          <w:i/>
        </w:rPr>
        <w:t xml:space="preserve">Tyson,</w:t>
      </w:r>
      <w:r>
        <w:t xml:space="preserve"> </w:t>
      </w:r>
      <w:r>
        <w:t xml:space="preserve">16 Pet. 1, 18, held that federal courts exercising jurisdiction on the ground of diversity of citizenship need not, in matters of general jurisprudence, apply the unwritten law of the State as declared by</w:t>
      </w:r>
      <w:r>
        <w:t xml:space="preserve"> </w:t>
      </w:r>
      <w:r>
        <w:rPr>
          <w:rStyle w:val="Elision"/>
        </w:rPr>
        <w:t xml:space="preserve">[ … ]</w:t>
      </w:r>
      <w:r>
        <w:t xml:space="preserve">its highest court; that they are free to exercise an independent judgment as to what the common law of the State is — or should be</w:t>
      </w:r>
      <w:r>
        <w:rPr>
          <w:rStyle w:val="Elision"/>
        </w:rPr>
        <w:t xml:space="preserve">[ … ]</w:t>
      </w:r>
    </w:p>
    <w:p>
      <w:pPr>
        <w:pStyle w:val="BodyText"/>
      </w:pPr>
      <w:r>
        <w:t xml:space="preserve">Doubt was repeatedly expressed as</w:t>
      </w:r>
      <w:r>
        <w:rPr>
          <w:rStyle w:val="Elision"/>
        </w:rPr>
        <w:t xml:space="preserve">[ … ]</w:t>
      </w:r>
      <w:r>
        <w:t xml:space="preserve">to the correctness of the construction g</w:t>
      </w:r>
      <w:r>
        <w:rPr>
          <w:rStyle w:val="Elision"/>
        </w:rPr>
        <w:t xml:space="preserve">[ … ]</w:t>
      </w:r>
      <w:r>
        <w:t xml:space="preserve"> </w:t>
      </w:r>
      <w:r>
        <w:t xml:space="preserve">But it was the more recent research of a competent scholar, who</w:t>
      </w:r>
      <w:r>
        <w:rPr>
          <w:rStyle w:val="Elision"/>
        </w:rPr>
        <w:t xml:space="preserve">[ … ]</w:t>
      </w:r>
      <w:r>
        <w:t xml:space="preserve">examined the original document, which established that the construction given to it by the Court was erroneous; and that the purpose of the section was merely to make certain that, in all matters except those in which some federal law is controlling,</w:t>
      </w:r>
      <w:r>
        <w:t xml:space="preserve"> </w:t>
      </w:r>
      <w:hyperlink w:anchor="X3588d2715eb9c2f33d12c1168559c64d45d7330">
        <w:r>
          <w:rPr>
            <w:rStyle w:val="Hyperlink"/>
          </w:rPr>
          <w:t xml:space="preserve">*73</w:t>
        </w:r>
      </w:hyperlink>
      <w:r>
        <w:t xml:space="preserve">the federal courts exercising jurisdiction in diversity of citizenship cases would apply as their rules of decision the law of the State, unwritten as well as written.</w:t>
      </w:r>
      <w:r>
        <w:rPr>
          <w:rStyle w:val="Elision"/>
        </w:rPr>
        <w:t xml:space="preserve">[ … ]</w:t>
      </w:r>
    </w:p>
    <w:p>
      <w:pPr>
        <w:pStyle w:val="BodyText"/>
      </w:pPr>
      <w:r>
        <w:t xml:space="preserve">Criticism of the doctrine became widespread after the decision of</w:t>
      </w:r>
      <w:r>
        <w:t xml:space="preserve"> </w:t>
      </w:r>
      <w:r>
        <w:rPr>
          <w:iCs/>
          <w:i/>
        </w:rPr>
        <w:t xml:space="preserve">Black &amp; White Taxicab Co.</w:t>
      </w:r>
      <w:r>
        <w:t xml:space="preserve"> </w:t>
      </w:r>
      <w:r>
        <w:t xml:space="preserve">v.</w:t>
      </w:r>
      <w:r>
        <w:t xml:space="preserve"> </w:t>
      </w:r>
      <w:r>
        <w:rPr>
          <w:iCs/>
          <w:i/>
        </w:rPr>
        <w:t xml:space="preserve">Brown &amp; Yellow Taxicab Co.,</w:t>
      </w:r>
      <w:r>
        <w:rPr>
          <w:rStyle w:val="Elision"/>
          <w:iCs/>
          <w:i/>
        </w:rPr>
        <w:t xml:space="preserve">[ … ]</w:t>
      </w:r>
      <w:r>
        <w:t xml:space="preserve"> </w:t>
      </w:r>
      <w:r>
        <w:t xml:space="preserve">There, Brown and Yellow, a Kentucky corporation owned by Kentuckians, and the Louisville and Nashville Railroad, also a Kentucky corporation, wished that the former should have the exclusive privilege of soliciting passenger and baggage transportation at the Bowling Green, Kentucky, railroad station; and that the Black and White, a competing Kentucky corporation, should be prevented from interfering with that privilege. Knowing that such a contract would be void under the common law of Kentucky, it was arranged that the Brown and Yellow reincorporate under the law of Tennessee, and that the contract with the railroad should be executed there. The suit was then brought by the Tennessee corporation in the federal court for western Kentucky to enjoin competition by the Black and White; an injunction issued by the District Court</w:t>
      </w:r>
      <w:r>
        <w:t xml:space="preserve"> </w:t>
      </w:r>
      <w:hyperlink w:anchor="Xcf32eeee65e73f6742f5b2d57ea4bb6bbb33c31">
        <w:r>
          <w:rPr>
            <w:rStyle w:val="Hyperlink"/>
          </w:rPr>
          <w:t xml:space="preserve">*74</w:t>
        </w:r>
      </w:hyperlink>
      <w:r>
        <w:t xml:space="preserve">waa sustained lay the Court of Appeals; and this Court, citing many decisions in which the doctrine of</w:t>
      </w:r>
      <w:r>
        <w:t xml:space="preserve"> </w:t>
      </w:r>
      <w:r>
        <w:rPr>
          <w:iCs/>
          <w:i/>
        </w:rPr>
        <w:t xml:space="preserve">Swift</w:t>
      </w:r>
      <w:r>
        <w:t xml:space="preserve"> </w:t>
      </w:r>
      <w:r>
        <w:t xml:space="preserve">v.</w:t>
      </w:r>
      <w:r>
        <w:t xml:space="preserve"> </w:t>
      </w:r>
      <w:r>
        <w:rPr>
          <w:iCs/>
          <w:i/>
        </w:rPr>
        <w:t xml:space="preserve">Tyson</w:t>
      </w:r>
      <w:r>
        <w:t xml:space="preserve"> </w:t>
      </w:r>
      <w:r>
        <w:t xml:space="preserve">had been applied, affirmed the decree.</w:t>
      </w:r>
    </w:p>
    <w:p>
      <w:pPr>
        <w:pStyle w:val="BodyText"/>
      </w:pPr>
      <w:r>
        <w:rPr>
          <w:iCs/>
          <w:i/>
        </w:rPr>
        <w:t xml:space="preserve">Second.</w:t>
      </w:r>
      <w:r>
        <w:t xml:space="preserve"> </w:t>
      </w:r>
      <w:r>
        <w:t xml:space="preserve">Experience in applying the doctrine of</w:t>
      </w:r>
      <w:r>
        <w:t xml:space="preserve"> </w:t>
      </w:r>
      <w:r>
        <w:rPr>
          <w:iCs/>
          <w:i/>
        </w:rPr>
        <w:t xml:space="preserve">Swift</w:t>
      </w:r>
      <w:r>
        <w:t xml:space="preserve"> </w:t>
      </w:r>
      <w:r>
        <w:t xml:space="preserve">v.</w:t>
      </w:r>
      <w:r>
        <w:t xml:space="preserve"> </w:t>
      </w:r>
      <w:r>
        <w:rPr>
          <w:iCs/>
          <w:i/>
        </w:rPr>
        <w:t xml:space="preserve">Tyson,</w:t>
      </w:r>
      <w:r>
        <w:t xml:space="preserve"> </w:t>
      </w:r>
      <w:r>
        <w:t xml:space="preserve">had revealed its defects, political and social; and the benefits expected to flow from the rule did not accrue. Persistence of state courts in their own opinions on questions of common law prevented uniformity;</w:t>
      </w:r>
      <w:r>
        <w:rPr>
          <w:rStyle w:val="Elision"/>
        </w:rPr>
        <w:t xml:space="preserve">[ … ]</w:t>
      </w:r>
      <w:r>
        <w:t xml:space="preserve"> </w:t>
      </w:r>
      <w:r>
        <w:t xml:space="preserve">and the . impossibility of discovering a satisfactory line of demarcation between the province of general law and that of local law developed a new well of uncertainties.</w:t>
      </w:r>
      <w:r>
        <w:rPr>
          <w:rStyle w:val="Elision"/>
        </w:rPr>
        <w:t xml:space="preserve">[ … ]</w:t>
      </w:r>
    </w:p>
    <w:p>
      <w:pPr>
        <w:pStyle w:val="BodyText"/>
      </w:pPr>
      <w:r>
        <w:t xml:space="preserve">On the other, hand, the mischievous results of the doctrine had becoihe apparent: Diversity of citizenship jurisdiction was conferred in order to prevent apprehended discrimination in state courts against those not citizens of the State.</w:t>
      </w:r>
      <w:r>
        <w:t xml:space="preserve"> </w:t>
      </w:r>
      <w:r>
        <w:rPr>
          <w:iCs/>
          <w:i/>
        </w:rPr>
        <w:t xml:space="preserve">Swift</w:t>
      </w:r>
      <w:r>
        <w:t xml:space="preserve"> </w:t>
      </w:r>
      <w:r>
        <w:t xml:space="preserve">v.</w:t>
      </w:r>
      <w:r>
        <w:t xml:space="preserve"> </w:t>
      </w:r>
      <w:r>
        <w:rPr>
          <w:iCs/>
          <w:i/>
        </w:rPr>
        <w:t xml:space="preserve">Tyson</w:t>
      </w:r>
      <w:r>
        <w:t xml:space="preserve"> </w:t>
      </w:r>
      <w:r>
        <w:t xml:space="preserve">introduced grave discrimination ’by non-citizens against citizens. It made rights enjoyed under the unwritten “general law” vary according to whether enforcement was sought in the state</w:t>
      </w:r>
      <w:r>
        <w:t xml:space="preserve"> </w:t>
      </w:r>
      <w:hyperlink w:anchor="Xd7312ea5623fe3eb52dbc9303f29cb51b7d81f2">
        <w:r>
          <w:rPr>
            <w:rStyle w:val="Hyperlink"/>
          </w:rPr>
          <w:t xml:space="preserve">*75</w:t>
        </w:r>
      </w:hyperlink>
      <w:r>
        <w:t xml:space="preserve">or in the federal court; and the privilege of selecting the court in which the right should be determined was conferred upon the non-citizen.</w:t>
      </w:r>
      <w:r>
        <w:rPr>
          <w:rStyle w:val="Elision"/>
        </w:rPr>
        <w:t xml:space="preserve">[ … ]</w:t>
      </w:r>
      <w:r>
        <w:t xml:space="preserve"> </w:t>
      </w:r>
      <w:r>
        <w:t xml:space="preserve">Thus, the doctrine rendered impossible equal protection of the law. In attempting to promote uniformity of law throughout the United States^ the doctrine had prevented uniformity in the administration of the law of the State.</w:t>
      </w:r>
    </w:p>
    <w:p>
      <w:pPr>
        <w:pStyle w:val="BodyText"/>
      </w:pPr>
      <w:r>
        <w:t xml:space="preserve">The discrimination resulting became in practice far-reaching. This resulted in part from the broad province accorded to the so-called “general law” as to which federal courts exercised an independent judgment.</w:t>
      </w:r>
      <w:r>
        <w:rPr>
          <w:rStyle w:val="Elision"/>
        </w:rPr>
        <w:t xml:space="preserve">[ … ]</w:t>
      </w:r>
      <w:r>
        <w:t xml:space="preserve"> </w:t>
      </w:r>
      <w:r>
        <w:t xml:space="preserve">In addition to questions of purely commercial law, “general law” was held to include the obligations under'contracts entered into and to be performed within the State,</w:t>
      </w:r>
      <w:r>
        <w:rPr>
          <w:rStyle w:val="Elision"/>
        </w:rPr>
        <w:t xml:space="preserve">[ … ]</w:t>
      </w:r>
      <w:r>
        <w:t xml:space="preserve"> </w:t>
      </w:r>
      <w:r>
        <w:t xml:space="preserve">the extent to which a carrier operating within a State may stipulate for exemption from liability for his own negligence -or that of his employee;</w:t>
      </w:r>
      <w:r>
        <w:rPr>
          <w:rStyle w:val="Elision"/>
        </w:rPr>
        <w:t xml:space="preserve">[ … ]</w:t>
      </w:r>
      <w:r>
        <w:t xml:space="preserve">the liability for torts committed within the State upon persons resident or property located there, even where the question of liar</w:t>
      </w:r>
      <w:r>
        <w:t xml:space="preserve"> </w:t>
      </w:r>
      <w:hyperlink w:anchor="Xb9041a85d81d993c740e09d439f807cd315c91e">
        <w:r>
          <w:rPr>
            <w:rStyle w:val="Hyperlink"/>
          </w:rPr>
          <w:t xml:space="preserve">*76</w:t>
        </w:r>
      </w:hyperlink>
      <w:r>
        <w:t xml:space="preserve">bility depended upon the scope of a property right conferred by the State;</w:t>
      </w:r>
      <w:r>
        <w:rPr>
          <w:rStyle w:val="Elision"/>
        </w:rPr>
        <w:t xml:space="preserve">[ … ]</w:t>
      </w:r>
      <w:r>
        <w:t xml:space="preserve"> </w:t>
      </w:r>
      <w:r>
        <w:t xml:space="preserve">and the right to exemplary or punitive damages.</w:t>
      </w:r>
      <w:r>
        <w:rPr>
          <w:rStyle w:val="Elision"/>
        </w:rPr>
        <w:t xml:space="preserve">[ … ]</w:t>
      </w:r>
      <w:r>
        <w:t xml:space="preserve"> </w:t>
      </w:r>
      <w:r>
        <w:t xml:space="preserve">Furthermore, state decisions construing local deeds,</w:t>
      </w:r>
      <w:r>
        <w:rPr>
          <w:rStyle w:val="Elision"/>
        </w:rPr>
        <w:t xml:space="preserve">[ … ]</w:t>
      </w:r>
      <w:r>
        <w:t xml:space="preserve"> </w:t>
      </w:r>
      <w:r>
        <w:t xml:space="preserve">mineral conveyances,</w:t>
      </w:r>
      <w:r>
        <w:rPr>
          <w:rStyle w:val="Elision"/>
        </w:rPr>
        <w:t xml:space="preserve">[ … ]</w:t>
      </w:r>
      <w:r>
        <w:t xml:space="preserve"> </w:t>
      </w:r>
      <w:r>
        <w:t xml:space="preserve">and even devises of real estate</w:t>
      </w:r>
      <w:r>
        <w:rPr>
          <w:rStyle w:val="Elision"/>
        </w:rPr>
        <w:t xml:space="preserve">[ … ]</w:t>
      </w:r>
      <w:r>
        <w:t xml:space="preserve"> </w:t>
      </w:r>
      <w:r>
        <w:t xml:space="preserve">were disregarded.</w:t>
      </w:r>
      <w:r>
        <w:rPr>
          <w:rStyle w:val="Elision"/>
        </w:rPr>
        <w:t xml:space="preserve">[ … ]</w:t>
      </w:r>
    </w:p>
    <w:p>
      <w:pPr>
        <w:pStyle w:val="BodyText"/>
      </w:pPr>
      <w:r>
        <w:rPr>
          <w:rStyle w:val="Elision"/>
        </w:rPr>
        <w:t xml:space="preserve">[ … ]</w:t>
      </w:r>
    </w:p>
    <w:p>
      <w:pPr>
        <w:pStyle w:val="BodyText"/>
      </w:pPr>
      <w:r>
        <w:t xml:space="preserve">If only a question of statutory construction were involved, we should not be prepared to abandon a doctrine so widely applied throughout nearly a century.</w:t>
      </w:r>
      <w:r>
        <w:rPr>
          <w:rStyle w:val="Elision"/>
        </w:rPr>
        <w:t xml:space="preserve">[ … ]</w:t>
      </w:r>
      <w:r>
        <w:t xml:space="preserve"> </w:t>
      </w:r>
      <w:r>
        <w:t xml:space="preserve">But the uncon</w:t>
      </w:r>
      <w:hyperlink w:anchor="X57d2096a97a84c6e8429108bb0b7a47cbe7069f">
        <w:r>
          <w:rPr>
            <w:rStyle w:val="Hyperlink"/>
          </w:rPr>
          <w:t xml:space="preserve">*78</w:t>
        </w:r>
      </w:hyperlink>
      <w:r>
        <w:t xml:space="preserve">stitutionality of the course pursued has now been made clear and compels us to do so.</w:t>
      </w:r>
    </w:p>
    <w:p>
      <w:pPr>
        <w:pStyle w:val="BodyText"/>
      </w:pPr>
      <w:r>
        <w:rPr>
          <w:iCs/>
          <w:i/>
        </w:rPr>
        <w:t xml:space="preserve">Third.</w:t>
      </w:r>
      <w:r>
        <w:t xml:space="preserve"> </w:t>
      </w:r>
      <w:r>
        <w:t xml:space="preserve">Except in matters governed by the Federal Constitution or by Acts of Congress, the law to be applied in any case is the law of the State. And whether the law of the State shall be declared by its Legislature in a statute or by its highest court in a decision is not a matter of federal concern. There is no federal general common law. Congress has no power to declare substantive rules of common law applicable in a State whether they be local in their nature or “general,” be they commercial law or a part of the law of torts. And no clause-in the Constitution purports to confer such a power upon the federal courts. As stated by Mr. Justice Field when protesting in</w:t>
      </w:r>
      <w:r>
        <w:t xml:space="preserve"> </w:t>
      </w:r>
      <w:r>
        <w:rPr>
          <w:iCs/>
          <w:i/>
        </w:rPr>
        <w:t xml:space="preserve">Baltimore &amp; Ohio R. Co.</w:t>
      </w:r>
      <w:r>
        <w:t xml:space="preserve"> </w:t>
      </w:r>
      <w:r>
        <w:t xml:space="preserve">v.</w:t>
      </w:r>
      <w:r>
        <w:t xml:space="preserve"> </w:t>
      </w:r>
      <w:r>
        <w:rPr>
          <w:iCs/>
          <w:i/>
        </w:rPr>
        <w:t xml:space="preserve">Baugh,</w:t>
      </w:r>
      <w:r>
        <w:t xml:space="preserve"> </w:t>
      </w:r>
      <w:r>
        <w:rPr>
          <w:rStyle w:val="Elision"/>
        </w:rPr>
        <w:t xml:space="preserve">[ … ]</w:t>
      </w:r>
      <w:r>
        <w:t xml:space="preserve">against ignoring the Ohio common law of fellow servant liability:</w:t>
      </w:r>
    </w:p>
    <w:p>
      <w:pPr>
        <w:pStyle w:val="BlockText"/>
      </w:pPr>
      <w:r>
        <w:t xml:space="preserve">“I am aware that what has been termed the general law of the country — which is often little less than what the judge advancing the doctrine thinks at the time should be the general law on a particular subject — has been often advanced in judicial opinions of this court to control a . conflicting law of a State., I admit that learned judges have fallen into the habit</w:t>
      </w:r>
      <w:r>
        <w:t xml:space="preserve">1</w:t>
      </w:r>
      <w:r>
        <w:t xml:space="preserve"> </w:t>
      </w:r>
      <w:r>
        <w:t xml:space="preserve">of-repeating this doctrine as a convenient mode of brushing aside the law of a State in conflict with their views. And I confess that, moved and governed by the authority of the great names of those judges, I have, myself, in many instances, unhesitatingly and confidently, but I think now-erroneously, repeated the same doctrine. But, notwithstanding the great names which may be cited in favor of the doctrine, and notwithstanding the frequency with which the doctrine has been reiterated, there stands, as a perpetual protest against its repetition, the Constitution of the United States, which recognizes and preserves the autonomy and independence , of the States — independence in their legislative and inde</w:t>
      </w:r>
      <w:hyperlink w:anchor="Xd2dfb5e776777f83daaaa2d254a62ecdc5ff2bb">
        <w:r>
          <w:rPr>
            <w:rStyle w:val="Hyperlink"/>
          </w:rPr>
          <w:t xml:space="preserve">*79</w:t>
        </w:r>
      </w:hyperlink>
      <w:r>
        <w:t xml:space="preserve">pendence in their judicial departments. Supervision over either the legislative or the judicial action of the States is in no case permissible except as to matters by the Constitution specifically authorized or delegated to the United States. Any interference with either, except as thus permitted, is an invasion of the authority of the State and, to that extent, a denial of its independence.”</w:t>
      </w:r>
    </w:p>
    <w:p>
      <w:pPr>
        <w:pStyle w:val="FirstParagraph"/>
      </w:pPr>
      <w:r>
        <w:t xml:space="preserve">The fallacy underlying the rule declared in</w:t>
      </w:r>
      <w:r>
        <w:t xml:space="preserve"> </w:t>
      </w:r>
      <w:r>
        <w:rPr>
          <w:iCs/>
          <w:i/>
        </w:rPr>
        <w:t xml:space="preserve">Swift</w:t>
      </w:r>
      <w:r>
        <w:t xml:space="preserve"> </w:t>
      </w:r>
      <w:r>
        <w:t xml:space="preserve">v.</w:t>
      </w:r>
      <w:r>
        <w:t xml:space="preserve"> </w:t>
      </w:r>
      <w:r>
        <w:rPr>
          <w:iCs/>
          <w:i/>
        </w:rPr>
        <w:t xml:space="preserve">Tyson</w:t>
      </w:r>
      <w:r>
        <w:t xml:space="preserve"> </w:t>
      </w:r>
      <w:r>
        <w:t xml:space="preserve">is made clear by Mr. Justice Holmes.</w:t>
      </w:r>
      <w:r>
        <w:rPr>
          <w:rStyle w:val="Elision"/>
        </w:rPr>
        <w:t xml:space="preserve">[ … ]</w:t>
      </w:r>
      <w:r>
        <w:t xml:space="preserve"> </w:t>
      </w:r>
      <w:r>
        <w:t xml:space="preserve">The doctrine rests upon the assumption that there is “a transcendental body of law outside of any particular State but obligatory within it unless and until changed by statute,” that federal courts have the power to use their judgment as to what the rules of common law are; and that in the federal courts “the parties are entitled to an independent judgment on matters of general law "—:</w:t>
      </w:r>
    </w:p>
    <w:p>
      <w:pPr>
        <w:pStyle w:val="BlockText"/>
      </w:pPr>
      <w:r>
        <w:t xml:space="preserve">“but law in the sense in which courts speak of it today does not exist without some definite authority behind it. The common law so far as it is enforced in a State, whether called common law or not, is not the common law generally but the law of that State existing by the authority of that State without regard to what it may .have been in England or anywhere else. . . .</w:t>
      </w:r>
    </w:p>
    <w:p>
      <w:pPr>
        <w:pStyle w:val="BlockText"/>
      </w:pPr>
      <w:r>
        <w:t xml:space="preserve">“the authority and only authority is the State, and if that be so, the voice adopted by the State as its own [whether it be of its Legislature or of its Supremé Court] should utter the last word.”</w:t>
      </w:r>
    </w:p>
    <w:p>
      <w:pPr>
        <w:pStyle w:val="FirstParagraph"/>
      </w:pPr>
      <w:r>
        <w:t xml:space="preserve">Thus the doctrine of</w:t>
      </w:r>
      <w:r>
        <w:t xml:space="preserve"> </w:t>
      </w:r>
      <w:r>
        <w:rPr>
          <w:iCs/>
          <w:i/>
        </w:rPr>
        <w:t xml:space="preserve">Swift</w:t>
      </w:r>
      <w:r>
        <w:t xml:space="preserve"> </w:t>
      </w:r>
      <w:r>
        <w:t xml:space="preserve">v.</w:t>
      </w:r>
      <w:r>
        <w:t xml:space="preserve"> </w:t>
      </w:r>
      <w:r>
        <w:rPr>
          <w:iCs/>
          <w:i/>
        </w:rPr>
        <w:t xml:space="preserve">Tyson</w:t>
      </w:r>
      <w:r>
        <w:t xml:space="preserve"> </w:t>
      </w:r>
      <w:r>
        <w:t xml:space="preserve">is, as Mr. Justice Holmes said, “an unconstitutional assumption of powers by courts of the United States which no lapse of time or respectable array of opinion should make us hesitate to correct.” In disapproving that doctrine we do not hold</w:t>
      </w:r>
      <w:r>
        <w:t xml:space="preserve"> </w:t>
      </w:r>
      <w:hyperlink w:anchor="X5c55e0ba7c08ce09171c7b0dbe66cc98ea254f1">
        <w:r>
          <w:rPr>
            <w:rStyle w:val="Hyperlink"/>
          </w:rPr>
          <w:t xml:space="preserve">*80</w:t>
        </w:r>
      </w:hyperlink>
      <w:r>
        <w:t xml:space="preserve">unconstitutional § 34 of the Federal Judiciary Act of 1789 or any other Act of Congress. We merely declare that in applying the doctrine this Court and the lower courts have invaded rights whicíi in our opinion are reserved by the Constitution to the several States.</w:t>
      </w:r>
    </w:p>
    <w:p>
      <w:pPr>
        <w:pStyle w:val="BodyText"/>
      </w:pPr>
      <w:r>
        <w:rPr>
          <w:iCs/>
          <w:i/>
        </w:rPr>
        <w:t xml:space="preserve">Fourth.</w:t>
      </w:r>
      <w:r>
        <w:t xml:space="preserve"> </w:t>
      </w:r>
      <w:r>
        <w:t xml:space="preserve">The defendant contended that by the common law of Pennsylvania as declared by its highest court</w:t>
      </w:r>
      <w:r>
        <w:t xml:space="preserve"> </w:t>
      </w:r>
      <w:r>
        <w:rPr>
          <w:rStyle w:val="Elision"/>
        </w:rPr>
        <w:t xml:space="preserve">[ … ]</w:t>
      </w:r>
      <w:r>
        <w:t xml:space="preserve">, the only duty owed to the plaintiff was to refrain from wilful or wanton injury. The plaintiff denied that such is the Pennsylvania law.</w:t>
      </w:r>
      <w:r>
        <w:rPr>
          <w:rStyle w:val="Elision"/>
        </w:rPr>
        <w:t xml:space="preserve">[ … ]</w:t>
      </w:r>
      <w:r>
        <w:t xml:space="preserve"> </w:t>
      </w:r>
      <w:r>
        <w:t xml:space="preserve">In support of their respective contentions the parties discussed and cited many decisions of the Supreme Court of the State. The Circuit Court of Appeals ruled that the question of liability is one of general law; and on thjat ground declined to decide the issue of state law. As. we hold this was error, the judgment is reversed and the case remanded to it for further proceedings in conformity with our opini</w:t>
      </w:r>
      <w:r>
        <w:rPr>
          <w:iCs/>
          <w:i/>
        </w:rPr>
        <w:t xml:space="preserve">o</w:t>
      </w:r>
      <w:r>
        <w:t xml:space="preserve">n.</w:t>
      </w:r>
    </w:p>
    <w:p>
      <w:pPr>
        <w:pStyle w:val="BodyText"/>
      </w:pPr>
      <w:r>
        <w:rPr>
          <w:iCs/>
          <w:i/>
        </w:rPr>
        <w:t xml:space="preserve">Reversed.</w:t>
      </w:r>
    </w:p>
    <w:p>
      <w:pPr>
        <w:pStyle w:val="BodyText"/>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108" w:name="_auto_toc_108"/>
    <w:bookmarkEnd w:id="108"/>
    <w:p>
      <w:pPr>
        <w:pStyle w:val="ResourceNumber"/>
      </w:pPr>
      <w:r>
        <w:t xml:space="preserve">9.14</w:t>
      </w:r>
    </w:p>
    <w:p>
      <w:pPr>
        <w:pStyle w:val="ResourceTitle"/>
      </w:pPr>
      <w:r>
        <w:t xml:space="preserve">Notes following Erie</w:t>
      </w:r>
    </w:p>
    <w:p>
      <w:pPr>
        <w:pStyle w:val="HeadEnd"/>
      </w:pPr>
      <w:r>
        <w:t xml:space="preserve"> </w:t>
      </w:r>
    </w:p>
    <w:p>
      <w:pPr>
        <w:pStyle w:val="BodyText"/>
      </w:pPr>
      <w:r>
        <w:t xml:space="preserve">1.</w:t>
      </w:r>
      <w:r>
        <w:t xml:space="preserve"> </w:t>
      </w:r>
      <w:r>
        <w:rPr>
          <w:iCs/>
          <w:i/>
        </w:rPr>
        <w:t xml:space="preserve">Erie</w:t>
      </w:r>
      <w:r>
        <w:t xml:space="preserve"> </w:t>
      </w:r>
      <w:r>
        <w:t xml:space="preserve">overturned</w:t>
      </w:r>
      <w:r>
        <w:t xml:space="preserve"> </w:t>
      </w:r>
      <w:r>
        <w:rPr>
          <w:iCs/>
          <w:i/>
        </w:rPr>
        <w:t xml:space="preserve">Swift v. Tyson</w:t>
      </w:r>
      <w:r>
        <w:t xml:space="preserve"> </w:t>
      </w:r>
      <w:r>
        <w:t xml:space="preserve">on both statutory and constitutional grounds and eliminated federal general common law. But the opinion also includes a vision of what "law" is.</w:t>
      </w:r>
      <w:r>
        <w:t xml:space="preserve"> </w:t>
      </w:r>
      <w:r>
        <w:rPr>
          <w:iCs/>
          <w:i/>
        </w:rPr>
        <w:t xml:space="preserve">Swift</w:t>
      </w:r>
      <w:r>
        <w:t xml:space="preserve"> </w:t>
      </w:r>
      <w:r>
        <w:t xml:space="preserve">embodies the idea of what is often called general law. Those who believe in general law believe that a type of natural law exists in the world. Judges find or discover and then write down this law that existed prior to human creation. The</w:t>
      </w:r>
      <w:r>
        <w:t xml:space="preserve"> </w:t>
      </w:r>
      <w:r>
        <w:rPr>
          <w:iCs/>
          <w:i/>
        </w:rPr>
        <w:t xml:space="preserve">Erie</w:t>
      </w:r>
      <w:r>
        <w:t xml:space="preserve"> </w:t>
      </w:r>
      <w:r>
        <w:t xml:space="preserve">court rejects this conception of the law, contending instead that no law exists until courts (or a legislature or some other aspect of a sovereign) decide that it does and give it authority. Does one conception of law appeal to you over the other?  </w:t>
      </w:r>
    </w:p>
    <w:p>
      <w:pPr>
        <w:pStyle w:val="BodyText"/>
      </w:pPr>
      <w:r>
        <w:t xml:space="preserve">For those interested in reading more on the subject, see Ides, </w:t>
      </w:r>
      <w:r>
        <w:rPr>
          <w:iCs/>
          <w:i/>
        </w:rPr>
        <w:t xml:space="preserve">The Supreme Court and the Law to Be Applied in Diversity Cases: A Critical Guide to the Development and Application of the</w:t>
      </w:r>
      <w:r>
        <w:t xml:space="preserve"> </w:t>
      </w:r>
      <w:r>
        <w:t xml:space="preserve">Erie</w:t>
      </w:r>
      <w:r>
        <w:t xml:space="preserve"> </w:t>
      </w:r>
      <w:r>
        <w:rPr>
          <w:iCs/>
          <w:i/>
        </w:rPr>
        <w:t xml:space="preserve">Doctrine and Related Problems. </w:t>
      </w:r>
      <w:r>
        <w:t xml:space="preserve">163 F.R.D. 19, 23 (1995). For a defense of general law, see Sachs,</w:t>
      </w:r>
      <w:r>
        <w:t xml:space="preserve"> </w:t>
      </w:r>
      <w:r>
        <w:rPr>
          <w:iCs/>
          <w:i/>
        </w:rPr>
        <w:t xml:space="preserve">Finding Law</w:t>
      </w:r>
      <w:r>
        <w:t xml:space="preserve">, 107 Calif.L.Rev. 527 (2019). [Note that Professor Sachs is a member of the Harvard Law faculty.]  See also Nelson,</w:t>
      </w:r>
      <w:r>
        <w:t xml:space="preserve"> </w:t>
      </w:r>
      <w:r>
        <w:rPr>
          <w:iCs/>
          <w:i/>
        </w:rPr>
        <w:t xml:space="preserve">The Persistence of General Law</w:t>
      </w:r>
      <w:r>
        <w:t xml:space="preserve">, 106 Coum.L.Rev. 503 (2006).</w:t>
      </w:r>
    </w:p>
    <w:p>
      <w:pPr>
        <w:pStyle w:val="BodyText"/>
      </w:pPr>
      <w:r>
        <w:t xml:space="preserve">2. Consider the constitutional implications of the</w:t>
      </w:r>
      <w:r>
        <w:t xml:space="preserve"> </w:t>
      </w:r>
      <w:r>
        <w:rPr>
          <w:iCs/>
          <w:i/>
        </w:rPr>
        <w:t xml:space="preserve">Erie</w:t>
      </w:r>
      <w:r>
        <w:t xml:space="preserve"> </w:t>
      </w:r>
      <w:r>
        <w:t xml:space="preserve">decision. Is it true, as the</w:t>
      </w:r>
      <w:r>
        <w:t xml:space="preserve"> </w:t>
      </w:r>
      <w:r>
        <w:rPr>
          <w:iCs/>
          <w:i/>
        </w:rPr>
        <w:t xml:space="preserve">Erie</w:t>
      </w:r>
      <w:r>
        <w:t xml:space="preserve"> </w:t>
      </w:r>
      <w:r>
        <w:t xml:space="preserve">court states, that neither Congress nor the federal courts are granted the constitutional power to declare law governing situations previously subject to judge-made law, which was ordinarily law made by state judges (i.e., state common law)? Congress certainly does have the power to regulate interstate commerce, as the Constitution states in the Commerce Clause. And in the 20th Century, the Supreme Court interpreted this power, augmented by the Necessary and Proper Clause, to be extremely broad. Wouldn't these clauses provide the requisite authorization of power to the federal government, at least to regulate the standard of care for a railroad company on land adjacent to tracks? </w:t>
      </w:r>
    </w:p>
    <w:p>
      <w:pPr>
        <w:pStyle w:val="BodyText"/>
      </w:pPr>
      <w:r>
        <w:t xml:space="preserve">3. Was overturning</w:t>
      </w:r>
      <w:r>
        <w:t xml:space="preserve"> </w:t>
      </w:r>
      <w:r>
        <w:rPr>
          <w:iCs/>
          <w:i/>
        </w:rPr>
        <w:t xml:space="preserve">Swift</w:t>
      </w:r>
      <w:r>
        <w:t xml:space="preserve"> </w:t>
      </w:r>
      <w:r>
        <w:t xml:space="preserve">necessary to prevent discrimination against in-state defendants, who cannot remove cases to federal court? Couldn't Congress, if it disliked the</w:t>
      </w:r>
      <w:r>
        <w:t xml:space="preserve"> </w:t>
      </w:r>
      <w:r>
        <w:rPr>
          <w:iCs/>
          <w:i/>
        </w:rPr>
        <w:t xml:space="preserve">Swift</w:t>
      </w:r>
      <w:r>
        <w:t xml:space="preserve"> </w:t>
      </w:r>
      <w:r>
        <w:t xml:space="preserve">regime on the grounds that it disadvantaged in-state defendants, either have overturned</w:t>
      </w:r>
      <w:r>
        <w:t xml:space="preserve"> </w:t>
      </w:r>
      <w:r>
        <w:rPr>
          <w:iCs/>
          <w:i/>
        </w:rPr>
        <w:t xml:space="preserve">Swift</w:t>
      </w:r>
      <w:r>
        <w:t xml:space="preserve"> </w:t>
      </w:r>
      <w:r>
        <w:t xml:space="preserve">by statute (what would such a statute have looked like?), or simply provided in-state defendants the same ability to remove cases to federal court as out-of-state defendants?  Does the</w:t>
      </w:r>
      <w:r>
        <w:t xml:space="preserve"> </w:t>
      </w:r>
      <w:r>
        <w:rPr>
          <w:iCs/>
          <w:i/>
        </w:rPr>
        <w:t xml:space="preserve">Erie</w:t>
      </w:r>
      <w:r>
        <w:t xml:space="preserve"> </w:t>
      </w:r>
      <w:r>
        <w:t xml:space="preserve">decision support equal protection to residents and nonresidents? And if the point of the</w:t>
      </w:r>
      <w:r>
        <w:t xml:space="preserve"> </w:t>
      </w:r>
      <w:r>
        <w:rPr>
          <w:iCs/>
          <w:i/>
        </w:rPr>
        <w:t xml:space="preserve">Erie</w:t>
      </w:r>
      <w:r>
        <w:t xml:space="preserve"> </w:t>
      </w:r>
      <w:r>
        <w:t xml:space="preserve">decision is to prevent forum shopping, could the decision succeed in doing so?  Why or why not? </w:t>
      </w:r>
    </w:p>
    <w:p>
      <w:pPr>
        <w:pStyle w:val="BodyText"/>
      </w:pPr>
      <w:r>
        <w:t xml:space="preserve">4.</w:t>
      </w:r>
      <w:r>
        <w:t xml:space="preserve"> </w:t>
      </w:r>
      <w:r>
        <w:rPr>
          <w:iCs/>
          <w:i/>
        </w:rPr>
        <w:t xml:space="preserve">Erie</w:t>
      </w:r>
      <w:r>
        <w:t xml:space="preserve"> </w:t>
      </w:r>
      <w:r>
        <w:t xml:space="preserve">can be said to support federalism by allowing states to make their own laws and limiting the ability of federal law to usurp these state laws. It also allows states to choose which organ of government (courts, legislatures, executives, agencies) will make those laws without having the federal courts vary the level of deference or effect afforded to them. Do you agree that it is important for states to be able to determine rules of decision in areas such as contracts, torts, or property, given the nationalization and internationalization of our society that led, for example, the Supreme Court in the personal jurisdiction area to abandon the territorialism of</w:t>
      </w:r>
      <w:r>
        <w:t xml:space="preserve"> </w:t>
      </w:r>
      <w:r>
        <w:rPr>
          <w:iCs/>
          <w:i/>
        </w:rPr>
        <w:t xml:space="preserve">Pennoyer</w:t>
      </w:r>
      <w:r>
        <w:t xml:space="preserve"> </w:t>
      </w:r>
      <w:r>
        <w:t xml:space="preserve">in favor of the minimum contacts regime of</w:t>
      </w:r>
      <w:r>
        <w:t xml:space="preserve"> </w:t>
      </w:r>
      <w:r>
        <w:rPr>
          <w:iCs/>
          <w:i/>
        </w:rPr>
        <w:t xml:space="preserve">International Shoe</w:t>
      </w:r>
      <w:r>
        <w:t xml:space="preserve">?</w:t>
      </w:r>
      <w:r>
        <w:t xml:space="preserve"> </w:t>
      </w:r>
      <w:r>
        <w:rPr>
          <w:iCs/>
          <w:i/>
        </w:rPr>
        <w:t xml:space="preserve">Erie</w:t>
      </w:r>
      <w:r>
        <w:t xml:space="preserve"> </w:t>
      </w:r>
      <w:r>
        <w:t xml:space="preserve">can also be said to promote separation of powers by keeping lawmaking authority in Congress and out of the courts. Do you find this justification for the decision persuasive, given the long history of judge-made law in the common law system?</w:t>
      </w:r>
    </w:p>
    <w:p>
      <w:pPr>
        <w:pStyle w:val="BodyText"/>
      </w:pPr>
      <w:r>
        <w:t xml:space="preserve">5. Over time, scholars have interpreted</w:t>
      </w:r>
      <w:r>
        <w:t xml:space="preserve"> </w:t>
      </w:r>
      <w:r>
        <w:rPr>
          <w:iCs/>
          <w:i/>
        </w:rPr>
        <w:t xml:space="preserve">Erie's</w:t>
      </w:r>
      <w:r>
        <w:t xml:space="preserve"> </w:t>
      </w:r>
      <w:r>
        <w:t xml:space="preserve">impact in varying ways--some find the decision significant and some reject the court's analysis. Various publications discussing the subject are referenced in Friedenthal, et al., Civil Procedure: Cases and Materials (13th ed. 2022). For those interested in reading more, see</w:t>
      </w:r>
      <w:r>
        <w:t xml:space="preserve"> </w:t>
      </w:r>
      <w:r>
        <w:rPr>
          <w:iCs/>
          <w:i/>
        </w:rPr>
        <w:t xml:space="preserve">The Demise of</w:t>
      </w:r>
      <w:r>
        <w:t xml:space="preserve"> </w:t>
      </w:r>
      <w:r>
        <w:t xml:space="preserve">Swift v. Tyson, 47 Yale L.J. 1336 (1938); Tunks,</w:t>
      </w:r>
      <w:r>
        <w:t xml:space="preserve"> </w:t>
      </w:r>
      <w:r>
        <w:rPr>
          <w:iCs/>
          <w:i/>
        </w:rPr>
        <w:t xml:space="preserve">Categorization and Federalism: "Substance" and "Procedure" After</w:t>
      </w:r>
      <w:r>
        <w:t xml:space="preserve"> </w:t>
      </w:r>
      <w:r>
        <w:t xml:space="preserve">Erie Railroad v. Tompkins, 34 Ill.L.Rev. 271 (1939); Nelson,</w:t>
      </w:r>
      <w:r>
        <w:t xml:space="preserve"> </w:t>
      </w:r>
      <w:r>
        <w:rPr>
          <w:iCs/>
          <w:i/>
        </w:rPr>
        <w:t xml:space="preserve">A Critical Guide to</w:t>
      </w:r>
      <w:r>
        <w:t xml:space="preserve"> </w:t>
      </w:r>
      <w:r>
        <w:t xml:space="preserve">Erie Railroad v. Tompkins, 54 Wm. &amp; Mary L.Rev. 921, 922 (2013); Sherry, Wrong,</w:t>
      </w:r>
      <w:r>
        <w:t xml:space="preserve"> </w:t>
      </w:r>
      <w:r>
        <w:rPr>
          <w:iCs/>
          <w:i/>
        </w:rPr>
        <w:t xml:space="preserve">Out of Step, and Pernicious:</w:t>
      </w:r>
      <w:r>
        <w:t xml:space="preserve"> </w:t>
      </w:r>
      <w:r>
        <w:t xml:space="preserve">Erie</w:t>
      </w:r>
      <w:r>
        <w:t xml:space="preserve"> </w:t>
      </w:r>
      <w:r>
        <w:rPr>
          <w:iCs/>
          <w:i/>
        </w:rPr>
        <w:t xml:space="preserve">as the Worst Decision of All Time</w:t>
      </w:r>
      <w:r>
        <w:t xml:space="preserve">, 39 Pepp.L.Rev. 129 (2011); Young, Erie</w:t>
      </w:r>
      <w:r>
        <w:t xml:space="preserve"> </w:t>
      </w:r>
      <w:r>
        <w:rPr>
          <w:iCs/>
          <w:i/>
        </w:rPr>
        <w:t xml:space="preserve">As a Way of Life</w:t>
      </w:r>
      <w:r>
        <w:t xml:space="preserve">, 52 Akron L.Rev. 193 (2018); Purcell, Jr.,</w:t>
      </w:r>
      <w:r>
        <w:t xml:space="preserve"> </w:t>
      </w:r>
      <w:r>
        <w:rPr>
          <w:iCs/>
          <w:i/>
        </w:rPr>
        <w:t xml:space="preserve">The Story of</w:t>
      </w:r>
      <w:r>
        <w:t xml:space="preserve"> </w:t>
      </w:r>
      <w:r>
        <w:t xml:space="preserve">Erie:</w:t>
      </w:r>
      <w:r>
        <w:t xml:space="preserve"> </w:t>
      </w:r>
      <w:r>
        <w:rPr>
          <w:iCs/>
          <w:i/>
        </w:rPr>
        <w:t xml:space="preserve">How Litigants, Lawyers, Judges, Politics, and Social Change Reshape the Law</w:t>
      </w:r>
      <w:r>
        <w:t xml:space="preserve">, in Civil Procedure Stories 21 (Clermont ed., 2d ed. 2008).</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109" w:name="_auto_toc_109"/>
    <w:bookmarkEnd w:id="109"/>
    <w:p>
      <w:pPr>
        <w:pStyle w:val="ChapterNumber"/>
      </w:pPr>
      <w:r>
        <w:t xml:space="preserve">10</w:t>
      </w:r>
    </w:p>
    <w:p>
      <w:pPr>
        <w:pStyle w:val="ChapterTitle"/>
      </w:pPr>
      <w:r>
        <w:t xml:space="preserve">Day 10</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110" w:name="_auto_toc_110"/>
    <w:bookmarkEnd w:id="110"/>
    <w:p>
      <w:pPr>
        <w:pStyle w:val="ResourceNumber"/>
      </w:pPr>
      <w:r>
        <w:t xml:space="preserve">10.1</w:t>
      </w:r>
    </w:p>
    <w:p>
      <w:pPr>
        <w:pStyle w:val="ResourceTitle"/>
      </w:pPr>
      <w:r>
        <w:t xml:space="preserve">Rules and Statutes</w:t>
      </w:r>
    </w:p>
    <w:p>
      <w:pPr>
        <w:pStyle w:val="HeadFieldSeparator"/>
      </w:pPr>
      <w:r>
        <w:t xml:space="preserve"> </w:t>
      </w:r>
    </w:p>
    <w:p>
      <w:pPr>
        <w:pStyle w:val="ResourceHeadnote"/>
      </w:pPr>
      <w:r>
        <w:t xml:space="preserve">Read the following Federal Rules of Civil Procedure and statutes. You can access them via the internet or the supplemental handout provided on Canvas.</w:t>
      </w:r>
    </w:p>
    <w:p>
      <w:pPr>
        <w:pStyle w:val="HeadEnd"/>
      </w:pPr>
      <w:r>
        <w:t xml:space="preserve"> </w:t>
      </w:r>
    </w:p>
    <w:p>
      <w:pPr>
        <w:numPr>
          <w:ilvl w:val="0"/>
          <w:numId w:val="1098"/>
        </w:numPr>
      </w:pPr>
      <w:r>
        <w:t xml:space="preserve">Fed. R. Civ. P. 3</w:t>
      </w:r>
    </w:p>
    <w:p>
      <w:pPr>
        <w:numPr>
          <w:ilvl w:val="0"/>
          <w:numId w:val="1098"/>
        </w:numPr>
      </w:pPr>
      <w:r>
        <w:t xml:space="preserve">Fed. R. Civ. P. 4(m)</w:t>
      </w:r>
    </w:p>
    <w:p>
      <w:pPr>
        <w:numPr>
          <w:ilvl w:val="0"/>
          <w:numId w:val="1098"/>
        </w:numPr>
      </w:pPr>
      <w:r>
        <w:t xml:space="preserve">Fed. R. Civ. P. 12(a)(1)(A)(i)</w:t>
      </w:r>
    </w:p>
    <w:p>
      <w:pPr>
        <w:numPr>
          <w:ilvl w:val="0"/>
          <w:numId w:val="1098"/>
        </w:numPr>
      </w:pPr>
      <w:r>
        <w:t xml:space="preserve">28 U.S.C. §§ 2071-72</w:t>
      </w:r>
      <w:r>
        <w:t xml:space="preserve">, plus short explanation in "Explanation of Statutes" in the "Course Materials" Folder on Canvas</w:t>
      </w:r>
    </w:p>
    <w:p>
      <w:pPr>
        <w:pStyle w:val="NodeEnd"/>
      </w:pPr>
      <w:r>
        <w:t xml:space="preserve"> </w:t>
      </w:r>
    </w:p>
    <w:p>
      <w:pPr>
        <w:pStyle w:val="NodeStart"/>
      </w:pPr>
      <w:r>
        <w:t xml:space="preserve"> </w:t>
      </w:r>
    </w:p>
    <w:p>
      <w:pPr>
        <w:pStyle w:val="HeadSeparator"/>
      </w:pPr>
      <w:r>
        <w:t xml:space="preserve"> </w:t>
      </w:r>
    </w:p>
    <w:bookmarkStart w:id="111" w:name="_auto_toc_111"/>
    <w:bookmarkEnd w:id="111"/>
    <w:p>
      <w:pPr>
        <w:pStyle w:val="ResourceNumber"/>
      </w:pPr>
      <w:r>
        <w:t xml:space="preserve">10.2</w:t>
      </w:r>
    </w:p>
    <w:p>
      <w:pPr>
        <w:pStyle w:val="ResourceTitle"/>
      </w:pPr>
      <w:r>
        <w:t xml:space="preserve">Notice and Service of Process</w:t>
      </w:r>
    </w:p>
    <w:p>
      <w:pPr>
        <w:pStyle w:val="HeadFieldSeparator"/>
      </w:pPr>
      <w:r>
        <w:t xml:space="preserve"> </w:t>
      </w:r>
    </w:p>
    <w:p>
      <w:pPr>
        <w:pStyle w:val="ResourceHeadnote"/>
      </w:pPr>
      <w:r>
        <w:t xml:space="preserve">This section explains the relationship between the Due Process Clause’s notice requirement and the Federal Rules of Civil Procedure’s service of process requirements. A downloadable handout is available</w:t>
      </w:r>
      <w:r>
        <w:t xml:space="preserve"> </w:t>
      </w:r>
      <w:hyperlink r:id="rId178">
        <w:r>
          <w:rPr>
            <w:rStyle w:val="Hyperlink"/>
          </w:rPr>
          <w:t xml:space="preserve">here</w:t>
        </w:r>
      </w:hyperlink>
      <w:r>
        <w:t xml:space="preserve"> </w:t>
      </w:r>
      <w:r>
        <w:t xml:space="preserve">(Word doc).</w:t>
      </w:r>
    </w:p>
    <w:p>
      <w:pPr>
        <w:pStyle w:val="HeadEnd"/>
      </w:pPr>
      <w:r>
        <w:t xml:space="preserve"> </w:t>
      </w:r>
    </w:p>
    <w:p>
      <w:pPr>
        <w:pStyle w:val="BodyText"/>
      </w:pPr>
      <w:r>
        <w:t xml:space="preserve">The constitutional notice requirement and the statutory service of process requirements concern the same element of a suit: the plaintiff and the state must make some effort to notify the defendant that a suit has been filed against him/her. This effort to notify must be made before adverse consequences can be imposed on the defendant.</w:t>
      </w:r>
    </w:p>
    <w:p>
      <w:pPr>
        <w:pStyle w:val="BodyText"/>
      </w:pPr>
      <w:r>
        <w:t xml:space="preserve"> </w:t>
      </w:r>
    </w:p>
    <w:p>
      <w:pPr>
        <w:pStyle w:val="BodyText"/>
      </w:pPr>
      <w:r>
        <w:rPr>
          <w:bCs/>
          <w:b/>
        </w:rPr>
        <w:t xml:space="preserve">Constitutional requirements for notice</w:t>
      </w:r>
    </w:p>
    <w:p>
      <w:pPr>
        <w:pStyle w:val="BodyText"/>
      </w:pPr>
      <w:r>
        <w:t xml:space="preserve">The Due Process Clause requires that parties be afforded procedural due process, including notice and an opportunity to be heard. As the Court wrote in</w:t>
      </w:r>
      <w:r>
        <w:t xml:space="preserve"> </w:t>
      </w:r>
      <w:r>
        <w:rPr>
          <w:iCs/>
          <w:i/>
        </w:rPr>
        <w:t xml:space="preserve">Mullane</w:t>
      </w:r>
      <w:r>
        <w:t xml:space="preserve">, “An elementary and fundamental requirement of due process…is notice reasonably calculated, under all the circumstances, to apprise interested parties of the pendency of the action and afford them an opportunity to present their objections.”</w:t>
      </w:r>
      <w:r>
        <w:t xml:space="preserve"> </w:t>
      </w:r>
      <w:r>
        <w:rPr>
          <w:iCs/>
          <w:i/>
        </w:rPr>
        <w:t xml:space="preserve">Mullane v. Central Hanover Bank</w:t>
      </w:r>
      <w:r>
        <w:t xml:space="preserve">, 339 U.S. 306, 314 (1950). The Due Process Clause does</w:t>
      </w:r>
      <w:r>
        <w:t xml:space="preserve"> </w:t>
      </w:r>
      <w:r>
        <w:rPr>
          <w:iCs/>
          <w:i/>
        </w:rPr>
        <w:t xml:space="preserve">not</w:t>
      </w:r>
      <w:r>
        <w:t xml:space="preserve"> </w:t>
      </w:r>
      <w:r>
        <w:t xml:space="preserve">require actual notice to the defendant; it requires only that the plaintiff and the state make reasonable efforts to give notice. Operationalize the</w:t>
      </w:r>
      <w:r>
        <w:t xml:space="preserve"> </w:t>
      </w:r>
      <w:r>
        <w:rPr>
          <w:iCs/>
          <w:i/>
        </w:rPr>
        <w:t xml:space="preserve">Mullane</w:t>
      </w:r>
      <w:r>
        <w:t xml:space="preserve"> </w:t>
      </w:r>
      <w:r>
        <w:t xml:space="preserve">standard by considering what the plaintiff would need to do if he/she</w:t>
      </w:r>
      <w:r>
        <w:t xml:space="preserve"> </w:t>
      </w:r>
      <w:r>
        <w:rPr>
          <w:iCs/>
          <w:i/>
        </w:rPr>
        <w:t xml:space="preserve">actually</w:t>
      </w:r>
      <w:r>
        <w:t xml:space="preserve"> </w:t>
      </w:r>
      <w:r>
        <w:t xml:space="preserve">wanted to notify the defendant without going to extraordinary effort.</w:t>
      </w:r>
    </w:p>
    <w:p>
      <w:pPr>
        <w:pStyle w:val="BodyText"/>
      </w:pPr>
      <w:r>
        <w:t xml:space="preserve"> </w:t>
      </w:r>
    </w:p>
    <w:p>
      <w:pPr>
        <w:pStyle w:val="BodyText"/>
      </w:pPr>
      <w:r>
        <w:rPr>
          <w:bCs/>
          <w:b/>
        </w:rPr>
        <w:t xml:space="preserve">Rule-based requirements for service of process</w:t>
      </w:r>
    </w:p>
    <w:p>
      <w:pPr>
        <w:pStyle w:val="BodyText"/>
      </w:pPr>
      <w:r>
        <w:t xml:space="preserve">Service of process is the term used to describe the delivery of the legal documents (usually the summons and the complaint) that notify the defendant that he/she has been sued and inform him/her that the court is asserting its jurisdiction over the controversy.</w:t>
      </w:r>
    </w:p>
    <w:p>
      <w:pPr>
        <w:pStyle w:val="BodyText"/>
      </w:pPr>
      <w:r>
        <w:t xml:space="preserve">For a lawsuit to proceed in a federal court, the plaintiff (sometimes assisted by a court officer, often called a “sheriff”) must serve process in accordance with the requirements imposed by statute or rule. If service of process is not made properly but the defendant finds out about the suit through other means, he/she can move to dismiss the suit for insufficient service of process. Fed. R. Civ. P. 12(b)(5).</w:t>
      </w:r>
      <w:r>
        <w:t xml:space="preserve"> </w:t>
      </w:r>
      <w:r>
        <w:t xml:space="preserve"> </w:t>
      </w:r>
      <w:r>
        <w:t xml:space="preserve">Keep your eye on this because it is counterintuitive: a court will dismiss a lawsuit, even if the defendant in fact knows about the lawsuit, because the plaintiff failed to meet the service of process rules (which are, in fact, designed to ensure that the defendant finds out about the lawsuit).</w:t>
      </w:r>
    </w:p>
    <w:p>
      <w:pPr>
        <w:pStyle w:val="BodyText"/>
      </w:pPr>
      <w:r>
        <w:t xml:space="preserve">Rule 4 of the Federal Rules of Civil Procedure governs the service of process in federal courts.</w:t>
      </w:r>
      <w:r>
        <w:t xml:space="preserve"> </w:t>
      </w:r>
      <w:r>
        <w:t xml:space="preserve"> </w:t>
      </w:r>
      <w:r>
        <w:t xml:space="preserve">It addresses which documents must be served on the defendant, who may serve the defendant, how and when the papers must be served, and how the service requirement can be waived (which we will not cover):</w:t>
      </w:r>
      <w:r>
        <w:t xml:space="preserve"> </w:t>
      </w:r>
      <w:r>
        <w:t xml:space="preserve">           </w:t>
      </w:r>
      <w:r>
        <w:t xml:space="preserve"> </w:t>
      </w:r>
    </w:p>
    <w:p>
      <w:pPr>
        <w:numPr>
          <w:ilvl w:val="0"/>
          <w:numId w:val="1099"/>
        </w:numPr>
      </w:pPr>
      <w:r>
        <w:rPr>
          <w:bCs/>
          <w:b/>
        </w:rPr>
        <w:t xml:space="preserve">Serving process on an individual</w:t>
      </w:r>
      <w:r>
        <w:t xml:space="preserve">: Rule 4(e)</w:t>
      </w:r>
    </w:p>
    <w:p>
      <w:pPr>
        <w:numPr>
          <w:ilvl w:val="1"/>
          <w:numId w:val="1100"/>
        </w:numPr>
      </w:pPr>
      <w:r>
        <w:t xml:space="preserve">Under Rule 4(e)(1), an individual may be served in accordance with the rules of the state in which the federal court is located or the state in which the service is made.</w:t>
      </w:r>
      <w:r>
        <w:t xml:space="preserve"> </w:t>
      </w:r>
      <w:r>
        <w:t xml:space="preserve">In other words, if the state says it is okay to serve process by some method, then that is fine for the relevant federal court.</w:t>
      </w:r>
    </w:p>
    <w:p>
      <w:pPr>
        <w:numPr>
          <w:ilvl w:val="1"/>
          <w:numId w:val="1100"/>
        </w:numPr>
      </w:pPr>
      <w:r>
        <w:t xml:space="preserve">Alternatively, under Rule 4(e)(2), one can serve process by:</w:t>
      </w:r>
    </w:p>
    <w:p>
      <w:pPr>
        <w:numPr>
          <w:ilvl w:val="2"/>
          <w:numId w:val="1101"/>
        </w:numPr>
      </w:pPr>
      <w:r>
        <w:t xml:space="preserve">(A) Delivering copies of the summons and the complaint to the defendant;</w:t>
      </w:r>
    </w:p>
    <w:p>
      <w:pPr>
        <w:numPr>
          <w:ilvl w:val="2"/>
          <w:numId w:val="1101"/>
        </w:numPr>
      </w:pPr>
      <w:r>
        <w:t xml:space="preserve">(B) Leaving copies of those documents at the defendant’s dwelling with someone who lives there and is of suitable age;</w:t>
      </w:r>
    </w:p>
    <w:p>
      <w:pPr>
        <w:numPr>
          <w:ilvl w:val="2"/>
          <w:numId w:val="1101"/>
        </w:numPr>
      </w:pPr>
      <w:r>
        <w:t xml:space="preserve">(C) Or delivering copies to an agent appointed by the defendant or authorized by law to receive service of process.</w:t>
      </w:r>
    </w:p>
    <w:p>
      <w:pPr>
        <w:numPr>
          <w:ilvl w:val="0"/>
          <w:numId w:val="1099"/>
        </w:numPr>
      </w:pPr>
      <w:r>
        <w:rPr>
          <w:bCs/>
          <w:b/>
        </w:rPr>
        <w:t xml:space="preserve">Serving process on a corporation</w:t>
      </w:r>
      <w:r>
        <w:t xml:space="preserve">, a partnership, or an unincorporated association: Rule 4(h)</w:t>
      </w:r>
    </w:p>
    <w:p>
      <w:pPr>
        <w:numPr>
          <w:ilvl w:val="1"/>
          <w:numId w:val="1102"/>
        </w:numPr>
      </w:pPr>
      <w:r>
        <w:t xml:space="preserve">Rule 4(h)(1) governs if the corporation is served in a U.S. judicial district (</w:t>
      </w:r>
      <w:r>
        <w:rPr>
          <w:iCs/>
          <w:i/>
        </w:rPr>
        <w:t xml:space="preserve">e.g.</w:t>
      </w:r>
      <w:r>
        <w:t xml:space="preserve">, in the country).</w:t>
      </w:r>
      <w:r>
        <w:t xml:space="preserve"> </w:t>
      </w:r>
      <w:r>
        <w:t xml:space="preserve">That is all we study here in Civil Procedure (read the rule if you want to learn about service outside the U.S.).</w:t>
      </w:r>
    </w:p>
    <w:p>
      <w:pPr>
        <w:numPr>
          <w:ilvl w:val="2"/>
          <w:numId w:val="1103"/>
        </w:numPr>
      </w:pPr>
      <w:r>
        <w:t xml:space="preserve">(A) Service must be made in accordance with the state laws where the federal court sits or where process is served. In other words, if the state says it is okay to serve process by some method, then that is fine for the relevant federal court;</w:t>
      </w:r>
    </w:p>
    <w:p>
      <w:pPr>
        <w:numPr>
          <w:ilvl w:val="2"/>
          <w:numId w:val="1103"/>
        </w:numPr>
      </w:pPr>
      <w:r>
        <w:t xml:space="preserve">(B) Or it must be made by the delivery (by hand, like a tag) of the summons and the complaint to an officer, a managing or general agent, or other authorized agent of the corporation. Mail delivery to the defendant may also be necessary if the statute requires it.</w:t>
      </w:r>
    </w:p>
    <w:p>
      <w:pPr>
        <w:pStyle w:val="FirstParagraph"/>
      </w:pPr>
      <w:r>
        <w:rPr>
          <w:bCs/>
          <w:b/>
        </w:rPr>
        <w:t xml:space="preserve"> </w:t>
      </w:r>
    </w:p>
    <w:p>
      <w:pPr>
        <w:pStyle w:val="BodyText"/>
      </w:pPr>
      <w:r>
        <w:rPr>
          <w:bCs/>
          <w:b/>
        </w:rPr>
        <w:t xml:space="preserve">Relationship between the constitutional and statutory requirements</w:t>
      </w:r>
    </w:p>
    <w:p>
      <w:pPr>
        <w:pStyle w:val="BodyText"/>
      </w:pPr>
      <w:r>
        <w:t xml:space="preserve">As these details show, Rule 4 requires more effort by the plaintiff and the state for a service of process to be valid than what is called for by the Due Process Clause. The Due Process Clause sets the floor, and the Federal Rules substantially heighten the requirements. Put another way, the Constitution establishes a standard of ‘reasonable efforts,’ and the Federal Rules provide a stricter list of specific dos and don’ts.</w:t>
      </w:r>
    </w:p>
    <w:p>
      <w:pPr>
        <w:pStyle w:val="BodyText"/>
      </w:pPr>
      <w:r>
        <w:t xml:space="preserve">See the chart below for two other topic areas in which the relationship between constitutional and statutory requirements is the same in the sense that the Constitution sets a floor, and some statute or rule requires ‘more.’</w:t>
      </w:r>
    </w:p>
    <w:p>
      <w:pPr>
        <w:pStyle w:val="BodyText"/>
      </w:pPr>
      <w:r>
        <w:rPr>
          <w:bCs/>
          <w:b/>
        </w:rPr>
        <w:t xml:space="preserve"> </w:t>
      </w:r>
    </w:p>
    <w:p>
      <w:pPr>
        <w:pStyle w:val="BodyText"/>
      </w:pPr>
      <w:r>
        <w:rPr>
          <w:bCs/>
          <w:b/>
        </w:rPr>
        <w:t xml:space="preserve">Service of process and personal jurisdiction</w:t>
      </w:r>
    </w:p>
    <w:p>
      <w:pPr>
        <w:pStyle w:val="BodyText"/>
      </w:pPr>
      <w:r>
        <w:t xml:space="preserve">Remember that notice and service of process are different from personal jurisdiction:</w:t>
      </w:r>
    </w:p>
    <w:p>
      <w:pPr>
        <w:numPr>
          <w:ilvl w:val="0"/>
          <w:numId w:val="1104"/>
        </w:numPr>
      </w:pPr>
      <w:r>
        <w:t xml:space="preserve">Notice and service of process refer to the efforts that must be made to notify the defendant about the suit against him/her.</w:t>
      </w:r>
    </w:p>
    <w:p>
      <w:pPr>
        <w:numPr>
          <w:ilvl w:val="0"/>
          <w:numId w:val="1104"/>
        </w:numPr>
      </w:pPr>
      <w:r>
        <w:t xml:space="preserve">Personal jurisdiction refers to the power of a court over the parties in a case. It gives the court the authority to make judgments to which the parties are bound.</w:t>
      </w:r>
    </w:p>
    <w:p>
      <w:pPr>
        <w:pStyle w:val="FirstParagraph"/>
      </w:pPr>
      <w:r>
        <w:t xml:space="preserve">These concepts are sometimes confused because prior to the Great Depression, service of process was one method (and under</w:t>
      </w:r>
      <w:r>
        <w:t xml:space="preserve"> </w:t>
      </w:r>
      <w:r>
        <w:rPr>
          <w:iCs/>
          <w:i/>
        </w:rPr>
        <w:t xml:space="preserve">Pennoyer</w:t>
      </w:r>
      <w:r>
        <w:t xml:space="preserve">, the only method) of establishing personal jurisdiction. However, the Supreme Court articulated new requirements for personal jurisdiction in 1945 in</w:t>
      </w:r>
      <w:r>
        <w:t xml:space="preserve"> </w:t>
      </w:r>
      <w:r>
        <w:rPr>
          <w:iCs/>
          <w:i/>
        </w:rPr>
        <w:t xml:space="preserve">International Shoe v. Washington</w:t>
      </w:r>
      <w:r>
        <w:t xml:space="preserve">.</w:t>
      </w:r>
      <w:r>
        <w:t xml:space="preserve"> </w:t>
      </w:r>
      <w:r>
        <w:rPr>
          <w:iCs/>
          <w:i/>
        </w:rPr>
        <w:t xml:space="preserve">International Shoe Co. v. Washington</w:t>
      </w:r>
      <w:r>
        <w:t xml:space="preserve">, 326 U.S. 310 (1945). The</w:t>
      </w:r>
      <w:r>
        <w:t xml:space="preserve"> </w:t>
      </w:r>
      <w:r>
        <w:rPr>
          <w:iCs/>
          <w:i/>
        </w:rPr>
        <w:t xml:space="preserve">International Shoe</w:t>
      </w:r>
      <w:r>
        <w:t xml:space="preserve"> </w:t>
      </w:r>
      <w:r>
        <w:t xml:space="preserve">Court held that a court could exercise jurisdiction over an out-of-state defendant as long as the defendant had sufficient minimum contacts with the state that made the exercise of jurisdiction fair and reasonable. Most courts continued to believe, however, that service of process (“tagging”) in a state could still be used to establish personal jurisdiction after</w:t>
      </w:r>
      <w:r>
        <w:t xml:space="preserve"> </w:t>
      </w:r>
      <w:r>
        <w:rPr>
          <w:iCs/>
          <w:i/>
        </w:rPr>
        <w:t xml:space="preserve">International Shoe</w:t>
      </w:r>
      <w:r>
        <w:t xml:space="preserve">. In</w:t>
      </w:r>
      <w:r>
        <w:t xml:space="preserve"> </w:t>
      </w:r>
      <w:r>
        <w:rPr>
          <w:iCs/>
          <w:i/>
        </w:rPr>
        <w:t xml:space="preserve">Burnham v. Superior Court</w:t>
      </w:r>
      <w:r>
        <w:t xml:space="preserve">, 495 U.S. 604 (1990), the Court split 4-4-1 (around Justice Stevens) in deciding whether service of process on a nonresident defendant inside the state’s geographic area was enough to establish personal jurisdiction.</w:t>
      </w:r>
    </w:p>
    <w:p>
      <w:pPr>
        <w:pStyle w:val="BodyText"/>
      </w:pPr>
      <w:r>
        <w:t xml:space="preserve">Note that today, for a suit to proceed, the constitutional and statutory requirements for notice and service of process must be met</w:t>
      </w:r>
      <w:r>
        <w:t xml:space="preserve"> </w:t>
      </w:r>
      <w:r>
        <w:rPr>
          <w:iCs/>
          <w:i/>
        </w:rPr>
        <w:t xml:space="preserve">and</w:t>
      </w:r>
      <w:r>
        <w:t xml:space="preserve"> </w:t>
      </w:r>
      <w:r>
        <w:t xml:space="preserve">the court must have personal jurisdiction.</w:t>
      </w:r>
      <w:r>
        <w:t xml:space="preserve"> </w:t>
      </w:r>
      <w:r>
        <w:t xml:space="preserve"> </w:t>
      </w:r>
      <w:r>
        <w:t xml:space="preserve">The two requirements may compel the plaintiff to prove different things, and it is possible for one to be established without the other.</w:t>
      </w:r>
    </w:p>
    <w:p>
      <w:pPr>
        <w:pStyle w:val="BodyText"/>
      </w:pPr>
      <w:r>
        <w:rPr>
          <w:bCs/>
          <w:b/>
        </w:rPr>
        <w:t xml:space="preserve"> </w:t>
      </w:r>
    </w:p>
    <w:p>
      <w:pPr>
        <w:pStyle w:val="BodyText"/>
      </w:pPr>
      <w:r>
        <w:rPr>
          <w:bCs/>
          <w:b/>
        </w:rPr>
        <w:t xml:space="preserve">Chart: Constitutional versus statutory requirements across topic areas</w:t>
      </w:r>
    </w:p>
    <w:p>
      <w:pPr>
        <w:pStyle w:val="BodyText"/>
      </w:pPr>
      <w:r>
        <w:t xml:space="preserve">Notice/service of process is not the only component of a lawsuit in which the statutory requirements go beyond the constitutional requirements. This relationship holds true for subject matter jurisdiction (SMJ) and personal jurisdiction (IPJ), as this chart outlines.</w:t>
      </w:r>
    </w:p>
    <w:p>
      <w:pPr>
        <w:pStyle w:val="BodyText"/>
      </w:pPr>
      <w:r>
        <w:t xml:space="preserve">For a suit to proceed in a federal court, both the constitutional requirement(s) and the statutory requirement(s) must be met.</w:t>
      </w:r>
    </w:p>
    <w:tbl>
      <w:tblPr>
        <w:tblStyle w:val="Table"/>
        <w:tblW w:type="pct" w:w="5000"/>
        <w:tblLook w:firstRow="0" w:lastRow="0" w:firstColumn="0" w:lastColumn="0" w:noHBand="0" w:noVBand="0" w:val="0000"/>
      </w:tblPr>
      <w:tblGrid>
        <w:gridCol w:w="1980"/>
        <w:gridCol w:w="1980"/>
        <w:gridCol w:w="1980"/>
        <w:gridCol w:w="1980"/>
      </w:tblGrid>
      <w:tr>
        <w:tc>
          <w:tcPr/>
          <w:p>
            <w:pPr>
              <w:pStyle w:val="TableText"/>
              <w:jc w:val="left"/>
            </w:pPr>
            <w:r>
              <w:rPr>
                <w:bCs/>
                <w:b/>
              </w:rPr>
              <w:t xml:space="preserve"> </w:t>
            </w:r>
          </w:p>
        </w:tc>
        <w:tc>
          <w:tcPr/>
          <w:p>
            <w:pPr>
              <w:pStyle w:val="TableText"/>
              <w:jc w:val="left"/>
            </w:pPr>
            <w:r>
              <w:rPr>
                <w:bCs/>
                <w:b/>
              </w:rPr>
              <w:t xml:space="preserve">SMJ</w:t>
            </w:r>
          </w:p>
        </w:tc>
        <w:tc>
          <w:tcPr/>
          <w:p>
            <w:pPr>
              <w:pStyle w:val="TableText"/>
              <w:jc w:val="left"/>
            </w:pPr>
            <w:r>
              <w:rPr>
                <w:bCs/>
                <w:b/>
              </w:rPr>
              <w:t xml:space="preserve">IPJ</w:t>
            </w:r>
          </w:p>
        </w:tc>
        <w:tc>
          <w:tcPr/>
          <w:p>
            <w:pPr>
              <w:pStyle w:val="TableText"/>
              <w:jc w:val="left"/>
            </w:pPr>
            <w:r>
              <w:rPr>
                <w:bCs/>
                <w:b/>
              </w:rPr>
              <w:t xml:space="preserve">Service of process</w:t>
            </w:r>
          </w:p>
        </w:tc>
      </w:tr>
      <w:tr>
        <w:tc>
          <w:tcPr/>
          <w:p>
            <w:pPr>
              <w:pStyle w:val="TableText"/>
              <w:jc w:val="left"/>
            </w:pPr>
            <w:r>
              <w:rPr>
                <w:bCs/>
                <w:b/>
              </w:rPr>
              <w:t xml:space="preserve">Constitutional requirement</w:t>
            </w:r>
          </w:p>
        </w:tc>
        <w:tc>
          <w:tcPr/>
          <w:p>
            <w:pPr>
              <w:pStyle w:val="TableText"/>
              <w:jc w:val="left"/>
            </w:pPr>
            <w:r>
              <w:t xml:space="preserve">U.S. Const. art. III, §2: federal courts have SMJ over:</w:t>
            </w:r>
          </w:p>
          <w:p>
            <w:pPr>
              <w:numPr>
                <w:ilvl w:val="0"/>
                <w:numId w:val="1105"/>
              </w:numPr>
              <w:pStyle w:val="TableText"/>
              <w:jc w:val="left"/>
            </w:pPr>
            <w:r>
              <w:t xml:space="preserve">FQJ: cases “arising under” the Constitution, federal laws, and treaties</w:t>
            </w:r>
          </w:p>
          <w:p>
            <w:pPr>
              <w:numPr>
                <w:ilvl w:val="0"/>
                <w:numId w:val="1105"/>
              </w:numPr>
              <w:pStyle w:val="TableText"/>
              <w:jc w:val="left"/>
            </w:pPr>
            <w:r>
              <w:t xml:space="preserve">DJ: cases “between citizens of different states” (a minimal diversity test)</w:t>
            </w:r>
          </w:p>
        </w:tc>
        <w:tc>
          <w:tcPr/>
          <w:p>
            <w:pPr>
              <w:pStyle w:val="TableText"/>
              <w:jc w:val="left"/>
            </w:pPr>
            <w:r>
              <w:t xml:space="preserve">U.S. Const. amend. XIV, § 1, the DPC, requires that nonresident defendant have contacts with forum state such that exercise of IPJ is fair and reasonable (</w:t>
            </w:r>
            <w:r>
              <w:rPr>
                <w:iCs/>
                <w:i/>
              </w:rPr>
              <w:t xml:space="preserve">Internat'l Shoe</w:t>
            </w:r>
            <w:r>
              <w:t xml:space="preserve">)</w:t>
            </w:r>
          </w:p>
        </w:tc>
        <w:tc>
          <w:tcPr/>
          <w:p>
            <w:pPr>
              <w:pStyle w:val="TableText"/>
              <w:jc w:val="left"/>
            </w:pPr>
            <w:r>
              <w:t xml:space="preserve">U.S. Const. amend. XIV, § 1, the DPC, requires plaintiff and state make reasonable efforts to notify (</w:t>
            </w:r>
            <w:r>
              <w:rPr>
                <w:iCs/>
                <w:i/>
              </w:rPr>
              <w:t xml:space="preserve">Mullane</w:t>
            </w:r>
            <w:r>
              <w:t xml:space="preserve">)</w:t>
            </w:r>
          </w:p>
        </w:tc>
      </w:tr>
      <w:tr>
        <w:tc>
          <w:tcPr/>
          <w:p>
            <w:pPr>
              <w:pStyle w:val="TableText"/>
              <w:jc w:val="left"/>
            </w:pPr>
            <w:r>
              <w:rPr>
                <w:bCs/>
                <w:b/>
              </w:rPr>
              <w:t xml:space="preserve">Statutory or rule requirement</w:t>
            </w:r>
          </w:p>
        </w:tc>
        <w:tc>
          <w:tcPr/>
          <w:p>
            <w:pPr>
              <w:numPr>
                <w:ilvl w:val="0"/>
                <w:numId w:val="1106"/>
              </w:numPr>
              <w:pStyle w:val="TableText"/>
              <w:jc w:val="left"/>
            </w:pPr>
            <w:r>
              <w:t xml:space="preserve">FQJ: 28 U.S.C. §1331: cases “arising under…” FQ must appear as part of plaintiff’s cause of action, as set out in well-pleaded complaint</w:t>
            </w:r>
          </w:p>
          <w:p>
            <w:pPr>
              <w:numPr>
                <w:ilvl w:val="0"/>
                <w:numId w:val="1106"/>
              </w:numPr>
              <w:pStyle w:val="TableText"/>
              <w:jc w:val="left"/>
            </w:pPr>
            <w:r>
              <w:t xml:space="preserve">DJ: 28 U.S.C. §1332: district court has jurisdiction if AIC requirement is met and if there is complete diversity</w:t>
            </w:r>
          </w:p>
        </w:tc>
        <w:tc>
          <w:tcPr/>
          <w:p>
            <w:pPr>
              <w:pStyle w:val="TableText"/>
              <w:jc w:val="left"/>
            </w:pPr>
            <w:r>
              <w:t xml:space="preserve">Forum state must have a long-arm statute for IPJ over nonresident defendant. State long-arm statutes may require more than does Constitution</w:t>
            </w:r>
          </w:p>
          <w:p>
            <w:pPr>
              <w:numPr>
                <w:ilvl w:val="0"/>
                <w:numId w:val="1107"/>
              </w:numPr>
              <w:pStyle w:val="TableText"/>
              <w:jc w:val="left"/>
            </w:pPr>
            <w:r>
              <w:t xml:space="preserve">Fed. R. Civ. P. 4 requires a federal court to analyze IPJ as if it were a court of the state in which the fed. court sits (unless a special condition is met, Fed. R. Civ. P. 4(k)(1)(B)-(C))</w:t>
            </w:r>
          </w:p>
          <w:p>
            <w:pPr>
              <w:pStyle w:val="TableText"/>
              <w:jc w:val="left"/>
            </w:pPr>
            <w:r>
              <w:t xml:space="preserve"> </w:t>
            </w:r>
          </w:p>
        </w:tc>
        <w:tc>
          <w:tcPr/>
          <w:p>
            <w:pPr>
              <w:pStyle w:val="TableText"/>
              <w:jc w:val="left"/>
            </w:pPr>
            <w:r>
              <w:t xml:space="preserve">Fed. R. Civ. P. 4 governs service of process, requires more of service of process than the DPC does; see details above</w:t>
            </w:r>
          </w:p>
        </w:tc>
      </w:tr>
    </w:tbl>
    <w:p>
      <w:pPr>
        <w:pStyle w:val="BodyText"/>
      </w:pPr>
      <w:r>
        <w:t xml:space="preserve"> </w:t>
      </w:r>
    </w:p>
    <w:p>
      <w:pPr>
        <w:pStyle w:val="NodeEnd"/>
      </w:pPr>
      <w:r>
        <w:t xml:space="preserve"> </w:t>
      </w:r>
    </w:p>
    <w:p>
      <w:pPr>
        <w:pStyle w:val="NodeStart"/>
      </w:pPr>
      <w:r>
        <w:t xml:space="preserve"> </w:t>
      </w:r>
    </w:p>
    <w:p>
      <w:pPr>
        <w:pStyle w:val="HeadSeparator"/>
      </w:pPr>
      <w:r>
        <w:t xml:space="preserve"> </w:t>
      </w:r>
    </w:p>
    <w:bookmarkStart w:id="112" w:name="_auto_toc_112"/>
    <w:bookmarkEnd w:id="112"/>
    <w:p>
      <w:pPr>
        <w:pStyle w:val="ResourceNumber"/>
      </w:pPr>
      <w:r>
        <w:t xml:space="preserve">10.3</w:t>
      </w:r>
    </w:p>
    <w:p>
      <w:pPr>
        <w:pStyle w:val="ResourceTitle"/>
      </w:pPr>
      <w:r>
        <w:t xml:space="preserve">Video (12 min)</w:t>
      </w:r>
    </w:p>
    <w:p>
      <w:pPr>
        <w:pStyle w:val="HeadEnd"/>
      </w:pPr>
      <w:r>
        <w:t xml:space="preserve"> </w:t>
      </w:r>
    </w:p>
    <w:p>
      <w:pPr>
        <w:pStyle w:val="BodyText"/>
      </w:pPr>
      <w:r>
        <w:t xml:space="preserve">Watch the video located</w:t>
      </w:r>
      <w:r>
        <w:t xml:space="preserve"> </w:t>
      </w:r>
      <w:hyperlink r:id="rId179">
        <w:r>
          <w:rPr>
            <w:rStyle w:val="Hyperlink"/>
          </w:rPr>
          <w:t xml:space="preserve">here</w:t>
        </w:r>
      </w:hyperlink>
      <w:r>
        <w:t xml:space="preserve">. It is 12 minutes long.</w:t>
      </w:r>
    </w:p>
    <w:p>
      <w:pPr>
        <w:pStyle w:val="NodeEnd"/>
      </w:pPr>
      <w:r>
        <w:t xml:space="preserve"> </w:t>
      </w:r>
    </w:p>
    <w:p>
      <w:pPr>
        <w:pStyle w:val="NodeStart"/>
      </w:pPr>
      <w:r>
        <w:t xml:space="preserve"> </w:t>
      </w:r>
    </w:p>
    <w:p>
      <w:pPr>
        <w:pStyle w:val="HeadSeparator"/>
      </w:pPr>
      <w:r>
        <w:t xml:space="preserve"> </w:t>
      </w:r>
    </w:p>
    <w:bookmarkStart w:id="113" w:name="_auto_toc_113"/>
    <w:bookmarkEnd w:id="113"/>
    <w:p>
      <w:pPr>
        <w:pStyle w:val="ResourceNumber"/>
      </w:pPr>
      <w:r>
        <w:t xml:space="preserve">10.4</w:t>
      </w:r>
    </w:p>
    <w:p>
      <w:pPr>
        <w:pStyle w:val="ResourceTitle"/>
      </w:pPr>
      <w:r>
        <w:t xml:space="preserve">Guaranty Trust Co. v. York</w:t>
      </w:r>
    </w:p>
    <w:p>
      <w:pPr>
        <w:pStyle w:val="HeadFieldSeparator"/>
      </w:pPr>
      <w:r>
        <w:t xml:space="preserve"> </w:t>
      </w:r>
    </w:p>
    <w:p>
      <w:pPr>
        <w:pStyle w:val="ResourceHeadnote"/>
      </w:pPr>
      <w:r>
        <w:t xml:space="preserve">In</w:t>
      </w:r>
      <w:r>
        <w:t xml:space="preserve"> </w:t>
      </w:r>
      <w:r>
        <w:rPr>
          <w:iCs/>
          <w:i/>
        </w:rPr>
        <w:t xml:space="preserve">Erie</w:t>
      </w:r>
      <w:r>
        <w:t xml:space="preserve">, the Supreme Court abandoned the doctrine of</w:t>
      </w:r>
      <w:r>
        <w:t xml:space="preserve"> </w:t>
      </w:r>
      <w:r>
        <w:rPr>
          <w:iCs/>
          <w:i/>
        </w:rPr>
        <w:t xml:space="preserve">Swift</w:t>
      </w:r>
      <w:r>
        <w:t xml:space="preserve"> </w:t>
      </w:r>
      <w:r>
        <w:t xml:space="preserve">and stated that, for multiple reasons, federal courts sitting in diversity should use state law for substantive issues.</w:t>
      </w:r>
      <w:r>
        <w:t xml:space="preserve"> </w:t>
      </w:r>
      <w:r>
        <w:rPr>
          <w:iCs/>
          <w:i/>
        </w:rPr>
        <w:t xml:space="preserve">Erie</w:t>
      </w:r>
      <w:r>
        <w:t xml:space="preserve"> </w:t>
      </w:r>
      <w:r>
        <w:t xml:space="preserve">led to many questions, primarily this one: How far did this rule go? Was there anything that was NOT substantive? In other words, were there any issues upon which federal, not state law, would govern in diversity cases? Or is a federal diversity court supposed to follow state law on every issue, including, for example, the size and color of the paper used to file briefs? If not, where was the line between issues governed by state versus federal law? If this line were supposed to track the distinction between substance and procedure, what was "substance" versus "procedure"? What did those terms mean? The Supreme Court had to provide a set of standards, a test, a framework, something!</w:t>
      </w:r>
    </w:p>
    <w:p>
      <w:pPr>
        <w:pStyle w:val="ResourceHeadnote"/>
      </w:pPr>
      <w:r>
        <w:rPr>
          <w:iCs/>
          <w:i/>
        </w:rPr>
        <w:t xml:space="preserve">Guaranty Trust Co</w:t>
      </w:r>
      <w:r>
        <w:t xml:space="preserve">. was the Supreme Court's first attempt. As you will quickly see, this first attempt did not go well. What test does this case articulate? Why is it, as the Supreme Court itself later recognized, unworkable as a general matter?</w:t>
      </w:r>
    </w:p>
    <w:p>
      <w:pPr>
        <w:pStyle w:val="ResourceHeadnote"/>
      </w:pPr>
      <w:r>
        <w:t xml:space="preserve">The facts in this case are incomprehensible. I have made multiple attempts to understand them, including by reviewing (on multiple occasions) the district and circuit court opinions. All of my attempts have failed. I will explain more in class, but for now, this was an equity suit (you will understand what that means later in the course), with the federal district court sitting in diversity. Federal equity law (meaning common law) did not provide a limitations period for this type of case. State law did provide one, and if that state limitations period applied, the suit was time-barred. The Supreme Court thus had to decide the following question: when no source of federal law (particularly no congressional statute) provides a limitations period for a state law cause of action, but state law does provide one, should the federal courts use federal law or state law?</w:t>
      </w:r>
    </w:p>
    <w:p>
      <w:pPr>
        <w:pStyle w:val="HeadEnd"/>
      </w:pPr>
      <w:r>
        <w:t xml:space="preserve"> </w:t>
      </w:r>
    </w:p>
    <w:p>
      <w:pPr>
        <w:pStyle w:val="CaseHeader"/>
      </w:pPr>
      <w:r>
        <w:t xml:space="preserve">Supreme Court of the United States</w:t>
      </w:r>
    </w:p>
    <w:p>
      <w:pPr>
        <w:pStyle w:val="CaseHeader"/>
      </w:pPr>
      <w:r>
        <w:t xml:space="preserve">326 U.S. 99, 89 L. Ed. 2079, 65 S. Ct. 1464, 1945 U.S. LEXIS 2665, SCDB 1944-101</w:t>
      </w:r>
    </w:p>
    <w:p>
      <w:pPr>
        <w:pStyle w:val="CaseHeader"/>
      </w:pPr>
      <w:r>
        <w:t xml:space="preserve">No. 264</w:t>
      </w:r>
    </w:p>
    <w:p>
      <w:pPr>
        <w:pStyle w:val="CaseHeader"/>
      </w:pPr>
      <w:r>
        <w:t xml:space="preserve">1945-06-18</w:t>
      </w:r>
    </w:p>
    <w:p>
      <w:pPr>
        <w:pStyle w:val="CaseBody"/>
      </w:pPr>
      <w:r>
        <w:t xml:space="preserve">326 U.S. 99 (1945)</w:t>
      </w:r>
    </w:p>
    <w:p>
      <w:pPr>
        <w:pStyle w:val="CaseHeader"/>
      </w:pPr>
      <w:r>
        <w:t xml:space="preserve">GUARANTY TRUST CO.</w:t>
      </w:r>
      <w:r>
        <w:br/>
      </w:r>
      <w:r>
        <w:t xml:space="preserve">v.</w:t>
      </w:r>
      <w:r>
        <w:br/>
      </w:r>
      <w:r>
        <w:t xml:space="preserve">YORK.</w:t>
      </w:r>
    </w:p>
    <w:p>
      <w:pPr>
        <w:pStyle w:val="CaseBody"/>
      </w:pPr>
      <w:r>
        <w:t xml:space="preserve">No. 264.</w:t>
      </w:r>
    </w:p>
    <w:p>
      <w:pPr>
        <w:pStyle w:val="CaseBody"/>
      </w:pPr>
      <w:r>
        <w:t xml:space="preserve">Supreme Court of United States.</w:t>
      </w:r>
    </w:p>
    <w:p>
      <w:pPr>
        <w:pStyle w:val="CaseBody"/>
      </w:pPr>
      <w:r>
        <w:t xml:space="preserve">Argued January 3, 4, 1945.</w:t>
      </w:r>
    </w:p>
    <w:p>
      <w:pPr>
        <w:pStyle w:val="CaseBody"/>
      </w:pPr>
      <w:r>
        <w:t xml:space="preserve">Decided June 18, 1945.</w:t>
      </w:r>
    </w:p>
    <w:p>
      <w:pPr>
        <w:pStyle w:val="CaseBody"/>
      </w:pPr>
      <w:r>
        <w:t xml:space="preserve">CERTIORARI TO THE CIRCUIT COURT OF APPEALS FOR THE SECOND CIRCUIT.</w:t>
      </w:r>
    </w:p>
    <w:p>
      <w:pPr>
        <w:pStyle w:val="CaseBody"/>
      </w:pPr>
      <w:r>
        <w:rPr>
          <w:rStyle w:val="Elision"/>
        </w:rPr>
        <w:t xml:space="preserve">[ … ]</w:t>
      </w:r>
    </w:p>
    <w:bookmarkStart w:id="180" w:name="Xcfb8782a9b515bb03b8c7d5a5668233a7069a32"/>
    <w:p>
      <w:pPr>
        <w:pStyle w:val="Heading2"/>
      </w:pPr>
      <w:r>
        <w:t xml:space="preserve">MR. JUSTICE FRANKFURTER delivered the opinion of the Court.</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t xml:space="preserve">Our problem only touches transactions for which rights and obligations are created by one of the States, and for the assertion of which, in case of diversity of the citizenship of the parties, Congress has made a federal court another available forum.</w:t>
      </w:r>
    </w:p>
    <w:p>
      <w:pPr>
        <w:pStyle w:val="CaseBody"/>
      </w:pPr>
      <w:r>
        <w:t xml:space="preserve">Our starting point must be the policy of federal jurisdiction which</w:t>
      </w:r>
      <w:r>
        <w:t xml:space="preserve"> </w:t>
      </w:r>
      <w:r>
        <w:rPr>
          <w:iCs/>
          <w:i/>
        </w:rPr>
        <w:t xml:space="preserve">Erie R. Co.</w:t>
      </w:r>
      <w:r>
        <w:t xml:space="preserve"> </w:t>
      </w:r>
      <w:r>
        <w:t xml:space="preserve">v.</w:t>
      </w:r>
      <w:r>
        <w:t xml:space="preserve"> </w:t>
      </w:r>
      <w:r>
        <w:rPr>
          <w:iCs/>
          <w:i/>
        </w:rPr>
        <w:t xml:space="preserve">Tompkins</w:t>
      </w:r>
      <w:r>
        <w:rPr>
          <w:rStyle w:val="Elision"/>
        </w:rPr>
        <w:t xml:space="preserve">[ … ]</w:t>
      </w:r>
      <w:r>
        <w:t xml:space="preserve"> </w:t>
      </w:r>
      <w:r>
        <w:t xml:space="preserve">embodies. In overruling</w:t>
      </w:r>
      <w:r>
        <w:t xml:space="preserve"> </w:t>
      </w:r>
      <w:r>
        <w:rPr>
          <w:iCs/>
          <w:i/>
        </w:rPr>
        <w:t xml:space="preserve">Swift</w:t>
      </w:r>
      <w:r>
        <w:t xml:space="preserve"> </w:t>
      </w:r>
      <w:r>
        <w:t xml:space="preserve">v.</w:t>
      </w:r>
      <w:r>
        <w:t xml:space="preserve"> </w:t>
      </w:r>
      <w:r>
        <w:rPr>
          <w:iCs/>
          <w:i/>
        </w:rPr>
        <w:t xml:space="preserve">Tyson,</w:t>
      </w:r>
      <w:r>
        <w:t xml:space="preserve"> </w:t>
      </w:r>
      <w:r>
        <w:rPr>
          <w:rStyle w:val="Elision"/>
        </w:rPr>
        <w:t xml:space="preserve">[ … ]</w:t>
      </w:r>
      <w:r>
        <w:t xml:space="preserve"> </w:t>
      </w:r>
      <w:r>
        <w:rPr>
          <w:iCs/>
          <w:i/>
        </w:rPr>
        <w:t xml:space="preserve">Erie R. Co.</w:t>
      </w:r>
      <w:r>
        <w:t xml:space="preserve"> </w:t>
      </w:r>
      <w:r>
        <w:t xml:space="preserve">v.</w:t>
      </w:r>
      <w:r>
        <w:t xml:space="preserve"> </w:t>
      </w:r>
      <w:r>
        <w:rPr>
          <w:iCs/>
          <w:i/>
        </w:rPr>
        <w:t xml:space="preserve">Tompkins</w:t>
      </w:r>
      <w:r>
        <w:t xml:space="preserve"> </w:t>
      </w:r>
      <w:r>
        <w:t xml:space="preserve">did not merely overrule a venerable case. It overruled a particular way of looking at law which dominated the judicial process long after its inadequacies had been laid bare.</w:t>
      </w:r>
      <w:r>
        <w:t xml:space="preserve"> </w:t>
      </w:r>
      <w:r>
        <w:rPr>
          <w:rStyle w:val="Elision"/>
        </w:rPr>
        <w:t xml:space="preserve">[ … ]</w:t>
      </w:r>
      <w:r>
        <w:t xml:space="preserve"> </w:t>
      </w:r>
      <w:r>
        <w:t xml:space="preserve">Law was conceived as a "brooding omnipresence" of Reason, of which decisions were merely evidence and not themselves the controlling formulations. Accordingly, federal courts deemed themselves free to ascertain what Reason, and therefore Law, required wholly independent of authoritatively declared State law, even in cases where a legal right as the basis for relief was created by State authority and could not be created by federal authority and the case got into a federal court merely because it was "between Citizens of different States" under Art. III, § 2 of the Constitution of the United States.</w:t>
      </w:r>
    </w:p>
    <w:p>
      <w:pPr>
        <w:pStyle w:val="CaseBody"/>
      </w:pPr>
      <w:r>
        <w:t xml:space="preserve">This impulse to freedom from the rules that controlled State courts regarding State-created rights was so strongly rooted in the prevailing views concerning the nature of law, that the federal courts almost imperceptibly were led to mutilating construction even of the explicit command given to them by Congress to apply State law in cases purporting to enforce the law of a State. See</w:t>
      </w:r>
      <w:r>
        <w:t xml:space="preserve"> </w:t>
      </w:r>
      <w:r>
        <w:rPr>
          <w:rStyle w:val="ReplacementText"/>
        </w:rPr>
        <w:t xml:space="preserve">the Rules of Decision Act</w:t>
      </w:r>
      <w:r>
        <w:t xml:space="preserve">. The matter was fairly summarized by the statement that "During the period when</w:t>
      </w:r>
      <w:r>
        <w:t xml:space="preserve"> </w:t>
      </w:r>
      <w:r>
        <w:rPr>
          <w:iCs/>
          <w:i/>
        </w:rPr>
        <w:t xml:space="preserve">Swift</w:t>
      </w:r>
      <w:r>
        <w:t xml:space="preserve"> </w:t>
      </w:r>
      <w:r>
        <w:t xml:space="preserve">v.</w:t>
      </w:r>
      <w:r>
        <w:t xml:space="preserve"> </w:t>
      </w:r>
      <w:r>
        <w:rPr>
          <w:iCs/>
          <w:i/>
        </w:rPr>
        <w:t xml:space="preserve">Tyson</w:t>
      </w:r>
      <w:r>
        <w:t xml:space="preserve"> </w:t>
      </w:r>
      <w:r>
        <w:t xml:space="preserve">(1842-1938) ruled the decisions of the federal courts, its theory of their freedom in matters of general law from the authority of state courts pervaded opinions of this Court involving even state statutes or local law."</w:t>
      </w:r>
      <w:r>
        <w:t xml:space="preserve"> </w:t>
      </w:r>
      <w:r>
        <w:rPr>
          <w:rStyle w:val="Elision"/>
        </w:rPr>
        <w:t xml:space="preserve">[ … ]</w:t>
      </w:r>
    </w:p>
    <w:p>
      <w:pPr>
        <w:pStyle w:val="CaseBody"/>
      </w:pPr>
      <w:r>
        <w:t xml:space="preserve">In relation to the problem now here, the real significance of</w:t>
      </w:r>
      <w:r>
        <w:t xml:space="preserve"> </w:t>
      </w:r>
      <w:r>
        <w:rPr>
          <w:iCs/>
          <w:i/>
        </w:rPr>
        <w:t xml:space="preserve">Swift</w:t>
      </w:r>
      <w:r>
        <w:t xml:space="preserve"> </w:t>
      </w:r>
      <w:r>
        <w:t xml:space="preserve">v.</w:t>
      </w:r>
      <w:r>
        <w:t xml:space="preserve"> </w:t>
      </w:r>
      <w:r>
        <w:rPr>
          <w:iCs/>
          <w:i/>
        </w:rPr>
        <w:t xml:space="preserve">Tyson</w:t>
      </w:r>
      <w:r>
        <w:t xml:space="preserve"> </w:t>
      </w:r>
      <w:r>
        <w:t xml:space="preserve">lies in the fact that it did not enunciate novel doctrine.</w:t>
      </w:r>
      <w:r>
        <w:t xml:space="preserve"> </w:t>
      </w:r>
      <w:r>
        <w:rPr>
          <w:rStyle w:val="Elision"/>
        </w:rPr>
        <w:t xml:space="preserve">[ … ]</w:t>
      </w:r>
      <w:r>
        <w:rPr>
          <w:rStyle w:val="Elision"/>
        </w:rPr>
        <w:t xml:space="preserve">[ … ]</w:t>
      </w:r>
      <w:r>
        <w:t xml:space="preserve"> </w:t>
      </w:r>
      <w:r>
        <w:rPr>
          <w:rStyle w:val="Elision"/>
        </w:rPr>
        <w:t xml:space="preserve">[ … ]</w:t>
      </w:r>
      <w:r>
        <w:t xml:space="preserve">Since it was conceived that there was "a transcendental body of law outside of any particular State but obligatory within it unless and until changed by statute,"</w:t>
      </w:r>
      <w:r>
        <w:t xml:space="preserve"> </w:t>
      </w:r>
      <w:r>
        <w:rPr>
          <w:rStyle w:val="Elision"/>
        </w:rPr>
        <w:t xml:space="preserve">[ … ]</w:t>
      </w:r>
      <w:r>
        <w:t xml:space="preserve">, State court decisions were not "the law" but merely someone's opinion — to be sure an opinion to be respected — concerning the content of this all-pervading law. Not unnaturally, the federal courts assumed power to find for themselves the content of such a body of law.</w:t>
      </w:r>
      <w:r>
        <w:t xml:space="preserve"> </w:t>
      </w:r>
      <w:r>
        <w:rPr>
          <w:rStyle w:val="Elision"/>
        </w:rPr>
        <w:t xml:space="preserve">[ … ]</w:t>
      </w:r>
    </w:p>
    <w:p>
      <w:pPr>
        <w:pStyle w:val="CaseBody"/>
      </w:pPr>
      <w:r>
        <w:t xml:space="preserve">In exercising their jurisdiction on the ground of diversity of citizenship, the federal courts, in the long course of their history, have not differentiated in their regard for State law between actions at law and suits in equity.</w:t>
      </w:r>
      <w:r>
        <w:rPr>
          <w:rStyle w:val="FootnoteReference"/>
        </w:rPr>
        <w:footnoteReference w:customMarkFollows="1" w:id="25"/>
        <w:t xml:space="preserve">*</w:t>
      </w:r>
      <w:r>
        <w:t xml:space="preserve"> </w:t>
      </w:r>
      <w:r>
        <w:rPr>
          <w:rStyle w:val="Elision"/>
        </w:rPr>
        <w:t xml:space="preserve">[ … ]</w:t>
      </w:r>
    </w:p>
    <w:p>
      <w:pPr>
        <w:pStyle w:val="CaseBody"/>
      </w:pPr>
      <w:r>
        <w:t xml:space="preserve">In giving federal courts "cognizance" of equity suits in cases of diversity jurisdiction, Congress never gave, nor did the federal courts ever claim, the power to deny substantive rights created State law or to create substantive rights denied by State law.</w:t>
      </w:r>
    </w:p>
    <w:p>
      <w:pPr>
        <w:pStyle w:val="CaseBody"/>
      </w:pPr>
      <w:r>
        <w:t xml:space="preserve">This does not mean that whatever equitable remedy is available in a State court must be available in a diversity suit in a federal court, or conversely, that a federal court may not afford an equitable remedy not available in a State court.</w:t>
      </w:r>
      <w:r>
        <w:t xml:space="preserve"> </w:t>
      </w:r>
      <w:r>
        <w:rPr>
          <w:rStyle w:val="Elision"/>
        </w:rPr>
        <w:t xml:space="preserve">[ … ]</w:t>
      </w:r>
      <w:r>
        <w:t xml:space="preserve"> </w:t>
      </w:r>
      <w:r>
        <w:t xml:space="preserve">State law cannot define the remedies which a federal court must give simply because a federal court in diversity jurisdiction is available as an alternative tribunal to the State's courts.</w:t>
      </w:r>
      <w:hyperlink w:anchor="Xb088c801eef8f4bdb67a8c6bbde4b725c397291">
        <w:r>
          <w:rPr>
            <w:rStyle w:val="Elision"/>
            <w:vertAlign w:val="superscript"/>
          </w:rPr>
          <w:t xml:space="preserve">[ … ]</w:t>
        </w:r>
      </w:hyperlink>
      <w:r>
        <w:t xml:space="preserve"> </w:t>
      </w:r>
      <w:r>
        <w:t xml:space="preserve">Contrariwise, a federal court may afford an equitable remedy for a substantive right recognized by a State even though a State court cannot give it. Whatever contradiction or confusion may be produced by a medley of judicial phrases severed from their environment, the body of adjudications concerning equitable relief in diversity cases leaves no doubt that the federal courts enforced State-created substantive rights if the mode of proceeding and remedy were consonant with the traditional body of equitable remedies, practice and procedure, and in so doing</w:t>
      </w:r>
      <w:r>
        <w:t xml:space="preserve"> </w:t>
      </w:r>
      <w:r>
        <w:rPr>
          <w:rStyle w:val="Elision"/>
        </w:rPr>
        <w:t xml:space="preserve">[ … ]</w:t>
      </w:r>
      <w:r>
        <w:t xml:space="preserve"> </w:t>
      </w:r>
      <w:r>
        <w:t xml:space="preserve">they were enforcing rights created by the States and not arising under any inherent or statutory federal law.</w:t>
      </w:r>
      <w:hyperlink w:anchor="X3b29182f388aeb071b8c70436a2da5aba6cd1b4">
        <w:r>
          <w:rPr>
            <w:rStyle w:val="Elision"/>
            <w:vertAlign w:val="superscript"/>
          </w:rPr>
          <w:t xml:space="preserve">[ … ]</w:t>
        </w:r>
      </w:hyperlink>
    </w:p>
    <w:p>
      <w:pPr>
        <w:pStyle w:val="CaseBody"/>
      </w:pPr>
      <w:r>
        <w:t xml:space="preserve">Inevitably, therefore, the principle of</w:t>
      </w:r>
      <w:r>
        <w:t xml:space="preserve"> </w:t>
      </w:r>
      <w:r>
        <w:rPr>
          <w:iCs/>
          <w:i/>
        </w:rPr>
        <w:t xml:space="preserve">Erie R. Co.</w:t>
      </w:r>
      <w:r>
        <w:t xml:space="preserve"> </w:t>
      </w:r>
      <w:r>
        <w:t xml:space="preserve">v.</w:t>
      </w:r>
      <w:r>
        <w:t xml:space="preserve"> </w:t>
      </w:r>
      <w:r>
        <w:rPr>
          <w:iCs/>
          <w:i/>
        </w:rPr>
        <w:t xml:space="preserve">Tompkins,</w:t>
      </w:r>
      <w:r>
        <w:t xml:space="preserve"> </w:t>
      </w:r>
      <w:r>
        <w:t xml:space="preserve">an action at law, was promptly applied to a suit in equity.</w:t>
      </w:r>
      <w:r>
        <w:t xml:space="preserve"> </w:t>
      </w:r>
      <w:r>
        <w:rPr>
          <w:rStyle w:val="Elision"/>
        </w:rPr>
        <w:t xml:space="preserve">[ … ]</w:t>
      </w:r>
    </w:p>
    <w:p>
      <w:pPr>
        <w:pStyle w:val="CaseBody"/>
      </w:pPr>
      <w:r>
        <w:t xml:space="preserve">And so this case reduces itself to the narrow question whether, when no recovery could be had in a State court because the action is barred by the statute of limitations, a federal court in equity can take cognizance of the suit because there is diversity of citizenship between the parties.</w:t>
      </w:r>
      <w:r>
        <w:t xml:space="preserve"> </w:t>
      </w:r>
      <w:r>
        <w:rPr>
          <w:rStyle w:val="Elision"/>
        </w:rPr>
        <w:t xml:space="preserve">[ … ]</w:t>
      </w:r>
    </w:p>
    <w:p>
      <w:pPr>
        <w:pStyle w:val="CaseBody"/>
      </w:pPr>
      <w:r>
        <w:t xml:space="preserve">Matters of "substance" and matters of "procedure" are much talked about in the books as though they defined a great divide cutting across the whole domain of law. But, of course, "substance" and "procedure" are the same key-words to very different problems. Neither "substance" nor "procedure" represents the same invariants. Each implies different variables depending upon the particular problem for which it is used.</w:t>
      </w:r>
      <w:r>
        <w:t xml:space="preserve"> </w:t>
      </w:r>
      <w:r>
        <w:rPr>
          <w:rStyle w:val="Elision"/>
        </w:rPr>
        <w:t xml:space="preserve">[ … ]</w:t>
      </w:r>
    </w:p>
    <w:p>
      <w:pPr>
        <w:pStyle w:val="CaseBody"/>
      </w:pPr>
      <w:r>
        <w:t xml:space="preserve">Here we are dealing with a right to recover derived not from the United States but from one of the States. When, because the plaintiff happens to be a non-resident, such a right is enforceable in a federal as well as in a State court, the forms and mode of enforcing the right may at times, naturally enough, vary because the two judicial systems are not identic. But since a federal court adjudicating a State-created right solely because of the diversity of citizenship of the parties is for that purpose, in effect, only another court of the State, it cannot afford recovery</w:t>
      </w:r>
      <w:r>
        <w:t xml:space="preserve"> </w:t>
      </w:r>
      <w:r>
        <w:rPr>
          <w:rStyle w:val="Elision"/>
        </w:rPr>
        <w:t xml:space="preserve">[ … ]</w:t>
      </w:r>
      <w:r>
        <w:t xml:space="preserve"> </w:t>
      </w:r>
      <w:r>
        <w:t xml:space="preserve">if the right to recover is made unavailable by the State nor can it substantially affect the enforcement of the right as given by the State.</w:t>
      </w:r>
    </w:p>
    <w:p>
      <w:pPr>
        <w:pStyle w:val="CaseBody"/>
      </w:pPr>
      <w:r>
        <w:t xml:space="preserve">And so the question is not whether a statute of limitations is deemed a matter of "procedure" in some sense. The question is whether such a statute concerns merely the manner and the means by which a right to recover, as recognized by the State, is enforced, or whether such statutory limitation is a matter of substance in the aspect that alone is relevant to our problem, namely, does it significantly affect the result of a litigation for a federal court to disregard a law of a State that would be controlling in an action upon the same claim by the same parties in a State court?</w:t>
      </w:r>
    </w:p>
    <w:p>
      <w:pPr>
        <w:pStyle w:val="CaseBody"/>
      </w:pPr>
      <w:r>
        <w:t xml:space="preserve">It is therefore immaterial whether statutes of limitation are characterized either as "substantive" or "procedural" in State court opinions in any use of those terms unrelated to the specific issue before us.</w:t>
      </w:r>
      <w:r>
        <w:t xml:space="preserve"> </w:t>
      </w:r>
      <w:r>
        <w:rPr>
          <w:iCs/>
          <w:i/>
        </w:rPr>
        <w:t xml:space="preserve">Erie R. Co.</w:t>
      </w:r>
      <w:r>
        <w:t xml:space="preserve"> </w:t>
      </w:r>
      <w:r>
        <w:t xml:space="preserve">v.</w:t>
      </w:r>
      <w:r>
        <w:t xml:space="preserve"> </w:t>
      </w:r>
      <w:r>
        <w:rPr>
          <w:iCs/>
          <w:i/>
        </w:rPr>
        <w:t xml:space="preserve">Tompkins</w:t>
      </w:r>
      <w:r>
        <w:t xml:space="preserve"> </w:t>
      </w:r>
      <w:r>
        <w:t xml:space="preserve">was not an endeavor to formulate scientific legal terminology. It expressed a policy that touches vitally the proper distribution of judicial power between State and federal courts. In essence, the intent of that decision was to insure that, in all cases where a federal court is exercising jurisdiction solely because of the diversity of citizenship of the parties, the outcome of the litigation in the federal court should be substantially the same, so far as legal rules determine the outcome of a litigation, as it would be if tried in a State court. The nub of the policy that underlies</w:t>
      </w:r>
      <w:r>
        <w:t xml:space="preserve"> </w:t>
      </w:r>
      <w:r>
        <w:rPr>
          <w:iCs/>
          <w:i/>
        </w:rPr>
        <w:t xml:space="preserve">Erie R. Co.</w:t>
      </w:r>
      <w:r>
        <w:t xml:space="preserve"> </w:t>
      </w:r>
      <w:r>
        <w:t xml:space="preserve">v.</w:t>
      </w:r>
      <w:r>
        <w:t xml:space="preserve"> </w:t>
      </w:r>
      <w:r>
        <w:rPr>
          <w:iCs/>
          <w:i/>
        </w:rPr>
        <w:t xml:space="preserve">Tompkins</w:t>
      </w:r>
      <w:r>
        <w:t xml:space="preserve"> </w:t>
      </w:r>
      <w:r>
        <w:t xml:space="preserve">is that for the same transaction the accident of a suit by a non-resident litigant in a federal court instead of in a State court a block away should not lead to a substantially different result. And so, putting to one side abstractions regarding "substance" and "procedure," we have held that in diversity cases the federal courts must follow the law of the State as to burden of proof,</w:t>
      </w:r>
      <w:r>
        <w:t xml:space="preserve"> </w:t>
      </w:r>
      <w:r>
        <w:rPr>
          <w:rStyle w:val="Elision"/>
        </w:rPr>
        <w:t xml:space="preserve">[ … ]</w:t>
      </w:r>
      <w:r>
        <w:t xml:space="preserve">, as to conflict of laws,</w:t>
      </w:r>
      <w:r>
        <w:t xml:space="preserve"> </w:t>
      </w:r>
      <w:r>
        <w:rPr>
          <w:iCs/>
          <w:i/>
        </w:rPr>
        <w:t xml:space="preserve">Klaxon Co.</w:t>
      </w:r>
      <w:r>
        <w:t xml:space="preserve"> </w:t>
      </w:r>
      <w:r>
        <w:t xml:space="preserve">v.</w:t>
      </w:r>
      <w:r>
        <w:t xml:space="preserve"> </w:t>
      </w:r>
      <w:r>
        <w:rPr>
          <w:iCs/>
          <w:i/>
        </w:rPr>
        <w:t xml:space="preserve">Stentor Co.,</w:t>
      </w:r>
      <w:r>
        <w:t xml:space="preserve"> </w:t>
      </w:r>
      <w:r>
        <w:rPr>
          <w:rStyle w:val="Elision"/>
        </w:rPr>
        <w:t xml:space="preserve">[ … ]</w:t>
      </w:r>
      <w:r>
        <w:t xml:space="preserve">, as to contributory negligence,</w:t>
      </w:r>
      <w:r>
        <w:t xml:space="preserve"> </w:t>
      </w:r>
      <w:r>
        <w:rPr>
          <w:rStyle w:val="Elision"/>
        </w:rPr>
        <w:t xml:space="preserve">[ … ]</w:t>
      </w:r>
      <w:r>
        <w:t xml:space="preserve">.</w:t>
      </w:r>
      <w:r>
        <w:t xml:space="preserve"> </w:t>
      </w:r>
      <w:r>
        <w:rPr>
          <w:iCs/>
          <w:i/>
        </w:rPr>
        <w:t xml:space="preserve">Erie R. Co.</w:t>
      </w:r>
      <w:r>
        <w:t xml:space="preserve"> </w:t>
      </w:r>
      <w:r>
        <w:t xml:space="preserve">v.</w:t>
      </w:r>
      <w:r>
        <w:t xml:space="preserve"> </w:t>
      </w:r>
      <w:r>
        <w:rPr>
          <w:iCs/>
          <w:i/>
        </w:rPr>
        <w:t xml:space="preserve">Tompkins</w:t>
      </w:r>
      <w:r>
        <w:t xml:space="preserve"> </w:t>
      </w:r>
      <w:r>
        <w:t xml:space="preserve">has been applied with an eye alert to essentials in avoiding disregard of State law in diversity cases in the federal courts. A policy so important to our federalism must be kept free from entanglements with analytical or terminological niceties.</w:t>
      </w:r>
    </w:p>
    <w:p>
      <w:pPr>
        <w:pStyle w:val="CaseBody"/>
      </w:pPr>
      <w:r>
        <w:t xml:space="preserve">Plainly enough, a statute that would completely bar recovery in a suit if brought in a State court bears on a State-created right vitally and not merely formally or negligibly. As to consequences that so intimately affect recovery or non-recovery a federal court in a diversity case should follow State law.</w:t>
      </w:r>
      <w:r>
        <w:t xml:space="preserve"> </w:t>
      </w:r>
      <w:r>
        <w:rPr>
          <w:rStyle w:val="Elision"/>
        </w:rPr>
        <w:t xml:space="preserve">[ … ]</w:t>
      </w:r>
    </w:p>
    <w:p>
      <w:pPr>
        <w:pStyle w:val="CaseBody"/>
      </w:pPr>
      <w:r>
        <w:t xml:space="preserve">Diversity jurisdiction is founded on assurance to non-resident litigants of courts free from susceptibility to potential local bias.</w:t>
      </w:r>
      <w:r>
        <w:t xml:space="preserve"> </w:t>
      </w:r>
      <w:r>
        <w:rPr>
          <w:rStyle w:val="Elision"/>
        </w:rPr>
        <w:t xml:space="preserve">[ … ]</w:t>
      </w:r>
      <w:r>
        <w:t xml:space="preserve">And so Congress afforded out-of-State litigants another tribunal, not another body of law. The operation of a double system of conflicting laws in the same State is plainly hostile to the reign of law. Certainly, the fortuitous circumstance of residence out of a State of one of the parties to a litigation ought not to give rise to a discrimination against others equally concerned but locally resident. The source of substantive rights enforced by a federal court under diversity jurisdiction, it cannot be said too often, is the law of the States. Whenever that law is authoritatively declared by a State, whether its voice be the legislature or its highest court, such law ought to govern in litigation founded on that law, whether the forum of application is a State or a federal court and whether the remedies be sought at law or may be had in equity.</w:t>
      </w:r>
    </w:p>
    <w:p>
      <w:pPr>
        <w:pStyle w:val="CaseBody"/>
      </w:pPr>
      <w:r>
        <w:rPr>
          <w:rStyle w:val="Elision"/>
        </w:rPr>
        <w:t xml:space="preserve">[ … ]</w:t>
      </w:r>
    </w:p>
    <w:p>
      <w:pPr>
        <w:pStyle w:val="CaseBody"/>
      </w:pPr>
      <w:r>
        <w:t xml:space="preserve">The judgment is reversed and the case is remanded for proceedings not inconsistent with this opinion.</w:t>
      </w:r>
    </w:p>
    <w:p>
      <w:pPr>
        <w:pStyle w:val="CaseBody"/>
      </w:pPr>
      <w:r>
        <w:rPr>
          <w:iCs/>
          <w:i/>
        </w:rPr>
        <w:t xml:space="preserve">So ordered.</w:t>
      </w:r>
    </w:p>
    <w:p>
      <w:pPr>
        <w:pStyle w:val="CaseBody"/>
      </w:pPr>
      <w:r>
        <w:t xml:space="preserve">MR. JUSTICE ROBERTS and MR. JUSTICE DOUGLAS took no part in the consideration or decision of this case.</w:t>
      </w:r>
    </w:p>
    <w:bookmarkEnd w:id="180"/>
    <w:bookmarkStart w:id="181" w:name="mr.-justice-rutledge."/>
    <w:p>
      <w:pPr>
        <w:pStyle w:val="Heading2"/>
      </w:pPr>
      <w:r>
        <w:t xml:space="preserve">MR. JUSTICE RUTLEDGE.</w:t>
      </w:r>
    </w:p>
    <w:p>
      <w:pPr>
        <w:pStyle w:val="CaseBody"/>
      </w:pPr>
      <w:r>
        <w:rPr>
          <w:rStyle w:val="Elision"/>
        </w:rPr>
        <w:t xml:space="preserve">[ … ]</w:t>
      </w:r>
      <w:r>
        <w:rPr>
          <w:rStyle w:val="FootnoteReference"/>
        </w:rPr>
        <w:footnoteReference w:customMarkFollows="1" w:id="74"/>
        <w:t xml:space="preserve">**</w:t>
      </w:r>
    </w:p>
    <w:p>
      <w:pPr>
        <w:pStyle w:val="CaseBody"/>
      </w:pPr>
      <w:r>
        <w:rPr>
          <w:rStyle w:val="Elision"/>
        </w:rPr>
        <w:t xml:space="preserve">[ … ]</w:t>
      </w:r>
      <w:r>
        <w:rPr>
          <w:rStyle w:val="ReplacementText"/>
        </w:rPr>
        <w:t xml:space="preserve">this</w:t>
      </w:r>
      <w:r>
        <w:t xml:space="preserve">One may give full adherence to the rule of</w:t>
      </w:r>
      <w:r>
        <w:t xml:space="preserve"> </w:t>
      </w:r>
      <w:r>
        <w:rPr>
          <w:iCs/>
          <w:i/>
        </w:rPr>
        <w:t xml:space="preserve">Erie R. Co.</w:t>
      </w:r>
      <w:r>
        <w:t xml:space="preserve"> </w:t>
      </w:r>
      <w:r>
        <w:t xml:space="preserve">v.</w:t>
      </w:r>
      <w:r>
        <w:t xml:space="preserve"> </w:t>
      </w:r>
      <w:r>
        <w:rPr>
          <w:iCs/>
          <w:i/>
        </w:rPr>
        <w:t xml:space="preserve">Tompkins,</w:t>
      </w:r>
      <w:r>
        <w:t xml:space="preserve"> </w:t>
      </w:r>
      <w:r>
        <w:rPr>
          <w:rStyle w:val="Elision"/>
        </w:rPr>
        <w:t xml:space="preserve">[ … ]</w:t>
      </w:r>
      <w:r>
        <w:t xml:space="preserve"> </w:t>
      </w:r>
      <w:r>
        <w:t xml:space="preserve">and its extension to cases in equity in so far as they affect clearly substantive rights, without conceding or assuming that the long tradition, both federal and state, which regards statutes of limitations as falling within the category of remedial rather than substantive law, necessarily must be ruled in the same way; and without conceding further that only a different jurisprudential climate or a kind of "brooding omnipresence in the sky"</w:t>
      </w:r>
      <w:r>
        <w:t xml:space="preserve"> </w:t>
      </w:r>
      <w:r>
        <w:rPr>
          <w:rStyle w:val="Elision"/>
        </w:rPr>
        <w:t xml:space="preserve">[ … ]</w:t>
      </w:r>
      <w:r>
        <w:t xml:space="preserve"> </w:t>
      </w:r>
      <w:r>
        <w:t xml:space="preserve">has dictated the hitherto unvaried policy of the federal courts in their general attitude toward the strict application of local statutes of limitations in equity causes.</w:t>
      </w:r>
    </w:p>
    <w:p>
      <w:pPr>
        <w:pStyle w:val="CaseBody"/>
      </w:pPr>
      <w:r>
        <w:rPr>
          <w:rStyle w:val="Elision"/>
        </w:rPr>
        <w:t xml:space="preserve">[ … ]</w:t>
      </w:r>
    </w:p>
    <w:p>
      <w:pPr>
        <w:pStyle w:val="CaseBody"/>
      </w:pPr>
      <w:r>
        <w:rPr>
          <w:rStyle w:val="ReplacementText"/>
        </w:rPr>
        <w:t xml:space="preserve">The</w:t>
      </w:r>
      <w:r>
        <w:t xml:space="preserve"> </w:t>
      </w:r>
      <w:r>
        <w:t xml:space="preserve">decision of today does not in so many words rule that Congress could not authorize the federal courts to administer equitable relief in accordance with the substantive rights of the parties, notwithstanding state courts had been forbidden by local statutes of limitations to do so. Nevertheless the implication to that effect seems strong, in view of the reliance upon</w:t>
      </w:r>
      <w:r>
        <w:t xml:space="preserve"> </w:t>
      </w:r>
      <w:r>
        <w:rPr>
          <w:iCs/>
          <w:i/>
        </w:rPr>
        <w:t xml:space="preserve">Erie R. Co.</w:t>
      </w:r>
      <w:r>
        <w:t xml:space="preserve"> </w:t>
      </w:r>
      <w:r>
        <w:t xml:space="preserve">v.</w:t>
      </w:r>
      <w:r>
        <w:t xml:space="preserve"> </w:t>
      </w:r>
      <w:r>
        <w:rPr>
          <w:iCs/>
          <w:i/>
        </w:rPr>
        <w:t xml:space="preserve">Tompkins</w:t>
      </w:r>
      <w:r>
        <w:rPr>
          <w:iCs/>
          <w:i/>
        </w:rPr>
        <w:t xml:space="preserve">.</w:t>
      </w:r>
      <w:hyperlink w:anchor="X1b3b11cbdaa9777de7d3e67fb2965d3f02d9f5d">
        <w:r>
          <w:rPr>
            <w:rStyle w:val="Elision"/>
            <w:vertAlign w:val="superscript"/>
          </w:rPr>
          <w:t xml:space="preserve">[ … ]</w:t>
        </w:r>
      </w:hyperlink>
      <w:r>
        <w:t xml:space="preserve"> </w:t>
      </w:r>
      <w:r>
        <w:rPr>
          <w:rStyle w:val="Elision"/>
        </w:rPr>
        <w:t xml:space="preserve">[ … ]</w:t>
      </w:r>
      <w:r>
        <w:t xml:space="preserve">Mor</w:t>
      </w:r>
      <w:r>
        <w:rPr>
          <w:rStyle w:val="FootnoteReference"/>
        </w:rPr>
        <w:footnoteReference w:customMarkFollows="1" w:id="106"/>
        <w:t xml:space="preserve">***</w:t>
      </w:r>
      <w:r>
        <w:t xml:space="preserve">e is at stake in the implications of the decision, if not in the words of the opinion, than simply bringing federal and local law into accord upon matters clearly and exclusively within the constitutional power of the state to determine. It is one thing to require that kind of an accord in diversity cases when the question is merely whether the federal court must follow the law of the state as to burden of proof,</w:t>
      </w:r>
      <w:r>
        <w:t xml:space="preserve"> </w:t>
      </w:r>
      <w:r>
        <w:rPr>
          <w:rStyle w:val="Elision"/>
        </w:rPr>
        <w:t xml:space="preserve">[ … ]</w:t>
      </w:r>
      <w:r>
        <w:t xml:space="preserve"> </w:t>
      </w:r>
      <w:r>
        <w:t xml:space="preserve">contributory negligence,</w:t>
      </w:r>
      <w:r>
        <w:t xml:space="preserve"> </w:t>
      </w:r>
      <w:r>
        <w:rPr>
          <w:rStyle w:val="Elision"/>
        </w:rPr>
        <w:t xml:space="preserve">[ … ]</w:t>
      </w:r>
      <w:r>
        <w:t xml:space="preserve">or perhaps in application of the so-called parol evidence rule. These ordinarily involve matters of substantive law, though nominated in terms of procedure. But in some instances their application may lie along the border between procedure or remedy and substance, where the one may or may not be in fact but another name for the other. It is exactly in this borderland, where procedural or remedial rights may or may not have the effect of determining the substantive ones completely, that caution is required in extending the rule of the</w:t>
      </w:r>
      <w:r>
        <w:t xml:space="preserve"> </w:t>
      </w:r>
      <w:r>
        <w:rPr>
          <w:iCs/>
          <w:i/>
        </w:rPr>
        <w:t xml:space="preserve">Erie</w:t>
      </w:r>
      <w:r>
        <w:t xml:space="preserve"> </w:t>
      </w:r>
      <w:r>
        <w:t xml:space="preserve">case by the very rule itself.</w:t>
      </w:r>
    </w:p>
    <w:p>
      <w:pPr>
        <w:pStyle w:val="CaseBody"/>
      </w:pPr>
      <w:r>
        <w:t xml:space="preserve">The words "substantive" and "procedural" or "remedial" are not talismanic. Merely calling a legal question by one or the other does not resolve it otherwise than as a purely authoritarian performance. But they have come to designate in a broad way large and distinctive legal domains within the greater one of the law and to mark, though often indistinctly or with overlapping limits, many divides between such regions.</w:t>
      </w:r>
    </w:p>
    <w:p>
      <w:pPr>
        <w:pStyle w:val="CaseBody"/>
      </w:pPr>
      <w:r>
        <w:t xml:space="preserve">One of these historically has been the divide between the substantive law and the procedural or remedial law to be applied by the federal courts in diversity cases, a division sharpened but not wiped out by</w:t>
      </w:r>
      <w:r>
        <w:t xml:space="preserve"> </w:t>
      </w:r>
      <w:r>
        <w:rPr>
          <w:iCs/>
          <w:i/>
        </w:rPr>
        <w:t xml:space="preserve">Erie R. Co.</w:t>
      </w:r>
      <w:r>
        <w:t xml:space="preserve"> </w:t>
      </w:r>
      <w:r>
        <w:t xml:space="preserve">v.</w:t>
      </w:r>
      <w:r>
        <w:t xml:space="preserve"> </w:t>
      </w:r>
      <w:r>
        <w:rPr>
          <w:iCs/>
          <w:i/>
        </w:rPr>
        <w:t xml:space="preserve">Tompkins</w:t>
      </w:r>
      <w:r>
        <w:t xml:space="preserve"> </w:t>
      </w:r>
      <w:r>
        <w:t xml:space="preserve">and subsequent decisions extending the scope</w:t>
      </w:r>
      <w:r>
        <w:rPr>
          <w:rStyle w:val="Elision"/>
        </w:rPr>
        <w:t xml:space="preserve">[ … ]</w:t>
      </w:r>
      <w:r>
        <w:t xml:space="preserve">of its ruling. The large division between adjective law and substantive law still remains, to divide the power of Congress from that of the states and consequently to determine the power of the federal courts to apply federal law or state law in diversity matters.</w:t>
      </w:r>
    </w:p>
    <w:p>
      <w:pPr>
        <w:pStyle w:val="CaseBody"/>
      </w:pPr>
      <w:r>
        <w:t xml:space="preserve">This division, like others drawn by the broad allocation of adjective or remedial and substantive, has areas of admixture of these two aspects of the law. In these areas whether a particular situation or issue presents one aspect or the other depends upon how one looks at the matter. As form cannot always be separated from substance in a work of art, so adjective or remedial aspects cannot be parted entirely from substantive ones in these borderland regions.</w:t>
      </w:r>
    </w:p>
    <w:p>
      <w:pPr>
        <w:pStyle w:val="CaseBody"/>
      </w:pPr>
      <w:r>
        <w:t xml:space="preserve">Whenever this integration or admixture prevails in a substantial measure, so that a clean break cannot be made, there is danger either of nullifying the power of Congress to control not only how the federal courts may act, but what they may do by way of affording remedies, or of usurping that function, if the</w:t>
      </w:r>
      <w:r>
        <w:t xml:space="preserve"> </w:t>
      </w:r>
      <w:r>
        <w:rPr>
          <w:iCs/>
          <w:i/>
        </w:rPr>
        <w:t xml:space="preserve">Erie</w:t>
      </w:r>
      <w:r>
        <w:t xml:space="preserve"> </w:t>
      </w:r>
      <w:r>
        <w:t xml:space="preserve">doctrine is to be expanded judicially to include such situations to the utmost extent.</w:t>
      </w:r>
    </w:p>
    <w:p>
      <w:pPr>
        <w:pStyle w:val="CaseBody"/>
      </w:pPr>
      <w:r>
        <w:t xml:space="preserve">It may be true that if the matter were wholly fresh the barring of rights in equity by statutes of limitation would seem to partake more of the substantive than of the remedial phase of law. But the matter is not fresh and it is not without room for debate.</w:t>
      </w:r>
      <w:r>
        <w:t xml:space="preserve"> </w:t>
      </w:r>
      <w:r>
        <w:t xml:space="preserve">A long tradition, in the states and here, as well as in the common law which antedated both state and federal law, has emphasized the remedial character of statutes of limitations, more especially in application to equity causes, on many kinds of issues requiring differentiation of such matters from more clearly and exclusively substantive ones.</w:t>
      </w:r>
      <w:r>
        <w:rPr>
          <w:rStyle w:val="FootnoteReference"/>
        </w:rPr>
        <w:footnoteReference w:customMarkFollows="1" w:id="126"/>
        <w:t xml:space="preserve">****</w:t>
      </w:r>
      <w:r>
        <w:t xml:space="preserve"> </w:t>
      </w:r>
      <w:r>
        <w:rPr>
          <w:rStyle w:val="Elision"/>
        </w:rPr>
        <w:t xml:space="preserve">[ … ]</w:t>
      </w:r>
      <w:r>
        <w:t xml:space="preserve">I cannot say the tradition is clearly wrong in this case</w:t>
      </w:r>
      <w:r>
        <w:t xml:space="preserve"> </w:t>
      </w:r>
      <w:r>
        <w:rPr>
          <w:rStyle w:val="Elision"/>
        </w:rPr>
        <w:t xml:space="preserve">[ … ]</w:t>
      </w:r>
    </w:p>
    <w:p>
      <w:pPr>
        <w:pStyle w:val="CaseBody"/>
      </w:pPr>
      <w:r>
        <w:t xml:space="preserve">Applicable statutes of limitations in state tribunals are not always the ones which would apply if suit were instituted in the courts of the state which creates the substantive rights for which enforcement is sought.</w:t>
      </w:r>
      <w:r>
        <w:t xml:space="preserve"> </w:t>
      </w:r>
      <w:r>
        <w:t xml:space="preserve">The state of the forum is free to apply its own period of limitations, regardless of whether the state originating the right has barred suit upon it</w:t>
      </w:r>
      <w:r>
        <w:rPr>
          <w:rStyle w:val="FootnoteReference"/>
        </w:rPr>
        <w:footnoteReference w:customMarkFollows="1" w:id="137"/>
        <w:t xml:space="preserve">*****</w:t>
      </w:r>
      <w:r>
        <w:t xml:space="preserve">.</w:t>
      </w:r>
      <w:hyperlink w:anchor="Xaeaf0add4069767c1962a0a30f62e555720a6a7">
        <w:r>
          <w:rPr>
            <w:rStyle w:val="Elision"/>
            <w:vertAlign w:val="superscript"/>
          </w:rPr>
          <w:t xml:space="preserve">[ … ]</w:t>
        </w:r>
      </w:hyperlink>
      <w:r>
        <w:t xml:space="preserve">Whether or not</w:t>
      </w:r>
      <w:r>
        <w:t xml:space="preserve"> </w:t>
      </w:r>
      <w:r>
        <w:rPr>
          <w:iCs/>
          <w:i/>
        </w:rPr>
        <w:t xml:space="preserve">the action</w:t>
      </w:r>
      <w:r>
        <w:t xml:space="preserve"> </w:t>
      </w:r>
      <w:r>
        <w:t xml:space="preserve">will be held to be barred depends therefore not upon the law of the state which creates the substantive right, but upon the law of the state where suit may be brought. This in turn will depend upon where it may be possible to secure</w:t>
      </w:r>
      <w:r>
        <w:t xml:space="preserve"> </w:t>
      </w:r>
      <w:r>
        <w:rPr>
          <w:rStyle w:val="Elision"/>
        </w:rPr>
        <w:t xml:space="preserve">[ … ]</w:t>
      </w:r>
      <w:r>
        <w:t xml:space="preserve"> </w:t>
      </w:r>
      <w:r>
        <w:t xml:space="preserve">jurisdiction of the person of the defendant. It may be therefore that because of the plaintiff's inability to find the defendant in the jurisdiction which creates his substantive right, he will be foreclosed of remedy by the sheer necessity of going to the haven of refuge within which the defendant confines its "presence" for jurisdictional purposes. The law of the latter may bar the suit even though suit still would be allowed under the law of the state creating the substantive right.</w:t>
      </w:r>
    </w:p>
    <w:p>
      <w:pPr>
        <w:pStyle w:val="CaseBody"/>
      </w:pPr>
      <w:r>
        <w:rPr>
          <w:rStyle w:val="Elision"/>
        </w:rPr>
        <w:t xml:space="preserve">[ … ]</w:t>
      </w:r>
    </w:p>
    <w:p>
      <w:pPr>
        <w:pStyle w:val="CaseBody"/>
      </w:pPr>
      <w:r>
        <w:t xml:space="preserve">MR. JUSTICE MURPHY joins in this opinion.</w:t>
      </w:r>
    </w:p>
    <w:p>
      <w:pPr>
        <w:pStyle w:val="CaseBody"/>
      </w:pPr>
      <w:hyperlink w:anchor="X613223c36a88d9d89ec44e5bcfc87d0bf85d8f4">
        <w:r>
          <w:rPr>
            <w:rStyle w:val="Elision"/>
          </w:rPr>
          <w:t xml:space="preserve">[ … ]</w:t>
        </w:r>
      </w:hyperlink>
    </w:p>
    <w:bookmarkEnd w:id="181"/>
    <w:p>
      <w:pPr>
        <w:pStyle w:val="NodeEnd"/>
      </w:pPr>
      <w:r>
        <w:t xml:space="preserve"> </w:t>
      </w:r>
    </w:p>
    <w:p>
      <w:pPr>
        <w:pStyle w:val="NodeStart"/>
      </w:pPr>
      <w:r>
        <w:t xml:space="preserve"> </w:t>
      </w:r>
    </w:p>
    <w:p>
      <w:pPr>
        <w:pStyle w:val="HeadSeparator"/>
      </w:pPr>
      <w:r>
        <w:t xml:space="preserve"> </w:t>
      </w:r>
    </w:p>
    <w:bookmarkStart w:id="114" w:name="_auto_toc_114"/>
    <w:bookmarkEnd w:id="114"/>
    <w:p>
      <w:pPr>
        <w:pStyle w:val="ResourceNumber"/>
      </w:pPr>
      <w:r>
        <w:t xml:space="preserve">10.5</w:t>
      </w:r>
    </w:p>
    <w:p>
      <w:pPr>
        <w:pStyle w:val="ResourceTitle"/>
      </w:pPr>
      <w:r>
        <w:t xml:space="preserve">Notes following York</w:t>
      </w:r>
    </w:p>
    <w:p>
      <w:pPr>
        <w:pStyle w:val="HeadFieldSeparator"/>
      </w:pPr>
      <w:r>
        <w:t xml:space="preserve"> </w:t>
      </w:r>
    </w:p>
    <w:p>
      <w:pPr>
        <w:pStyle w:val="ResourceHeadnote"/>
      </w:pPr>
      <w:r>
        <w:t xml:space="preserve">Pay close attention to</w:t>
      </w:r>
      <w:r>
        <w:t xml:space="preserve"> </w:t>
      </w:r>
      <w:r>
        <w:rPr>
          <w:iCs/>
          <w:i/>
        </w:rPr>
        <w:t xml:space="preserve">Ragan</w:t>
      </w:r>
      <w:r>
        <w:t xml:space="preserve"> </w:t>
      </w:r>
      <w:r>
        <w:t xml:space="preserve">and</w:t>
      </w:r>
      <w:r>
        <w:t xml:space="preserve"> </w:t>
      </w:r>
      <w:r>
        <w:rPr>
          <w:iCs/>
          <w:i/>
        </w:rPr>
        <w:t xml:space="preserve">Cohen</w:t>
      </w:r>
      <w:r>
        <w:t xml:space="preserve"> </w:t>
      </w:r>
      <w:r>
        <w:t xml:space="preserve">in note 4.</w:t>
      </w:r>
    </w:p>
    <w:p>
      <w:pPr>
        <w:pStyle w:val="HeadEnd"/>
      </w:pPr>
      <w:r>
        <w:t xml:space="preserve"> </w:t>
      </w:r>
    </w:p>
    <w:p>
      <w:pPr>
        <w:numPr>
          <w:ilvl w:val="0"/>
          <w:numId w:val="1108"/>
        </w:numPr>
      </w:pPr>
      <w:r>
        <w:t xml:space="preserve">Are statutes of limitations substantive or procedural? We talked about this in our HCOL class.  What did you think then?  Did either Justice Frankfurter's majority opinion or Justice Rutledge's dissent change your mind?  Do you think statutes of limitations are substantive, procedural, or a mix of both?  If you think a mix of both, how is a court to resolve a conflict of laws question, either horizontal or vertical, when it has to make a binary choice?</w:t>
      </w:r>
    </w:p>
    <w:p>
      <w:pPr>
        <w:numPr>
          <w:ilvl w:val="0"/>
          <w:numId w:val="1108"/>
        </w:numPr>
      </w:pPr>
      <w:r>
        <w:t xml:space="preserve">If a New York court would not have granted equitable relief, should a federal court have done so if it were sitting in diversity? Does Justice Frankfurter’s distinction between a state-created right and remedy help answer this question? Are rights defined independent of remedies, or do the scope of remedies define rights?</w:t>
      </w:r>
    </w:p>
    <w:p>
      <w:pPr>
        <w:numPr>
          <w:ilvl w:val="0"/>
          <w:numId w:val="1108"/>
        </w:numPr>
      </w:pPr>
      <w:r>
        <w:t xml:space="preserve">Does</w:t>
      </w:r>
      <w:r>
        <w:t xml:space="preserve"> </w:t>
      </w:r>
      <w:r>
        <w:rPr>
          <w:iCs/>
          <w:i/>
        </w:rPr>
        <w:t xml:space="preserve">York</w:t>
      </w:r>
      <w:r>
        <w:t xml:space="preserve"> </w:t>
      </w:r>
      <w:r>
        <w:t xml:space="preserve">actually displace a federal law? Which one, and what is that law's origin?  Does the Court’s holding depend on the Rules Enabling Act or a different source of power?</w:t>
      </w:r>
    </w:p>
    <w:p>
      <w:pPr>
        <w:numPr>
          <w:ilvl w:val="0"/>
          <w:numId w:val="1108"/>
        </w:numPr>
      </w:pPr>
      <w:r>
        <w:t xml:space="preserve">Four years after</w:t>
      </w:r>
      <w:r>
        <w:t xml:space="preserve"> </w:t>
      </w:r>
      <w:r>
        <w:rPr>
          <w:iCs/>
          <w:i/>
        </w:rPr>
        <w:t xml:space="preserve">York,</w:t>
      </w:r>
      <w:r>
        <w:t xml:space="preserve"> </w:t>
      </w:r>
      <w:r>
        <w:t xml:space="preserve">the Supreme Court decided two more</w:t>
      </w:r>
      <w:r>
        <w:t xml:space="preserve"> </w:t>
      </w:r>
      <w:r>
        <w:rPr>
          <w:iCs/>
          <w:i/>
        </w:rPr>
        <w:t xml:space="preserve">Erie</w:t>
      </w:r>
      <w:r>
        <w:t xml:space="preserve"> </w:t>
      </w:r>
      <w:r>
        <w:t xml:space="preserve">cases on the same day. It may help you to diagram the timelines of these cases:</w:t>
      </w:r>
    </w:p>
    <w:p>
      <w:pPr>
        <w:numPr>
          <w:ilvl w:val="1"/>
          <w:numId w:val="1109"/>
        </w:numPr>
      </w:pPr>
      <w:r>
        <w:rPr>
          <w:iCs/>
          <w:i/>
        </w:rPr>
        <w:t xml:space="preserve">Ragan v. Merchants Transfer &amp; Warehouse Co.</w:t>
      </w:r>
      <w:r>
        <w:t xml:space="preserve">, 337 U.S. 530 (1949). Following a highway accident on October 1, 1942, Ragan filed a suit in federal court in Kansas under diversity jurisdiction on September 4, 1945, but service was not made on the defendant until December 28. Kansas had a two year statute of limitations on Ragan’s claim, and its applicable "tolling" period (see the</w:t>
      </w:r>
      <w:r>
        <w:t xml:space="preserve"> </w:t>
      </w:r>
      <w:r>
        <w:rPr>
          <w:iCs/>
          <w:i/>
        </w:rPr>
        <w:t xml:space="preserve">Erie</w:t>
      </w:r>
      <w:r>
        <w:t xml:space="preserve"> </w:t>
      </w:r>
      <w:r>
        <w:t xml:space="preserve">board notes below) was shorter than that available under federal law.  The Supreme Court held that state law controlled when the limitations period was tolled. According to Justice Douglas, “[s]ince that cause of action is created by local law, the measure of it is to be found only in local law. … It accrues and comes to an end when local law so declares.”</w:t>
      </w:r>
    </w:p>
    <w:p>
      <w:pPr>
        <w:numPr>
          <w:ilvl w:val="1"/>
          <w:numId w:val="1109"/>
        </w:numPr>
      </w:pPr>
      <w:r>
        <w:rPr>
          <w:iCs/>
          <w:i/>
        </w:rPr>
        <w:t xml:space="preserve">Cohen v. Beneficial Industrial Loan Corp.</w:t>
      </w:r>
      <w:r>
        <w:t xml:space="preserve">, 337 U.S. 541 (1949). Justice Jackson, writing for the Court, found that federal courts must apply state statutes regarding litigation bond requirements in shareholders derivative suits, even though Federal Rule 23.1 did not require a bond. According to Justice Jackson, though the state law requiring the plaintiff to post a litigation bond was procedural, it created substantive liabilities for the parties. Justices Douglas and Rutledge wrote dissents, the latter worrying that such a decision moved power over diversity jurisdiction away from Congress and to the states.</w:t>
      </w:r>
    </w:p>
    <w:p>
      <w:pPr>
        <w:numPr>
          <w:ilvl w:val="0"/>
          <w:numId w:val="1108"/>
        </w:numPr>
      </w:pPr>
      <w:r>
        <w:rPr>
          <w:iCs/>
          <w:i/>
        </w:rPr>
        <w:t xml:space="preserve">York</w:t>
      </w:r>
      <w:r>
        <w:t xml:space="preserve"> </w:t>
      </w:r>
      <w:r>
        <w:t xml:space="preserve">seems to stand for the proposition that if a legal rule would affect a suit’s result, a federal court sitting in diversity should apply state law. Doesn't that lead to the conclusion that a court should</w:t>
      </w:r>
      <w:r>
        <w:t xml:space="preserve"> </w:t>
      </w:r>
      <w:r>
        <w:rPr>
          <w:iCs/>
          <w:i/>
        </w:rPr>
        <w:t xml:space="preserve">always</w:t>
      </w:r>
      <w:r>
        <w:t xml:space="preserve"> </w:t>
      </w:r>
      <w:r>
        <w:t xml:space="preserve">apply state law? Does this include rules about the size and color of paper? What did Justice Frankfurter really mean by “outcome determinative”?</w:t>
      </w:r>
    </w:p>
    <w:p>
      <w:pPr>
        <w:numPr>
          <w:ilvl w:val="0"/>
          <w:numId w:val="1108"/>
        </w:numPr>
      </w:pPr>
      <w:r>
        <w:t xml:space="preserve">Carried to its logical conclusion,</w:t>
      </w:r>
      <w:r>
        <w:t xml:space="preserve"> </w:t>
      </w:r>
      <w:r>
        <w:rPr>
          <w:iCs/>
          <w:i/>
        </w:rPr>
        <w:t xml:space="preserve">York</w:t>
      </w:r>
      <w:r>
        <w:t xml:space="preserve"> </w:t>
      </w:r>
      <w:r>
        <w:t xml:space="preserve">ends any hope of uniformity across federal district courts, even as to matters that everyone (prior to</w:t>
      </w:r>
      <w:r>
        <w:t xml:space="preserve"> </w:t>
      </w:r>
      <w:r>
        <w:rPr>
          <w:iCs/>
          <w:i/>
        </w:rPr>
        <w:t xml:space="preserve">York</w:t>
      </w:r>
      <w:r>
        <w:t xml:space="preserve">) had considered procedural. Does this seem good? Does this further the goals of</w:t>
      </w:r>
      <w:r>
        <w:t xml:space="preserve"> </w:t>
      </w:r>
      <w:r>
        <w:rPr>
          <w:iCs/>
          <w:i/>
        </w:rPr>
        <w:t xml:space="preserve">Erie</w:t>
      </w:r>
      <w:r>
        <w:t xml:space="preserve">?</w:t>
      </w:r>
    </w:p>
    <w:p>
      <w:pPr>
        <w:pStyle w:val="NodeEnd"/>
      </w:pPr>
      <w:r>
        <w:t xml:space="preserve"> </w:t>
      </w:r>
    </w:p>
    <w:p>
      <w:pPr>
        <w:pStyle w:val="NodeStart"/>
      </w:pPr>
      <w:r>
        <w:t xml:space="preserve"> </w:t>
      </w:r>
    </w:p>
    <w:p>
      <w:pPr>
        <w:pStyle w:val="HeadSeparator"/>
      </w:pPr>
      <w:r>
        <w:t xml:space="preserve"> </w:t>
      </w:r>
    </w:p>
    <w:bookmarkStart w:id="115" w:name="_auto_toc_115"/>
    <w:bookmarkEnd w:id="115"/>
    <w:p>
      <w:pPr>
        <w:pStyle w:val="ResourceNumber"/>
      </w:pPr>
      <w:r>
        <w:t xml:space="preserve">10.6</w:t>
      </w:r>
    </w:p>
    <w:p>
      <w:pPr>
        <w:pStyle w:val="ResourceTitle"/>
      </w:pPr>
      <w:r>
        <w:t xml:space="preserve">Erie Board Notes</w:t>
      </w:r>
    </w:p>
    <w:p>
      <w:pPr>
        <w:pStyle w:val="HeadFieldSeparator"/>
      </w:pPr>
      <w:r>
        <w:t xml:space="preserve"> </w:t>
      </w:r>
    </w:p>
    <w:p>
      <w:pPr>
        <w:pStyle w:val="ResourceHeadnote"/>
      </w:pPr>
      <w:r>
        <w:t xml:space="preserve">Please review the handout on</w:t>
      </w:r>
      <w:r>
        <w:t xml:space="preserve"> </w:t>
      </w:r>
      <w:r>
        <w:rPr>
          <w:iCs/>
          <w:i/>
        </w:rPr>
        <w:t xml:space="preserve">Erie</w:t>
      </w:r>
      <w:r>
        <w:t xml:space="preserve"> </w:t>
      </w:r>
      <w:r>
        <w:t xml:space="preserve">found</w:t>
      </w:r>
      <w:r>
        <w:t xml:space="preserve"> </w:t>
      </w:r>
      <w:hyperlink r:id="rId182">
        <w:r>
          <w:rPr>
            <w:rStyle w:val="Hyperlink"/>
          </w:rPr>
          <w:t xml:space="preserve">here</w:t>
        </w:r>
      </w:hyperlink>
      <w:r>
        <w:t xml:space="preserve"> </w:t>
      </w:r>
      <w:r>
        <w:t xml:space="preserve">(pdf).</w:t>
      </w:r>
    </w:p>
    <w:p>
      <w:pPr>
        <w:pStyle w:val="HeadEnd"/>
      </w:pPr>
      <w:r>
        <w:t xml:space="preserve"> </w:t>
      </w:r>
    </w:p>
    <w:p>
      <w:pPr>
        <w:pStyle w:val="NodeEnd"/>
      </w:pPr>
      <w:r>
        <w:t xml:space="preserve"> </w:t>
      </w:r>
    </w:p>
    <w:p>
      <w:pPr>
        <w:pStyle w:val="NodeStart"/>
      </w:pPr>
      <w:r>
        <w:t xml:space="preserve"> </w:t>
      </w:r>
    </w:p>
    <w:p>
      <w:pPr>
        <w:pStyle w:val="HeadSeparator"/>
      </w:pPr>
      <w:r>
        <w:t xml:space="preserve"> </w:t>
      </w:r>
    </w:p>
    <w:bookmarkStart w:id="116" w:name="_auto_toc_116"/>
    <w:bookmarkEnd w:id="116"/>
    <w:p>
      <w:pPr>
        <w:pStyle w:val="ResourceNumber"/>
      </w:pPr>
      <w:r>
        <w:t xml:space="preserve">10.7</w:t>
      </w:r>
    </w:p>
    <w:p>
      <w:pPr>
        <w:pStyle w:val="ResourceTitle"/>
      </w:pPr>
      <w:r>
        <w:t xml:space="preserve">The Rules Enabling Act</w:t>
      </w:r>
    </w:p>
    <w:p>
      <w:pPr>
        <w:pStyle w:val="HeadFieldSeparator"/>
      </w:pPr>
      <w:r>
        <w:t xml:space="preserve"> </w:t>
      </w:r>
    </w:p>
    <w:p>
      <w:pPr>
        <w:pStyle w:val="ResourceHeadnote"/>
      </w:pPr>
      <w:r>
        <w:t xml:space="preserve">A downloadable handout version of this section is available</w:t>
      </w:r>
      <w:r>
        <w:t xml:space="preserve"> </w:t>
      </w:r>
      <w:hyperlink r:id="rId183">
        <w:r>
          <w:rPr>
            <w:rStyle w:val="Hyperlink"/>
          </w:rPr>
          <w:t xml:space="preserve">here</w:t>
        </w:r>
      </w:hyperlink>
      <w:r>
        <w:t xml:space="preserve"> </w:t>
      </w:r>
      <w:r>
        <w:t xml:space="preserve">(Word doc).</w:t>
      </w:r>
    </w:p>
    <w:p>
      <w:pPr>
        <w:pStyle w:val="HeadEnd"/>
      </w:pPr>
      <w:r>
        <w:t xml:space="preserve"> </w:t>
      </w:r>
    </w:p>
    <w:p>
      <w:pPr>
        <w:pStyle w:val="BodyText"/>
      </w:pPr>
      <w:r>
        <w:rPr>
          <w:u w:val="single"/>
          <w:bCs/>
          <w:b/>
        </w:rPr>
        <w:t xml:space="preserve">How the Federal Rules of Civil Procedure are amended:</w:t>
      </w:r>
    </w:p>
    <w:p>
      <w:pPr>
        <w:pStyle w:val="BodyText"/>
      </w:pPr>
      <w:r>
        <w:t xml:space="preserve">Together, U.S.C. 28 § 2071 and § 2072 constitute the Rules Enabling Act of 1934. These provisions empower the Supreme Court to promulgate the Federal Rules of Civil Procedure. The Supreme Court delegated the role of drafting the Rules to an Advisory Committee, which drafted the original Rules. Today, advisory committees continue to propose amendments to the Rules in accordance with the process outlined below. This seven-step</w:t>
      </w:r>
      <w:r>
        <w:t xml:space="preserve"> </w:t>
      </w:r>
      <w:r>
        <w:t xml:space="preserve">process by which the Rules are amended looks first like administrative rulemaking (steps 1-5), then like judge-made common law (step 6), and then legislation (step 7).  As we will discuss in class, how one characterizes the rules (rulemaking, common law, or legislation) matters in terms of how one should think about them for</w:t>
      </w:r>
      <w:r>
        <w:t xml:space="preserve"> </w:t>
      </w:r>
      <w:r>
        <w:rPr>
          <w:iCs/>
          <w:i/>
        </w:rPr>
        <w:t xml:space="preserve">Erie</w:t>
      </w:r>
      <w:r>
        <w:t xml:space="preserve"> </w:t>
      </w:r>
      <w:r>
        <w:t xml:space="preserve">purposes.</w:t>
      </w:r>
    </w:p>
    <w:p>
      <w:pPr>
        <w:pStyle w:val="BodyText"/>
      </w:pPr>
      <w:r>
        <w:t xml:space="preserve"> </w:t>
      </w:r>
    </w:p>
    <w:p>
      <w:pPr>
        <w:numPr>
          <w:ilvl w:val="0"/>
          <w:numId w:val="1110"/>
        </w:numPr>
      </w:pPr>
      <w:r>
        <w:rPr>
          <w:bCs/>
          <w:b/>
        </w:rPr>
        <w:t xml:space="preserve">Step 1: Initial Consideration by the Advisory Committee</w:t>
      </w:r>
    </w:p>
    <w:p>
      <w:pPr>
        <w:numPr>
          <w:ilvl w:val="1"/>
          <w:numId w:val="1111"/>
        </w:numPr>
      </w:pPr>
      <w:r>
        <w:t xml:space="preserve">Proposed changes to the rules are suggested by judges, clerks of court, lawyers, professors, government agencies, or other individuals and organizations.</w:t>
      </w:r>
      <w:r>
        <w:t xml:space="preserve"> </w:t>
      </w:r>
    </w:p>
    <w:p>
      <w:pPr>
        <w:numPr>
          <w:ilvl w:val="1"/>
          <w:numId w:val="1111"/>
        </w:numPr>
      </w:pPr>
      <w:r>
        <w:t xml:space="preserve">These suggestions are considered by the appropriate advisory committee (appellate, bankruptcy, civil, criminal, or evidence).</w:t>
      </w:r>
      <w:r>
        <w:t xml:space="preserve"> </w:t>
      </w:r>
    </w:p>
    <w:p>
      <w:pPr>
        <w:numPr>
          <w:ilvl w:val="2"/>
          <w:numId w:val="1112"/>
        </w:numPr>
      </w:pPr>
      <w:r>
        <w:rPr>
          <w:u w:val="single"/>
          <w:iCs/>
          <w:i/>
        </w:rPr>
        <w:t xml:space="preserve">Advisory committees</w:t>
      </w:r>
      <w:r>
        <w:t xml:space="preserve"> </w:t>
      </w:r>
      <w:r>
        <w:t xml:space="preserve">are composed of federal judges, practicing lawyers, law professors, state chief justices, representatives of the Department of Justice, and a reporter (usually a prominent law professor).</w:t>
      </w:r>
    </w:p>
    <w:p>
      <w:pPr>
        <w:numPr>
          <w:ilvl w:val="0"/>
          <w:numId w:val="1110"/>
        </w:numPr>
      </w:pPr>
      <w:r>
        <w:rPr>
          <w:bCs/>
          <w:b/>
        </w:rPr>
        <w:t xml:space="preserve">Step 2: Publication and Public Comment</w:t>
      </w:r>
    </w:p>
    <w:p>
      <w:pPr>
        <w:numPr>
          <w:ilvl w:val="1"/>
          <w:numId w:val="1113"/>
        </w:numPr>
      </w:pPr>
      <w:r>
        <w:t xml:space="preserve">Once an advisory committee votes to recommend an amendment to the rules, it must obtain the approval of the Standing Committee to publish the proposed amendment for public comment.</w:t>
      </w:r>
      <w:r>
        <w:t xml:space="preserve"> </w:t>
      </w:r>
    </w:p>
    <w:p>
      <w:pPr>
        <w:numPr>
          <w:ilvl w:val="2"/>
          <w:numId w:val="1114"/>
        </w:numPr>
      </w:pPr>
      <w:r>
        <w:t xml:space="preserve">The</w:t>
      </w:r>
      <w:r>
        <w:t xml:space="preserve"> </w:t>
      </w:r>
      <w:r>
        <w:rPr>
          <w:u w:val="single"/>
          <w:iCs/>
          <w:i/>
        </w:rPr>
        <w:t xml:space="preserve">Standing Committee</w:t>
      </w:r>
      <w:r>
        <w:t xml:space="preserve"> </w:t>
      </w:r>
      <w:r>
        <w:t xml:space="preserve">is composed of federal judges, practicing lawyers, law professors, state chief justices, representatives of the Department of Justice, and an academic reporter.</w:t>
      </w:r>
      <w:r>
        <w:t xml:space="preserve"> </w:t>
      </w:r>
    </w:p>
    <w:p>
      <w:pPr>
        <w:numPr>
          <w:ilvl w:val="1"/>
          <w:numId w:val="1113"/>
        </w:numPr>
      </w:pPr>
      <w:r>
        <w:t xml:space="preserve">With the Standing Committee’s approval, the proposed amendment is published for a 6-month period of public comment.</w:t>
      </w:r>
      <w:r>
        <w:t xml:space="preserve"> </w:t>
      </w:r>
    </w:p>
    <w:p>
      <w:pPr>
        <w:numPr>
          <w:ilvl w:val="0"/>
          <w:numId w:val="1110"/>
        </w:numPr>
      </w:pPr>
      <w:r>
        <w:rPr>
          <w:bCs/>
          <w:b/>
        </w:rPr>
        <w:t xml:space="preserve">Step 3: Consideration of the public comments and final approval by the advisory committee</w:t>
      </w:r>
    </w:p>
    <w:p>
      <w:pPr>
        <w:numPr>
          <w:ilvl w:val="1"/>
          <w:numId w:val="1115"/>
        </w:numPr>
      </w:pPr>
      <w:r>
        <w:t xml:space="preserve">The advisory committee takes another look at the proposed rule changes in light of the public comments. If the advisory committee decides to make a substantial change, it may provide for an additional period of public comment.</w:t>
      </w:r>
      <w:r>
        <w:t xml:space="preserve"> </w:t>
      </w:r>
    </w:p>
    <w:p>
      <w:pPr>
        <w:numPr>
          <w:ilvl w:val="1"/>
          <w:numId w:val="1115"/>
        </w:numPr>
      </w:pPr>
      <w:r>
        <w:t xml:space="preserve">The advisory committee submits its proposed amendment to the Standing Committee.</w:t>
      </w:r>
    </w:p>
    <w:p>
      <w:pPr>
        <w:numPr>
          <w:ilvl w:val="0"/>
          <w:numId w:val="1110"/>
        </w:numPr>
      </w:pPr>
      <w:r>
        <w:rPr>
          <w:bCs/>
          <w:b/>
        </w:rPr>
        <w:t xml:space="preserve">Step 4: Approval by the Standing Committee</w:t>
      </w:r>
    </w:p>
    <w:p>
      <w:pPr>
        <w:numPr>
          <w:ilvl w:val="1"/>
          <w:numId w:val="1116"/>
        </w:numPr>
      </w:pPr>
      <w:r>
        <w:t xml:space="preserve">The Standing Committee considers the final recommendations of the advisory committee. If the Standing Committee approves a proposed rule change, it transmits it to the Judicial Conference with a recommendation for approval.</w:t>
      </w:r>
      <w:r>
        <w:t xml:space="preserve"> </w:t>
      </w:r>
    </w:p>
    <w:p>
      <w:pPr>
        <w:numPr>
          <w:ilvl w:val="0"/>
          <w:numId w:val="1110"/>
        </w:numPr>
      </w:pPr>
      <w:r>
        <w:rPr>
          <w:bCs/>
          <w:b/>
        </w:rPr>
        <w:t xml:space="preserve">Step 5: Judicial Conference Approval</w:t>
      </w:r>
      <w:r>
        <w:rPr>
          <w:bCs/>
          <w:b/>
        </w:rPr>
        <w:t xml:space="preserve"> </w:t>
      </w:r>
    </w:p>
    <w:p>
      <w:pPr>
        <w:numPr>
          <w:ilvl w:val="1"/>
          <w:numId w:val="1117"/>
        </w:numPr>
      </w:pPr>
      <w:r>
        <w:t xml:space="preserve">The Judicial Conference considers proposed amendments to the rules at its annual September session. Amendments it approves are transmitted to the Supreme Court.</w:t>
      </w:r>
    </w:p>
    <w:p>
      <w:pPr>
        <w:numPr>
          <w:ilvl w:val="2"/>
          <w:numId w:val="1118"/>
        </w:numPr>
      </w:pPr>
      <w:r>
        <w:t xml:space="preserve">The</w:t>
      </w:r>
      <w:r>
        <w:t xml:space="preserve"> </w:t>
      </w:r>
      <w:r>
        <w:rPr>
          <w:u w:val="single"/>
          <w:iCs/>
          <w:i/>
        </w:rPr>
        <w:t xml:space="preserve">Judicial Conference</w:t>
      </w:r>
      <w:r>
        <w:t xml:space="preserve"> </w:t>
      </w:r>
      <w:r>
        <w:t xml:space="preserve">is</w:t>
      </w:r>
      <w:r>
        <w:t xml:space="preserve"> </w:t>
      </w:r>
      <w:r>
        <w:t xml:space="preserve">composed of the chief judge of each judicial circuit, the Chief Judge of the Court of International Trade, and a district judge from each regional judicial circuit. The Chief Justice of the United States is the presiding officer of the Judicial Conference.</w:t>
      </w:r>
    </w:p>
    <w:p>
      <w:pPr>
        <w:numPr>
          <w:ilvl w:val="0"/>
          <w:numId w:val="1110"/>
        </w:numPr>
      </w:pPr>
      <w:r>
        <w:rPr>
          <w:bCs/>
          <w:b/>
        </w:rPr>
        <w:t xml:space="preserve">Step 6: Supreme Court approval</w:t>
      </w:r>
    </w:p>
    <w:p>
      <w:pPr>
        <w:numPr>
          <w:ilvl w:val="1"/>
          <w:numId w:val="1119"/>
        </w:numPr>
      </w:pPr>
      <w:r>
        <w:t xml:space="preserve">The Supreme Court has the authority to prescribe the federal rules, subject to a statutory waiting period. 28 U.S.C. §§ 2072, 2075. The Court must transmit proposed amendments to Congress by May 1 of the year in which the amendment is to take effect. 28 U.S.C. §§ 2074, 2075.</w:t>
      </w:r>
      <w:r>
        <w:t xml:space="preserve"> </w:t>
      </w:r>
      <w:r>
        <w:t xml:space="preserve">The Court votes in its usual format to decide what to transmit (meaning a five-justice majority is required).</w:t>
      </w:r>
    </w:p>
    <w:p>
      <w:pPr>
        <w:numPr>
          <w:ilvl w:val="0"/>
          <w:numId w:val="1110"/>
        </w:numPr>
      </w:pPr>
      <w:r>
        <w:rPr>
          <w:bCs/>
          <w:b/>
        </w:rPr>
        <w:t xml:space="preserve">Step 7: Congressional review</w:t>
      </w:r>
    </w:p>
    <w:p>
      <w:pPr>
        <w:numPr>
          <w:ilvl w:val="1"/>
          <w:numId w:val="1120"/>
        </w:numPr>
      </w:pPr>
      <w:r>
        <w:t xml:space="preserve">Congress has a statutory period of at least 7 months to act on any rules prescribed by the Supreme Court. If Congress does not enact legislation to reject, modify, or defer the rules, they take effect as a matter of law on December 1. 28 U.S.C. §§ 2074, 2075.</w:t>
      </w:r>
    </w:p>
    <w:p>
      <w:pPr>
        <w:pStyle w:val="FirstParagraph"/>
      </w:pPr>
      <w:r>
        <w:rPr>
          <w:u w:val="single"/>
          <w:bCs/>
          <w:b/>
        </w:rPr>
        <w:t xml:space="preserve">Why does this matter? </w:t>
      </w:r>
    </w:p>
    <w:p>
      <w:pPr>
        <w:pStyle w:val="BodyText"/>
      </w:pPr>
      <w:r>
        <w:rPr>
          <w:iCs/>
          <w:i/>
        </w:rPr>
        <w:t xml:space="preserve">Erie</w:t>
      </w:r>
      <w:r>
        <w:t xml:space="preserve">,</w:t>
      </w:r>
      <w:r>
        <w:t xml:space="preserve"> </w:t>
      </w:r>
      <w:r>
        <w:rPr>
          <w:iCs/>
          <w:i/>
        </w:rPr>
        <w:t xml:space="preserve">Stewart</w:t>
      </w:r>
      <w:r>
        <w:t xml:space="preserve">,</w:t>
      </w:r>
      <w:r>
        <w:t xml:space="preserve"> </w:t>
      </w:r>
      <w:r>
        <w:rPr>
          <w:iCs/>
          <w:i/>
        </w:rPr>
        <w:t xml:space="preserve">Hanna</w:t>
      </w:r>
      <w:r>
        <w:t xml:space="preserve">, and</w:t>
      </w:r>
      <w:r>
        <w:t xml:space="preserve"> </w:t>
      </w:r>
      <w:r>
        <w:rPr>
          <w:iCs/>
          <w:i/>
        </w:rPr>
        <w:t xml:space="preserve">Walker</w:t>
      </w:r>
      <w:r>
        <w:t xml:space="preserve"> </w:t>
      </w:r>
      <w:r>
        <w:t xml:space="preserve">(see below for the latter three) together suggest that courts should treat federal statutes differently from federal common law in diversity cases.  The problem is that the Federal Rules of Civil Procedure are part statute, part common law (and part administrative rule).  So, how do courts treat the Rules for</w:t>
      </w:r>
      <w:r>
        <w:t xml:space="preserve"> </w:t>
      </w:r>
      <w:r>
        <w:rPr>
          <w:iCs/>
          <w:i/>
        </w:rPr>
        <w:t xml:space="preserve">Erie</w:t>
      </w:r>
      <w:r>
        <w:t xml:space="preserve"> </w:t>
      </w:r>
      <w:r>
        <w:t xml:space="preserve">purposes?</w:t>
      </w:r>
    </w:p>
    <w:p>
      <w:pPr>
        <w:pStyle w:val="BodyText"/>
      </w:pPr>
      <w:r>
        <w:t xml:space="preserve"> </w:t>
      </w:r>
    </w:p>
    <w:p>
      <w:pPr>
        <w:pStyle w:val="NodeEnd"/>
      </w:pPr>
      <w:r>
        <w:t xml:space="preserve"> </w:t>
      </w:r>
    </w:p>
    <w:p>
      <w:pPr>
        <w:pStyle w:val="NodeStart"/>
      </w:pPr>
      <w:r>
        <w:t xml:space="preserve"> </w:t>
      </w:r>
    </w:p>
    <w:p>
      <w:pPr>
        <w:pStyle w:val="HeadSeparator"/>
      </w:pPr>
      <w:r>
        <w:t xml:space="preserve"> </w:t>
      </w:r>
    </w:p>
    <w:bookmarkStart w:id="117" w:name="_auto_toc_117"/>
    <w:bookmarkEnd w:id="117"/>
    <w:p>
      <w:pPr>
        <w:pStyle w:val="ResourceNumber"/>
      </w:pPr>
      <w:r>
        <w:t xml:space="preserve">10.8</w:t>
      </w:r>
    </w:p>
    <w:p>
      <w:pPr>
        <w:pStyle w:val="ResourceTitle"/>
      </w:pPr>
      <w:r>
        <w:t xml:space="preserve">Hanna v. Plumer</w:t>
      </w:r>
    </w:p>
    <w:p>
      <w:pPr>
        <w:pStyle w:val="HeadEnd"/>
      </w:pPr>
      <w:r>
        <w:t xml:space="preserve"> </w:t>
      </w:r>
    </w:p>
    <w:p>
      <w:pPr>
        <w:pStyle w:val="CaseHeader"/>
      </w:pPr>
      <w:r>
        <w:t xml:space="preserve">Supreme Court of the United States</w:t>
      </w:r>
    </w:p>
    <w:p>
      <w:pPr>
        <w:pStyle w:val="CaseHeader"/>
      </w:pPr>
      <w:r>
        <w:t xml:space="preserve">380 U.S. 460, 14 L. Ed. 2d 8, 85 S. Ct. 1136, SCDB 1964-076, 1965 U.S. LEXIS 1350</w:t>
      </w:r>
    </w:p>
    <w:p>
      <w:pPr>
        <w:pStyle w:val="CaseHeader"/>
      </w:pPr>
      <w:r>
        <w:t xml:space="preserve">No. 171</w:t>
      </w:r>
    </w:p>
    <w:p>
      <w:pPr>
        <w:pStyle w:val="CaseHeader"/>
      </w:pPr>
      <w:r>
        <w:t xml:space="preserve">1965-04-26</w:t>
      </w:r>
    </w:p>
    <w:p>
      <w:pPr>
        <w:pStyle w:val="CaseBody"/>
      </w:pPr>
      <w:r>
        <w:t xml:space="preserve">380 U.S. 460 (1965)</w:t>
      </w:r>
    </w:p>
    <w:p>
      <w:pPr>
        <w:pStyle w:val="CaseHeader"/>
      </w:pPr>
      <w:r>
        <w:rPr>
          <w:rStyle w:val="Elision"/>
        </w:rPr>
        <w:t xml:space="preserve">[ … ]</w:t>
      </w:r>
    </w:p>
    <w:bookmarkStart w:id="184" w:name="X8d54ecffba662d7ae8f341e1c060e1b40935cbe"/>
    <w:p>
      <w:pPr>
        <w:pStyle w:val="Heading2"/>
      </w:pPr>
      <w:r>
        <w:rPr>
          <w:rStyle w:val="Elision"/>
        </w:rPr>
        <w:t xml:space="preserve">[ … ]</w:t>
      </w:r>
      <w:r>
        <w:t xml:space="preserve"> </w:t>
      </w:r>
      <w:r>
        <w:t xml:space="preserve">MR. CHIEF JUSTICE WARREN delivered the opinion of the Court.</w:t>
      </w:r>
    </w:p>
    <w:p>
      <w:pPr>
        <w:pStyle w:val="CaseBody"/>
      </w:pPr>
      <w:r>
        <w:t xml:space="preserve">The question to be decided is whether, in a civil action where the jurisdiction of the United States district court is based upon diversity of citizenship between the parties, service of process shall be made in the manner prescribed by state law or that set forth in</w:t>
      </w:r>
      <w:r>
        <w:t xml:space="preserve"> </w:t>
      </w:r>
      <w:r>
        <w:rPr>
          <w:rStyle w:val="ReplacementText"/>
        </w:rPr>
        <w:t xml:space="preserve">[Rule 4(e)(2)(B)]</w:t>
      </w:r>
      <w:r>
        <w:t xml:space="preserve"> </w:t>
      </w:r>
      <w:r>
        <w:t xml:space="preserve">of the Federal Rules of Civil Procedure.</w:t>
      </w:r>
    </w:p>
    <w:p>
      <w:pPr>
        <w:pStyle w:val="CaseBody"/>
      </w:pPr>
      <w:r>
        <w:t xml:space="preserve">On February 6, 1963, petitioner, a citizen of Ohio, filed her complaint in the District Court for the District of Massachusetts, claiming damages in excess of $10,000 for personal injuries resulting from an automobile accident in South Carolina, allegedly caused by the negligence of one Louise Plumer Osgood, a Massachusetts citizen deceased at the time of the filing of the complaint. Respondent, Mrs. Osgood's executor and also a Massachusetts citizen, was named as defendant. On February 8, service was made by leaving copies of the summons and the complaint with respondent's wife at his residence, concededly in compliance with Rule 4</w:t>
      </w:r>
      <w:r>
        <w:t xml:space="preserve"> </w:t>
      </w:r>
      <w:r>
        <w:rPr>
          <w:rStyle w:val="ReplacementText"/>
        </w:rPr>
        <w:t xml:space="preserve">(e)(2)(B)</w:t>
      </w:r>
      <w:r>
        <w:t xml:space="preserve"> </w:t>
      </w:r>
      <w:r>
        <w:t xml:space="preserve">which provides:</w:t>
      </w:r>
    </w:p>
    <w:p>
      <w:pPr>
        <w:pStyle w:val="BlockText"/>
      </w:pPr>
      <w:r>
        <w:t xml:space="preserve">"The summons and complaint shall be served together. The plaintiff shall furnish the person making service with such copies as are necessary. Service shall be made as follows:</w:t>
      </w:r>
    </w:p>
    <w:p>
      <w:pPr>
        <w:pStyle w:val="BlockText"/>
      </w:pPr>
      <w:r>
        <w:rPr>
          <w:rStyle w:val="ReplacementText"/>
        </w:rPr>
        <w:t xml:space="preserve">[the current version of the rule, which is the same in substance as the version then extant, allows service to be made "leaving a copy of each at the individual's dwelling or usual place of abode with someone of suitable age and discretion who resides there."]</w:t>
      </w:r>
    </w:p>
    <w:p>
      <w:pPr>
        <w:pStyle w:val="CaseBody"/>
      </w:pPr>
      <w:r>
        <w:t xml:space="preserve">Respondent filed his answer on February 26, alleging,</w:t>
      </w:r>
      <w:r>
        <w:t xml:space="preserve"> </w:t>
      </w:r>
      <w:r>
        <w:rPr>
          <w:iCs/>
          <w:i/>
        </w:rPr>
        <w:t xml:space="preserve">inter alia,</w:t>
      </w:r>
      <w:r>
        <w:t xml:space="preserve"> </w:t>
      </w:r>
      <w:r>
        <w:t xml:space="preserve">that the action could not be maintained because it had been brought "contrary to and in violation of the</w:t>
      </w:r>
      <w:r>
        <w:t xml:space="preserve"> </w:t>
      </w:r>
      <w:r>
        <w:rPr>
          <w:rStyle w:val="Elision"/>
        </w:rPr>
        <w:t xml:space="preserve">[ … ]</w:t>
      </w:r>
      <w:r>
        <w:t xml:space="preserve"> </w:t>
      </w:r>
      <w:r>
        <w:t xml:space="preserve">provisions of Massachusetts General Laws (Ter. Ed.) Chapter 197, Section 9." That section provides:</w:t>
      </w:r>
    </w:p>
    <w:p>
      <w:pPr>
        <w:pStyle w:val="BlockText"/>
      </w:pPr>
      <w:r>
        <w:t xml:space="preserve">"Except as provided in this chapter, an executor or administrator shall not be held to answer to an action by a creditor of the deceased which is not commenced within one year from the time of his giving bond for the performance of his trust, or to such an action which is commenced within said year unless before the expiration thereof the writ in such action has been served by delivery in hand upon such executor or administrator or service thereof accepted by him or a notice stating the name of the estate, the name and address of the creditor, the amount of the claim and the court in which the action has been brought has been filed in the proper registry of probate. . . ." Mass. Gen. Laws Ann., c. 197, § 9 (1958).</w:t>
      </w:r>
    </w:p>
    <w:p>
      <w:pPr>
        <w:pStyle w:val="CaseBody"/>
      </w:pPr>
      <w:r>
        <w:t xml:space="preserve">On October 17, 1963, the District Court granted respondent's motion for summary judgment, citing</w:t>
      </w:r>
      <w:r>
        <w:t xml:space="preserve"> </w:t>
      </w:r>
      <w:r>
        <w:rPr>
          <w:iCs/>
          <w:i/>
        </w:rPr>
        <w:t xml:space="preserve">Ragan</w:t>
      </w:r>
      <w:r>
        <w:t xml:space="preserve"> </w:t>
      </w:r>
      <w:r>
        <w:t xml:space="preserve">v.</w:t>
      </w:r>
      <w:r>
        <w:t xml:space="preserve"> </w:t>
      </w:r>
      <w:r>
        <w:rPr>
          <w:iCs/>
          <w:i/>
        </w:rPr>
        <w:t xml:space="preserve">Merchants Transfer Co.,</w:t>
      </w:r>
      <w:r>
        <w:t xml:space="preserve"> </w:t>
      </w:r>
      <w:r>
        <w:rPr>
          <w:rStyle w:val="Elision"/>
        </w:rPr>
        <w:t xml:space="preserve">[ … ]</w:t>
      </w:r>
      <w:r>
        <w:t xml:space="preserve">and</w:t>
      </w:r>
      <w:r>
        <w:t xml:space="preserve"> </w:t>
      </w:r>
      <w:r>
        <w:rPr>
          <w:iCs/>
          <w:i/>
        </w:rPr>
        <w:t xml:space="preserve">Guaranty Trust Co.</w:t>
      </w:r>
      <w:r>
        <w:t xml:space="preserve"> </w:t>
      </w:r>
      <w:r>
        <w:t xml:space="preserve">v.</w:t>
      </w:r>
      <w:r>
        <w:t xml:space="preserve"> </w:t>
      </w:r>
      <w:r>
        <w:rPr>
          <w:iCs/>
          <w:i/>
        </w:rPr>
        <w:t xml:space="preserve">York,</w:t>
      </w:r>
      <w:r>
        <w:t xml:space="preserve"> </w:t>
      </w:r>
      <w:r>
        <w:rPr>
          <w:rStyle w:val="Elision"/>
        </w:rPr>
        <w:t xml:space="preserve">[ … ]</w:t>
      </w:r>
      <w:r>
        <w:t xml:space="preserve">, in support of its conclusion that the adequacy of the service was to be measured by § 9, with which, the court held, petitioner had not complied. On appeal, petitioner admitted noncompliance with § 9, but argued that Rule 4</w:t>
      </w:r>
      <w:r>
        <w:t xml:space="preserve"> </w:t>
      </w:r>
      <w:r>
        <w:rPr>
          <w:rStyle w:val="ReplacementText"/>
        </w:rPr>
        <w:t xml:space="preserve">(e)(2)(B)</w:t>
      </w:r>
      <w:r>
        <w:t xml:space="preserve"> </w:t>
      </w:r>
      <w:r>
        <w:t xml:space="preserve">defines the method by which service of process is to be effected in diversity actions. The Court of Appeals for the First Circuit, finding that "[r]elatively recent amendments [to § 9] evince a clear legislative purpose to require personal notification within the year,"</w:t>
      </w:r>
      <w:hyperlink w:anchor="X74483078eb1e87eeeb53db029af5922130805d7">
        <w:r>
          <w:rPr>
            <w:rStyle w:val="Elision"/>
            <w:vertAlign w:val="superscript"/>
          </w:rPr>
          <w:t xml:space="preserve">[ … ]</w:t>
        </w:r>
      </w:hyperlink>
      <w:r>
        <w:t xml:space="preserve"> </w:t>
      </w:r>
      <w:r>
        <w:t xml:space="preserve">concluded that the conflict of state</w:t>
      </w:r>
      <w:r>
        <w:t xml:space="preserve"> </w:t>
      </w:r>
      <w:r>
        <w:rPr>
          <w:rStyle w:val="Elision"/>
        </w:rPr>
        <w:t xml:space="preserve">[ … ]</w:t>
      </w:r>
      <w:r>
        <w:t xml:space="preserve"> </w:t>
      </w:r>
      <w:r>
        <w:t xml:space="preserve">and federal rules was over "a substantive rather than a procedural matter," and unanimously affirmed.</w:t>
      </w:r>
      <w:r>
        <w:t xml:space="preserve"> </w:t>
      </w:r>
      <w:r>
        <w:rPr>
          <w:rStyle w:val="Elision"/>
        </w:rPr>
        <w:t xml:space="preserve">[ … ]</w:t>
      </w:r>
      <w:r>
        <w:t xml:space="preserve">. Because of the threat to the goal of uniformity of federal procedure posed by the decision below,</w:t>
      </w:r>
      <w:hyperlink w:anchor="X59a606ab89cab9e856cdbe047e260b52d111352">
        <w:r>
          <w:rPr>
            <w:rStyle w:val="Elision"/>
            <w:vertAlign w:val="superscript"/>
          </w:rPr>
          <w:t xml:space="preserve">[ … ]</w:t>
        </w:r>
      </w:hyperlink>
      <w:r>
        <w:t xml:space="preserve"> </w:t>
      </w:r>
      <w:r>
        <w:t xml:space="preserve">we granted certiorari</w:t>
      </w:r>
      <w:r>
        <w:rPr>
          <w:rStyle w:val="Elision"/>
        </w:rPr>
        <w:t xml:space="preserve">[ … ]</w:t>
      </w:r>
    </w:p>
    <w:p>
      <w:pPr>
        <w:pStyle w:val="CaseBody"/>
      </w:pPr>
      <w:r>
        <w:t xml:space="preserve">We conclude that the adoption of Rule 4</w:t>
      </w:r>
      <w:r>
        <w:t xml:space="preserve"> </w:t>
      </w:r>
      <w:r>
        <w:rPr>
          <w:rStyle w:val="ReplacementText"/>
        </w:rPr>
        <w:t xml:space="preserve">(e)(2)(B)</w:t>
      </w:r>
      <w:r>
        <w:t xml:space="preserve">, designed to control service of process in diversity actions,</w:t>
      </w:r>
      <w:hyperlink w:anchor="X7771f1fc92bf481427b94bed44cf6c6dc9a7bc4">
        <w:r>
          <w:rPr>
            <w:rStyle w:val="Elision"/>
            <w:vertAlign w:val="superscript"/>
          </w:rPr>
          <w:t xml:space="preserve">[ … ]</w:t>
        </w:r>
      </w:hyperlink>
      <w:r>
        <w:t xml:space="preserve"> </w:t>
      </w:r>
      <w:r>
        <w:t xml:space="preserve">neither exceeded the congressional mandate embodied in the Rules Enabling Act nor transgressed constitutional bounds, and that the Rule is therefore the standard against which the District Court should have measured the adequacy of the service. Accordingly, we reverse the decision of the Court of Appeals.</w:t>
      </w:r>
    </w:p>
    <w:p>
      <w:pPr>
        <w:pStyle w:val="CaseBody"/>
      </w:pPr>
      <w:r>
        <w:t xml:space="preserve">The Rules Enabling Act, 28 U. S. C. § 2072 (1958 ed.), provides, in pertinent part:</w:t>
      </w:r>
    </w:p>
    <w:p>
      <w:pPr>
        <w:pStyle w:val="BlockText"/>
      </w:pPr>
      <w:r>
        <w:t xml:space="preserve">"The Supreme Court shall have the power to prescribe, by general rules, the forms of process, writs, pleadings, and motions, and the practice and procedure of the district courts of the United States in civil actions.</w:t>
      </w:r>
    </w:p>
    <w:p>
      <w:pPr>
        <w:pStyle w:val="BlockText"/>
      </w:pPr>
      <w:r>
        <w:t xml:space="preserve">"Such rules shall not abridge, enlarge or modify any substantive right and shall preserve the right of trial by jury . . . ."</w:t>
      </w:r>
    </w:p>
    <w:p>
      <w:pPr>
        <w:pStyle w:val="CaseBody"/>
      </w:pPr>
      <w:r>
        <w:t xml:space="preserve">Under the cases construing the scope of the Enabling Act, Rule 4</w:t>
      </w:r>
      <w:r>
        <w:t xml:space="preserve"> </w:t>
      </w:r>
      <w:r>
        <w:rPr>
          <w:rStyle w:val="ReplacementText"/>
        </w:rPr>
        <w:t xml:space="preserve">(e)(2)(B)</w:t>
      </w:r>
      <w:r>
        <w:t xml:space="preserve"> </w:t>
      </w:r>
      <w:r>
        <w:t xml:space="preserve">clearly passes muster. Prescribing the manner in which a defendant is to be notified that a suit has been instituted against him, it relates to the "practice and procedure of the district courts."</w:t>
      </w:r>
      <w:r>
        <w:t xml:space="preserve"> </w:t>
      </w:r>
      <w:r>
        <w:rPr>
          <w:rStyle w:val="Elision"/>
        </w:rPr>
        <w:t xml:space="preserve">[ … ]</w:t>
      </w:r>
    </w:p>
    <w:p>
      <w:pPr>
        <w:pStyle w:val="BlockText"/>
      </w:pPr>
      <w:r>
        <w:t xml:space="preserve">"The test must be whether a rule really regulates procedure, —the judicial process for enforcing rights and duties recognized by substantive law and for justly administering remedy and redress for disregard or infraction of them."</w:t>
      </w:r>
      <w:r>
        <w:t xml:space="preserve"> </w:t>
      </w:r>
      <w:r>
        <w:rPr>
          <w:iCs/>
          <w:i/>
        </w:rPr>
        <w:t xml:space="preserve">Sibbach</w:t>
      </w:r>
      <w:r>
        <w:t xml:space="preserve"> </w:t>
      </w:r>
      <w:r>
        <w:t xml:space="preserve">v.</w:t>
      </w:r>
      <w:r>
        <w:t xml:space="preserve"> </w:t>
      </w:r>
      <w:r>
        <w:rPr>
          <w:iCs/>
          <w:i/>
        </w:rPr>
        <w:t xml:space="preserve">Wilson &amp; Co.,</w:t>
      </w:r>
      <w:r>
        <w:t xml:space="preserve"> </w:t>
      </w:r>
      <w:r>
        <w:rPr>
          <w:rStyle w:val="Elision"/>
        </w:rPr>
        <w:t xml:space="preserve">[ … ]</w:t>
      </w:r>
    </w:p>
    <w:p>
      <w:pPr>
        <w:pStyle w:val="CaseBody"/>
      </w:pPr>
      <w:r>
        <w:t xml:space="preserve">In</w:t>
      </w:r>
      <w:r>
        <w:t xml:space="preserve"> </w:t>
      </w:r>
      <w:r>
        <w:rPr>
          <w:iCs/>
          <w:i/>
        </w:rPr>
        <w:t xml:space="preserve">Mississippi Pub. Corp.</w:t>
      </w:r>
      <w:r>
        <w:t xml:space="preserve"> </w:t>
      </w:r>
      <w:r>
        <w:t xml:space="preserve">v.</w:t>
      </w:r>
      <w:r>
        <w:t xml:space="preserve"> </w:t>
      </w:r>
      <w:r>
        <w:rPr>
          <w:iCs/>
          <w:i/>
        </w:rPr>
        <w:t xml:space="preserve">Murphree</w:t>
      </w:r>
      <w:r>
        <w:rPr>
          <w:rStyle w:val="Elision"/>
        </w:rPr>
        <w:t xml:space="preserve">[ … ]</w:t>
      </w:r>
      <w:r>
        <w:t xml:space="preserve"> </w:t>
      </w:r>
      <w:r>
        <w:t xml:space="preserve">this Court upheld Rule 4 (f), which permits service of a summons anywhere within the State (and not merely the district) in which a district court sits:</w:t>
      </w:r>
    </w:p>
    <w:p>
      <w:pPr>
        <w:pStyle w:val="BlockText"/>
      </w:pPr>
      <w:r>
        <w:t xml:space="preserve">"We think that Rule 4 (f) is in harmony with the Enabling Act . . . . Undoubtedly most alterations</w:t>
      </w:r>
      <w:r>
        <w:t xml:space="preserve"> </w:t>
      </w:r>
      <w:r>
        <w:rPr>
          <w:rStyle w:val="Elision"/>
        </w:rPr>
        <w:t xml:space="preserve">[ … ]</w:t>
      </w:r>
      <w:r>
        <w:t xml:space="preserve"> </w:t>
      </w:r>
      <w:r>
        <w:t xml:space="preserve">of the rules of practice and procedure may and often do affect the rights of litigants. Congress' prohibition of any alteration of substantive rights of litigants was obviously not addressed to such incidental effects as necessarily attend the adoption of the prescribed new rules of procedure upon the rights of litigants who, agreeably to rules of practice and procedure, have been brought before a court authorized to determine their rights.</w:t>
      </w:r>
      <w:r>
        <w:t xml:space="preserve"> </w:t>
      </w:r>
      <w:r>
        <w:rPr>
          <w:iCs/>
          <w:i/>
        </w:rPr>
        <w:t xml:space="preserve">Sibbach</w:t>
      </w:r>
      <w:r>
        <w:t xml:space="preserve"> </w:t>
      </w:r>
      <w:r>
        <w:t xml:space="preserve">v.</w:t>
      </w:r>
      <w:r>
        <w:t xml:space="preserve"> </w:t>
      </w:r>
      <w:r>
        <w:rPr>
          <w:iCs/>
          <w:i/>
        </w:rPr>
        <w:t xml:space="preserve">Wilson &amp; Co.,</w:t>
      </w:r>
      <w:r>
        <w:t xml:space="preserve"> </w:t>
      </w:r>
      <w:r>
        <w:rPr>
          <w:rStyle w:val="Elision"/>
        </w:rPr>
        <w:t xml:space="preserve">[ … ]</w:t>
      </w:r>
      <w:r>
        <w:t xml:space="preserve"> </w:t>
      </w:r>
      <w:r>
        <w:t xml:space="preserve">The fact that the application of Rule 4 (f) will operate to subject petitioner's rights to adjudication by the district court for northern Mississippi will undoubtedly affect those rights. But it does not operate to abridge, enlarge or modify the rules of decision by which that court will adjudicate its rights."</w:t>
      </w:r>
      <w:r>
        <w:t xml:space="preserve"> </w:t>
      </w:r>
      <w:r>
        <w:rPr>
          <w:iCs/>
          <w:i/>
        </w:rPr>
        <w:t xml:space="preserve">Id.,</w:t>
      </w:r>
      <w:r>
        <w:t xml:space="preserve"> </w:t>
      </w:r>
      <w:r>
        <w:t xml:space="preserve">at 445-446.</w:t>
      </w:r>
    </w:p>
    <w:p>
      <w:pPr>
        <w:pStyle w:val="CaseBody"/>
      </w:pPr>
      <w:r>
        <w:t xml:space="preserve">Thus were there no conflicting state procedure, Rule 4</w:t>
      </w:r>
      <w:r>
        <w:t xml:space="preserve"> </w:t>
      </w:r>
      <w:r>
        <w:rPr>
          <w:rStyle w:val="Elision"/>
        </w:rPr>
        <w:t xml:space="preserve">[ … ]</w:t>
      </w:r>
      <w:r>
        <w:t xml:space="preserve"> </w:t>
      </w:r>
      <w:r>
        <w:t xml:space="preserve">would clearly control.</w:t>
      </w:r>
      <w:r>
        <w:t xml:space="preserve"> </w:t>
      </w:r>
      <w:r>
        <w:rPr>
          <w:rStyle w:val="Elision"/>
        </w:rPr>
        <w:t xml:space="preserve">[ … ]</w:t>
      </w:r>
      <w:r>
        <w:t xml:space="preserve"> </w:t>
      </w:r>
      <w:r>
        <w:t xml:space="preserve">However, respondent, focusing on the contrary Massachusetts rule, calls to the Court's attention another line of cases, a line which—like the Federal Rules—had its birth in 1938.</w:t>
      </w:r>
      <w:r>
        <w:t xml:space="preserve"> </w:t>
      </w:r>
      <w:r>
        <w:rPr>
          <w:rStyle w:val="Elision"/>
        </w:rPr>
        <w:t xml:space="preserve">[ … ]</w:t>
      </w:r>
      <w:r>
        <w:t xml:space="preserve">The broad command of</w:t>
      </w:r>
      <w:r>
        <w:t xml:space="preserve"> </w:t>
      </w:r>
      <w:r>
        <w:rPr>
          <w:iCs/>
          <w:i/>
        </w:rPr>
        <w:t xml:space="preserve">Erie</w:t>
      </w:r>
      <w:r>
        <w:t xml:space="preserve"> </w:t>
      </w:r>
      <w:r>
        <w:t xml:space="preserve">was therefore identical to that of the Enabling Act: federal courts are to apply state substantive law and federal procedural law. However, as subsequent cases sharpened the distinction between substance and procedure, the line of cases following</w:t>
      </w:r>
      <w:r>
        <w:t xml:space="preserve"> </w:t>
      </w:r>
      <w:r>
        <w:rPr>
          <w:iCs/>
          <w:i/>
        </w:rPr>
        <w:t xml:space="preserve">Erie</w:t>
      </w:r>
      <w:r>
        <w:t xml:space="preserve"> </w:t>
      </w:r>
      <w:r>
        <w:t xml:space="preserve">diverged markedly from the line construing the Enabling Act.</w:t>
      </w:r>
      <w:r>
        <w:t xml:space="preserve"> </w:t>
      </w:r>
      <w:r>
        <w:rPr>
          <w:iCs/>
          <w:i/>
        </w:rPr>
        <w:t xml:space="preserve">Guaranty Trust Co.</w:t>
      </w:r>
      <w:r>
        <w:t xml:space="preserve"> </w:t>
      </w:r>
      <w:r>
        <w:t xml:space="preserve">v.</w:t>
      </w:r>
      <w:r>
        <w:t xml:space="preserve"> </w:t>
      </w:r>
      <w:r>
        <w:rPr>
          <w:iCs/>
          <w:i/>
        </w:rPr>
        <w:t xml:space="preserve">York,</w:t>
      </w:r>
      <w:r>
        <w:t xml:space="preserve"> </w:t>
      </w:r>
      <w:r>
        <w:rPr>
          <w:rStyle w:val="Elision"/>
        </w:rPr>
        <w:t xml:space="preserve">[ … ]</w:t>
      </w:r>
      <w:r>
        <w:t xml:space="preserve">made it clear that</w:t>
      </w:r>
      <w:r>
        <w:t xml:space="preserve"> </w:t>
      </w:r>
      <w:r>
        <w:rPr>
          <w:iCs/>
          <w:i/>
        </w:rPr>
        <w:t xml:space="preserve">Erie</w:t>
      </w:r>
      <w:r>
        <w:t xml:space="preserve">-type problems were not to be solved by</w:t>
      </w:r>
      <w:r>
        <w:t xml:space="preserve"> </w:t>
      </w:r>
      <w:r>
        <w:rPr>
          <w:rStyle w:val="Elision"/>
        </w:rPr>
        <w:t xml:space="preserve">[ … ]</w:t>
      </w:r>
      <w:r>
        <w:t xml:space="preserve">reference to any traditional or common-sense substance-procedure distinction:</w:t>
      </w:r>
    </w:p>
    <w:p>
      <w:pPr>
        <w:pStyle w:val="BlockText"/>
      </w:pPr>
      <w:r>
        <w:rPr>
          <w:rStyle w:val="Elision"/>
        </w:rPr>
        <w:t xml:space="preserve">[ … ]</w:t>
      </w:r>
    </w:p>
    <w:p>
      <w:pPr>
        <w:pStyle w:val="CaseBody"/>
      </w:pPr>
      <w:r>
        <w:t xml:space="preserve">Respondent, by placing primary reliance on</w:t>
      </w:r>
      <w:r>
        <w:t xml:space="preserve"> </w:t>
      </w:r>
      <w:r>
        <w:rPr>
          <w:iCs/>
          <w:i/>
        </w:rPr>
        <w:t xml:space="preserve">York</w:t>
      </w:r>
      <w:r>
        <w:t xml:space="preserve"> </w:t>
      </w:r>
      <w:r>
        <w:t xml:space="preserve">and</w:t>
      </w:r>
      <w:r>
        <w:t xml:space="preserve"> </w:t>
      </w:r>
      <w:r>
        <w:rPr>
          <w:iCs/>
          <w:i/>
        </w:rPr>
        <w:t xml:space="preserve">Ragan,</w:t>
      </w:r>
      <w:r>
        <w:t xml:space="preserve"> </w:t>
      </w:r>
      <w:r>
        <w:t xml:space="preserve">suggests that the</w:t>
      </w:r>
      <w:r>
        <w:t xml:space="preserve"> </w:t>
      </w:r>
      <w:r>
        <w:rPr>
          <w:iCs/>
          <w:i/>
        </w:rPr>
        <w:t xml:space="preserve">Erie</w:t>
      </w:r>
      <w:r>
        <w:t xml:space="preserve"> </w:t>
      </w:r>
      <w:r>
        <w:t xml:space="preserve">doctrine acts as a check on the Federal Rules of Civil Procedure, that despite the clear command of Rule 4</w:t>
      </w:r>
      <w:r>
        <w:t xml:space="preserve"> </w:t>
      </w:r>
      <w:r>
        <w:rPr>
          <w:rStyle w:val="Elision"/>
        </w:rPr>
        <w:t xml:space="preserve">[ … ]</w:t>
      </w:r>
      <w:r>
        <w:t xml:space="preserve">,</w:t>
      </w:r>
      <w:r>
        <w:t xml:space="preserve"> </w:t>
      </w:r>
      <w:r>
        <w:rPr>
          <w:iCs/>
          <w:i/>
        </w:rPr>
        <w:t xml:space="preserve">Erie</w:t>
      </w:r>
      <w:r>
        <w:t xml:space="preserve"> </w:t>
      </w:r>
      <w:r>
        <w:t xml:space="preserve">and its progeny demand the application of the Massachusetts rule. Reduced to essentials, the argument is: (1)</w:t>
      </w:r>
      <w:r>
        <w:t xml:space="preserve"> </w:t>
      </w:r>
      <w:r>
        <w:rPr>
          <w:iCs/>
          <w:i/>
        </w:rPr>
        <w:t xml:space="preserve">Erie,</w:t>
      </w:r>
      <w:r>
        <w:t xml:space="preserve"> </w:t>
      </w:r>
      <w:r>
        <w:t xml:space="preserve">as refined in</w:t>
      </w:r>
      <w:r>
        <w:t xml:space="preserve"> </w:t>
      </w:r>
      <w:r>
        <w:rPr>
          <w:iCs/>
          <w:i/>
        </w:rPr>
        <w:t xml:space="preserve">York,</w:t>
      </w:r>
      <w:r>
        <w:t xml:space="preserve"> </w:t>
      </w:r>
      <w:r>
        <w:t xml:space="preserve">demands that federal courts apply state law whenever application of federal law in its stead will alter the outcome of the case. (2) In this case, a determination that the Massachusetts service requirements obtain will result in immediate victory for respondent. If, on the other hand, it should be held that Rule 4</w:t>
      </w:r>
      <w:r>
        <w:t xml:space="preserve"> </w:t>
      </w:r>
      <w:r>
        <w:rPr>
          <w:rStyle w:val="Elision"/>
        </w:rPr>
        <w:t xml:space="preserve">[ … ]</w:t>
      </w:r>
      <w:r>
        <w:t xml:space="preserve"> </w:t>
      </w:r>
      <w:r>
        <w:t xml:space="preserve">is applicable, the litigation will continue, with possible victory for petitioner. (3) Therefore,</w:t>
      </w:r>
      <w:r>
        <w:t xml:space="preserve"> </w:t>
      </w:r>
      <w:r>
        <w:rPr>
          <w:iCs/>
          <w:i/>
        </w:rPr>
        <w:t xml:space="preserve">Erie</w:t>
      </w:r>
      <w:r>
        <w:t xml:space="preserve"> </w:t>
      </w:r>
      <w:r>
        <w:t xml:space="preserve">demands application of the Massachusetts rule. The syllogism possesses an appealing simplicity, but is for several reasons invalid.</w:t>
      </w:r>
    </w:p>
    <w:p>
      <w:pPr>
        <w:pStyle w:val="CaseBody"/>
      </w:pPr>
      <w:r>
        <w:t xml:space="preserve">In the first place, it is doubtful that, even if there were no Federal Rule making it clear that in-hand service is not required in diversity actions, the</w:t>
      </w:r>
      <w:r>
        <w:t xml:space="preserve"> </w:t>
      </w:r>
      <w:r>
        <w:rPr>
          <w:iCs/>
          <w:i/>
        </w:rPr>
        <w:t xml:space="preserve">Erie</w:t>
      </w:r>
      <w:r>
        <w:t xml:space="preserve"> </w:t>
      </w:r>
      <w:r>
        <w:t xml:space="preserve">rule would have obligated the District Court to follow the Massachusetts procedure.</w:t>
      </w:r>
      <w:r>
        <w:t xml:space="preserve"> </w:t>
      </w:r>
      <w:r>
        <w:t xml:space="preserve">"Outcome-determination" analysis was never</w:t>
      </w:r>
      <w:r>
        <w:t xml:space="preserve"> </w:t>
      </w:r>
      <w:r>
        <w:rPr>
          <w:rStyle w:val="Elision"/>
        </w:rPr>
        <w:t xml:space="preserve">[ … ]</w:t>
      </w:r>
      <w:r>
        <w:t xml:space="preserve"> </w:t>
      </w:r>
      <w:r>
        <w:t xml:space="preserve">intended to serve as a talisman</w:t>
      </w:r>
      <w:r>
        <w:rPr>
          <w:rStyle w:val="FootnoteReference"/>
        </w:rPr>
        <w:footnoteReference w:customMarkFollows="1" w:id="26"/>
        <w:t xml:space="preserve">*</w:t>
      </w:r>
      <w:r>
        <w:t xml:space="preserve">.</w:t>
      </w:r>
      <w:r>
        <w:t xml:space="preserve"> </w:t>
      </w:r>
      <w:r>
        <w:rPr>
          <w:rStyle w:val="Elision"/>
        </w:rPr>
        <w:t xml:space="preserve">[ … ]</w:t>
      </w:r>
      <w:r>
        <w:t xml:space="preserve">.</w:t>
      </w:r>
      <w:hyperlink w:anchor="Xe5d07d840be477d2a53b3abe6b5255cfb39d0ce">
        <w:r>
          <w:rPr>
            <w:rStyle w:val="Elision"/>
            <w:vertAlign w:val="superscript"/>
          </w:rPr>
          <w:t xml:space="preserve">[ … ]</w:t>
        </w:r>
      </w:hyperlink>
    </w:p>
    <w:p>
      <w:pPr>
        <w:pStyle w:val="CaseBody"/>
      </w:pPr>
      <w:r>
        <w:t xml:space="preserve">The</w:t>
      </w:r>
      <w:r>
        <w:t xml:space="preserve"> </w:t>
      </w:r>
      <w:r>
        <w:rPr>
          <w:iCs/>
          <w:i/>
        </w:rPr>
        <w:t xml:space="preserve">Erie</w:t>
      </w:r>
      <w:r>
        <w:t xml:space="preserve"> </w:t>
      </w:r>
      <w:r>
        <w:t xml:space="preserve">rule is rooted in part in a realization that it would be unfair for the character or result of a litigation materially to differ because the suit had been brought in a federal court.</w:t>
      </w:r>
    </w:p>
    <w:p>
      <w:pPr>
        <w:pStyle w:val="BlockText"/>
      </w:pPr>
      <w:r>
        <w:rPr>
          <w:rStyle w:val="Elision"/>
        </w:rPr>
        <w:t xml:space="preserve">[ … ]</w:t>
      </w:r>
    </w:p>
    <w:p>
      <w:pPr>
        <w:pStyle w:val="CaseBody"/>
      </w:pPr>
      <w:r>
        <w:t xml:space="preserve">The decision was also in part a reaction to the practice of "forum-shopping" which had grown up in response to the rule of</w:t>
      </w:r>
      <w:r>
        <w:t xml:space="preserve"> </w:t>
      </w:r>
      <w:r>
        <w:rPr>
          <w:iCs/>
          <w:i/>
        </w:rPr>
        <w:t xml:space="preserve">Swift</w:t>
      </w:r>
      <w:r>
        <w:t xml:space="preserve"> </w:t>
      </w:r>
      <w:r>
        <w:t xml:space="preserve">v.</w:t>
      </w:r>
      <w:r>
        <w:t xml:space="preserve"> </w:t>
      </w:r>
      <w:r>
        <w:rPr>
          <w:iCs/>
          <w:i/>
        </w:rPr>
        <w:t xml:space="preserve">Tyson.</w:t>
      </w:r>
      <w:r>
        <w:t xml:space="preserve"> </w:t>
      </w:r>
      <w:r>
        <w:t xml:space="preserve">304 U. S., at 73-74.</w:t>
      </w:r>
      <w:hyperlink w:anchor="X875b20812c7cf5373d7ba3530b57da7d340bd8e">
        <w:r>
          <w:rPr>
            <w:rStyle w:val="Elision"/>
            <w:vertAlign w:val="superscript"/>
          </w:rPr>
          <w:t xml:space="preserve">[ … ]</w:t>
        </w:r>
      </w:hyperlink>
      <w:r>
        <w:t xml:space="preserve">That the</w:t>
      </w:r>
      <w:r>
        <w:t xml:space="preserve"> </w:t>
      </w:r>
      <w:r>
        <w:rPr>
          <w:iCs/>
          <w:i/>
        </w:rPr>
        <w:t xml:space="preserve">York</w:t>
      </w:r>
      <w:r>
        <w:t xml:space="preserve"> </w:t>
      </w:r>
      <w:r>
        <w:t xml:space="preserve">test was an attempt to effectuate these policies is demonstrated by the fact that the opinion framed the inquiry in terms of "substantial" variations between state</w:t>
      </w:r>
      <w:r>
        <w:t xml:space="preserve"> </w:t>
      </w:r>
      <w:r>
        <w:rPr>
          <w:rStyle w:val="Elision"/>
        </w:rPr>
        <w:t xml:space="preserve">[ … ]</w:t>
      </w:r>
      <w:r>
        <w:t xml:space="preserve"> </w:t>
      </w:r>
      <w:r>
        <w:t xml:space="preserve">and federal litigation.</w:t>
      </w:r>
      <w:r>
        <w:t xml:space="preserve"> </w:t>
      </w:r>
      <w:r>
        <w:rPr>
          <w:rStyle w:val="Elision"/>
        </w:rPr>
        <w:t xml:space="preserve">[ … ]</w:t>
      </w:r>
      <w:r>
        <w:t xml:space="preserve"> </w:t>
      </w:r>
      <w:r>
        <w:t xml:space="preserve">Not only are nonsubstantial, or trivial, variations not likely to raise the sort of equal protection problems which troubled the Court in</w:t>
      </w:r>
      <w:r>
        <w:t xml:space="preserve"> </w:t>
      </w:r>
      <w:r>
        <w:rPr>
          <w:iCs/>
          <w:i/>
        </w:rPr>
        <w:t xml:space="preserve">Erie;</w:t>
      </w:r>
      <w:r>
        <w:t xml:space="preserve"> </w:t>
      </w:r>
      <w:r>
        <w:t xml:space="preserve">they are also unlikely to influence the choice of a forum. The "outcome-determination" test therefore cannot be read without reference to the twin aims of the</w:t>
      </w:r>
      <w:r>
        <w:t xml:space="preserve"> </w:t>
      </w:r>
      <w:r>
        <w:rPr>
          <w:iCs/>
          <w:i/>
        </w:rPr>
        <w:t xml:space="preserve">Erie</w:t>
      </w:r>
      <w:r>
        <w:t xml:space="preserve"> </w:t>
      </w:r>
      <w:r>
        <w:t xml:space="preserve">rule: discouragement of forum-shopping and avoidance of inequitable administration of the laws.</w:t>
      </w:r>
      <w:hyperlink w:anchor="X020f9a91735ee9697b4fb4206573926dfd51ec3">
        <w:r>
          <w:rPr>
            <w:rStyle w:val="Elision"/>
            <w:vertAlign w:val="superscript"/>
          </w:rPr>
          <w:t xml:space="preserve">[ … ]</w:t>
        </w:r>
      </w:hyperlink>
    </w:p>
    <w:p>
      <w:pPr>
        <w:pStyle w:val="CaseBody"/>
      </w:pPr>
      <w:r>
        <w:t xml:space="preserve">The difference between the conclusion that the Massachusetts rule is applicable, and the conclusion that it is not, is of course at this point "outcome-determinative" in the sense that if we hold the state rule to apply, respondent prevails, whereas if we hold that Rule 4</w:t>
      </w:r>
      <w:r>
        <w:t xml:space="preserve"> </w:t>
      </w:r>
      <w:r>
        <w:rPr>
          <w:rStyle w:val="Elision"/>
        </w:rPr>
        <w:t xml:space="preserve">[ … ]</w:t>
      </w:r>
      <w:r>
        <w:t xml:space="preserve"> </w:t>
      </w:r>
      <w:r>
        <w:t xml:space="preserve">governs, the litigation will continue. But in this sense</w:t>
      </w:r>
      <w:r>
        <w:t xml:space="preserve"> </w:t>
      </w:r>
      <w:r>
        <w:rPr>
          <w:iCs/>
          <w:i/>
        </w:rPr>
        <w:t xml:space="preserve">every</w:t>
      </w:r>
      <w:r>
        <w:t xml:space="preserve"> </w:t>
      </w:r>
      <w:r>
        <w:t xml:space="preserve">procedural variation is "outcome-determinative."</w:t>
      </w:r>
      <w:r>
        <w:t xml:space="preserve"> </w:t>
      </w:r>
      <w:r>
        <w:rPr>
          <w:rStyle w:val="Elision"/>
        </w:rPr>
        <w:t xml:space="preserve">[ … ]</w:t>
      </w:r>
      <w:r>
        <w:t xml:space="preserve"> </w:t>
      </w:r>
      <w:r>
        <w:t xml:space="preserve">Though choice of the federal or state rule will at this point have a marked effect upon the outcome of the litigation, the difference between the two rules would be of scant, if any, relevance to the choice of a forum. Petitioner, in choosing her forum, was not presented with a situation where application of the state rule would wholly bar recovery;</w:t>
      </w:r>
      <w:hyperlink w:anchor="Xb5dd381084ddada94f9c93d654691c831046ac8">
        <w:r>
          <w:rPr>
            <w:rStyle w:val="Elision"/>
            <w:vertAlign w:val="superscript"/>
          </w:rPr>
          <w:t xml:space="preserve">[ … ]</w:t>
        </w:r>
      </w:hyperlink>
      <w:r>
        <w:t xml:space="preserve"> </w:t>
      </w:r>
      <w:r>
        <w:t xml:space="preserve">rather, adherence to the state rule would have resulted only in altering the way in which process was served.</w:t>
      </w:r>
      <w:hyperlink w:anchor="X563bf3fe5ede3abdc7514df065159d40e9d1745">
        <w:r>
          <w:rPr>
            <w:rStyle w:val="Elision"/>
            <w:vertAlign w:val="superscript"/>
          </w:rPr>
          <w:t xml:space="preserve">[ … ]</w:t>
        </w:r>
      </w:hyperlink>
      <w:r>
        <w:t xml:space="preserve">Moreover, it is difficult to argue that permitting service of defendant's wife to take the place of in-hand service of defendant himself alters the mode of enforcement of state-created rights in a fashion sufficiently "substantial" to raise the sort of equal protection problems to which the</w:t>
      </w:r>
      <w:r>
        <w:t xml:space="preserve"> </w:t>
      </w:r>
      <w:r>
        <w:rPr>
          <w:iCs/>
          <w:i/>
        </w:rPr>
        <w:t xml:space="preserve">Erie</w:t>
      </w:r>
      <w:r>
        <w:t xml:space="preserve"> </w:t>
      </w:r>
      <w:r>
        <w:t xml:space="preserve">opinion alluded.</w:t>
      </w:r>
    </w:p>
    <w:p>
      <w:pPr>
        <w:pStyle w:val="CaseBody"/>
      </w:pPr>
      <w:r>
        <w:t xml:space="preserve">There is, however, a more fundamental flaw in respondent's syllogism: the incorrect assumption that the rule of</w:t>
      </w:r>
      <w:r>
        <w:t xml:space="preserve"> </w:t>
      </w:r>
      <w:r>
        <w:rPr>
          <w:iCs/>
          <w:i/>
        </w:rPr>
        <w:t xml:space="preserve">Erie R. Co.</w:t>
      </w:r>
      <w:r>
        <w:t xml:space="preserve"> </w:t>
      </w:r>
      <w:r>
        <w:t xml:space="preserve">v.</w:t>
      </w:r>
      <w:r>
        <w:t xml:space="preserve"> </w:t>
      </w:r>
      <w:r>
        <w:rPr>
          <w:iCs/>
          <w:i/>
        </w:rPr>
        <w:t xml:space="preserve">Tompkins</w:t>
      </w:r>
      <w:r>
        <w:t xml:space="preserve"> </w:t>
      </w:r>
      <w:r>
        <w:t xml:space="preserve">constitutes the appropriate test</w:t>
      </w:r>
      <w:r>
        <w:t xml:space="preserve"> </w:t>
      </w:r>
      <w:r>
        <w:rPr>
          <w:rStyle w:val="Elision"/>
        </w:rPr>
        <w:t xml:space="preserve">[ … ]</w:t>
      </w:r>
      <w:r>
        <w:t xml:space="preserve"> </w:t>
      </w:r>
      <w:r>
        <w:t xml:space="preserve">of the validity and therefore the applicability of a Federal Rule of Civil Procedure. The</w:t>
      </w:r>
      <w:r>
        <w:t xml:space="preserve"> </w:t>
      </w:r>
      <w:r>
        <w:rPr>
          <w:iCs/>
          <w:i/>
        </w:rPr>
        <w:t xml:space="preserve">Erie</w:t>
      </w:r>
      <w:r>
        <w:t xml:space="preserve"> </w:t>
      </w:r>
      <w:r>
        <w:t xml:space="preserve">rule has never been invoked to void a Federal Rule. It is true that there have been cases where this Court has held applicable a state rule in the face of an argument that the situation was governed by one of the Federal Rules. But the holding of each such case was not that</w:t>
      </w:r>
      <w:r>
        <w:t xml:space="preserve"> </w:t>
      </w:r>
      <w:r>
        <w:rPr>
          <w:iCs/>
          <w:i/>
        </w:rPr>
        <w:t xml:space="preserve">Erie</w:t>
      </w:r>
      <w:r>
        <w:t xml:space="preserve"> </w:t>
      </w:r>
      <w:r>
        <w:t xml:space="preserve">commanded displacement of a Federal Rule by an inconsistent state rule, but rather that the scope of the Federal Rule was not as broad as the losing party urged, and therefore, there being no Federal Rule which covered the point in dispute,</w:t>
      </w:r>
      <w:r>
        <w:t xml:space="preserve"> </w:t>
      </w:r>
      <w:r>
        <w:rPr>
          <w:iCs/>
          <w:i/>
        </w:rPr>
        <w:t xml:space="preserve">Erie</w:t>
      </w:r>
      <w:r>
        <w:t xml:space="preserve"> </w:t>
      </w:r>
      <w:r>
        <w:t xml:space="preserve">commanded the enforcement of state law.</w:t>
      </w:r>
    </w:p>
    <w:p>
      <w:pPr>
        <w:pStyle w:val="BlockText"/>
      </w:pPr>
      <w:r>
        <w:rPr>
          <w:rStyle w:val="Elision"/>
        </w:rPr>
        <w:t xml:space="preserve">[ … ]</w:t>
      </w:r>
    </w:p>
    <w:p>
      <w:pPr>
        <w:pStyle w:val="CaseBody"/>
      </w:pPr>
      <w:r>
        <w:t xml:space="preserve">(Here, of course, the clash is unavoidable; Rule 4</w:t>
      </w:r>
      <w:r>
        <w:t xml:space="preserve"> </w:t>
      </w:r>
      <w:r>
        <w:rPr>
          <w:rStyle w:val="Elision"/>
        </w:rPr>
        <w:t xml:space="preserve">[ … ]</w:t>
      </w:r>
      <w:r>
        <w:t xml:space="preserve"> </w:t>
      </w:r>
      <w:r>
        <w:t xml:space="preserve">says—implicitly, but with unmistakable clarity—that in-hand service is not required in federal courts.) At the same time, in cases adjudicating the validity of Federal Rules, we have not applied the</w:t>
      </w:r>
      <w:r>
        <w:t xml:space="preserve"> </w:t>
      </w:r>
      <w:r>
        <w:rPr>
          <w:iCs/>
          <w:i/>
        </w:rPr>
        <w:t xml:space="preserve">York</w:t>
      </w:r>
      <w:r>
        <w:t xml:space="preserve"> </w:t>
      </w:r>
      <w:r>
        <w:t xml:space="preserve">rule or other refinements of</w:t>
      </w:r>
      <w:r>
        <w:t xml:space="preserve"> </w:t>
      </w:r>
      <w:r>
        <w:rPr>
          <w:iCs/>
          <w:i/>
        </w:rPr>
        <w:t xml:space="preserve">Erie,</w:t>
      </w:r>
      <w:r>
        <w:t xml:space="preserve"> </w:t>
      </w:r>
      <w:r>
        <w:t xml:space="preserve">but have to this day continued to decide questions concerning the scope of the Enabling Act and the constitutionality of specific Federal Rules in light of</w:t>
      </w:r>
      <w:r>
        <w:t xml:space="preserve"> </w:t>
      </w:r>
      <w:r>
        <w:rPr>
          <w:rStyle w:val="Elision"/>
        </w:rPr>
        <w:t xml:space="preserve">[ … ]</w:t>
      </w:r>
      <w:r>
        <w:t xml:space="preserve"> </w:t>
      </w:r>
      <w:r>
        <w:t xml:space="preserve">the distinction set forth in</w:t>
      </w:r>
      <w:r>
        <w:t xml:space="preserve"> </w:t>
      </w:r>
      <w:r>
        <w:rPr>
          <w:iCs/>
          <w:i/>
        </w:rPr>
        <w:t xml:space="preserve">Sibbach.</w:t>
      </w:r>
      <w:r>
        <w:t xml:space="preserve"> </w:t>
      </w:r>
      <w:r>
        <w:rPr>
          <w:rStyle w:val="Elision"/>
        </w:rPr>
        <w:t xml:space="preserve">[ … ]</w:t>
      </w:r>
    </w:p>
    <w:p>
      <w:pPr>
        <w:pStyle w:val="CaseBody"/>
      </w:pPr>
      <w:r>
        <w:t xml:space="preserve">Nor has the development of two separate lines of cases been inadvertent. The line between "substance" and "procedure" shifts as the legal context changes. "Each implies different variables depending upon the particular problem for which it is used."</w:t>
      </w:r>
      <w:r>
        <w:t xml:space="preserve"> </w:t>
      </w:r>
      <w:r>
        <w:rPr>
          <w:rStyle w:val="Elision"/>
        </w:rPr>
        <w:t xml:space="preserve">[ … ]</w:t>
      </w:r>
      <w:r>
        <w:t xml:space="preserve">It is true that both the Enabling Act and the</w:t>
      </w:r>
      <w:r>
        <w:t xml:space="preserve"> </w:t>
      </w:r>
      <w:r>
        <w:rPr>
          <w:iCs/>
          <w:i/>
        </w:rPr>
        <w:t xml:space="preserve">Erie</w:t>
      </w:r>
      <w:r>
        <w:t xml:space="preserve"> </w:t>
      </w:r>
      <w:r>
        <w:t xml:space="preserve">rule say, roughly, that federal courts are to apply state "substantive" law and federal "procedural" law, but from that it need not follow that the tests are identical. For they were designed to control very different sorts of decisions. When a situation is covered by one of the Federal Rules, the question facing the court is a far cry from the typical, relatively unguided</w:t>
      </w:r>
      <w:r>
        <w:t xml:space="preserve"> </w:t>
      </w:r>
      <w:r>
        <w:rPr>
          <w:iCs/>
          <w:i/>
        </w:rPr>
        <w:t xml:space="preserve">Erie</w:t>
      </w:r>
      <w:r>
        <w:t xml:space="preserve"> </w:t>
      </w:r>
      <w:r>
        <w:t xml:space="preserve">choice: the court has been instructed to apply the Federal Rule, and can refuse to do so only if the Advisory Committee, this Court, and Congress erred in their prima facie judgment that the Rule in question transgresses neither the terms of the Enabling Act nor constitutional restrictions.</w:t>
      </w:r>
      <w:hyperlink w:anchor="X80f194c221fb661a36f95abfc9045d3314a064e">
        <w:r>
          <w:rPr>
            <w:rStyle w:val="Elision"/>
            <w:vertAlign w:val="superscript"/>
          </w:rPr>
          <w:t xml:space="preserve">[ … ]</w:t>
        </w:r>
      </w:hyperlink>
    </w:p>
    <w:p>
      <w:pPr>
        <w:pStyle w:val="CaseBody"/>
      </w:pPr>
      <w:r>
        <w:t xml:space="preserve">We are reminded by the</w:t>
      </w:r>
      <w:r>
        <w:t xml:space="preserve"> </w:t>
      </w:r>
      <w:r>
        <w:rPr>
          <w:iCs/>
          <w:i/>
        </w:rPr>
        <w:t xml:space="preserve">Erie</w:t>
      </w:r>
      <w:r>
        <w:t xml:space="preserve"> </w:t>
      </w:r>
      <w:r>
        <w:t xml:space="preserve">opinion</w:t>
      </w:r>
      <w:hyperlink w:anchor="X2047ac5bc39795c55a809adff764dfb6a546fff">
        <w:r>
          <w:rPr>
            <w:rStyle w:val="Elision"/>
            <w:vertAlign w:val="superscript"/>
          </w:rPr>
          <w:t xml:space="preserve">[ … ]</w:t>
        </w:r>
      </w:hyperlink>
      <w:r>
        <w:t xml:space="preserve"> </w:t>
      </w:r>
      <w:r>
        <w:t xml:space="preserve">that neither Congress nor the federal courts can, under the guise of formulating rules of decision for federal courts, fashion rules which are not supported by a grant of federal authority contained in Article I or some other section of the Constitution; in such areas state law must govern [472] because there can be no other law. But the opinion in</w:t>
      </w:r>
      <w:r>
        <w:t xml:space="preserve"> </w:t>
      </w:r>
      <w:r>
        <w:rPr>
          <w:iCs/>
          <w:i/>
        </w:rPr>
        <w:t xml:space="preserve">Erie,</w:t>
      </w:r>
      <w:r>
        <w:t xml:space="preserve"> </w:t>
      </w:r>
      <w:r>
        <w:t xml:space="preserve">which involved no Federal Rule and dealt with a question which was "substantive" in every traditional sense (whether the railroad owed a duty of care to Tompkins as a trespasser or a licensee), surely neither said nor implied that measures like Rule 4</w:t>
      </w:r>
      <w:r>
        <w:t xml:space="preserve"> </w:t>
      </w:r>
      <w:r>
        <w:rPr>
          <w:rStyle w:val="Elision"/>
        </w:rPr>
        <w:t xml:space="preserve">[ … ]</w:t>
      </w:r>
      <w:r>
        <w:t xml:space="preserve"> </w:t>
      </w:r>
      <w:r>
        <w:t xml:space="preserve">are unconstitutional. For the constitutional provision for a federal court system (augmented by the Necessary and Proper Clause) carries with it congressional power to make rules governing the practice and pleading in those courts, which in turn includes a power to regulate matters which, though falling within the uncertain area between substance and procedure, are rationally capable of classification as either.</w:t>
      </w:r>
      <w:r>
        <w:t xml:space="preserve"> </w:t>
      </w:r>
      <w:r>
        <w:rPr>
          <w:rStyle w:val="Elision"/>
        </w:rPr>
        <w:t xml:space="preserve">[ … ]</w:t>
      </w:r>
      <w:r>
        <w:t xml:space="preserve"> </w:t>
      </w:r>
      <w:r>
        <w:t xml:space="preserve">Neither</w:t>
      </w:r>
      <w:r>
        <w:t xml:space="preserve"> </w:t>
      </w:r>
      <w:r>
        <w:rPr>
          <w:iCs/>
          <w:i/>
        </w:rPr>
        <w:t xml:space="preserve">York</w:t>
      </w:r>
      <w:r>
        <w:t xml:space="preserve"> </w:t>
      </w:r>
      <w:r>
        <w:t xml:space="preserve">nor the cases following it ever suggested that the rule there laid down for coping with situations where no Federal Rule applies is coextensive with the limitation on Congress to which</w:t>
      </w:r>
      <w:r>
        <w:t xml:space="preserve"> </w:t>
      </w:r>
      <w:r>
        <w:rPr>
          <w:iCs/>
          <w:i/>
        </w:rPr>
        <w:t xml:space="preserve">Erie</w:t>
      </w:r>
      <w:r>
        <w:t xml:space="preserve"> </w:t>
      </w:r>
      <w:r>
        <w:t xml:space="preserve">had adverted.</w:t>
      </w:r>
      <w:r>
        <w:t xml:space="preserve"> </w:t>
      </w:r>
      <w:r>
        <w:rPr>
          <w:rStyle w:val="Elision"/>
        </w:rPr>
        <w:t xml:space="preserve">[ … ]</w:t>
      </w:r>
    </w:p>
    <w:p>
      <w:pPr>
        <w:pStyle w:val="CaseBody"/>
      </w:pPr>
      <w:r>
        <w:rPr>
          <w:iCs/>
          <w:i/>
        </w:rPr>
        <w:t xml:space="preserve">Erie</w:t>
      </w:r>
      <w:r>
        <w:t xml:space="preserve"> </w:t>
      </w:r>
      <w:r>
        <w:t xml:space="preserve">and its offspring cast no doubt on the long-recognized power of Congress to prescribe housekeeping rules for federal courts even though some of those rules will inevitably differ from comparable state rules.</w:t>
      </w:r>
      <w:r>
        <w:t xml:space="preserve"> </w:t>
      </w:r>
      <w:r>
        <w:rPr>
          <w:rStyle w:val="Elision"/>
        </w:rPr>
        <w:t xml:space="preserve">[ … ]</w:t>
      </w:r>
      <w:r>
        <w:t xml:space="preserve"> </w:t>
      </w:r>
      <w:r>
        <w:t xml:space="preserve">To hold that a Federal Rule of Civil Procedure must cease to function whenever it alters the mode of enforcing state-created rights would be to disembowel [474] either the Constitution's grant of power over federal procedure or Congress' attempt to exercise that power in the Enabling Act.</w:t>
      </w:r>
      <w:hyperlink w:anchor="Xecd1e44ba91a95abeb13bcee02a1ff7c431b8ce">
        <w:r>
          <w:rPr>
            <w:rStyle w:val="Elision"/>
            <w:vertAlign w:val="superscript"/>
          </w:rPr>
          <w:t xml:space="preserve">[ … ]</w:t>
        </w:r>
      </w:hyperlink>
      <w:r>
        <w:t xml:space="preserve">Rule 4</w:t>
      </w:r>
      <w:r>
        <w:t xml:space="preserve"> </w:t>
      </w:r>
      <w:r>
        <w:rPr>
          <w:rStyle w:val="Elision"/>
        </w:rPr>
        <w:t xml:space="preserve">[ … ]</w:t>
      </w:r>
      <w:r>
        <w:t xml:space="preserve"> </w:t>
      </w:r>
      <w:r>
        <w:t xml:space="preserve">is valid and controls the instant case.</w:t>
      </w:r>
    </w:p>
    <w:p>
      <w:pPr>
        <w:pStyle w:val="CaseBody"/>
      </w:pPr>
      <w:r>
        <w:rPr>
          <w:iCs/>
          <w:i/>
        </w:rPr>
        <w:t xml:space="preserve">Reversed.</w:t>
      </w:r>
    </w:p>
    <w:bookmarkEnd w:id="184"/>
    <w:bookmarkStart w:id="185" w:name="section-10"/>
    <w:p>
      <w:pPr>
        <w:pStyle w:val="Heading2"/>
      </w:pPr>
      <w:r>
        <w:rPr>
          <w:rStyle w:val="Elision"/>
        </w:rPr>
        <w:t xml:space="preserve">[ … ]</w:t>
      </w:r>
    </w:p>
    <w:bookmarkEnd w:id="185"/>
    <w:bookmarkStart w:id="186" w:name="mr.-justice-harlan-concurring."/>
    <w:p>
      <w:pPr>
        <w:pStyle w:val="Heading2"/>
      </w:pPr>
      <w:r>
        <w:t xml:space="preserve">MR. JUSTICE HARLAN, concurring.</w:t>
      </w:r>
      <w:r>
        <w:rPr>
          <w:rStyle w:val="FootnoteReference"/>
        </w:rPr>
        <w:footnoteReference w:customMarkFollows="1" w:id="75"/>
        <w:t xml:space="preserve">**</w:t>
      </w:r>
    </w:p>
    <w:p>
      <w:pPr>
        <w:pStyle w:val="CaseBody"/>
      </w:pPr>
      <w:r>
        <w:t xml:space="preserve">It is unquestionably true that up to now</w:t>
      </w:r>
      <w:r>
        <w:t xml:space="preserve"> </w:t>
      </w:r>
      <w:r>
        <w:rPr>
          <w:iCs/>
          <w:i/>
        </w:rPr>
        <w:t xml:space="preserve">Erie</w:t>
      </w:r>
      <w:r>
        <w:t xml:space="preserve"> </w:t>
      </w:r>
      <w:r>
        <w:t xml:space="preserve">and the cases following it have not succeeded in articulating a workable doctrine governing choice of law in diversity actions. I respect the Court's effort to clarify the situation in today's opinion. However, in doing so I think it has misconceived the constitutional premises of</w:t>
      </w:r>
      <w:r>
        <w:t xml:space="preserve"> </w:t>
      </w:r>
      <w:r>
        <w:rPr>
          <w:iCs/>
          <w:i/>
        </w:rPr>
        <w:t xml:space="preserve">Erie</w:t>
      </w:r>
      <w:r>
        <w:t xml:space="preserve"> </w:t>
      </w:r>
      <w:r>
        <w:t xml:space="preserve">and has failed to deal adequately with those past decisions upon which the courts below relied.</w:t>
      </w:r>
    </w:p>
    <w:p>
      <w:pPr>
        <w:pStyle w:val="CaseBody"/>
      </w:pPr>
      <w:r>
        <w:rPr>
          <w:iCs/>
          <w:i/>
        </w:rPr>
        <w:t xml:space="preserve">Erie</w:t>
      </w:r>
      <w:r>
        <w:t xml:space="preserve"> </w:t>
      </w:r>
      <w:r>
        <w:t xml:space="preserve">was something more than an opinion which worried about "forum-shopping and avoidance of inequitable administration of the laws,"</w:t>
      </w:r>
      <w:r>
        <w:t xml:space="preserve"> </w:t>
      </w:r>
      <w:r>
        <w:rPr>
          <w:iCs/>
          <w:i/>
        </w:rPr>
        <w:t xml:space="preserve">ante,</w:t>
      </w:r>
      <w:r>
        <w:t xml:space="preserve"> </w:t>
      </w:r>
      <w:r>
        <w:rPr>
          <w:rStyle w:val="Elision"/>
        </w:rPr>
        <w:t xml:space="preserve">[ … ]</w:t>
      </w:r>
      <w:r>
        <w:t xml:space="preserve"> </w:t>
      </w:r>
      <w:r>
        <w:t xml:space="preserve">although to be sure these were important elements of the decision. I have always regarded that decision as one of the modern cornerstones of our federalism, expressing policies that profoundly touch the allocation of judicial power between the state and federal systems.</w:t>
      </w:r>
      <w:r>
        <w:t xml:space="preserve"> </w:t>
      </w:r>
      <w:r>
        <w:rPr>
          <w:iCs/>
          <w:i/>
        </w:rPr>
        <w:t xml:space="preserve">Erie</w:t>
      </w:r>
      <w:r>
        <w:t xml:space="preserve"> </w:t>
      </w:r>
      <w:r>
        <w:t xml:space="preserve">recognized that there should not be two conflicting systems of law controlling the primary activity of citizens, for such alternative governing authority must necessarily give rise to a debilitating uncertainty in the planning of everyday affairs.</w:t>
      </w:r>
      <w:hyperlink w:anchor="X9e1727aefe04714b8a7ea2cf7954827db28fe08">
        <w:r>
          <w:rPr>
            <w:rStyle w:val="Elision"/>
            <w:vertAlign w:val="superscript"/>
          </w:rPr>
          <w:t xml:space="preserve">[ … ]</w:t>
        </w:r>
      </w:hyperlink>
      <w:r>
        <w:t xml:space="preserve"> </w:t>
      </w:r>
      <w:r>
        <w:t xml:space="preserve">And it recognized that the scheme of our Constitution envisions an allocation of law-making functions between state and federal legislative processes which is undercut if the federal judiciary can make substantive law affecting</w:t>
      </w:r>
      <w:r>
        <w:rPr>
          <w:rStyle w:val="Elision"/>
        </w:rPr>
        <w:t xml:space="preserve">[ … ]</w:t>
      </w:r>
      <w:r>
        <w:t xml:space="preserve"> </w:t>
      </w:r>
      <w:r>
        <w:t xml:space="preserve">state affairs beyond the bounds of congressional legislative powers in this regard. Thus, in diversity cases</w:t>
      </w:r>
      <w:r>
        <w:t xml:space="preserve"> </w:t>
      </w:r>
      <w:r>
        <w:rPr>
          <w:iCs/>
          <w:i/>
        </w:rPr>
        <w:t xml:space="preserve">Erie</w:t>
      </w:r>
      <w:r>
        <w:t xml:space="preserve"> </w:t>
      </w:r>
      <w:r>
        <w:t xml:space="preserve">commands that it be the state law governing primary private activity which prevails.</w:t>
      </w:r>
    </w:p>
    <w:p>
      <w:pPr>
        <w:pStyle w:val="CaseBody"/>
      </w:pPr>
      <w:r>
        <w:rPr>
          <w:rStyle w:val="Elision"/>
        </w:rPr>
        <w:t xml:space="preserve">[ … ]</w:t>
      </w:r>
      <w:r>
        <w:t xml:space="preserve">. In turning from the "outcome" test of</w:t>
      </w:r>
      <w:r>
        <w:t xml:space="preserve"> </w:t>
      </w:r>
      <w:r>
        <w:rPr>
          <w:iCs/>
          <w:i/>
        </w:rPr>
        <w:t xml:space="preserve">York</w:t>
      </w:r>
      <w:r>
        <w:t xml:space="preserve"> </w:t>
      </w:r>
      <w:r>
        <w:t xml:space="preserve">back to the unadorned forum-shopping rationale of</w:t>
      </w:r>
      <w:r>
        <w:t xml:space="preserve"> </w:t>
      </w:r>
      <w:r>
        <w:rPr>
          <w:iCs/>
          <w:i/>
        </w:rPr>
        <w:t xml:space="preserve">Erie,</w:t>
      </w:r>
      <w:r>
        <w:t xml:space="preserve"> </w:t>
      </w:r>
      <w:r>
        <w:t xml:space="preserve">however, the Court falls prey to like over-simplification, for a simple forum-shopping rule also proves too much; litigants often choose a federal forum merely to obtain what they consider the advantages of the Federal Rules of Civil Procedure or to try their cases before a supposedly more favorable judge. To my mind the proper line of approach in determining whether to apply a state or a federal rule, whether "substantive" or "procedural," is to stay close to basic principles by inquiring if the choice of rule would substantially affect those primary decisions respecting human conduct which our constitutional system leaves to state regulation.</w:t>
      </w:r>
      <w:hyperlink w:anchor="X8faee60b7647958869794eb7c885cb4af9aef6a">
        <w:r>
          <w:rPr>
            <w:rStyle w:val="Elision"/>
            <w:vertAlign w:val="superscript"/>
          </w:rPr>
          <w:t xml:space="preserve">[ … ]</w:t>
        </w:r>
      </w:hyperlink>
      <w:r>
        <w:t xml:space="preserve"> </w:t>
      </w:r>
      <w:r>
        <w:t xml:space="preserve">If so,</w:t>
      </w:r>
      <w:r>
        <w:t xml:space="preserve"> </w:t>
      </w:r>
      <w:r>
        <w:rPr>
          <w:iCs/>
          <w:i/>
        </w:rPr>
        <w:t xml:space="preserve">Erie</w:t>
      </w:r>
      <w:r>
        <w:t xml:space="preserve"> </w:t>
      </w:r>
      <w:r>
        <w:t xml:space="preserve">and the Constitution require that the state rule prevail, even in the face of a conflicting federal rule.</w:t>
      </w:r>
    </w:p>
    <w:p>
      <w:pPr>
        <w:pStyle w:val="CaseBody"/>
      </w:pPr>
      <w:r>
        <w:rPr>
          <w:rStyle w:val="Elision"/>
        </w:rPr>
        <w:t xml:space="preserve">[ … ]</w:t>
      </w:r>
    </w:p>
    <w:p>
      <w:pPr>
        <w:pStyle w:val="CaseBody"/>
      </w:pPr>
      <w:r>
        <w:t xml:space="preserve">So long as a reasonable man could characterize any duly adopted federal rule as "procedural," the Court, unless I misapprehend what is said, would have it apply no matter how seriously it frustrated a State's substantive regulation of the primary conduct and affairs of its citizens. Since the members of the Advisory Committee, the Judicial Conference, and this Court who formulated the Federal Rules are presumably reasonable men, it follows that the integrity of the Federal Rules is absolute. Whereas the unadulterated outcome and forum-shopping tests may err too far toward honoring state rules, I submit that the Court's "arguably procedural,</w:t>
      </w:r>
      <w:r>
        <w:t xml:space="preserve"> </w:t>
      </w:r>
      <w:r>
        <w:rPr>
          <w:iCs/>
          <w:i/>
        </w:rPr>
        <w:t xml:space="preserve">ergo</w:t>
      </w:r>
      <w:r>
        <w:t xml:space="preserve"> </w:t>
      </w:r>
      <w:r>
        <w:t xml:space="preserve">constitutional" test moves too fast and far in the other direction.</w:t>
      </w:r>
    </w:p>
    <w:p>
      <w:pPr>
        <w:pStyle w:val="CaseBody"/>
      </w:pPr>
      <w:r>
        <w:t xml:space="preserve">The courts below relied upon this Court's decisions in</w:t>
      </w:r>
      <w:r>
        <w:t xml:space="preserve"> </w:t>
      </w:r>
      <w:r>
        <w:rPr>
          <w:iCs/>
          <w:i/>
        </w:rPr>
        <w:t xml:space="preserve">Ragan</w:t>
      </w:r>
      <w:r>
        <w:t xml:space="preserve"> </w:t>
      </w:r>
      <w:r>
        <w:t xml:space="preserve">v.</w:t>
      </w:r>
      <w:r>
        <w:t xml:space="preserve"> </w:t>
      </w:r>
      <w:r>
        <w:rPr>
          <w:iCs/>
          <w:i/>
        </w:rPr>
        <w:t xml:space="preserve">Merchants Transfer Co.,</w:t>
      </w:r>
      <w:r>
        <w:rPr>
          <w:rStyle w:val="Elision"/>
        </w:rPr>
        <w:t xml:space="preserve">[ … ]</w:t>
      </w:r>
      <w:r>
        <w:t xml:space="preserve"> </w:t>
      </w:r>
      <w:r>
        <w:t xml:space="preserve">and</w:t>
      </w:r>
      <w:r>
        <w:t xml:space="preserve"> </w:t>
      </w:r>
      <w:r>
        <w:rPr>
          <w:iCs/>
          <w:i/>
        </w:rPr>
        <w:t xml:space="preserve">Cohen</w:t>
      </w:r>
      <w:r>
        <w:t xml:space="preserve"> </w:t>
      </w:r>
      <w:r>
        <w:t xml:space="preserve">v.</w:t>
      </w:r>
      <w:r>
        <w:t xml:space="preserve"> </w:t>
      </w:r>
      <w:r>
        <w:rPr>
          <w:iCs/>
          <w:i/>
        </w:rPr>
        <w:t xml:space="preserve">Beneficial Loan Corp.,</w:t>
      </w:r>
      <w:r>
        <w:rPr>
          <w:rStyle w:val="Elision"/>
        </w:rPr>
        <w:t xml:space="preserve">[ … ]</w:t>
      </w:r>
      <w:r>
        <w:t xml:space="preserve">. Those cases deserve more attention than this Court has given them, particularly</w:t>
      </w:r>
      <w:r>
        <w:t xml:space="preserve"> </w:t>
      </w:r>
      <w:r>
        <w:rPr>
          <w:iCs/>
          <w:i/>
        </w:rPr>
        <w:t xml:space="preserve">Ragan</w:t>
      </w:r>
      <w:r>
        <w:t xml:space="preserve"> </w:t>
      </w:r>
      <w:r>
        <w:t xml:space="preserve">which, if still good law, would in my opinion call for affirmance of the result reached by the Court of Appeals. Further, a discussion of these two cases will serve to illuminate the "diversity" thesis I am advocating.</w:t>
      </w:r>
    </w:p>
    <w:p>
      <w:pPr>
        <w:pStyle w:val="CaseBody"/>
      </w:pPr>
      <w:r>
        <w:t xml:space="preserve">In</w:t>
      </w:r>
      <w:r>
        <w:t xml:space="preserve"> </w:t>
      </w:r>
      <w:r>
        <w:rPr>
          <w:iCs/>
          <w:i/>
        </w:rPr>
        <w:t xml:space="preserve">Ragan</w:t>
      </w:r>
      <w:r>
        <w:t xml:space="preserve"> </w:t>
      </w:r>
      <w:r>
        <w:t xml:space="preserve">a Kansas statute of limitations provided that an action was deemed commenced when service was made on the defendant. Despite Federal Rule 3 which provides that an action commences with the filing of the complaint,</w:t>
      </w:r>
      <w:r>
        <w:t xml:space="preserve"> </w:t>
      </w:r>
      <w:r>
        <w:rPr>
          <w:rStyle w:val="Elision"/>
        </w:rPr>
        <w:t xml:space="preserve">[ … ]</w:t>
      </w:r>
      <w:r>
        <w:t xml:space="preserve"> </w:t>
      </w:r>
      <w:r>
        <w:t xml:space="preserve">the Court held that for purposes of the Kansas statute of limitations a diversity tort action commenced only when service was made upon the defendant. The effect of this holding was that although the plaintiff had filed his federal complaint within the state period of limitations, his action was barred because the federal marshal did not serve a summons on the defendant until after the limitations period had run. I think that the decision was wrong. At most, application of the Federal Rule would have meant that potential Kansas tort defendants would have to defer for a few days the satisfaction of knowing that they had not been sued within the limitations period. The choice of the Federal Rule would have had no effect on the primary stages of private activity from which torts arise, and only the most minimal effect on behavior following the commission of the tort. In such circumstances the interest of the federal system in proceeding under its own rules should have prevailed.</w:t>
      </w:r>
    </w:p>
    <w:p>
      <w:pPr>
        <w:pStyle w:val="CaseBody"/>
      </w:pPr>
      <w:r>
        <w:rPr>
          <w:iCs/>
          <w:i/>
        </w:rPr>
        <w:t xml:space="preserve">Cohen</w:t>
      </w:r>
      <w:r>
        <w:t xml:space="preserve"> </w:t>
      </w:r>
      <w:r>
        <w:t xml:space="preserve">v.</w:t>
      </w:r>
      <w:r>
        <w:t xml:space="preserve"> </w:t>
      </w:r>
      <w:r>
        <w:rPr>
          <w:iCs/>
          <w:i/>
        </w:rPr>
        <w:t xml:space="preserve">Beneficial Loan Corp.</w:t>
      </w:r>
      <w:r>
        <w:t xml:space="preserve"> </w:t>
      </w:r>
      <w:r>
        <w:t xml:space="preserve">held that a federal diversity court must apply a state statute requiring a small stockholder in a stockholder derivative suit to post a bond securing payment of defense costs as a condition to prosecuting an action. Such a statute is not "outcome determinative"; the plaintiff can win with or without it. The Court now rationalizes the case on the ground that the statute might affect the plaintiff's choice of forum</w:t>
      </w:r>
      <w:r>
        <w:rPr>
          <w:rStyle w:val="Elision"/>
        </w:rPr>
        <w:t xml:space="preserve">[ … ]</w:t>
      </w:r>
      <w:r>
        <w:t xml:space="preserve">, but as has been pointed out, a simple forum-shopping test proves too much. The proper view of</w:t>
      </w:r>
      <w:r>
        <w:t xml:space="preserve"> </w:t>
      </w:r>
      <w:r>
        <w:rPr>
          <w:iCs/>
          <w:i/>
        </w:rPr>
        <w:t xml:space="preserve">Cohen</w:t>
      </w:r>
      <w:r>
        <w:t xml:space="preserve"> </w:t>
      </w:r>
      <w:r>
        <w:t xml:space="preserve">is, in my opinion, that the statute was meant to inhibit small stockholders from instituting "strike suits," and thus it was designed and could be expected to have a substantial impact on private primary activity. Anyone who was at the trial bar during the period when</w:t>
      </w:r>
      <w:r>
        <w:t xml:space="preserve"> </w:t>
      </w:r>
      <w:r>
        <w:rPr>
          <w:iCs/>
          <w:i/>
        </w:rPr>
        <w:t xml:space="preserve">Cohen</w:t>
      </w:r>
      <w:r>
        <w:t xml:space="preserve"> </w:t>
      </w:r>
      <w:r>
        <w:t xml:space="preserve">arose can appreciate the strong state policy reflected in the statute. I think it wholly legitimate to view Federal Rule 23 as not purporting to deal</w:t>
      </w:r>
      <w:r>
        <w:rPr>
          <w:rStyle w:val="Elision"/>
        </w:rPr>
        <w:t xml:space="preserve">[ … ]</w:t>
      </w:r>
      <w:r>
        <w:t xml:space="preserve">with the problem. But even had the Federal Rules purported to do so, and in so doing provided a substantially less effective deterrent to strike suits, I think the state rule should still have prevailed. That is where I believe the Court's view differs from mine; for the Court attributes such overriding force to the Federal Rules that it is hard to think of a case where a conflicting state rule would be allowed to operate, even though the state rule reflected policy considerations which, under</w:t>
      </w:r>
      <w:r>
        <w:t xml:space="preserve"> </w:t>
      </w:r>
      <w:r>
        <w:rPr>
          <w:iCs/>
          <w:i/>
        </w:rPr>
        <w:t xml:space="preserve">Erie,</w:t>
      </w:r>
      <w:r>
        <w:t xml:space="preserve"> </w:t>
      </w:r>
      <w:r>
        <w:t xml:space="preserve">would lie within the realm of state legislative authority.</w:t>
      </w:r>
    </w:p>
    <w:p>
      <w:pPr>
        <w:pStyle w:val="CaseBody"/>
      </w:pPr>
      <w:r>
        <w:t xml:space="preserve">It remains to apply what has been said to the present case. The Massachusetts rule provides that an executor need not answer suits unless in-hand service was made upon him or notice of the action was filed in the proper registry of probate within one year of his giving bond. The evident intent of this statute is to permit an executor to distribute the estate which he is administering without fear that further liabilities may be outstanding for which he could be held personally liable. If the Federal District Court in Massachusetts applies Rule 4 (d) (1) of the Federal Rules of Civil Procedure instead of the Massachusetts service rule, what effect would that have on the speed and assurance with which estates are distributed? As I see it, the effect would not be substantial. It would mean simply that an executor would have to check at his own house or the federal courthouse as well as the registry of probate before he could distribute the estate with impunity. As this does not seem enough to give rise to any real impingement on the vitality of the state policy which the Massachusetts rule is intended to serve, I concur in the judgment of the Court.</w:t>
      </w:r>
    </w:p>
    <w:p>
      <w:pPr>
        <w:pStyle w:val="CaseBody"/>
      </w:pPr>
      <w:hyperlink w:anchor="X1b9d8c097110a85d48a8a553edfeb67f098e756">
        <w:r>
          <w:rPr>
            <w:rStyle w:val="Elision"/>
          </w:rPr>
          <w:t xml:space="preserve">[ … ]</w:t>
        </w:r>
      </w:hyperlink>
    </w:p>
    <w:bookmarkEnd w:id="186"/>
    <w:p>
      <w:pPr>
        <w:pStyle w:val="NodeEnd"/>
      </w:pPr>
      <w:r>
        <w:t xml:space="preserve"> </w:t>
      </w:r>
    </w:p>
    <w:p>
      <w:pPr>
        <w:pStyle w:val="NodeStart"/>
      </w:pPr>
      <w:r>
        <w:t xml:space="preserve"> </w:t>
      </w:r>
    </w:p>
    <w:p>
      <w:pPr>
        <w:pStyle w:val="HeadSeparator"/>
      </w:pPr>
      <w:r>
        <w:t xml:space="preserve"> </w:t>
      </w:r>
    </w:p>
    <w:bookmarkStart w:id="118" w:name="_auto_toc_118"/>
    <w:bookmarkEnd w:id="118"/>
    <w:p>
      <w:pPr>
        <w:pStyle w:val="ResourceNumber"/>
      </w:pPr>
      <w:r>
        <w:t xml:space="preserve">10.9</w:t>
      </w:r>
    </w:p>
    <w:p>
      <w:pPr>
        <w:pStyle w:val="ResourceTitle"/>
      </w:pPr>
      <w:r>
        <w:t xml:space="preserve">Notes following Hanna</w:t>
      </w:r>
    </w:p>
    <w:p>
      <w:pPr>
        <w:pStyle w:val="HeadEnd"/>
      </w:pPr>
      <w:r>
        <w:t xml:space="preserve"> </w:t>
      </w:r>
    </w:p>
    <w:p>
      <w:pPr>
        <w:numPr>
          <w:ilvl w:val="0"/>
          <w:numId w:val="1121"/>
        </w:numPr>
      </w:pPr>
      <w:r>
        <w:t xml:space="preserve">How do the Rules Enabling Act and Rules of Decision Act overlap? Upon which is</w:t>
      </w:r>
      <w:r>
        <w:t xml:space="preserve"> </w:t>
      </w:r>
      <w:r>
        <w:rPr>
          <w:iCs/>
          <w:i/>
        </w:rPr>
        <w:t xml:space="preserve">Hanna</w:t>
      </w:r>
      <w:r>
        <w:t xml:space="preserve"> </w:t>
      </w:r>
      <w:r>
        <w:t xml:space="preserve">based?</w:t>
      </w:r>
    </w:p>
    <w:p>
      <w:pPr>
        <w:numPr>
          <w:ilvl w:val="0"/>
          <w:numId w:val="1121"/>
        </w:numPr>
      </w:pPr>
      <w:r>
        <w:t xml:space="preserve">The Rules Enabling Act states that the Federal Rules cannot “abridge, enlarge, or modify an substantive right.” The word “substantive” lies at the core of cases interpreting the Rules of Decision Act. In</w:t>
      </w:r>
      <w:r>
        <w:t xml:space="preserve"> </w:t>
      </w:r>
      <w:r>
        <w:rPr>
          <w:iCs/>
          <w:i/>
        </w:rPr>
        <w:t xml:space="preserve">Hanna</w:t>
      </w:r>
      <w:r>
        <w:t xml:space="preserve">, does Chief Justice Warren use the same definition of “substance” when interpreting both the Rules Enabling Act and the Rules of Decision Act?</w:t>
      </w:r>
    </w:p>
    <w:p>
      <w:pPr>
        <w:numPr>
          <w:ilvl w:val="0"/>
          <w:numId w:val="1121"/>
        </w:numPr>
      </w:pPr>
      <w:r>
        <w:rPr>
          <w:iCs/>
          <w:i/>
        </w:rPr>
        <w:t xml:space="preserve">Hanna</w:t>
      </w:r>
      <w:r>
        <w:t xml:space="preserve"> </w:t>
      </w:r>
      <w:r>
        <w:t xml:space="preserve">relied on</w:t>
      </w:r>
      <w:r>
        <w:t xml:space="preserve"> </w:t>
      </w:r>
      <w:r>
        <w:rPr>
          <w:iCs/>
          <w:i/>
        </w:rPr>
        <w:t xml:space="preserve">Sibbach v. Wilson &amp; Co.</w:t>
      </w:r>
      <w:r>
        <w:t xml:space="preserve">, 312 U.S. 1 (1941), which states that the test to use for whether a Federal Rule “really regulates procedure – the judicial process for enforcing rights and duties recognized by substantive law and for justly administering remedy and redress for disregard or infraction thereof.”</w:t>
      </w:r>
      <w:r>
        <w:t xml:space="preserve"> </w:t>
      </w:r>
      <w:r>
        <w:rPr>
          <w:iCs/>
          <w:i/>
        </w:rPr>
        <w:t xml:space="preserve">Id</w:t>
      </w:r>
      <w:r>
        <w:t xml:space="preserve">. at 14. Does this definition help outline the</w:t>
      </w:r>
      <w:r>
        <w:t xml:space="preserve"> </w:t>
      </w:r>
      <w:r>
        <w:rPr>
          <w:iCs/>
          <w:i/>
        </w:rPr>
        <w:t xml:space="preserve">Erie</w:t>
      </w:r>
      <w:r>
        <w:t xml:space="preserve"> </w:t>
      </w:r>
      <w:r>
        <w:t xml:space="preserve">doctrine?  Isn't it completely circular?</w:t>
      </w:r>
    </w:p>
    <w:p>
      <w:pPr>
        <w:numPr>
          <w:ilvl w:val="0"/>
          <w:numId w:val="1121"/>
        </w:numPr>
      </w:pPr>
      <w:r>
        <w:t xml:space="preserve">In</w:t>
      </w:r>
      <w:r>
        <w:t xml:space="preserve"> </w:t>
      </w:r>
      <w:r>
        <w:rPr>
          <w:iCs/>
          <w:i/>
        </w:rPr>
        <w:t xml:space="preserve">Hanna</w:t>
      </w:r>
      <w:r>
        <w:t xml:space="preserve">, Chief Justice Warren argued that the</w:t>
      </w:r>
      <w:r>
        <w:t xml:space="preserve"> </w:t>
      </w:r>
      <w:r>
        <w:rPr>
          <w:iCs/>
          <w:i/>
        </w:rPr>
        <w:t xml:space="preserve">Erie</w:t>
      </w:r>
      <w:r>
        <w:t xml:space="preserve"> </w:t>
      </w:r>
      <w:r>
        <w:t xml:space="preserve">doctrine rests in part on it being unfair for a case to materially differ if it were brought in federal court rather than in state court, and in part to avoid forum-shopping. Does this parallel or abandon Justice Brandeis’s argument in</w:t>
      </w:r>
      <w:r>
        <w:t xml:space="preserve"> </w:t>
      </w:r>
      <w:r>
        <w:rPr>
          <w:iCs/>
          <w:i/>
        </w:rPr>
        <w:t xml:space="preserve">Erie</w:t>
      </w:r>
      <w:r>
        <w:t xml:space="preserve"> </w:t>
      </w:r>
      <w:r>
        <w:t xml:space="preserve">itself?</w:t>
      </w:r>
    </w:p>
    <w:p>
      <w:pPr>
        <w:numPr>
          <w:ilvl w:val="0"/>
          <w:numId w:val="1121"/>
        </w:numPr>
      </w:pPr>
      <w:r>
        <w:t xml:space="preserve">What does Justice Harlan mean by “primary” decisions of conduct? How does his test differ from the majority’s, and why?</w:t>
      </w:r>
    </w:p>
    <w:p>
      <w:pPr>
        <w:numPr>
          <w:ilvl w:val="0"/>
          <w:numId w:val="1121"/>
        </w:numPr>
      </w:pPr>
      <w:r>
        <w:t xml:space="preserve">In</w:t>
      </w:r>
      <w:r>
        <w:t xml:space="preserve"> </w:t>
      </w:r>
      <w:r>
        <w:rPr>
          <w:iCs/>
          <w:i/>
        </w:rPr>
        <w:t xml:space="preserve">Hanna</w:t>
      </w:r>
      <w:r>
        <w:t xml:space="preserve">, Chief Justice Warren argued that in earlier cases, state rules applied because no on-point Federal Rule existed, but that in</w:t>
      </w:r>
      <w:r>
        <w:t xml:space="preserve"> </w:t>
      </w:r>
      <w:r>
        <w:rPr>
          <w:iCs/>
          <w:i/>
        </w:rPr>
        <w:t xml:space="preserve">Hanna</w:t>
      </w:r>
      <w:r>
        <w:t xml:space="preserve">, a clash between a state and federal rule was “unavoidable.” How should a court determine whether a particular rule of law speaks to a particular situation? Should it look to the text of the purpose of the law in question?</w:t>
      </w:r>
    </w:p>
    <w:p>
      <w:pPr>
        <w:pStyle w:val="NodeEnd"/>
      </w:pPr>
      <w:r>
        <w:t xml:space="preserve"> </w:t>
      </w:r>
    </w:p>
    <w:p>
      <w:pPr>
        <w:pStyle w:val="NodeStart"/>
      </w:pPr>
      <w:r>
        <w:t xml:space="preserve"> </w:t>
      </w:r>
    </w:p>
    <w:p>
      <w:pPr>
        <w:pStyle w:val="HeadSeparator"/>
      </w:pPr>
      <w:r>
        <w:t xml:space="preserve"> </w:t>
      </w:r>
    </w:p>
    <w:bookmarkStart w:id="119" w:name="_auto_toc_119"/>
    <w:bookmarkEnd w:id="119"/>
    <w:p>
      <w:pPr>
        <w:pStyle w:val="ResourceNumber"/>
      </w:pPr>
      <w:r>
        <w:t xml:space="preserve">10.10</w:t>
      </w:r>
    </w:p>
    <w:p>
      <w:pPr>
        <w:pStyle w:val="ResourceTitle"/>
      </w:pPr>
      <w:r>
        <w:t xml:space="preserve">Walker v. Armco Steel Corp.</w:t>
      </w:r>
    </w:p>
    <w:p>
      <w:pPr>
        <w:pStyle w:val="HeadEnd"/>
      </w:pPr>
      <w:r>
        <w:t xml:space="preserve"> </w:t>
      </w:r>
    </w:p>
    <w:p>
      <w:pPr>
        <w:pStyle w:val="CaseHeader"/>
      </w:pPr>
      <w:r>
        <w:t xml:space="preserve">Supreme Court of the United States</w:t>
      </w:r>
    </w:p>
    <w:p>
      <w:pPr>
        <w:pStyle w:val="CaseHeader"/>
      </w:pPr>
      <w:r>
        <w:t xml:space="preserve">446 U.S. 740, 64 L. Ed. 2d 659, 100 S. Ct. 1978, 1980 U.S. LEXIS 109, SCDB 1979-101</w:t>
      </w:r>
    </w:p>
    <w:p>
      <w:pPr>
        <w:pStyle w:val="CaseHeader"/>
      </w:pPr>
      <w:r>
        <w:t xml:space="preserve">No. 78-1862</w:t>
      </w:r>
    </w:p>
    <w:p>
      <w:pPr>
        <w:pStyle w:val="CaseHeader"/>
      </w:pPr>
      <w:r>
        <w:t xml:space="preserve">1980-06-02</w:t>
      </w:r>
    </w:p>
    <w:p>
      <w:pPr>
        <w:pStyle w:val="CaseBody"/>
      </w:pPr>
      <w:r>
        <w:t xml:space="preserve">446 U.S. 740 (1980)</w:t>
      </w:r>
    </w:p>
    <w:p>
      <w:pPr>
        <w:pStyle w:val="CaseHeader"/>
      </w:pPr>
      <w:r>
        <w:rPr>
          <w:rStyle w:val="Elision"/>
        </w:rPr>
        <w:t xml:space="preserve">[ … ]</w:t>
      </w:r>
    </w:p>
    <w:bookmarkStart w:id="187" w:name="Xdd866f8ad570f3a851b4bf3e99f576a2a7d96a9"/>
    <w:p>
      <w:pPr>
        <w:pStyle w:val="Heading2"/>
      </w:pPr>
      <w:r>
        <w:t xml:space="preserve">MR. JUSTICE MARSHALL delivered the opinion of the Court.</w:t>
      </w:r>
    </w:p>
    <w:p>
      <w:pPr>
        <w:pStyle w:val="CaseBody"/>
      </w:pPr>
      <w:r>
        <w:t xml:space="preserve">This case presents the issue whether in a diversity action the federal court should follow state law or, alternatively, Rule 3 of the Federal Rules of Civil Procedure in determining when an action is commenced for the purpose of tolling the state statute of limitations.</w:t>
      </w:r>
    </w:p>
    <w:bookmarkEnd w:id="187"/>
    <w:bookmarkStart w:id="188" w:name="i-8"/>
    <w:p>
      <w:pPr>
        <w:pStyle w:val="Heading2"/>
      </w:pPr>
      <w:r>
        <w:t xml:space="preserve">I</w:t>
      </w:r>
    </w:p>
    <w:p>
      <w:pPr>
        <w:pStyle w:val="CaseBody"/>
      </w:pPr>
      <w:r>
        <w:rPr>
          <w:rStyle w:val="Elision"/>
        </w:rPr>
        <w:t xml:space="preserve">[ … ]</w:t>
      </w:r>
    </w:p>
    <w:p>
      <w:pPr>
        <w:pStyle w:val="CaseBody"/>
      </w:pPr>
      <w:r>
        <w:t xml:space="preserve">Petitioner is a resident of Oklahoma, and respondent is a foreign corporation having its principal place of business in a</w:t>
      </w:r>
      <w:r>
        <w:t xml:space="preserve"> </w:t>
      </w:r>
      <w:r>
        <w:rPr>
          <w:rStyle w:val="Elision"/>
        </w:rPr>
        <w:t xml:space="preserve">[ … ]</w:t>
      </w:r>
      <w:r>
        <w:t xml:space="preserve"> </w:t>
      </w:r>
      <w:r>
        <w:t xml:space="preserve">State other than Oklahoma. Since there was diversity of citizenship, petitioner brought suit in the United States District Court for the Western District of Oklahoma. The complaint was filed on August 19, 1977. Although summons was issued that same day,</w:t>
      </w:r>
      <w:hyperlink w:anchor="Xdd31acc17ebc4449e8fcbfa8ea1c26d6463bf98">
        <w:r>
          <w:rPr>
            <w:rStyle w:val="Elision"/>
            <w:vertAlign w:val="superscript"/>
          </w:rPr>
          <w:t xml:space="preserve">[ … ]</w:t>
        </w:r>
      </w:hyperlink>
      <w:r>
        <w:t xml:space="preserve"> </w:t>
      </w:r>
      <w:r>
        <w:t xml:space="preserve">service of process was not made on respondent's authorized service agent until December 1, 1977.</w:t>
      </w:r>
      <w:hyperlink w:anchor="Xc0d779ec00635508683493ba449ef5925122942">
        <w:r>
          <w:rPr>
            <w:rStyle w:val="Elision"/>
            <w:vertAlign w:val="superscript"/>
          </w:rPr>
          <w:t xml:space="preserve">[ … ]</w:t>
        </w:r>
      </w:hyperlink>
      <w:r>
        <w:t xml:space="preserve">On January 5, 1978, respondent filed a motion to dismiss the complaint on the ground that the action was barred by the applicable Oklahoma statute of limitations. Although the complaint had been filed within the 2-year statute of limitations, Okla. Stat., Tit. 12, § 95 (1971),</w:t>
      </w:r>
      <w:hyperlink w:anchor="Xa2c65390a2f441c5c6d9320d2d3539e5ca50f97">
        <w:r>
          <w:rPr>
            <w:rStyle w:val="Elision"/>
            <w:vertAlign w:val="superscript"/>
          </w:rPr>
          <w:t xml:space="preserve">[ … ]</w:t>
        </w:r>
      </w:hyperlink>
      <w:r>
        <w:t xml:space="preserve"> </w:t>
      </w:r>
      <w:r>
        <w:t xml:space="preserve">state law does not deem the action "commenced" for purposes of the statute of limitations until service of the summons on the defendant,</w:t>
      </w:r>
      <w:r>
        <w:t xml:space="preserve"> </w:t>
      </w:r>
      <w:r>
        <w:rPr>
          <w:rStyle w:val="Elision"/>
        </w:rPr>
        <w:t xml:space="preserve">[ … ]</w:t>
      </w:r>
      <w:r>
        <w:t xml:space="preserve"> </w:t>
      </w:r>
      <w:r>
        <w:t xml:space="preserve">Okla. Stat., Tit. 12, § 97 (1971).</w:t>
      </w:r>
      <w:hyperlink w:anchor="X47f93a531628a844e1a506f2a1c995f1fbca6bc">
        <w:r>
          <w:rPr>
            <w:rStyle w:val="Elision"/>
            <w:vertAlign w:val="superscript"/>
          </w:rPr>
          <w:t xml:space="preserve">[ … ]</w:t>
        </w:r>
      </w:hyperlink>
      <w:r>
        <w:t xml:space="preserve"> </w:t>
      </w:r>
      <w:r>
        <w:t xml:space="preserve">If the complaint is filed within the limitations period, however, the action is deemed to have commenced from that date of filing if the plaintiff serves the defendant within 60 days, even though that service may occur outside the limitations period.</w:t>
      </w:r>
      <w:r>
        <w:t xml:space="preserve"> </w:t>
      </w:r>
      <w:r>
        <w:rPr>
          <w:rStyle w:val="Elision"/>
        </w:rPr>
        <w:t xml:space="preserve">[ … ]</w:t>
      </w:r>
      <w:r>
        <w:t xml:space="preserve"> </w:t>
      </w:r>
      <w:r>
        <w:t xml:space="preserve">In this case, service was not effectuated until long after this 60-day period had expired. Petitioner in his reply brief to the motion to dismiss admitted that his case would be foreclosed in state court, but he argued that Rule 3 of the Federal Rules of Civil Procedure governs the manner in which an action is commenced in federal court for all purposes, including the tolling of the state statute of limitations.</w:t>
      </w:r>
      <w:hyperlink w:anchor="X36cdc52846f839687f674c86682cdcc2faf6efa">
        <w:r>
          <w:rPr>
            <w:rStyle w:val="Elision"/>
            <w:vertAlign w:val="superscript"/>
          </w:rPr>
          <w:t xml:space="preserve">[ … ]</w:t>
        </w:r>
      </w:hyperlink>
    </w:p>
    <w:p>
      <w:pPr>
        <w:pStyle w:val="CaseBody"/>
      </w:pPr>
      <w:r>
        <w:rPr>
          <w:rStyle w:val="Elision"/>
        </w:rPr>
        <w:t xml:space="preserve">[ … ]</w:t>
      </w:r>
    </w:p>
    <w:p>
      <w:pPr>
        <w:pStyle w:val="CaseBody"/>
      </w:pPr>
      <w:r>
        <w:rPr>
          <w:rStyle w:val="Elision"/>
        </w:rPr>
        <w:t xml:space="preserve">[ … ]</w:t>
      </w:r>
    </w:p>
    <w:bookmarkEnd w:id="188"/>
    <w:bookmarkStart w:id="189" w:name="iii-6"/>
    <w:p>
      <w:pPr>
        <w:pStyle w:val="Heading2"/>
      </w:pPr>
      <w:r>
        <w:t xml:space="preserve">III</w:t>
      </w:r>
    </w:p>
    <w:p>
      <w:pPr>
        <w:pStyle w:val="CaseBody"/>
      </w:pPr>
      <w:r>
        <w:t xml:space="preserve">The present case is indistinguishable from</w:t>
      </w:r>
      <w:r>
        <w:t xml:space="preserve"> </w:t>
      </w:r>
      <w:r>
        <w:rPr>
          <w:iCs/>
          <w:i/>
        </w:rPr>
        <w:t xml:space="preserve">Ragan.</w:t>
      </w:r>
      <w:r>
        <w:t xml:space="preserve"> </w:t>
      </w:r>
      <w:r>
        <w:t xml:space="preserve">The statutes in both cases require service of process to toll the statute of limitations, and in fact the predecessor to the Oklahoma statute in this case was derived from the predecessor to the Kansas statute in</w:t>
      </w:r>
      <w:r>
        <w:t xml:space="preserve"> </w:t>
      </w:r>
      <w:r>
        <w:rPr>
          <w:iCs/>
          <w:i/>
        </w:rPr>
        <w:t xml:space="preserve">Ragan.</w:t>
      </w:r>
      <w:r>
        <w:t xml:space="preserve"> </w:t>
      </w:r>
      <w:r>
        <w:rPr>
          <w:rStyle w:val="Elision"/>
        </w:rPr>
        <w:t xml:space="preserve">[ … ]</w:t>
      </w:r>
      <w:r>
        <w:t xml:space="preserve">Here, as in</w:t>
      </w:r>
      <w:r>
        <w:t xml:space="preserve"> </w:t>
      </w:r>
      <w:r>
        <w:rPr>
          <w:iCs/>
          <w:i/>
        </w:rPr>
        <w:t xml:space="preserve">Ragan,</w:t>
      </w:r>
      <w:r>
        <w:t xml:space="preserve"> </w:t>
      </w:r>
      <w:r>
        <w:t xml:space="preserve">the complaint was filed in federal court under diversity jurisdiction within the 2-year statute of limitations, but service of process did not occur until after the 2-year period and the 60-day service period had run. In both cases the suit would concededly have been barred in the applicable state court, and in both instances the state service statute was held to be an integral part of the statute of limitations by the lower court more familiar than we with state law. Accordingly, as the Court of Appeals held below,</w:t>
      </w:r>
      <w:r>
        <w:t xml:space="preserve"> </w:t>
      </w:r>
      <w:r>
        <w:rPr>
          <w:rStyle w:val="Elision"/>
        </w:rPr>
        <w:t xml:space="preserve">[ … ]</w:t>
      </w:r>
      <w:r>
        <w:t xml:space="preserve"> </w:t>
      </w:r>
      <w:r>
        <w:t xml:space="preserve">the instant action is barred by the statute of limitations unless</w:t>
      </w:r>
      <w:r>
        <w:t xml:space="preserve"> </w:t>
      </w:r>
      <w:r>
        <w:rPr>
          <w:iCs/>
          <w:i/>
        </w:rPr>
        <w:t xml:space="preserve">Ragan</w:t>
      </w:r>
      <w:r>
        <w:t xml:space="preserve"> </w:t>
      </w:r>
      <w:r>
        <w:t xml:space="preserve">is no longer good law.</w:t>
      </w:r>
    </w:p>
    <w:p>
      <w:pPr>
        <w:pStyle w:val="CaseBody"/>
      </w:pPr>
      <w:r>
        <w:t xml:space="preserve">Petitioner argues that the analysis and holding of</w:t>
      </w:r>
      <w:r>
        <w:t xml:space="preserve"> </w:t>
      </w:r>
      <w:r>
        <w:rPr>
          <w:iCs/>
          <w:i/>
        </w:rPr>
        <w:t xml:space="preserve">Ragan</w:t>
      </w:r>
      <w:r>
        <w:t xml:space="preserve"> </w:t>
      </w:r>
      <w:r>
        <w:t xml:space="preserve">did not survive our decision in</w:t>
      </w:r>
      <w:r>
        <w:t xml:space="preserve"> </w:t>
      </w:r>
      <w:r>
        <w:rPr>
          <w:iCs/>
          <w:i/>
        </w:rPr>
        <w:t xml:space="preserve">Hanna.</w:t>
      </w:r>
      <w:hyperlink w:anchor="Xf48246d0d822dd030ef5c27524344dcf4588d8a">
        <w:r>
          <w:rPr>
            <w:rStyle w:val="Elision"/>
            <w:vertAlign w:val="superscript"/>
          </w:rPr>
          <w:t xml:space="preserve">[ … ]</w:t>
        </w:r>
      </w:hyperlink>
      <w:r>
        <w:t xml:space="preserve"> </w:t>
      </w:r>
      <w:r>
        <w:t xml:space="preserve">Petitioner's position is that Okla. Stat., Tit. 12, § 97 (1971), is in direct conflict with the Federal Rule. Under</w:t>
      </w:r>
      <w:r>
        <w:t xml:space="preserve"> </w:t>
      </w:r>
      <w:r>
        <w:rPr>
          <w:iCs/>
          <w:i/>
        </w:rPr>
        <w:t xml:space="preserve">Hanna,</w:t>
      </w:r>
      <w:r>
        <w:t xml:space="preserve"> </w:t>
      </w:r>
      <w:r>
        <w:t xml:space="preserve">petitioner contends, the appropriate question is whether Rule 3 is within the scope of the Rules Enabling Act and, if so, within the constitutional power of Congress. In petitioner's view, the Federal Rule is to be applied unless it violates one of those two restrictions. This argument ignores both the force of</w:t>
      </w:r>
      <w:r>
        <w:t xml:space="preserve"> </w:t>
      </w:r>
      <w:r>
        <w:rPr>
          <w:iCs/>
          <w:i/>
        </w:rPr>
        <w:t xml:space="preserve">stare decisis</w:t>
      </w:r>
      <w:r>
        <w:t xml:space="preserve"> </w:t>
      </w:r>
      <w:r>
        <w:t xml:space="preserve">and the specific limitations that we carefully placed on the</w:t>
      </w:r>
      <w:r>
        <w:t xml:space="preserve"> </w:t>
      </w:r>
      <w:r>
        <w:rPr>
          <w:iCs/>
          <w:i/>
        </w:rPr>
        <w:t xml:space="preserve">Hanna</w:t>
      </w:r>
      <w:r>
        <w:t xml:space="preserve"> </w:t>
      </w:r>
      <w:r>
        <w:t xml:space="preserve">analysis.</w:t>
      </w:r>
    </w:p>
    <w:p>
      <w:pPr>
        <w:pStyle w:val="CaseBody"/>
      </w:pPr>
      <w:r>
        <w:rPr>
          <w:rStyle w:val="Elision"/>
        </w:rPr>
        <w:t xml:space="preserve">[ … ]</w:t>
      </w:r>
    </w:p>
    <w:p>
      <w:pPr>
        <w:pStyle w:val="CaseBody"/>
      </w:pPr>
      <w:r>
        <w:t xml:space="preserve">This Court in</w:t>
      </w:r>
      <w:r>
        <w:t xml:space="preserve"> </w:t>
      </w:r>
      <w:r>
        <w:rPr>
          <w:iCs/>
          <w:i/>
        </w:rPr>
        <w:t xml:space="preserve">Hanna</w:t>
      </w:r>
      <w:r>
        <w:t xml:space="preserve"> </w:t>
      </w:r>
      <w:r>
        <w:t xml:space="preserve">distinguished</w:t>
      </w:r>
      <w:r>
        <w:t xml:space="preserve"> </w:t>
      </w:r>
      <w:r>
        <w:rPr>
          <w:iCs/>
          <w:i/>
        </w:rPr>
        <w:t xml:space="preserve">Ragan</w:t>
      </w:r>
      <w:r>
        <w:t xml:space="preserve"> </w:t>
      </w:r>
      <w:r>
        <w:t xml:space="preserve">rather than overruled it, and for good reason. Application of the</w:t>
      </w:r>
      <w:r>
        <w:t xml:space="preserve"> </w:t>
      </w:r>
      <w:r>
        <w:rPr>
          <w:iCs/>
          <w:i/>
        </w:rPr>
        <w:t xml:space="preserve">Hanna</w:t>
      </w:r>
      <w:r>
        <w:t xml:space="preserve"> </w:t>
      </w:r>
      <w:r>
        <w:t xml:space="preserve">analysis is premised on a "direct collision" between the Federal Rule and the state law.</w:t>
      </w:r>
      <w:r>
        <w:t xml:space="preserve"> </w:t>
      </w:r>
      <w:r>
        <w:rPr>
          <w:rStyle w:val="Elision"/>
        </w:rPr>
        <w:t xml:space="preserve">[ … ]</w:t>
      </w:r>
      <w:r>
        <w:t xml:space="preserve"> </w:t>
      </w:r>
      <w:r>
        <w:t xml:space="preserve">In</w:t>
      </w:r>
      <w:r>
        <w:t xml:space="preserve"> </w:t>
      </w:r>
      <w:r>
        <w:rPr>
          <w:iCs/>
          <w:i/>
        </w:rPr>
        <w:t xml:space="preserve">Hanna</w:t>
      </w:r>
      <w:r>
        <w:t xml:space="preserve"> </w:t>
      </w:r>
      <w:r>
        <w:t xml:space="preserve">itself the "clash" between Rule 4 (d) (1) and the state in-hand service requirement was "unavoidable."</w:t>
      </w:r>
      <w:r>
        <w:rPr>
          <w:rStyle w:val="Elision"/>
        </w:rPr>
        <w:t xml:space="preserve">[ … ]</w:t>
      </w:r>
      <w:r>
        <w:t xml:space="preserve">The first question must therefore be whether the scope of the Federal Rule in fact is sufficiently broad to control the issue before</w:t>
      </w:r>
      <w:r>
        <w:t xml:space="preserve"> </w:t>
      </w:r>
      <w:r>
        <w:rPr>
          <w:rStyle w:val="Elision"/>
        </w:rPr>
        <w:t xml:space="preserve">[ … ]</w:t>
      </w:r>
      <w:r>
        <w:t xml:space="preserve"> </w:t>
      </w:r>
      <w:r>
        <w:t xml:space="preserve">the Court. It is only if that question is answered affirmatively that the</w:t>
      </w:r>
      <w:r>
        <w:t xml:space="preserve"> </w:t>
      </w:r>
      <w:r>
        <w:rPr>
          <w:iCs/>
          <w:i/>
        </w:rPr>
        <w:t xml:space="preserve">Hanna</w:t>
      </w:r>
      <w:r>
        <w:t xml:space="preserve"> </w:t>
      </w:r>
      <w:r>
        <w:t xml:space="preserve">analysis applie</w:t>
      </w:r>
      <w:r>
        <w:t xml:space="preserve">s.</w:t>
      </w:r>
      <w:hyperlink w:anchor="X7e6827c4afdba5edf9e0571476f55d139a34e9b">
        <w:r>
          <w:rPr>
            <w:rStyle w:val="Hyperlink"/>
            <w:vertAlign w:val="superscript"/>
          </w:rPr>
          <w:t xml:space="preserve">[9]</w:t>
        </w:r>
      </w:hyperlink>
    </w:p>
    <w:p>
      <w:pPr>
        <w:pStyle w:val="CaseBody"/>
      </w:pPr>
      <w:r>
        <w:rPr>
          <w:rStyle w:val="Elision"/>
        </w:rPr>
        <w:t xml:space="preserve">[ … ]</w:t>
      </w:r>
      <w:r>
        <w:rPr>
          <w:rStyle w:val="FootnoteReference"/>
        </w:rPr>
        <w:footnoteReference w:customMarkFollows="1" w:id="27"/>
        <w:t xml:space="preserve">*</w:t>
      </w:r>
    </w:p>
    <w:p>
      <w:pPr>
        <w:pStyle w:val="CaseBody"/>
      </w:pPr>
      <w:r>
        <w:t xml:space="preserve">In contrast to Rule 3, the Oklahoma statute is a statement of a substantive decision by that State that actual service on, and accordingly actual notice by, the defendant is an integral part of the several policies served by the statute of limitations.</w:t>
      </w:r>
      <w:r>
        <w:t xml:space="preserve"> </w:t>
      </w:r>
      <w:r>
        <w:rPr>
          <w:rStyle w:val="Elision"/>
        </w:rPr>
        <w:t xml:space="preserve">[ … ]</w:t>
      </w:r>
      <w:r>
        <w:t xml:space="preserve">. The statute of limitations establishes a deadline after which the defendant may legitimately have peace of mind; it also recognizes that after a certain period of time it is unfair to require the defendant to attempt to piece together his defense to an old claim. A requirement of actual service promotes both of those functions of the statute.</w:t>
      </w:r>
      <w:r>
        <w:t xml:space="preserve"> </w:t>
      </w:r>
      <w:r>
        <w:rPr>
          <w:rStyle w:val="Elision"/>
        </w:rPr>
        <w:t xml:space="preserve">[ … ]</w:t>
      </w:r>
      <w:r>
        <w:t xml:space="preserve"> </w:t>
      </w:r>
      <w:r>
        <w:t xml:space="preserve">It is these policy aspects which make the service</w:t>
      </w:r>
      <w:r>
        <w:rPr>
          <w:rStyle w:val="Elision"/>
        </w:rPr>
        <w:t xml:space="preserve">[ … ]</w:t>
      </w:r>
      <w:r>
        <w:t xml:space="preserve"> </w:t>
      </w:r>
      <w:r>
        <w:t xml:space="preserve">requirement an "integral" part of the statute of limitations both in this case and in</w:t>
      </w:r>
      <w:r>
        <w:t xml:space="preserve"> </w:t>
      </w:r>
      <w:r>
        <w:rPr>
          <w:iCs/>
          <w:i/>
        </w:rPr>
        <w:t xml:space="preserve">Ragan.</w:t>
      </w:r>
      <w:r>
        <w:t xml:space="preserve"> </w:t>
      </w:r>
      <w:r>
        <w:t xml:space="preserve">As such, the service rule must be considered part and parcel of the statute of limitations.</w:t>
      </w:r>
      <w:hyperlink w:anchor="X2187825a41b6804a4636571e04338878fb20466">
        <w:r>
          <w:rPr>
            <w:rStyle w:val="Elision"/>
            <w:vertAlign w:val="superscript"/>
          </w:rPr>
          <w:t xml:space="preserve">[ … ]</w:t>
        </w:r>
      </w:hyperlink>
      <w:r>
        <w:t xml:space="preserve"> </w:t>
      </w:r>
      <w:r>
        <w:t xml:space="preserve">Rule 3 does not replace such policy determinations found in state law. Rule 3 and Okla. Stat., Tit. 12, § 97 (1971), can exist side by side, therefore, each controlling its own intended sphere of coverage without conflict.</w:t>
      </w:r>
    </w:p>
    <w:p>
      <w:pPr>
        <w:pStyle w:val="CaseBody"/>
      </w:pPr>
      <w:r>
        <w:t xml:space="preserve">Since there is no direct conflict between the Federal Rule and the state law, the</w:t>
      </w:r>
      <w:r>
        <w:t xml:space="preserve"> </w:t>
      </w:r>
      <w:r>
        <w:rPr>
          <w:iCs/>
          <w:i/>
        </w:rPr>
        <w:t xml:space="preserve">Hanna</w:t>
      </w:r>
      <w:r>
        <w:t xml:space="preserve"> </w:t>
      </w:r>
      <w:r>
        <w:t xml:space="preserve">analysis does not apply.</w:t>
      </w:r>
      <w:hyperlink w:anchor="Xc522beca0ee9ec239d53420f9634b0feb372bf6">
        <w:r>
          <w:rPr>
            <w:rStyle w:val="Elision"/>
            <w:vertAlign w:val="superscript"/>
          </w:rPr>
          <w:t xml:space="preserve">[ … ]</w:t>
        </w:r>
      </w:hyperlink>
      <w:r>
        <w:t xml:space="preserve">Instead, the policies behind</w:t>
      </w:r>
      <w:r>
        <w:t xml:space="preserve"> </w:t>
      </w:r>
      <w:r>
        <w:rPr>
          <w:iCs/>
          <w:i/>
        </w:rPr>
        <w:t xml:space="preserve">Erie</w:t>
      </w:r>
      <w:r>
        <w:t xml:space="preserve"> </w:t>
      </w:r>
      <w:r>
        <w:t xml:space="preserve">and</w:t>
      </w:r>
      <w:r>
        <w:t xml:space="preserve"> </w:t>
      </w:r>
      <w:r>
        <w:rPr>
          <w:iCs/>
          <w:i/>
        </w:rPr>
        <w:t xml:space="preserve">Ragan</w:t>
      </w:r>
      <w:r>
        <w:t xml:space="preserve"> </w:t>
      </w:r>
      <w:r>
        <w:t xml:space="preserve">control the issue whether, in the absence of a federal rule directly on point, state service requirements which are an integral part of the state statute of limitations should control in an action based on state law which is filed in federal court under diversity [753] jurisdiction.</w:t>
      </w:r>
      <w:r>
        <w:t xml:space="preserve"> </w:t>
      </w:r>
      <w:r>
        <w:rPr>
          <w:rStyle w:val="Elision"/>
        </w:rPr>
        <w:t xml:space="preserve">[ … ]</w:t>
      </w:r>
      <w:r>
        <w:t xml:space="preserve"> </w:t>
      </w:r>
      <w:r>
        <w:t xml:space="preserve">There is simply no reason why, in the absence of a controlling federal rule, an action based on state law which concededly would be barred in the state courts by the state statute of limitations should proceed through litigation to judgment in federal court solely because of the fortuity that there is diversity of citizenship between the litigants. The policies underlying diversity jurisdiction do not support such a distinction between state and federal plaintiffs, and</w:t>
      </w:r>
      <w:r>
        <w:t xml:space="preserve"> </w:t>
      </w:r>
      <w:r>
        <w:rPr>
          <w:iCs/>
          <w:i/>
        </w:rPr>
        <w:t xml:space="preserve">Erie</w:t>
      </w:r>
      <w:r>
        <w:t xml:space="preserve"> </w:t>
      </w:r>
      <w:r>
        <w:t xml:space="preserve">and its progeny do not permit it.</w:t>
      </w:r>
    </w:p>
    <w:p>
      <w:pPr>
        <w:pStyle w:val="CaseBody"/>
      </w:pPr>
      <w:r>
        <w:t xml:space="preserve">The judgment of the Court of Appeals is</w:t>
      </w:r>
    </w:p>
    <w:p>
      <w:pPr>
        <w:pStyle w:val="CaseBody"/>
      </w:pPr>
      <w:r>
        <w:rPr>
          <w:iCs/>
          <w:i/>
        </w:rPr>
        <w:t xml:space="preserve">Affirmed.</w:t>
      </w:r>
    </w:p>
    <w:p>
      <w:pPr>
        <w:pStyle w:val="CaseBody"/>
      </w:pPr>
      <w:hyperlink w:anchor="Xc9bec78f9fe6128d4bb3080abce1a7ef54ff788">
        <w:r>
          <w:rPr>
            <w:rStyle w:val="Elision"/>
          </w:rPr>
          <w:t xml:space="preserve">[ … ]</w:t>
        </w:r>
      </w:hyperlink>
    </w:p>
    <w:p>
      <w:pPr>
        <w:pStyle w:val="CaseBody"/>
      </w:pPr>
      <w:hyperlink w:anchor="X268cde2cfdd2986687ea29398526836283cc135">
        <w:r>
          <w:rPr>
            <w:rStyle w:val="Hyperlink"/>
          </w:rPr>
          <w:t xml:space="preserve">[9]</w:t>
        </w:r>
      </w:hyperlink>
      <w:r>
        <w:t xml:space="preserve"> </w:t>
      </w:r>
      <w:r>
        <w:t xml:space="preserve">This is not to suggest that the Federal Rules of Civil Procedure are to be narrowly construed in order to avoid a "direct collision" with state law. The Federal Rules should be given their plain meaning. If a direct collision with state law arises from that plain meaning, then the analysis developed in</w:t>
      </w:r>
      <w:r>
        <w:t xml:space="preserve"> </w:t>
      </w:r>
      <w:r>
        <w:rPr>
          <w:iCs/>
          <w:i/>
        </w:rPr>
        <w:t xml:space="preserve">Hanna</w:t>
      </w:r>
      <w:r>
        <w:t xml:space="preserve"> </w:t>
      </w:r>
      <w:r>
        <w:t xml:space="preserve">v.</w:t>
      </w:r>
      <w:r>
        <w:t xml:space="preserve"> </w:t>
      </w:r>
      <w:r>
        <w:rPr>
          <w:iCs/>
          <w:i/>
        </w:rPr>
        <w:t xml:space="preserve">Plumer</w:t>
      </w:r>
      <w:r>
        <w:t xml:space="preserve"> </w:t>
      </w:r>
      <w:r>
        <w:t xml:space="preserve">applies.</w:t>
      </w:r>
    </w:p>
    <w:p>
      <w:pPr>
        <w:pStyle w:val="CaseBody"/>
      </w:pPr>
      <w:hyperlink w:anchor="X5e4a2268f4d88cffbf3ba64bcd4a4afafe5bcaf">
        <w:r>
          <w:rPr>
            <w:rStyle w:val="Elision"/>
          </w:rPr>
          <w:t xml:space="preserve">[ … ]</w:t>
        </w:r>
      </w:hyperlink>
    </w:p>
    <w:bookmarkEnd w:id="189"/>
    <w:p>
      <w:pPr>
        <w:pStyle w:val="NodeEnd"/>
      </w:pPr>
      <w:r>
        <w:t xml:space="preserve"> </w:t>
      </w:r>
    </w:p>
    <w:p>
      <w:pPr>
        <w:pStyle w:val="NodeStart"/>
      </w:pPr>
      <w:r>
        <w:t xml:space="preserve"> </w:t>
      </w:r>
    </w:p>
    <w:p>
      <w:pPr>
        <w:pStyle w:val="HeadSeparator"/>
      </w:pPr>
      <w:r>
        <w:t xml:space="preserve"> </w:t>
      </w:r>
    </w:p>
    <w:bookmarkStart w:id="120" w:name="_auto_toc_120"/>
    <w:bookmarkEnd w:id="120"/>
    <w:p>
      <w:pPr>
        <w:pStyle w:val="ResourceNumber"/>
      </w:pPr>
      <w:r>
        <w:t xml:space="preserve">10.11</w:t>
      </w:r>
    </w:p>
    <w:p>
      <w:pPr>
        <w:pStyle w:val="ResourceTitle"/>
      </w:pPr>
      <w:r>
        <w:t xml:space="preserve">Notes following Walker</w:t>
      </w:r>
    </w:p>
    <w:p>
      <w:pPr>
        <w:pStyle w:val="HeadEnd"/>
      </w:pPr>
      <w:r>
        <w:t xml:space="preserve"> </w:t>
      </w:r>
    </w:p>
    <w:p>
      <w:pPr>
        <w:numPr>
          <w:ilvl w:val="0"/>
          <w:numId w:val="1122"/>
        </w:numPr>
      </w:pPr>
      <w:r>
        <w:t xml:space="preserve">The Court in</w:t>
      </w:r>
      <w:r>
        <w:t xml:space="preserve"> </w:t>
      </w:r>
      <w:r>
        <w:rPr>
          <w:iCs/>
          <w:i/>
        </w:rPr>
        <w:t xml:space="preserve">Walker</w:t>
      </w:r>
      <w:r>
        <w:t xml:space="preserve"> </w:t>
      </w:r>
      <w:r>
        <w:t xml:space="preserve">could have found that Rule 3 did not toll the Oklahoma limitations period in two ways: by cabining Rule 3 to time requirements in other Federal Rules, and thus neither state nor federal limitations periods, or by merely cabining Rule 3 to federal limitations periods. Which do you prefer? Which did the Court choose? Review footnote 11 for some authorities on this subject.</w:t>
      </w:r>
    </w:p>
    <w:p>
      <w:pPr>
        <w:numPr>
          <w:ilvl w:val="0"/>
          <w:numId w:val="1122"/>
        </w:numPr>
      </w:pPr>
      <w:r>
        <w:t xml:space="preserve">How can you reconcile the Court’s interpretation of Rule 3 in</w:t>
      </w:r>
      <w:r>
        <w:t xml:space="preserve"> </w:t>
      </w:r>
      <w:r>
        <w:rPr>
          <w:iCs/>
          <w:i/>
        </w:rPr>
        <w:t xml:space="preserve">Walker</w:t>
      </w:r>
      <w:r>
        <w:t xml:space="preserve"> </w:t>
      </w:r>
      <w:r>
        <w:t xml:space="preserve">with its interpretation of Rule 4 in</w:t>
      </w:r>
      <w:r>
        <w:t xml:space="preserve"> </w:t>
      </w:r>
      <w:r>
        <w:rPr>
          <w:iCs/>
          <w:i/>
        </w:rPr>
        <w:t xml:space="preserve">Hanna</w:t>
      </w:r>
      <w:r>
        <w:t xml:space="preserve">? One was read broadly and the other narrowly. Could it be because the underlying state laws were different in nature, one substantive the other procedural?  And isn't the Court lying through its teeth in footnote 9?</w:t>
      </w:r>
    </w:p>
    <w:p>
      <w:pPr>
        <w:numPr>
          <w:ilvl w:val="0"/>
          <w:numId w:val="1122"/>
        </w:numPr>
      </w:pPr>
      <w:r>
        <w:t xml:space="preserve">What happens when a discretionary option in a Federal Rule conflicts with a mandatory provision in a state rule? In</w:t>
      </w:r>
      <w:r>
        <w:t xml:space="preserve"> </w:t>
      </w:r>
      <w:r>
        <w:rPr>
          <w:iCs/>
          <w:i/>
        </w:rPr>
        <w:t xml:space="preserve">Burlington Northern R. Co. v. Woods</w:t>
      </w:r>
      <w:r>
        <w:t xml:space="preserve">, 480 U.S. 1 (1987), the Supreme Court stated that the discretionary Federal Rule should reign: “the choice made by the drafters of the Federal Rules in favor of a discretionary procedure affects only the process of enforcing litigants’ rights and not the rights themselves.”</w:t>
      </w:r>
      <w:r>
        <w:t xml:space="preserve"> </w:t>
      </w:r>
      <w:r>
        <w:rPr>
          <w:iCs/>
          <w:i/>
        </w:rPr>
        <w:t xml:space="preserve">Id.</w:t>
      </w:r>
      <w:r>
        <w:t xml:space="preserve"> </w:t>
      </w:r>
      <w:r>
        <w:t xml:space="preserve"> </w:t>
      </w:r>
      <w:r>
        <w:t xml:space="preserve">at 8. Does this make sense with the other</w:t>
      </w:r>
      <w:r>
        <w:t xml:space="preserve"> </w:t>
      </w:r>
      <w:r>
        <w:rPr>
          <w:iCs/>
          <w:i/>
        </w:rPr>
        <w:t xml:space="preserve">Erie</w:t>
      </w:r>
      <w:r>
        <w:t xml:space="preserve"> </w:t>
      </w:r>
      <w:r>
        <w:t xml:space="preserve">cases we have read?</w:t>
      </w:r>
    </w:p>
    <w:p>
      <w:pPr>
        <w:pStyle w:val="NodeEnd"/>
      </w:pPr>
      <w:r>
        <w:t xml:space="preserve"> </w:t>
      </w:r>
    </w:p>
    <w:p>
      <w:pPr>
        <w:pStyle w:val="NodeStart"/>
      </w:pPr>
      <w:r>
        <w:t xml:space="preserve"> </w:t>
      </w:r>
    </w:p>
    <w:p>
      <w:pPr>
        <w:pStyle w:val="HeadSeparator"/>
      </w:pPr>
      <w:r>
        <w:t xml:space="preserve"> </w:t>
      </w:r>
    </w:p>
    <w:bookmarkStart w:id="121" w:name="_auto_toc_121"/>
    <w:bookmarkEnd w:id="121"/>
    <w:p>
      <w:pPr>
        <w:pStyle w:val="ResourceNumber"/>
      </w:pPr>
      <w:r>
        <w:t xml:space="preserve">10.12</w:t>
      </w:r>
    </w:p>
    <w:p>
      <w:pPr>
        <w:pStyle w:val="ResourceTitle"/>
      </w:pPr>
      <w:r>
        <w:t xml:space="preserve">Stewart Organization, Inc. v. Ricoh Corp.</w:t>
      </w:r>
    </w:p>
    <w:p>
      <w:pPr>
        <w:pStyle w:val="HeadEnd"/>
      </w:pPr>
      <w:r>
        <w:t xml:space="preserve"> </w:t>
      </w:r>
    </w:p>
    <w:p>
      <w:pPr>
        <w:pStyle w:val="CaseHeader"/>
      </w:pPr>
      <w:r>
        <w:t xml:space="preserve">Supreme Court of the United States</w:t>
      </w:r>
    </w:p>
    <w:p>
      <w:pPr>
        <w:pStyle w:val="CaseHeader"/>
      </w:pPr>
      <w:r>
        <w:t xml:space="preserve">487 U.S. 22, 101 L. Ed. 2d 22, 108 S. Ct. 2239, SCDB 1987-125, 1988 U.S. LEXIS 2791</w:t>
      </w:r>
    </w:p>
    <w:p>
      <w:pPr>
        <w:pStyle w:val="CaseHeader"/>
      </w:pPr>
      <w:r>
        <w:t xml:space="preserve">No. 86-1908</w:t>
      </w:r>
    </w:p>
    <w:p>
      <w:pPr>
        <w:pStyle w:val="CaseHeader"/>
      </w:pPr>
      <w:r>
        <w:t xml:space="preserve">1988-06-20</w:t>
      </w:r>
    </w:p>
    <w:p>
      <w:pPr>
        <w:pStyle w:val="CaseBody"/>
      </w:pPr>
      <w:r>
        <w:t xml:space="preserve">487 U.S. 22 (1988)</w:t>
      </w:r>
    </w:p>
    <w:p>
      <w:pPr>
        <w:pStyle w:val="CaseHeader"/>
      </w:pPr>
      <w:r>
        <w:rPr>
          <w:rStyle w:val="Elision"/>
        </w:rPr>
        <w:t xml:space="preserve">[ … ]</w:t>
      </w:r>
    </w:p>
    <w:bookmarkStart w:id="190" w:name="X4004dd2a7d5a0003a847644ae8427c96409b9a8"/>
    <w:p>
      <w:pPr>
        <w:pStyle w:val="Heading2"/>
      </w:pPr>
      <w:r>
        <w:rPr>
          <w:rStyle w:val="Elision"/>
        </w:rPr>
        <w:t xml:space="preserve">[ … ]</w:t>
      </w:r>
      <w:r>
        <w:t xml:space="preserve"> </w:t>
      </w:r>
      <w:r>
        <w:t xml:space="preserve">JUSTICE MARSHALL delivered the opinion of the Court.</w:t>
      </w:r>
    </w:p>
    <w:p>
      <w:pPr>
        <w:pStyle w:val="CaseBody"/>
      </w:pPr>
      <w:r>
        <w:t xml:space="preserve">This case presents the issue whether a federal court sitting in diversity should apply state or federal law in adjudicating a motion to transfer a case to a venue provided in a contractual forum-selection clause.</w:t>
      </w:r>
    </w:p>
    <w:bookmarkEnd w:id="190"/>
    <w:bookmarkStart w:id="191" w:name="i-9"/>
    <w:p>
      <w:pPr>
        <w:pStyle w:val="Heading2"/>
      </w:pPr>
      <w:r>
        <w:t xml:space="preserve">I</w:t>
      </w:r>
    </w:p>
    <w:p>
      <w:pPr>
        <w:pStyle w:val="CaseBody"/>
      </w:pPr>
      <w:r>
        <w:t xml:space="preserve">The dispute underlying this case grew out of a dealership agreement that obligated petitioner company, an Alabama corporation, to market copier products of respondent, a nationwide manufacturer with its principal place of business in New Jersey. The agreement contained a forum-selection clause providing that any dispute arising out of the contract could be brought only in a court located in Manhattan.</w:t>
      </w:r>
      <w:hyperlink w:anchor="Xc3c9c859b0cbeb59c2f8b54337786cf7d16b1ac">
        <w:r>
          <w:rPr>
            <w:rStyle w:val="Elision"/>
            <w:vertAlign w:val="superscript"/>
          </w:rPr>
          <w:t xml:space="preserve">[ … ]</w:t>
        </w:r>
      </w:hyperlink>
      <w:r>
        <w:t xml:space="preserve"> </w:t>
      </w:r>
      <w:r>
        <w:t xml:space="preserve">Business relations between the parties soured under circumstances that are not relevant here. In September 1984, petitioner brought a complaint in the United States District Court for the Northern District of Alabama.</w:t>
      </w:r>
      <w:r>
        <w:t xml:space="preserve"> </w:t>
      </w:r>
      <w:r>
        <w:rPr>
          <w:rStyle w:val="Elision"/>
        </w:rPr>
        <w:t xml:space="preserve">[ … ]</w:t>
      </w:r>
    </w:p>
    <w:p>
      <w:pPr>
        <w:pStyle w:val="CaseBody"/>
      </w:pPr>
      <w:r>
        <w:t xml:space="preserve">Relying on the contractual forum-selection clause, respondent moved the District Court either to transfer the case to the Southern District of New York under</w:t>
      </w:r>
      <w:r>
        <w:t xml:space="preserve"> </w:t>
      </w:r>
      <w:r>
        <w:rPr>
          <w:rStyle w:val="ReplacementText"/>
        </w:rPr>
        <w:t xml:space="preserve">one of the transfer statutes</w:t>
      </w:r>
      <w:r>
        <w:t xml:space="preserve"> </w:t>
      </w:r>
      <w:r>
        <w:t xml:space="preserve">or to dismiss the case for improper venue under</w:t>
      </w:r>
      <w:r>
        <w:t xml:space="preserve"> </w:t>
      </w:r>
      <w:r>
        <w:rPr>
          <w:rStyle w:val="ReplacementText"/>
        </w:rPr>
        <w:t xml:space="preserve">another of the transfer statutes</w:t>
      </w:r>
      <w:r>
        <w:t xml:space="preserve">. The District Court denied the motion.</w:t>
      </w:r>
      <w:r>
        <w:t xml:space="preserve"> </w:t>
      </w:r>
      <w:r>
        <w:rPr>
          <w:rStyle w:val="Elision"/>
        </w:rPr>
        <w:t xml:space="preserve">[ … ]</w:t>
      </w:r>
      <w:r>
        <w:t xml:space="preserve"> </w:t>
      </w:r>
      <w:r>
        <w:t xml:space="preserve">It reasoned that the transfer motion was controlled by Alabama law and that Alabama looks unfavorably upon contractual forum-selection clauses.</w:t>
      </w:r>
      <w:r>
        <w:t xml:space="preserve"> </w:t>
      </w:r>
      <w:r>
        <w:rPr>
          <w:rStyle w:val="Elision"/>
        </w:rPr>
        <w:t xml:space="preserve">[ … ]</w:t>
      </w:r>
    </w:p>
    <w:p>
      <w:pPr>
        <w:pStyle w:val="CaseBody"/>
      </w:pPr>
      <w:r>
        <w:t xml:space="preserve">On appeal, a divided panel of the Eleventh Circuit reversed the District Court. The panel concluded that questions of venue in diversity actions are governed by federal law, and that the parties' forum-selection clause was enforceable as a matter of federal law.</w:t>
      </w:r>
      <w:r>
        <w:rPr>
          <w:rStyle w:val="Elision"/>
        </w:rPr>
        <w:t xml:space="preserve">[ … ]</w:t>
      </w:r>
      <w:r>
        <w:t xml:space="preserve"> </w:t>
      </w:r>
      <w:r>
        <w:t xml:space="preserve">The panel therefore reversed the order of the District Court and remanded with instructions to transfer the case to a Manhattan court.</w:t>
      </w:r>
      <w:r>
        <w:t xml:space="preserve"> </w:t>
      </w:r>
      <w:r>
        <w:rPr>
          <w:rStyle w:val="Elision"/>
        </w:rPr>
        <w:t xml:space="preserve">[ … ]</w:t>
      </w:r>
    </w:p>
    <w:bookmarkEnd w:id="191"/>
    <w:bookmarkStart w:id="192" w:name="ii-8"/>
    <w:p>
      <w:pPr>
        <w:pStyle w:val="Heading2"/>
      </w:pPr>
      <w:r>
        <w:t xml:space="preserve">II</w:t>
      </w:r>
    </w:p>
    <w:p>
      <w:pPr>
        <w:pStyle w:val="CaseBody"/>
      </w:pPr>
      <w:r>
        <w:rPr>
          <w:rStyle w:val="Elision"/>
        </w:rPr>
        <w:t xml:space="preserve">[ … ]</w:t>
      </w:r>
      <w:r>
        <w:t xml:space="preserve">Our cases indicate that when the federal law sought to be applied is a congressional statute, the first and chief question for the district court's determination is whether the statute is "sufficiently broad to control the issue before the Court."</w:t>
      </w:r>
      <w:r>
        <w:t xml:space="preserve"> </w:t>
      </w:r>
      <w:r>
        <w:rPr>
          <w:iCs/>
          <w:i/>
        </w:rPr>
        <w:t xml:space="preserve">Walker</w:t>
      </w:r>
      <w:r>
        <w:t xml:space="preserve"> </w:t>
      </w:r>
      <w:r>
        <w:t xml:space="preserve">v.</w:t>
      </w:r>
      <w:r>
        <w:t xml:space="preserve"> </w:t>
      </w:r>
      <w:r>
        <w:rPr>
          <w:iCs/>
          <w:i/>
        </w:rPr>
        <w:t xml:space="preserve">Armco Steel Corp.,</w:t>
      </w:r>
      <w:r>
        <w:t xml:space="preserve"> </w:t>
      </w:r>
      <w:r>
        <w:rPr>
          <w:rStyle w:val="Elision"/>
        </w:rPr>
        <w:t xml:space="preserve">[ … ]</w:t>
      </w:r>
      <w:r>
        <w:rPr>
          <w:rStyle w:val="Elision"/>
        </w:rPr>
        <w:t xml:space="preserve">[ … ]</w:t>
      </w:r>
      <w:r>
        <w:t xml:space="preserve"> </w:t>
      </w:r>
      <w:r>
        <w:t xml:space="preserve">This question involves a straightforward exercise in statutory interpretation to determine if the statute covers the point in dispute.</w:t>
      </w:r>
      <w:r>
        <w:t xml:space="preserve"> </w:t>
      </w:r>
      <w:r>
        <w:rPr>
          <w:rStyle w:val="Elision"/>
        </w:rPr>
        <w:t xml:space="preserve">[ … ]</w:t>
      </w:r>
    </w:p>
    <w:p>
      <w:pPr>
        <w:pStyle w:val="CaseBody"/>
      </w:pPr>
      <w:r>
        <w:t xml:space="preserve">If the district court determines that a federal statute covers the point in dispute, it proceeds to inquire whether the statute represents a valid exercise of Congress' authority under the Constitution. See</w:t>
      </w:r>
      <w:r>
        <w:t xml:space="preserve"> </w:t>
      </w:r>
      <w:r>
        <w:rPr>
          <w:iCs/>
          <w:i/>
        </w:rPr>
        <w:t xml:space="preserve">Hanna</w:t>
      </w:r>
      <w:r>
        <w:t xml:space="preserve"> </w:t>
      </w:r>
      <w:r>
        <w:t xml:space="preserve">v.</w:t>
      </w:r>
      <w:r>
        <w:t xml:space="preserve"> </w:t>
      </w:r>
      <w:r>
        <w:rPr>
          <w:iCs/>
          <w:i/>
        </w:rPr>
        <w:t xml:space="preserve">Plumer,</w:t>
      </w:r>
      <w:r>
        <w:t xml:space="preserve"> </w:t>
      </w:r>
      <w:r>
        <w:rPr>
          <w:rStyle w:val="Elision"/>
        </w:rPr>
        <w:t xml:space="preserve">[ … ]</w:t>
      </w:r>
      <w:r>
        <w:t xml:space="preserve"> </w:t>
      </w:r>
      <w:r>
        <w:t xml:space="preserve">(citing</w:t>
      </w:r>
      <w:r>
        <w:t xml:space="preserve"> </w:t>
      </w:r>
      <w:r>
        <w:rPr>
          <w:iCs/>
          <w:i/>
        </w:rPr>
        <w:t xml:space="preserve">Erie R. Co.</w:t>
      </w:r>
      <w:r>
        <w:t xml:space="preserve"> </w:t>
      </w:r>
      <w:r>
        <w:t xml:space="preserve">v.</w:t>
      </w:r>
      <w:r>
        <w:t xml:space="preserve"> </w:t>
      </w:r>
      <w:r>
        <w:rPr>
          <w:iCs/>
          <w:i/>
        </w:rPr>
        <w:t xml:space="preserve">Tompkins,</w:t>
      </w:r>
      <w:r>
        <w:rPr>
          <w:iCs/>
          <w:i/>
        </w:rPr>
        <w:t xml:space="preserve"> </w:t>
      </w:r>
      <w:r>
        <w:rPr>
          <w:rStyle w:val="ReplacementText"/>
          <w:iCs/>
          <w:i/>
        </w:rPr>
        <w:t xml:space="preserve">)</w:t>
      </w:r>
      <w:r>
        <w:t xml:space="preserve"> </w:t>
      </w:r>
      <w:r>
        <w:t xml:space="preserve">If Congress intended to reach the issue before the district court, and if it enacted its intention into law in a manner that abides with the Constitution, that is the end of the matter; "[f]ederal courts are bound to apply rules enacted by Congress with respect to matters . . . over which it has legislative power."</w:t>
      </w:r>
      <w:r>
        <w:t xml:space="preserve"> </w:t>
      </w:r>
      <w:r>
        <w:rPr>
          <w:rStyle w:val="Elision"/>
        </w:rPr>
        <w:t xml:space="preserve">[ … ]</w:t>
      </w:r>
      <w:r>
        <w:t xml:space="preserve"> </w:t>
      </w:r>
      <w:r>
        <w:t xml:space="preserve">Thus, a district court sitting in diversity must apply a federal statute that controls the issue before the court and that represents a valid exercise of Congress' constitutional powers.</w:t>
      </w:r>
    </w:p>
    <w:bookmarkEnd w:id="192"/>
    <w:bookmarkStart w:id="193" w:name="iii-7"/>
    <w:p>
      <w:pPr>
        <w:pStyle w:val="Heading2"/>
      </w:pPr>
      <w:r>
        <w:rPr>
          <w:rStyle w:val="Elision"/>
        </w:rPr>
        <w:t xml:space="preserve">[ … ]</w:t>
      </w:r>
      <w:r>
        <w:t xml:space="preserve"> </w:t>
      </w:r>
      <w:r>
        <w:t xml:space="preserve">III</w:t>
      </w:r>
    </w:p>
    <w:p>
      <w:pPr>
        <w:pStyle w:val="CaseBody"/>
      </w:pPr>
      <w:r>
        <w:t xml:space="preserve">Applying the above analysis to this case persuades us that federal law, specifically</w:t>
      </w:r>
      <w:r>
        <w:t xml:space="preserve"> </w:t>
      </w:r>
      <w:r>
        <w:rPr>
          <w:rStyle w:val="ReplacementText"/>
        </w:rPr>
        <w:t xml:space="preserve">one of the transfer statutes</w:t>
      </w:r>
      <w:r>
        <w:t xml:space="preserve">, governs the parties' venue dispute.</w:t>
      </w:r>
    </w:p>
    <w:bookmarkEnd w:id="193"/>
    <w:bookmarkStart w:id="194" w:name="a-5"/>
    <w:p>
      <w:pPr>
        <w:pStyle w:val="Heading2"/>
      </w:pPr>
      <w:r>
        <w:t xml:space="preserve">A</w:t>
      </w:r>
    </w:p>
    <w:p>
      <w:pPr>
        <w:pStyle w:val="CaseBody"/>
      </w:pPr>
      <w:r>
        <w:t xml:space="preserve">At the outset we underscore a methodological difference in our approach to the question from that taken by the Court of Appeals. The en banc court determined that federal law controlled the issue based on a survey of different statutes and judicial decisions that together revealed a significant federal interest in questions of venue in general, and in choice-of-forum clauses in particular. The Court of Appeals then proceeded to apply the standards announced in our opinion in</w:t>
      </w:r>
      <w:r>
        <w:t xml:space="preserve"> </w:t>
      </w:r>
      <w:r>
        <w:rPr>
          <w:rStyle w:val="ReplacementText"/>
          <w:iCs/>
          <w:i/>
        </w:rPr>
        <w:t xml:space="preserve">[a prior admiralty case articulating federal common law upholding forum selection clauses]</w:t>
      </w:r>
      <w:hyperlink w:anchor="X99c002cfaf28de647909b03ebe1a003fd060e05">
        <w:r>
          <w:rPr>
            <w:rStyle w:val="Hyperlink"/>
            <w:vertAlign w:val="superscript"/>
          </w:rPr>
          <w:t xml:space="preserve">7]</w:t>
        </w:r>
      </w:hyperlink>
      <w:r>
        <w:t xml:space="preserve"> </w:t>
      </w:r>
      <w:r>
        <w:t xml:space="preserve">to determine that the forum-selection clause in this case was enforceable. But the immediate issue before the District Court was whether to grant respondent's motion to transfer the action under</w:t>
      </w:r>
      <w:r>
        <w:rPr>
          <w:rStyle w:val="ReplacementText"/>
        </w:rPr>
        <w:t xml:space="preserve">one of the transfer statutes</w:t>
      </w:r>
      <w:r>
        <w:t xml:space="preserve">, the immediate issue before the Court of Appeals was whether the District Court's denial of the</w:t>
      </w:r>
      <w:r>
        <w:t xml:space="preserve"> </w:t>
      </w:r>
      <w:r>
        <w:rPr>
          <w:rStyle w:val="Elision"/>
        </w:rPr>
        <w:t xml:space="preserve">[ … ]</w:t>
      </w:r>
      <w:r>
        <w:t xml:space="preserve">motion constituted an abuse of discretion. Although we agree with the Court of Appeals that the</w:t>
      </w:r>
      <w:r>
        <w:t xml:space="preserve"> </w:t>
      </w:r>
      <w:r>
        <w:rPr>
          <w:rStyle w:val="ReplacementText"/>
          <w:iCs/>
          <w:i/>
        </w:rPr>
        <w:t xml:space="preserve">federal common law upholding forum selection clauses</w:t>
      </w:r>
      <w:r>
        <w:t xml:space="preserve">case may prove "instructive" in resolving the parties' dispute</w:t>
      </w:r>
      <w:r>
        <w:rPr>
          <w:rStyle w:val="Elision"/>
        </w:rPr>
        <w:t xml:space="preserve">[ … ]</w:t>
      </w:r>
      <w:r>
        <w:t xml:space="preserve">, we disagree with the</w:t>
      </w:r>
      <w:r>
        <w:t xml:space="preserve"> </w:t>
      </w:r>
      <w:r>
        <w:rPr>
          <w:rStyle w:val="Elision"/>
        </w:rPr>
        <w:t xml:space="preserve">[ … ]</w:t>
      </w:r>
      <w:r>
        <w:t xml:space="preserve"> </w:t>
      </w:r>
      <w:r>
        <w:t xml:space="preserve">court's articulation of the relevant inquiry as "whether the forum selection clause in this case is unenforceable under the standards set forth in</w:t>
      </w:r>
      <w:r>
        <w:t xml:space="preserve"> </w:t>
      </w:r>
      <w:r>
        <w:rPr>
          <w:rStyle w:val="ReplacementText"/>
          <w:iCs/>
          <w:i/>
        </w:rPr>
        <w:t xml:space="preserve">prior SCOTUS opinions</w:t>
      </w:r>
      <w:r>
        <w:t xml:space="preserve"> </w:t>
      </w:r>
      <w:r>
        <w:t xml:space="preserve">Rather, the first question for consideration should have been whether</w:t>
      </w:r>
      <w:r>
        <w:t xml:space="preserve"> </w:t>
      </w:r>
      <w:r>
        <w:rPr>
          <w:rStyle w:val="ReplacementText"/>
        </w:rPr>
        <w:t xml:space="preserve">one of the transfer statutes</w:t>
      </w:r>
      <w:r>
        <w:t xml:space="preserve"> </w:t>
      </w:r>
      <w:r>
        <w:t xml:space="preserve">itself controls respondent's request to give effect to the parties' contractual choice of venue and transfer this case to a Manhattan court. For the reasons that follow, we hold that it does.</w:t>
      </w:r>
    </w:p>
    <w:bookmarkEnd w:id="194"/>
    <w:bookmarkStart w:id="195" w:name="b-4"/>
    <w:p>
      <w:pPr>
        <w:pStyle w:val="Heading2"/>
      </w:pPr>
      <w:r>
        <w:t xml:space="preserve">B</w:t>
      </w:r>
    </w:p>
    <w:p>
      <w:pPr>
        <w:pStyle w:val="CaseBody"/>
      </w:pPr>
      <w:r>
        <w:rPr>
          <w:rStyle w:val="ReplacementText"/>
        </w:rPr>
        <w:t xml:space="preserve">One of the transfer statutes</w:t>
      </w:r>
      <w:r>
        <w:t xml:space="preserve"> </w:t>
      </w:r>
      <w:r>
        <w:t xml:space="preserve">provides: "For the convenience of parties and witnesses, in the interest of justice, a district court may transfer any civil action to any other district or division where it might have been brought." Under the analysis outlined above, we first consider whether this provision is sufficiently broad to control the issue before the court. That issue is whether to transfer the case to a court in Manhattan in accordance with the forum-selection clause. We believe that the statute, fairly construed, does cover the point in dispute.</w:t>
      </w:r>
    </w:p>
    <w:p>
      <w:pPr>
        <w:pStyle w:val="CaseBody"/>
      </w:pPr>
      <w:r>
        <w:rPr>
          <w:rStyle w:val="ReplacementText"/>
        </w:rPr>
        <w:t xml:space="preserve">The transfer statutes are</w:t>
      </w:r>
      <w:r>
        <w:t xml:space="preserve">intended to place discretion in the district court to adjudicate motions for transfer according to an "individualized, case-by-case consideration of convenience and fairness."</w:t>
      </w:r>
      <w:r>
        <w:t xml:space="preserve"> </w:t>
      </w:r>
      <w:r>
        <w:rPr>
          <w:iCs/>
          <w:i/>
        </w:rPr>
        <w:t xml:space="preserve">Van Dusen</w:t>
      </w:r>
      <w:r>
        <w:t xml:space="preserve"> </w:t>
      </w:r>
      <w:r>
        <w:t xml:space="preserve">v.</w:t>
      </w:r>
      <w:r>
        <w:t xml:space="preserve"> </w:t>
      </w:r>
      <w:r>
        <w:rPr>
          <w:iCs/>
          <w:i/>
        </w:rPr>
        <w:t xml:space="preserve">Barrack,</w:t>
      </w:r>
      <w:r>
        <w:t xml:space="preserve"> </w:t>
      </w:r>
      <w:r>
        <w:rPr>
          <w:rStyle w:val="Elision"/>
        </w:rPr>
        <w:t xml:space="preserve">[ … ]</w:t>
      </w:r>
      <w:r>
        <w:t xml:space="preserve">. A motion to transfer under</w:t>
      </w:r>
      <w:r>
        <w:t xml:space="preserve"> </w:t>
      </w:r>
      <w:r>
        <w:rPr>
          <w:rStyle w:val="ReplacementText"/>
        </w:rPr>
        <w:t xml:space="preserve">the transfer statutes</w:t>
      </w:r>
      <w:r>
        <w:t xml:space="preserve"> </w:t>
      </w:r>
      <w:r>
        <w:t xml:space="preserve">thus calls on the district c</w:t>
      </w:r>
      <w:r>
        <w:t xml:space="preserve">ourt to weigh in the balance</w:t>
      </w:r>
      <w:r>
        <w:t xml:space="preserve"> </w:t>
      </w:r>
      <w:r>
        <w:rPr>
          <w:rStyle w:val="ReplacementText"/>
        </w:rPr>
        <w:t xml:space="preserve">the presumptions and law articulated in Atlantic Marine.</w:t>
      </w:r>
      <w:r>
        <w:rPr>
          <w:rStyle w:val="FootnoteReference"/>
        </w:rPr>
        <w:footnoteReference w:customMarkFollows="1" w:id="28"/>
        <w:t xml:space="preserve">*</w:t>
      </w:r>
      <w:r>
        <w:t xml:space="preserve">The</w:t>
      </w:r>
      <w:r>
        <w:t xml:space="preserve"> </w:t>
      </w:r>
      <w:r>
        <w:rPr>
          <w:rStyle w:val="Elision"/>
        </w:rPr>
        <w:t xml:space="preserve">[ … ]</w:t>
      </w:r>
      <w:r>
        <w:t xml:space="preserve"> </w:t>
      </w:r>
      <w:r>
        <w:t xml:space="preserve">analysis Congress prescribed in</w:t>
      </w:r>
      <w:r>
        <w:t xml:space="preserve"> </w:t>
      </w:r>
      <w:r>
        <w:rPr>
          <w:rStyle w:val="ReplacementText"/>
        </w:rPr>
        <w:t xml:space="preserve">the transfer statutes</w:t>
      </w:r>
      <w:r>
        <w:t xml:space="preserve"> </w:t>
      </w:r>
      <w:r>
        <w:t xml:space="preserve">thus encompasses</w:t>
      </w:r>
      <w:r>
        <w:t xml:space="preserve"> </w:t>
      </w:r>
      <w:r>
        <w:rPr>
          <w:rStyle w:val="Elision"/>
        </w:rPr>
        <w:t xml:space="preserve">[ … ]</w:t>
      </w:r>
      <w:r>
        <w:t xml:space="preserve"> </w:t>
      </w:r>
      <w:r>
        <w:t xml:space="preserve">consideration of the parties' private expression of their venue preferences.</w:t>
      </w:r>
    </w:p>
    <w:p>
      <w:pPr>
        <w:pStyle w:val="CaseBody"/>
      </w:pPr>
      <w:r>
        <w:rPr>
          <w:rStyle w:val="ReplacementText"/>
        </w:rPr>
        <w:t xml:space="preserve">In this case, the</w:t>
      </w:r>
      <w:r>
        <w:t xml:space="preserve"> </w:t>
      </w:r>
      <w:r>
        <w:t xml:space="preserve">District Court will have either to integrate the factor of the forum-selection clause into its</w:t>
      </w:r>
      <w:r>
        <w:t xml:space="preserve"> </w:t>
      </w:r>
      <w:r>
        <w:rPr>
          <w:rStyle w:val="ReplacementText"/>
        </w:rPr>
        <w:t xml:space="preserve">Atlantic Marine analysis</w:t>
      </w:r>
      <w:r>
        <w:t xml:space="preserve"> </w:t>
      </w:r>
      <w:r>
        <w:t xml:space="preserve">as prescribed by Congress, or else to apply, as it did in this case, Alabama's categorical policy disfavoring forum-selection clauses. Our cases make clear that, as between these two choices in a single "field of operation,"</w:t>
      </w:r>
      <w:r>
        <w:t xml:space="preserve"> </w:t>
      </w:r>
      <w:r>
        <w:rPr>
          <w:rStyle w:val="Elision"/>
        </w:rPr>
        <w:t xml:space="preserve">[ … ]</w:t>
      </w:r>
      <w:r>
        <w:t xml:space="preserve"> </w:t>
      </w:r>
      <w:r>
        <w:t xml:space="preserve">the instructions of Congress are supreme.</w:t>
      </w:r>
      <w:r>
        <w:t xml:space="preserve"> </w:t>
      </w:r>
      <w:r>
        <w:rPr>
          <w:rStyle w:val="Elision"/>
        </w:rPr>
        <w:t xml:space="preserve">[ … ]</w:t>
      </w:r>
    </w:p>
    <w:p>
      <w:pPr>
        <w:pStyle w:val="CaseBody"/>
      </w:pPr>
      <w:r>
        <w:t xml:space="preserve">It is true that</w:t>
      </w:r>
      <w:r>
        <w:t xml:space="preserve"> </w:t>
      </w:r>
      <w:r>
        <w:rPr>
          <w:rStyle w:val="ReplacementText"/>
        </w:rPr>
        <w:t xml:space="preserve">the transfer statutes</w:t>
      </w:r>
      <w:r>
        <w:t xml:space="preserve"> </w:t>
      </w:r>
      <w:r>
        <w:t xml:space="preserve">and Alabama's putative policy regarding forum-selection clauses are not perfectly coextensive.</w:t>
      </w:r>
      <w:r>
        <w:t xml:space="preserve"> </w:t>
      </w:r>
      <w:r>
        <w:rPr>
          <w:rStyle w:val="Elision"/>
        </w:rPr>
        <w:t xml:space="preserve">[ … ]</w:t>
      </w:r>
      <w:r>
        <w:t xml:space="preserve"> </w:t>
      </w:r>
      <w:r>
        <w:t xml:space="preserve">But this potential conflict in fact frames an additional argument for the supremacy of federal law. Congress has directed that</w:t>
      </w:r>
      <w:r>
        <w:t xml:space="preserve"> </w:t>
      </w:r>
      <w:r>
        <w:rPr>
          <w:rStyle w:val="ReplacementText"/>
        </w:rPr>
        <w:t xml:space="preserve">the Atlantic Marine framework</w:t>
      </w:r>
      <w:r>
        <w:t xml:space="preserve"> </w:t>
      </w:r>
      <w:r>
        <w:t xml:space="preserve">govern transfer within the federal court system, and a state policy focusing on a single concern or a subset of the factors identified in</w:t>
      </w:r>
      <w:r>
        <w:t xml:space="preserve"> </w:t>
      </w:r>
      <w:r>
        <w:rPr>
          <w:rStyle w:val="ReplacementText"/>
        </w:rPr>
        <w:t xml:space="preserve">the transfer statutes</w:t>
      </w:r>
      <w:r>
        <w:t xml:space="preserve"> </w:t>
      </w:r>
      <w:r>
        <w:t xml:space="preserve">would defeat that command.</w:t>
      </w:r>
      <w:r>
        <w:t xml:space="preserve"> </w:t>
      </w:r>
      <w:r>
        <w:rPr>
          <w:rStyle w:val="Elision"/>
        </w:rPr>
        <w:t xml:space="preserve">[ … ]</w:t>
      </w:r>
      <w:r>
        <w:t xml:space="preserve"> </w:t>
      </w:r>
      <w:r>
        <w:t xml:space="preserve">The forum-selection clause, which represents the parties' agreement as to the most proper forum, should receive</w:t>
      </w:r>
      <w:r>
        <w:t xml:space="preserve"> </w:t>
      </w:r>
      <w:r>
        <w:rPr>
          <w:rStyle w:val="Elision"/>
        </w:rPr>
        <w:t xml:space="preserve">[ … ]</w:t>
      </w:r>
      <w:r>
        <w:t xml:space="preserve">the consideration for which Congress provided in</w:t>
      </w:r>
      <w:r>
        <w:t xml:space="preserve"> </w:t>
      </w:r>
      <w:r>
        <w:rPr>
          <w:rStyle w:val="ReplacementText"/>
        </w:rPr>
        <w:t xml:space="preserve">the transfer statutes</w:t>
      </w:r>
      <w:r>
        <w:t xml:space="preserve">.</w:t>
      </w:r>
      <w:r>
        <w:t xml:space="preserve"> </w:t>
      </w:r>
      <w:r>
        <w:rPr>
          <w:rStyle w:val="Elision"/>
        </w:rPr>
        <w:t xml:space="preserve">[ … ]</w:t>
      </w:r>
      <w:r>
        <w:t xml:space="preserve">This is thus not a case in which state and federal rules "can exist side by side . . . each controlling its own intended sphere of coverage without conflict."</w:t>
      </w:r>
      <w:r>
        <w:t xml:space="preserve"> </w:t>
      </w:r>
      <w:r>
        <w:rPr>
          <w:iCs/>
          <w:i/>
        </w:rPr>
        <w:t xml:space="preserve">Walker</w:t>
      </w:r>
      <w:r>
        <w:t xml:space="preserve"> </w:t>
      </w:r>
      <w:r>
        <w:t xml:space="preserve">v.</w:t>
      </w:r>
      <w:r>
        <w:t xml:space="preserve"> </w:t>
      </w:r>
      <w:r>
        <w:rPr>
          <w:iCs/>
          <w:i/>
        </w:rPr>
        <w:t xml:space="preserve">Armco Steel Corp.</w:t>
      </w:r>
      <w:r>
        <w:rPr>
          <w:rStyle w:val="Elision"/>
        </w:rPr>
        <w:t xml:space="preserve">[ … ]</w:t>
      </w:r>
      <w:r>
        <w:t xml:space="preserve">.</w:t>
      </w:r>
    </w:p>
    <w:p>
      <w:pPr>
        <w:pStyle w:val="CaseBody"/>
      </w:pPr>
      <w:r>
        <w:t xml:space="preserve">Because</w:t>
      </w:r>
      <w:r>
        <w:t xml:space="preserve"> </w:t>
      </w:r>
      <w:r>
        <w:rPr>
          <w:rStyle w:val="ReplacementText"/>
        </w:rPr>
        <w:t xml:space="preserve">one of the transfer statutes</w:t>
      </w:r>
      <w:r>
        <w:t xml:space="preserve"> </w:t>
      </w:r>
      <w:r>
        <w:t xml:space="preserve">controls the issue before the District Court, it must be applied if it represents a valid exercise of</w:t>
      </w:r>
      <w:r>
        <w:t xml:space="preserve"> </w:t>
      </w:r>
      <w:r>
        <w:rPr>
          <w:rStyle w:val="Elision"/>
        </w:rPr>
        <w:t xml:space="preserve">[ … ]</w:t>
      </w:r>
      <w:r>
        <w:t xml:space="preserve"> </w:t>
      </w:r>
      <w:r>
        <w:t xml:space="preserve">Congress' authority under the Constitution. The constitutional authority of Congress to enact</w:t>
      </w:r>
      <w:r>
        <w:t xml:space="preserve"> </w:t>
      </w:r>
      <w:r>
        <w:rPr>
          <w:rStyle w:val="ReplacementText"/>
        </w:rPr>
        <w:t xml:space="preserve">the transfer statutes</w:t>
      </w:r>
      <w:r>
        <w:t xml:space="preserve"> </w:t>
      </w:r>
      <w:r>
        <w:t xml:space="preserve">is not subject to serious question. As the Court made plain in</w:t>
      </w:r>
      <w:r>
        <w:t xml:space="preserve"> </w:t>
      </w:r>
      <w:r>
        <w:rPr>
          <w:iCs/>
          <w:i/>
        </w:rPr>
        <w:t xml:space="preserve">Hanna,</w:t>
      </w:r>
      <w:r>
        <w:t xml:space="preserve"> </w:t>
      </w:r>
      <w:r>
        <w:t xml:space="preserve">"the constitutional provision for a federal court system . . . carries with it congressional power to make rules governing the practice and pleading in those courts, which in turn includes a power to regulate matters which, though falling within the uncertain area between substance and procedure, are rationally capable of classification as either." 380 U. S., at 472.</w:t>
      </w:r>
      <w:r>
        <w:t xml:space="preserve"> </w:t>
      </w:r>
      <w:r>
        <w:rPr>
          <w:rStyle w:val="Elision"/>
        </w:rPr>
        <w:t xml:space="preserve">[ … ]</w:t>
      </w:r>
      <w:r>
        <w:t xml:space="preserve"> </w:t>
      </w:r>
      <w:r>
        <w:rPr>
          <w:rStyle w:val="ReplacementText"/>
        </w:rPr>
        <w:t xml:space="preserve">The transfer statutes are</w:t>
      </w:r>
      <w:r>
        <w:t xml:space="preserve"> </w:t>
      </w:r>
      <w:r>
        <w:t xml:space="preserve">doubtless capable of classification as a procedural rule, and indeed, we have so classified it in holding that a transfer pursuant to</w:t>
      </w:r>
      <w:r>
        <w:t xml:space="preserve"> </w:t>
      </w:r>
      <w:r>
        <w:rPr>
          <w:rStyle w:val="ReplacementText"/>
        </w:rPr>
        <w:t xml:space="preserve">one of the transfer statutes</w:t>
      </w:r>
      <w:r>
        <w:t xml:space="preserve"> </w:t>
      </w:r>
      <w:r>
        <w:t xml:space="preserve">does not carry with it a change in the applicable law.</w:t>
      </w:r>
      <w:r>
        <w:t xml:space="preserve"> </w:t>
      </w:r>
      <w:r>
        <w:rPr>
          <w:rStyle w:val="Elision"/>
        </w:rPr>
        <w:t xml:space="preserve">[ … ]</w:t>
      </w:r>
      <w:r>
        <w:t xml:space="preserve"> </w:t>
      </w:r>
      <w:r>
        <w:t xml:space="preserve">It therefore falls comfortably within Congress' powers under Article III as augmented by the Necessary and Proper Clause.</w:t>
      </w:r>
      <w:r>
        <w:rPr>
          <w:rStyle w:val="Elision"/>
        </w:rPr>
        <w:t xml:space="preserve">[ … ]</w:t>
      </w:r>
    </w:p>
    <w:p>
      <w:pPr>
        <w:pStyle w:val="CaseBody"/>
      </w:pPr>
      <w:r>
        <w:t xml:space="preserve">We hold that federal law</w:t>
      </w:r>
      <w:r>
        <w:rPr>
          <w:rStyle w:val="Elision"/>
        </w:rPr>
        <w:t xml:space="preserve">[ … ]</w:t>
      </w:r>
      <w:r>
        <w:t xml:space="preserve">governs the District Court's decision whether to give effect to the parties' forum-selection clause and transfer this case to a court in Manhattan.</w:t>
      </w:r>
      <w:hyperlink w:anchor="X613769adef3a04db5e6135884d6f9064b825dde">
        <w:r>
          <w:rPr>
            <w:rStyle w:val="Elision"/>
            <w:vertAlign w:val="superscript"/>
          </w:rPr>
          <w:t xml:space="preserve">[ … ]</w:t>
        </w:r>
      </w:hyperlink>
      <w:r>
        <w:t xml:space="preserve">We therefore affirm the Eleventh Circuit order reversing the District Court's application of Alabama law.</w:t>
      </w:r>
      <w:r>
        <w:t xml:space="preserve"> </w:t>
      </w:r>
      <w:r>
        <w:rPr>
          <w:rStyle w:val="Elision"/>
        </w:rPr>
        <w:t xml:space="preserve">[ … ]</w:t>
      </w:r>
    </w:p>
    <w:p>
      <w:pPr>
        <w:pStyle w:val="CaseBody"/>
      </w:pPr>
      <w:r>
        <w:rPr>
          <w:iCs/>
          <w:i/>
        </w:rPr>
        <w:t xml:space="preserve">It is so ordered.</w:t>
      </w:r>
    </w:p>
    <w:bookmarkEnd w:id="195"/>
    <w:bookmarkStart w:id="196" w:name="X8517fa961047063979b28217b506770bdd08190"/>
    <w:p>
      <w:pPr>
        <w:pStyle w:val="Heading2"/>
      </w:pPr>
      <w:r>
        <w:rPr>
          <w:rStyle w:val="Elision"/>
        </w:rPr>
        <w:t xml:space="preserve">[ … ]</w:t>
      </w:r>
      <w:r>
        <w:t xml:space="preserve"> </w:t>
      </w:r>
      <w:r>
        <w:t xml:space="preserve">JUSTICE KENNEDY, with whom JUSTICE O'CONNOR joins, concurring.</w:t>
      </w:r>
      <w:r>
        <w:rPr>
          <w:rStyle w:val="FootnoteReference"/>
        </w:rPr>
        <w:footnoteReference w:customMarkFollows="1" w:id="76"/>
        <w:t xml:space="preserve">**</w:t>
      </w:r>
    </w:p>
    <w:p>
      <w:pPr>
        <w:pStyle w:val="CaseBody"/>
      </w:pPr>
      <w:r>
        <w:t xml:space="preserve">I concur in full. I write separately only to observe that enforcement of valid forum-selection clauses, bargained for by the parties, protects their legitimate expectations and furthers vital interests of the justice system. Although our opinion in</w:t>
      </w:r>
      <w:r>
        <w:t xml:space="preserve"> </w:t>
      </w:r>
      <w:r>
        <w:rPr>
          <w:iCs/>
          <w:i/>
        </w:rPr>
        <w:t xml:space="preserve">The Bremen</w:t>
      </w:r>
      <w:r>
        <w:t xml:space="preserve"> </w:t>
      </w:r>
      <w:r>
        <w:t xml:space="preserve">v.</w:t>
      </w:r>
      <w:r>
        <w:t xml:space="preserve"> </w:t>
      </w:r>
      <w:r>
        <w:rPr>
          <w:iCs/>
          <w:i/>
        </w:rPr>
        <w:t xml:space="preserve">Zapata Off-Shore Co.</w:t>
      </w:r>
      <w:r>
        <w:rPr>
          <w:rStyle w:val="Elision"/>
        </w:rPr>
        <w:t xml:space="preserve">[ … ]</w:t>
      </w:r>
      <w:r>
        <w:t xml:space="preserve"> </w:t>
      </w:r>
      <w:r>
        <w:t xml:space="preserve">involved a Federal District Court sitting in admiralty, its reasoning applies with much force to federal courts sitting in diversity. The justifications we noted in</w:t>
      </w:r>
      <w:r>
        <w:t xml:space="preserve"> </w:t>
      </w:r>
      <w:r>
        <w:rPr>
          <w:iCs/>
          <w:i/>
        </w:rPr>
        <w:t xml:space="preserve">The Bremen</w:t>
      </w:r>
      <w:r>
        <w:t xml:space="preserve"> </w:t>
      </w:r>
      <w:r>
        <w:t xml:space="preserve">to counter the historical disfavor forum-selection clauses had received in American courts,</w:t>
      </w:r>
      <w:r>
        <w:t xml:space="preserve"> </w:t>
      </w:r>
      <w:r>
        <w:rPr>
          <w:rStyle w:val="Elision"/>
        </w:rPr>
        <w:t xml:space="preserve">[ … ]</w:t>
      </w:r>
      <w:r>
        <w:t xml:space="preserve">should be understood to guide the District Court's analysis under</w:t>
      </w:r>
      <w:r>
        <w:t xml:space="preserve"> </w:t>
      </w:r>
      <w:r>
        <w:rPr>
          <w:rStyle w:val="ReplacementText"/>
        </w:rPr>
        <w:t xml:space="preserve">the transfer statutes</w:t>
      </w:r>
      <w:r>
        <w:t xml:space="preserve">.</w:t>
      </w:r>
    </w:p>
    <w:p>
      <w:pPr>
        <w:pStyle w:val="CaseBody"/>
      </w:pPr>
      <w:r>
        <w:rPr>
          <w:rStyle w:val="Elision"/>
        </w:rPr>
        <w:t xml:space="preserve">[ … ]</w:t>
      </w:r>
      <w:r>
        <w:t xml:space="preserve">Courts should announce and encourage rules that support private parties who negotiate</w:t>
      </w:r>
      <w:r>
        <w:t xml:space="preserve"> </w:t>
      </w:r>
      <w:r>
        <w:rPr>
          <w:rStyle w:val="ReplacementText"/>
        </w:rPr>
        <w:t xml:space="preserve">forum selection</w:t>
      </w:r>
      <w:r>
        <w:t xml:space="preserve">clauses. T</w:t>
      </w:r>
      <w:r>
        <w:rPr>
          <w:rStyle w:val="Elision"/>
        </w:rPr>
        <w:t xml:space="preserve">[ … ]</w:t>
      </w:r>
      <w:r>
        <w:t xml:space="preserve">he authority and prerogative of the federal courts to determine the issue</w:t>
      </w:r>
      <w:r>
        <w:rPr>
          <w:rStyle w:val="Elision"/>
        </w:rPr>
        <w:t xml:space="preserve">[ … ]</w:t>
      </w:r>
      <w:r>
        <w:t xml:space="preserve"> </w:t>
      </w:r>
      <w:r>
        <w:t xml:space="preserve">should be exercised so that a valid forum-selection clause is given controlling weight in all but the most exceptional cases.</w:t>
      </w:r>
      <w:r>
        <w:t xml:space="preserve"> </w:t>
      </w:r>
      <w:r>
        <w:rPr>
          <w:rStyle w:val="Elision"/>
        </w:rPr>
        <w:t xml:space="preserve">[ … ]</w:t>
      </w:r>
    </w:p>
    <w:bookmarkEnd w:id="196"/>
    <w:bookmarkStart w:id="197" w:name="section-11"/>
    <w:p>
      <w:pPr>
        <w:pStyle w:val="Heading2"/>
      </w:pPr>
      <w:r>
        <w:rPr>
          <w:rStyle w:val="FootnoteReference"/>
        </w:rPr>
        <w:footnoteReference w:customMarkFollows="1" w:id="107"/>
        <w:t xml:space="preserve">***</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r>
        <w:rPr>
          <w:rStyle w:val="Elision"/>
        </w:rPr>
        <w:t xml:space="preserve">[ … ]</w:t>
      </w:r>
      <w:r>
        <w:rPr>
          <w:rStyle w:val="Elision"/>
        </w:rPr>
        <w:t xml:space="preserve">[ … ]</w:t>
      </w:r>
    </w:p>
    <w:p>
      <w:pPr>
        <w:pStyle w:val="CaseBody"/>
      </w:pPr>
      <w:r>
        <w:rPr>
          <w:rStyle w:val="Elision"/>
        </w:rPr>
        <w:t xml:space="preserve">[ … ]</w:t>
      </w:r>
    </w:p>
    <w:p>
      <w:pPr>
        <w:pStyle w:val="CaseBody"/>
      </w:pPr>
      <w:r>
        <w:rPr>
          <w:rStyle w:val="Elision"/>
        </w:rPr>
        <w:t xml:space="preserve">[ … ]</w:t>
      </w:r>
      <w:r>
        <w:rPr>
          <w:rStyle w:val="Elision"/>
        </w:rPr>
        <w:t xml:space="preserve">[ … ]</w:t>
      </w:r>
    </w:p>
    <w:p>
      <w:pPr>
        <w:pStyle w:val="CaseBody"/>
      </w:pPr>
      <w:r>
        <w:rPr>
          <w:rStyle w:val="Elision"/>
        </w:rPr>
        <w:t xml:space="preserve">[ … ]</w:t>
      </w:r>
    </w:p>
    <w:p>
      <w:pPr>
        <w:pStyle w:val="CaseBody"/>
      </w:pPr>
      <w:r>
        <w:rPr>
          <w:rStyle w:val="Elision"/>
        </w:rPr>
        <w:t xml:space="preserve">[ … ]</w:t>
      </w:r>
      <w:r>
        <w:rPr>
          <w:rStyle w:val="Elision"/>
        </w:rPr>
        <w:t xml:space="preserve">[ … ]</w:t>
      </w:r>
    </w:p>
    <w:p>
      <w:pPr>
        <w:pStyle w:val="CaseBody"/>
      </w:pPr>
      <w:r>
        <w:rPr>
          <w:rStyle w:val="Elision"/>
        </w:rPr>
        <w:t xml:space="preserve">[ … ]</w:t>
      </w:r>
      <w:r>
        <w:rPr>
          <w:rStyle w:val="Elision"/>
        </w:rPr>
        <w:t xml:space="preserve">[ … ]</w:t>
      </w:r>
    </w:p>
    <w:p>
      <w:pPr>
        <w:pStyle w:val="CaseBody"/>
      </w:pPr>
      <w:hyperlink w:anchor="Xeb518b6a2381cff22ae7aee974389f1f40adcda">
        <w:r>
          <w:rPr>
            <w:rStyle w:val="Elision"/>
          </w:rPr>
          <w:t xml:space="preserve">[ … ]</w:t>
        </w:r>
      </w:hyperlink>
    </w:p>
    <w:bookmarkEnd w:id="197"/>
    <w:p>
      <w:pPr>
        <w:pStyle w:val="NodeEnd"/>
      </w:pPr>
      <w:r>
        <w:t xml:space="preserve"> </w:t>
      </w:r>
    </w:p>
    <w:p>
      <w:pPr>
        <w:pStyle w:val="NodeStart"/>
      </w:pPr>
      <w:r>
        <w:t xml:space="preserve"> </w:t>
      </w:r>
    </w:p>
    <w:p>
      <w:pPr>
        <w:pStyle w:val="HeadSeparator"/>
      </w:pPr>
      <w:r>
        <w:t xml:space="preserve"> </w:t>
      </w:r>
    </w:p>
    <w:bookmarkStart w:id="122" w:name="_auto_toc_122"/>
    <w:bookmarkEnd w:id="122"/>
    <w:p>
      <w:pPr>
        <w:pStyle w:val="ResourceNumber"/>
      </w:pPr>
      <w:r>
        <w:t xml:space="preserve">10.13</w:t>
      </w:r>
    </w:p>
    <w:p>
      <w:pPr>
        <w:pStyle w:val="ResourceTitle"/>
      </w:pPr>
      <w:r>
        <w:t xml:space="preserve">Notes following Stewart</w:t>
      </w:r>
    </w:p>
    <w:p>
      <w:pPr>
        <w:pStyle w:val="HeadEnd"/>
      </w:pPr>
      <w:r>
        <w:t xml:space="preserve"> </w:t>
      </w:r>
    </w:p>
    <w:p>
      <w:pPr>
        <w:numPr>
          <w:ilvl w:val="0"/>
          <w:numId w:val="1123"/>
        </w:numPr>
      </w:pPr>
      <w:r>
        <w:t xml:space="preserve">What test does</w:t>
      </w:r>
      <w:r>
        <w:t xml:space="preserve"> </w:t>
      </w:r>
      <w:r>
        <w:rPr>
          <w:iCs/>
          <w:i/>
        </w:rPr>
        <w:t xml:space="preserve">Stewart</w:t>
      </w:r>
      <w:r>
        <w:t xml:space="preserve"> </w:t>
      </w:r>
      <w:r>
        <w:t xml:space="preserve">articulate for determining if a federal statute is on point? Is this test different from the tests in the other</w:t>
      </w:r>
      <w:r>
        <w:t xml:space="preserve"> </w:t>
      </w:r>
      <w:r>
        <w:rPr>
          <w:iCs/>
          <w:i/>
        </w:rPr>
        <w:t xml:space="preserve">Erie</w:t>
      </w:r>
      <w:r>
        <w:t xml:space="preserve"> </w:t>
      </w:r>
      <w:r>
        <w:t xml:space="preserve">cases we have read, and how?</w:t>
      </w:r>
    </w:p>
    <w:p>
      <w:pPr>
        <w:numPr>
          <w:ilvl w:val="0"/>
          <w:numId w:val="1123"/>
        </w:numPr>
      </w:pPr>
      <w:r>
        <w:t xml:space="preserve">Think about forum selection clauses: why might they be incompatible with federal statutes, and why might states not want to honor them? Does your analysis change when the basis for jurisdiction is admiralty law  rather than diversity jurisdiction? What if there were arising under jurisdiction?</w:t>
      </w:r>
    </w:p>
    <w:p>
      <w:pPr>
        <w:numPr>
          <w:ilvl w:val="0"/>
          <w:numId w:val="1123"/>
        </w:numPr>
      </w:pPr>
      <w:r>
        <w:t xml:space="preserve">Recall the five </w:t>
      </w:r>
      <w:r>
        <w:rPr>
          <w:iCs/>
          <w:i/>
        </w:rPr>
        <w:t xml:space="preserve">Erie</w:t>
      </w:r>
      <w:r>
        <w:t xml:space="preserve"> </w:t>
      </w:r>
      <w:r>
        <w:t xml:space="preserve">rationales. Does one predominate in the majority opinion in Stewart?</w:t>
      </w:r>
    </w:p>
    <w:p>
      <w:pPr>
        <w:pStyle w:val="NodeEnd"/>
      </w:pPr>
      <w:r>
        <w:t xml:space="preserve"> </w:t>
      </w:r>
    </w:p>
    <w:p>
      <w:pPr>
        <w:pStyle w:val="NodeStart"/>
      </w:pPr>
      <w:r>
        <w:t xml:space="preserve"> </w:t>
      </w:r>
    </w:p>
    <w:p>
      <w:pPr>
        <w:pStyle w:val="HeadSeparator"/>
      </w:pPr>
      <w:r>
        <w:t xml:space="preserve"> </w:t>
      </w:r>
    </w:p>
    <w:bookmarkStart w:id="123" w:name="_auto_toc_123"/>
    <w:bookmarkEnd w:id="123"/>
    <w:p>
      <w:pPr>
        <w:pStyle w:val="ResourceNumber"/>
      </w:pPr>
      <w:r>
        <w:t xml:space="preserve">10.14</w:t>
      </w:r>
    </w:p>
    <w:p>
      <w:pPr>
        <w:pStyle w:val="ResourceTitle"/>
      </w:pPr>
      <w:r>
        <w:t xml:space="preserve">Not a Study Guide Handouts</w:t>
      </w:r>
    </w:p>
    <w:p>
      <w:pPr>
        <w:pStyle w:val="HeadFieldSeparator"/>
      </w:pPr>
      <w:r>
        <w:t xml:space="preserve"> </w:t>
      </w:r>
    </w:p>
    <w:p>
      <w:pPr>
        <w:pStyle w:val="ResourceHeadnote"/>
      </w:pPr>
      <w:r>
        <w:t xml:space="preserve">These two handouts are NOT meant as study guides. They are for humor value.</w:t>
      </w:r>
    </w:p>
    <w:p>
      <w:pPr>
        <w:pStyle w:val="HeadEnd"/>
      </w:pPr>
      <w:r>
        <w:t xml:space="preserve"> </w:t>
      </w:r>
    </w:p>
    <w:p>
      <w:pPr>
        <w:pStyle w:val="BodyText"/>
      </w:pPr>
      <w:hyperlink r:id="rId198">
        <w:r>
          <w:rPr>
            <w:rStyle w:val="Hyperlink"/>
          </w:rPr>
          <w:t xml:space="preserve">First Not a Study Guide Handout</w:t>
        </w:r>
      </w:hyperlink>
      <w:r>
        <w:t xml:space="preserve"> (pdf)</w:t>
      </w:r>
    </w:p>
    <w:p>
      <w:pPr>
        <w:pStyle w:val="BodyText"/>
      </w:pPr>
      <w:hyperlink r:id="rId199">
        <w:r>
          <w:rPr>
            <w:rStyle w:val="Hyperlink"/>
          </w:rPr>
          <w:t xml:space="preserve">Second Not a Study Guide Handout</w:t>
        </w:r>
      </w:hyperlink>
      <w:r>
        <w:t xml:space="preserve"> (pdf)</w:t>
      </w:r>
    </w:p>
    <w:p>
      <w:pPr>
        <w:pStyle w:val="NodeEnd"/>
      </w:pPr>
      <w:r>
        <w:t xml:space="preserve"> </w:t>
      </w:r>
    </w:p>
    <w:p>
      <w:pPr>
        <w:pStyle w:val="NodeStart"/>
      </w:pPr>
      <w:r>
        <w:t xml:space="preserve"> </w:t>
      </w:r>
    </w:p>
    <w:p>
      <w:pPr>
        <w:pStyle w:val="HeadSeparator"/>
      </w:pPr>
      <w:r>
        <w:t xml:space="preserve"> </w:t>
      </w:r>
    </w:p>
    <w:bookmarkStart w:id="124" w:name="_auto_toc_124"/>
    <w:bookmarkEnd w:id="124"/>
    <w:p>
      <w:pPr>
        <w:pStyle w:val="ResourceNumber"/>
      </w:pPr>
      <w:r>
        <w:t xml:space="preserve">10.15</w:t>
      </w:r>
    </w:p>
    <w:p>
      <w:pPr>
        <w:pStyle w:val="ResourceTitle"/>
      </w:pPr>
      <w:r>
        <w:t xml:space="preserve">Class 12 Oral Argument Video (8 min)</w:t>
      </w:r>
    </w:p>
    <w:p>
      <w:pPr>
        <w:pStyle w:val="HeadEnd"/>
      </w:pPr>
      <w:r>
        <w:t xml:space="preserve"> </w:t>
      </w:r>
    </w:p>
    <w:p>
      <w:pPr>
        <w:pStyle w:val="BodyText"/>
      </w:pPr>
      <w:r>
        <w:t xml:space="preserve">Watch</w:t>
      </w:r>
      <w:r>
        <w:t xml:space="preserve"> </w:t>
      </w:r>
      <w:hyperlink r:id="rId200">
        <w:r>
          <w:rPr>
            <w:rStyle w:val="Hyperlink"/>
          </w:rPr>
          <w:t xml:space="preserve">this video</w:t>
        </w:r>
      </w:hyperlink>
      <w:r>
        <w:t xml:space="preserve"> </w:t>
      </w:r>
      <w:r>
        <w:t xml:space="preserve">to learn how the oral argument for Class 12 will operate. It is 8 minutes long.</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125" w:name="_auto_toc_125"/>
    <w:bookmarkEnd w:id="125"/>
    <w:p>
      <w:pPr>
        <w:pStyle w:val="ChapterNumber"/>
      </w:pPr>
      <w:r>
        <w:t xml:space="preserve">11</w:t>
      </w:r>
    </w:p>
    <w:p>
      <w:pPr>
        <w:pStyle w:val="ChapterTitle"/>
      </w:pPr>
      <w:r>
        <w:t xml:space="preserve">Day 11</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126" w:name="_auto_toc_126"/>
    <w:bookmarkEnd w:id="126"/>
    <w:p>
      <w:pPr>
        <w:pStyle w:val="ResourceNumber"/>
      </w:pPr>
      <w:r>
        <w:t xml:space="preserve">11.1</w:t>
      </w:r>
    </w:p>
    <w:p>
      <w:pPr>
        <w:pStyle w:val="ResourceTitle"/>
      </w:pPr>
      <w:r>
        <w:t xml:space="preserve">Rules</w:t>
      </w:r>
    </w:p>
    <w:p>
      <w:pPr>
        <w:pStyle w:val="HeadFieldSeparator"/>
      </w:pPr>
      <w:r>
        <w:t xml:space="preserve"> </w:t>
      </w:r>
    </w:p>
    <w:p>
      <w:pPr>
        <w:pStyle w:val="ResourceHeadnote"/>
      </w:pPr>
      <w:r>
        <w:t xml:space="preserve">In this module, we will address the question of how much factual specificity a plaintiff must include in a complaint for failure to state a claim upon which relief can be granted. We will study only federal court practice. States differ on this matter, and on many matters traditionally addressed under rules of civil procedure.</w:t>
      </w:r>
    </w:p>
    <w:p>
      <w:pPr>
        <w:pStyle w:val="ResourceHeadnote"/>
      </w:pPr>
      <w:r>
        <w:t xml:space="preserve">To understand what is at stake, consider the following.</w:t>
      </w:r>
    </w:p>
    <w:p>
      <w:pPr>
        <w:pStyle w:val="ResourceHeadnote"/>
      </w:pPr>
      <w:r>
        <w:t xml:space="preserve">1) A complaint identifies the plaintiff and the defendant, alleges subject matter jurisdiction, then says, "On December 1, 2023, at the corner of Massachusetts Avenue and Everett Street in Cambridge, MA, the defendant caused harm to the plaintiff, which harm caused damage to the plaintiff in the amount of $500,000."</w:t>
      </w:r>
    </w:p>
    <w:p>
      <w:pPr>
        <w:pStyle w:val="ResourceHeadnote"/>
      </w:pPr>
      <w:r>
        <w:t xml:space="preserve">2) A complaint identifies the plaintiff and the defendant, alleges subject matter jurisdiction, then says, "On December 1, 2023, at the corner of Massachusetts Avenue and Everett Street in Cambridge, MA, the defendant negligently caused harm to the plaintiff, which harm caused damage to the plaintiff in the amount of $500,000."</w:t>
      </w:r>
    </w:p>
    <w:p>
      <w:pPr>
        <w:pStyle w:val="ResourceHeadnote"/>
      </w:pPr>
      <w:r>
        <w:t xml:space="preserve">3) A complaint identifies the plaintiff and the defendant, alleges subject matter jurisdiction, then says, "On December 1, 2023, at the corner of Massachusetts Avenue and Everett Street in Cambridge, MA, the defendant negligently drove a car and hit the plaintiff, which collision caused damage to the plaintiff's body in the amount of $500,000."</w:t>
      </w:r>
    </w:p>
    <w:p>
      <w:pPr>
        <w:pStyle w:val="ResourceHeadnote"/>
      </w:pPr>
      <w:r>
        <w:t xml:space="preserve">4) A complaint identifies the plaintiff and the defendant, alleges subject matter jurisdiction, then says, "On December 1, 2023, at the corner of Massachusetts Avenue and Everett Street in Cambridge, MA, the defendant negligently drove a car and hit the plaintiff, which collision caused damage to the plaintiff's body in the amount of $500,000. The defendant's negligence was the result of their texting while driving down Massachusetts Avenue at the time of the accident."</w:t>
      </w:r>
    </w:p>
    <w:p>
      <w:pPr>
        <w:pStyle w:val="ResourceHeadnote"/>
      </w:pPr>
      <w:r>
        <w:t xml:space="preserve">Which of these complaints, if any, should survive a motion to dismiss the complaint for failure to state a claim upon which relief can be granted?</w:t>
      </w:r>
    </w:p>
    <w:p>
      <w:pPr>
        <w:pStyle w:val="ResourceHeadnote"/>
      </w:pPr>
      <w:r>
        <w:t xml:space="preserve">Note: At the time that the plaintiff files a complaint, the plaintiff will not have had access to discovery, the process through which rules of civil procedure compel parties to exchange information with each other. Thus, with respect to #4 above, it is unlikely that a pedestrian hit by a car would have known that the defendant was texting while driving at the time they filed a complaint because they would not have been able to subpoena the defendant's cell phone records or force the defendant to answer questions under penalty of perjury.</w:t>
      </w:r>
    </w:p>
    <w:p>
      <w:pPr>
        <w:pStyle w:val="HeadEnd"/>
      </w:pPr>
      <w:r>
        <w:t xml:space="preserve"> </w:t>
      </w:r>
    </w:p>
    <w:p>
      <w:pPr>
        <w:pStyle w:val="BodyText"/>
      </w:pPr>
      <w:r>
        <w:t xml:space="preserve">Read the following Federal Rules of Civil Procedure. You can access them via the internet or the supplemental handout provided on Canvas.</w:t>
      </w:r>
    </w:p>
    <w:p>
      <w:pPr>
        <w:numPr>
          <w:ilvl w:val="0"/>
          <w:numId w:val="1124"/>
        </w:numPr>
      </w:pPr>
      <w:r>
        <w:t xml:space="preserve">Fed. R. Civ. P. 8(a)(2)</w:t>
      </w:r>
    </w:p>
    <w:p>
      <w:pPr>
        <w:numPr>
          <w:ilvl w:val="0"/>
          <w:numId w:val="1124"/>
        </w:numPr>
      </w:pPr>
      <w:r>
        <w:t xml:space="preserve">Fed. R. Civ. P. 12(b-c)</w:t>
      </w:r>
    </w:p>
    <w:p>
      <w:pPr>
        <w:pStyle w:val="NodeEnd"/>
      </w:pPr>
      <w:r>
        <w:t xml:space="preserve"> </w:t>
      </w:r>
    </w:p>
    <w:p>
      <w:pPr>
        <w:pStyle w:val="NodeStart"/>
      </w:pPr>
      <w:r>
        <w:t xml:space="preserve"> </w:t>
      </w:r>
    </w:p>
    <w:p>
      <w:pPr>
        <w:pStyle w:val="HeadSeparator"/>
      </w:pPr>
      <w:r>
        <w:t xml:space="preserve"> </w:t>
      </w:r>
    </w:p>
    <w:bookmarkStart w:id="127" w:name="_auto_toc_127"/>
    <w:bookmarkEnd w:id="127"/>
    <w:p>
      <w:pPr>
        <w:pStyle w:val="ResourceNumber"/>
      </w:pPr>
      <w:r>
        <w:t xml:space="preserve">11.2</w:t>
      </w:r>
    </w:p>
    <w:p>
      <w:pPr>
        <w:pStyle w:val="ResourceTitle"/>
      </w:pPr>
      <w:r>
        <w:t xml:space="preserve">Abrogated Forms</w:t>
      </w:r>
    </w:p>
    <w:p>
      <w:pPr>
        <w:pStyle w:val="HeadEnd"/>
      </w:pPr>
      <w:r>
        <w:t xml:space="preserve"> </w:t>
      </w:r>
    </w:p>
    <w:p>
      <w:pPr>
        <w:pStyle w:val="BodyText"/>
      </w:pPr>
      <w:r>
        <w:t xml:space="preserve">Download the handout</w:t>
      </w:r>
      <w:r>
        <w:t xml:space="preserve"> </w:t>
      </w:r>
      <w:hyperlink r:id="rId201">
        <w:r>
          <w:rPr>
            <w:rStyle w:val="Hyperlink"/>
          </w:rPr>
          <w:t xml:space="preserve">here</w:t>
        </w:r>
      </w:hyperlink>
      <w:r>
        <w:t xml:space="preserve"> (pdf). Read the now-abrogated Federal Rule of Civil Procedure 84, as well as Abrogated Forms 10-11, 15, and 30. Pay close attention to Form 11.</w:t>
      </w:r>
    </w:p>
    <w:p>
      <w:pPr>
        <w:pStyle w:val="NodeEnd"/>
      </w:pPr>
      <w:r>
        <w:t xml:space="preserve"> </w:t>
      </w:r>
    </w:p>
    <w:p>
      <w:pPr>
        <w:pStyle w:val="NodeStart"/>
      </w:pPr>
      <w:r>
        <w:t xml:space="preserve"> </w:t>
      </w:r>
    </w:p>
    <w:p>
      <w:pPr>
        <w:pStyle w:val="HeadSeparator"/>
      </w:pPr>
      <w:r>
        <w:t xml:space="preserve"> </w:t>
      </w:r>
    </w:p>
    <w:bookmarkStart w:id="128" w:name="_auto_toc_128"/>
    <w:bookmarkEnd w:id="128"/>
    <w:p>
      <w:pPr>
        <w:pStyle w:val="ResourceNumber"/>
      </w:pPr>
      <w:r>
        <w:t xml:space="preserve">11.3</w:t>
      </w:r>
    </w:p>
    <w:p>
      <w:pPr>
        <w:pStyle w:val="ResourceTitle"/>
      </w:pPr>
      <w:r>
        <w:t xml:space="preserve">Code Pleading</w:t>
      </w:r>
    </w:p>
    <w:p>
      <w:pPr>
        <w:pStyle w:val="HeadEnd"/>
      </w:pPr>
      <w:r>
        <w:t xml:space="preserve"> </w:t>
      </w:r>
    </w:p>
    <w:p>
      <w:pPr>
        <w:pStyle w:val="BodyText"/>
      </w:pPr>
      <w:r>
        <w:t xml:space="preserve">In the mid-1800s, some states began to move away from the (very old) British "writ" system of pleadings, and began instituting codes of civil procedure that governed pleading requirements. Under “code pleading,” a plaintiff must allege facts that, if proven, constitute the cause of action for which relief is sought. The practice became technical, with specific facts required to plead successfully and to begin a case. Often, it was difficult to determine which specific facts the courts required. In addition, under code pleading, plaintiffs must plead “statements of fact” while avoiding “conclusions of law” (remember this point when you read</w:t>
      </w:r>
      <w:r>
        <w:t xml:space="preserve"> </w:t>
      </w:r>
      <w:r>
        <w:rPr>
          <w:iCs/>
          <w:i/>
        </w:rPr>
        <w:t xml:space="preserve">Twombly</w:t>
      </w:r>
      <w:r>
        <w:t xml:space="preserve"> </w:t>
      </w:r>
      <w:r>
        <w:t xml:space="preserve">and</w:t>
      </w:r>
      <w:r>
        <w:t xml:space="preserve"> </w:t>
      </w:r>
      <w:r>
        <w:rPr>
          <w:iCs/>
          <w:i/>
        </w:rPr>
        <w:t xml:space="preserve">Iqbal</w:t>
      </w:r>
      <w:r>
        <w:t xml:space="preserve">). Facts must be specific enough to allege a particular cause of action, but could not be so specific that they, according to the court, "pled the evidence."  For a longer discussion of the move to code pleading, which still exists in some states today, see Walter W. Cook,</w:t>
      </w:r>
      <w:r>
        <w:t xml:space="preserve"> </w:t>
      </w:r>
      <w:r>
        <w:rPr>
          <w:iCs/>
          <w:i/>
        </w:rPr>
        <w:t xml:space="preserve">Statements of Fact in Pleading Under the Codes</w:t>
      </w:r>
      <w:r>
        <w:t xml:space="preserve">, 21 Colum. L. Rev. 416 (1921).</w:t>
      </w:r>
    </w:p>
    <w:p>
      <w:pPr>
        <w:pStyle w:val="NodeEnd"/>
      </w:pPr>
      <w:r>
        <w:t xml:space="preserve"> </w:t>
      </w:r>
    </w:p>
    <w:p>
      <w:pPr>
        <w:pStyle w:val="NodeStart"/>
      </w:pPr>
      <w:r>
        <w:t xml:space="preserve"> </w:t>
      </w:r>
    </w:p>
    <w:p>
      <w:pPr>
        <w:pStyle w:val="HeadSeparator"/>
      </w:pPr>
      <w:r>
        <w:t xml:space="preserve"> </w:t>
      </w:r>
    </w:p>
    <w:bookmarkStart w:id="129" w:name="_auto_toc_129"/>
    <w:bookmarkEnd w:id="129"/>
    <w:p>
      <w:pPr>
        <w:pStyle w:val="ResourceNumber"/>
      </w:pPr>
      <w:r>
        <w:t xml:space="preserve">11.4</w:t>
      </w:r>
    </w:p>
    <w:p>
      <w:pPr>
        <w:pStyle w:val="ResourceTitle"/>
      </w:pPr>
      <w:r>
        <w:t xml:space="preserve">Gillispie v. Goodyear Service Stores</w:t>
      </w:r>
    </w:p>
    <w:p>
      <w:pPr>
        <w:pStyle w:val="HeadFieldSeparator"/>
      </w:pPr>
      <w:r>
        <w:t xml:space="preserve"> </w:t>
      </w:r>
    </w:p>
    <w:p>
      <w:pPr>
        <w:pStyle w:val="ResourceHeadnote"/>
      </w:pPr>
      <w:r>
        <w:t xml:space="preserve">This case provides an example of old-style code pleading. We will contrast it with notice pleading, which was what the federal courts used from 1938 (when the Federal Rules of Civil Procedure came into existence) until the Supreme Court decided</w:t>
      </w:r>
      <w:r>
        <w:t xml:space="preserve"> </w:t>
      </w:r>
      <w:r>
        <w:rPr>
          <w:iCs/>
          <w:i/>
        </w:rPr>
        <w:t xml:space="preserve">Twombly</w:t>
      </w:r>
      <w:r>
        <w:t xml:space="preserve"> </w:t>
      </w:r>
      <w:r>
        <w:t xml:space="preserve">and</w:t>
      </w:r>
      <w:r>
        <w:t xml:space="preserve"> </w:t>
      </w:r>
      <w:r>
        <w:rPr>
          <w:iCs/>
          <w:i/>
        </w:rPr>
        <w:t xml:space="preserve">Iqbal</w:t>
      </w:r>
      <w:r>
        <w:t xml:space="preserve">.</w:t>
      </w:r>
    </w:p>
    <w:p>
      <w:pPr>
        <w:pStyle w:val="ResourceHeadnote"/>
      </w:pPr>
      <w:r>
        <w:t xml:space="preserve">The complaint in</w:t>
      </w:r>
      <w:r>
        <w:t xml:space="preserve"> </w:t>
      </w:r>
      <w:r>
        <w:rPr>
          <w:iCs/>
          <w:i/>
        </w:rPr>
        <w:t xml:space="preserve">Gillespie</w:t>
      </w:r>
      <w:r>
        <w:t xml:space="preserve"> </w:t>
      </w:r>
      <w:r>
        <w:t xml:space="preserve">included the following allegation:</w:t>
      </w:r>
    </w:p>
    <w:p>
      <w:pPr>
        <w:pStyle w:val="ResourceHeadnote"/>
      </w:pPr>
      <w:r>
        <w:t xml:space="preserve">"</w:t>
      </w:r>
      <w:r>
        <w:t xml:space="preserve">On or about May 5, 1959, and May 6, 1959, the defendants, without cause or just excuse maliciously came upon and trespassed upon the premises occupied by the plaintiff as a residence, and by the use of harsh and threatening language and physical force directed against the plaintiff assaulted the plaintiff</w:t>
      </w:r>
      <w:r>
        <w:t xml:space="preserve"> </w:t>
      </w:r>
      <w:r>
        <w:t xml:space="preserve">and placed her in great fear, and humiliated and embarrassed her by subjecting her to public scorn and ridicule, and caused her to be seized and exhibited to the public as a prisoner, and to be confined in a public jail, all to her great humiliation, embarrassment and harm."</w:t>
      </w:r>
    </w:p>
    <w:p>
      <w:pPr>
        <w:pStyle w:val="HeadEnd"/>
      </w:pPr>
      <w:r>
        <w:t xml:space="preserve"> </w:t>
      </w:r>
    </w:p>
    <w:p>
      <w:pPr>
        <w:pStyle w:val="CaseHeader"/>
      </w:pPr>
      <w:r>
        <w:t xml:space="preserve">Supreme Court of North Carolina</w:t>
      </w:r>
    </w:p>
    <w:p>
      <w:pPr>
        <w:pStyle w:val="CaseHeader"/>
      </w:pPr>
      <w:r>
        <w:t xml:space="preserve">258 N.C. 487</w:t>
      </w:r>
    </w:p>
    <w:p>
      <w:pPr>
        <w:pStyle w:val="CaseHeader"/>
      </w:pPr>
      <w:r>
        <w:t xml:space="preserve">1963-01-11</w:t>
      </w:r>
    </w:p>
    <w:p>
      <w:pPr>
        <w:pStyle w:val="CaseBody"/>
      </w:pPr>
      <w:r>
        <w:rPr>
          <w:rStyle w:val="Elision"/>
        </w:rPr>
        <w:t xml:space="preserve">[ … ]</w:t>
      </w:r>
    </w:p>
    <w:p>
      <w:pPr>
        <w:pStyle w:val="CaseBody"/>
      </w:pPr>
      <w:r>
        <w:t xml:space="preserve">Bobbitt, J.</w:t>
      </w:r>
    </w:p>
    <w:p>
      <w:pPr>
        <w:pStyle w:val="CaseBody"/>
      </w:pPr>
      <w:r>
        <w:rPr>
          <w:rStyle w:val="Elision"/>
        </w:rPr>
        <w:t xml:space="preserve">[ … ]</w:t>
      </w:r>
    </w:p>
    <w:p>
      <w:pPr>
        <w:pStyle w:val="CaseBody"/>
      </w:pPr>
      <w:r>
        <w:rPr>
          <w:rStyle w:val="Elision"/>
        </w:rPr>
        <w:t xml:space="preserve">[ … ]</w:t>
      </w:r>
      <w:r>
        <w:rPr>
          <w:rStyle w:val="ReplacementText"/>
        </w:rPr>
        <w:t xml:space="preserve">The defendant moved to dismiss the complaint articulated above for failure to state a claim (this motion was called a "demurrer" in North Carolina at this time). The trial</w:t>
      </w:r>
      <w:r>
        <w:t xml:space="preserve"> </w:t>
      </w:r>
      <w:r>
        <w:t xml:space="preserve">court sustained the demurrers on the ground the complaint did not state facts sufficient to constitute a cause of action.</w:t>
      </w:r>
      <w:r>
        <w:t xml:space="preserve"> </w:t>
      </w:r>
      <w:r>
        <w:rPr>
          <w:rStyle w:val="Elision"/>
        </w:rPr>
        <w:t xml:space="preserve">[ … ]</w:t>
      </w:r>
    </w:p>
    <w:p>
      <w:pPr>
        <w:pStyle w:val="CaseBody"/>
      </w:pPr>
      <w:r>
        <w:t xml:space="preserve">Does the complaint state</w:t>
      </w:r>
      <w:r>
        <w:t xml:space="preserve"> </w:t>
      </w:r>
      <w:r>
        <w:rPr>
          <w:iCs/>
          <w:i/>
        </w:rPr>
        <w:t xml:space="preserve">facts</w:t>
      </w:r>
      <w:r>
        <w:t xml:space="preserve"> </w:t>
      </w:r>
      <w:r>
        <w:t xml:space="preserve">sufficient to constitute</w:t>
      </w:r>
      <w:r>
        <w:t xml:space="preserve"> </w:t>
      </w:r>
      <w:r>
        <w:rPr>
          <w:iCs/>
          <w:i/>
        </w:rPr>
        <w:t xml:space="preserve">any</w:t>
      </w:r>
      <w:r>
        <w:t xml:space="preserve"> </w:t>
      </w:r>
      <w:r>
        <w:t xml:space="preserve">cause of action?</w:t>
      </w:r>
    </w:p>
    <w:p>
      <w:pPr>
        <w:pStyle w:val="CaseBody"/>
      </w:pPr>
      <w:r>
        <w:t xml:space="preserve">A complaint must contain “ (a) plain and concise statement of the facts constituting a cause of action . . .” G.S. 1-122. “The cardinal requirement of this statute ... is that the facts constituting a cause of action, rather than the conclusions of the pleader, must be set out in the complaint, so as to disclose the issuable facts determinative of the plaintiff’s right to relief.”</w:t>
      </w:r>
      <w:r>
        <w:t xml:space="preserve"> </w:t>
      </w:r>
      <w:r>
        <w:rPr>
          <w:rStyle w:val="Elision"/>
        </w:rPr>
        <w:t xml:space="preserve">[ … ]</w:t>
      </w:r>
      <w:r>
        <w:t xml:space="preserve">The statutory requirement is that a complaint must allege the material, essential and ultimate facts upon which plaintiff’s right of action is based.</w:t>
      </w:r>
      <w:r>
        <w:t xml:space="preserve"> </w:t>
      </w:r>
      <w:r>
        <w:rPr>
          <w:rStyle w:val="Elision"/>
        </w:rPr>
        <w:t xml:space="preserve">[ … ]</w:t>
      </w:r>
      <w:r>
        <w:t xml:space="preserve"> </w:t>
      </w:r>
      <w:r>
        <w:t xml:space="preserve">“The law is presumed to be known, but the facts to which the law is to be applied are not known until properly presented by the pleading and established by evidence.”</w:t>
      </w:r>
      <w:r>
        <w:t xml:space="preserve"> </w:t>
      </w:r>
      <w:r>
        <w:rPr>
          <w:rStyle w:val="Elision"/>
        </w:rPr>
        <w:t xml:space="preserve">[ … ]</w:t>
      </w:r>
    </w:p>
    <w:p>
      <w:pPr>
        <w:pStyle w:val="CaseBody"/>
      </w:pPr>
      <w:r>
        <w:t xml:space="preserve">The facts alleged, but not the pleader’s legal conclusions, are deemed admitted when the sufficiency of the complaint is tested by demurrer</w:t>
      </w:r>
      <w:r>
        <w:rPr>
          <w:rStyle w:val="FootnoteReference"/>
        </w:rPr>
        <w:footnoteReference w:customMarkFollows="1" w:id="29"/>
        <w:t xml:space="preserve">*</w:t>
      </w:r>
      <w:r>
        <w:t xml:space="preserve">.</w:t>
      </w:r>
      <w:r>
        <w:t xml:space="preserve"> </w:t>
      </w:r>
      <w:r>
        <w:rPr>
          <w:rStyle w:val="Elision"/>
        </w:rPr>
        <w:t xml:space="preserve">[ … ]</w:t>
      </w:r>
      <w:r>
        <w:t xml:space="preserve">“Where the complaint merely alleges conclusions and not facts, it fails to state a cause of action and is demurrable.</w:t>
      </w:r>
      <w:r>
        <w:t xml:space="preserve"> </w:t>
      </w:r>
      <w:r>
        <w:rPr>
          <w:rStyle w:val="Elision"/>
        </w:rPr>
        <w:t xml:space="preserve">[ … ]</w:t>
      </w:r>
    </w:p>
    <w:p>
      <w:pPr>
        <w:pStyle w:val="CaseBody"/>
      </w:pPr>
      <w:r>
        <w:rPr>
          <w:rStyle w:val="Elision"/>
        </w:rPr>
        <w:t xml:space="preserve">[ … ]</w:t>
      </w:r>
    </w:p>
    <w:p>
      <w:pPr>
        <w:pStyle w:val="CaseBody"/>
      </w:pPr>
      <w:r>
        <w:t xml:space="preserve">Plaintiff alleges, in a single sentence, that defendant, “without cause or just excuse and maliciously,” trespassed upon premises occupied by her as a residence, assaulted her and caused her to be seized and confined as a prisoner. The complaint states no facts upon which these legal conclusions may be predicated. Plaintiff’s allegations do not disclose</w:t>
      </w:r>
      <w:r>
        <w:t xml:space="preserve"> </w:t>
      </w:r>
      <w:r>
        <w:rPr>
          <w:iCs/>
          <w:i/>
        </w:rPr>
        <w:t xml:space="preserve">what</w:t>
      </w:r>
      <w:r>
        <w:t xml:space="preserve"> </w:t>
      </w:r>
      <w:r>
        <w:t xml:space="preserve">occurred,</w:t>
      </w:r>
      <w:r>
        <w:t xml:space="preserve"> </w:t>
      </w:r>
      <w:r>
        <w:rPr>
          <w:rStyle w:val="ReplacementText"/>
          <w:iCs/>
          <w:i/>
        </w:rPr>
        <w:t xml:space="preserve">when</w:t>
      </w:r>
      <w:r>
        <w:t xml:space="preserve">it occurred,</w:t>
      </w:r>
      <w:r>
        <w:t xml:space="preserve"> </w:t>
      </w:r>
      <w:r>
        <w:rPr>
          <w:iCs/>
          <w:i/>
        </w:rPr>
        <w:t xml:space="preserve">where</w:t>
      </w:r>
      <w:r>
        <w:t xml:space="preserve"> </w:t>
      </w:r>
      <w:r>
        <w:t xml:space="preserve">it occurred,</w:t>
      </w:r>
      <w:r>
        <w:t xml:space="preserve"> </w:t>
      </w:r>
      <w:r>
        <w:rPr>
          <w:iCs/>
          <w:i/>
        </w:rPr>
        <w:t xml:space="preserve">who</w:t>
      </w:r>
      <w:r>
        <w:t xml:space="preserve"> </w:t>
      </w:r>
      <w:r>
        <w:t xml:space="preserve">did</w:t>
      </w:r>
      <w:r>
        <w:t xml:space="preserve"> </w:t>
      </w:r>
      <w:r>
        <w:rPr>
          <w:iCs/>
          <w:i/>
        </w:rPr>
        <w:t xml:space="preserve">what,</w:t>
      </w:r>
      <w:r>
        <w:t xml:space="preserve"> </w:t>
      </w:r>
      <w:r>
        <w:t xml:space="preserve">the relationships between defendants and plaintiff or of defendants</w:t>
      </w:r>
      <w:r>
        <w:t xml:space="preserve"> </w:t>
      </w:r>
      <w:r>
        <w:rPr>
          <w:iCs/>
          <w:i/>
        </w:rPr>
        <w:t xml:space="preserve">inter se,</w:t>
      </w:r>
      <w:r>
        <w:t xml:space="preserve"> </w:t>
      </w:r>
      <w:r>
        <w:t xml:space="preserve">or any other factual data that might identify the occasion or describe the circumstances of the alleged wrongful conduct of defendants.</w:t>
      </w:r>
    </w:p>
    <w:p>
      <w:pPr>
        <w:pStyle w:val="CaseBody"/>
      </w:pPr>
      <w:r>
        <w:rPr>
          <w:rStyle w:val="Elision"/>
        </w:rPr>
        <w:t xml:space="preserve">[ … ]</w:t>
      </w:r>
    </w:p>
    <w:p>
      <w:pPr>
        <w:pStyle w:val="CaseBody"/>
      </w:pPr>
      <w:r>
        <w:t xml:space="preserve">The judgments sustaining the demurrers are affirmed on the ground the ’Complaint does not state facts sufficient to constitute any cause of action. It would seem appropriate that plaintiff, in accordance with leave granted in the judgments from which she appealed, now file an amended complaint and therein allege the facts upon which she bases her right to recover.</w:t>
      </w:r>
    </w:p>
    <w:p>
      <w:pPr>
        <w:pStyle w:val="CaseBody"/>
      </w:pPr>
      <w:r>
        <w:t xml:space="preserve">Affirmed.</w:t>
      </w:r>
    </w:p>
    <w:p>
      <w:pPr>
        <w:pStyle w:val="NodeEnd"/>
      </w:pPr>
      <w:r>
        <w:t xml:space="preserve"> </w:t>
      </w:r>
    </w:p>
    <w:p>
      <w:pPr>
        <w:pStyle w:val="NodeStart"/>
      </w:pPr>
      <w:r>
        <w:t xml:space="preserve"> </w:t>
      </w:r>
    </w:p>
    <w:p>
      <w:pPr>
        <w:pStyle w:val="HeadSeparator"/>
      </w:pPr>
      <w:r>
        <w:t xml:space="preserve"> </w:t>
      </w:r>
    </w:p>
    <w:bookmarkStart w:id="130" w:name="_auto_toc_130"/>
    <w:bookmarkEnd w:id="130"/>
    <w:p>
      <w:pPr>
        <w:pStyle w:val="ResourceNumber"/>
      </w:pPr>
      <w:r>
        <w:t xml:space="preserve">11.5</w:t>
      </w:r>
    </w:p>
    <w:p>
      <w:pPr>
        <w:pStyle w:val="ResourceTitle"/>
      </w:pPr>
      <w:r>
        <w:t xml:space="preserve">Notes following Gillispie</w:t>
      </w:r>
    </w:p>
    <w:p>
      <w:pPr>
        <w:pStyle w:val="HeadEnd"/>
      </w:pPr>
      <w:r>
        <w:t xml:space="preserve"> </w:t>
      </w:r>
    </w:p>
    <w:p>
      <w:pPr>
        <w:numPr>
          <w:ilvl w:val="0"/>
          <w:numId w:val="1125"/>
        </w:numPr>
      </w:pPr>
      <w:r>
        <w:t xml:space="preserve">What is the court in</w:t>
      </w:r>
      <w:r>
        <w:t xml:space="preserve"> </w:t>
      </w:r>
      <w:r>
        <w:rPr>
          <w:iCs/>
          <w:i/>
        </w:rPr>
        <w:t xml:space="preserve">Gillispie</w:t>
      </w:r>
      <w:r>
        <w:t xml:space="preserve"> </w:t>
      </w:r>
      <w:r>
        <w:t xml:space="preserve">concerned about? Is it that the court cannot tell with sufficient certainty that the plaintiffs, if they prove the facts they think they can prove, are legally entitled to recovery?  Or, is it that the defendants may be unable to discern what allegations to begin to investigate and for which to prepare defenses? Or, is it that the court may not know what evidence to examine?</w:t>
      </w:r>
    </w:p>
    <w:p>
      <w:pPr>
        <w:numPr>
          <w:ilvl w:val="0"/>
          <w:numId w:val="1125"/>
        </w:numPr>
      </w:pPr>
      <w:r>
        <w:t xml:space="preserve">At the time of</w:t>
      </w:r>
      <w:r>
        <w:t xml:space="preserve"> </w:t>
      </w:r>
      <w:r>
        <w:rPr>
          <w:iCs/>
          <w:i/>
        </w:rPr>
        <w:t xml:space="preserve">Gillispie</w:t>
      </w:r>
      <w:r>
        <w:t xml:space="preserve">, North Carolina lacked a summary judgment procedure.  To explain:  motions for summary judgment typically occur after discovery, and one way to use them is to see if the evidence gathered at discovery (which, if discovery were done correctly, should approximate closely the evidence that would be introduced at trial) shows a need for a trial.  Trials are expensive for the parties and the public.  Thus, in North Carolina at this time, if a complaint survived a motion to dismiss, it proceeded through discovery directly to an expensive trial. How might the ability of a defendant to use summary judgment have changed the court’s analysis?  (You will learn about the summary judgment process in the federal district courts later in this course.)</w:t>
      </w:r>
    </w:p>
    <w:p>
      <w:pPr>
        <w:numPr>
          <w:ilvl w:val="0"/>
          <w:numId w:val="1125"/>
        </w:numPr>
      </w:pPr>
      <w:r>
        <w:rPr>
          <w:iCs/>
          <w:i/>
        </w:rPr>
        <w:t xml:space="preserve">Gillispie</w:t>
      </w:r>
      <w:r>
        <w:t xml:space="preserve"> </w:t>
      </w:r>
      <w:r>
        <w:t xml:space="preserve">granted the plaintiff leave to amend the complaint and resubmit it to provide more information. How many times should a plaintiff be able to amend and resubmit? What are arguments in favor of allowing resubmission and arguments against? Recall some of these arguments when you study claim and issue preclusion.  And, again, recall that when filing a complaint, the plaintiff will not have had access to the discovery process.</w:t>
      </w:r>
    </w:p>
    <w:p>
      <w:pPr>
        <w:pStyle w:val="NodeEnd"/>
      </w:pPr>
      <w:r>
        <w:t xml:space="preserve"> </w:t>
      </w:r>
    </w:p>
    <w:p>
      <w:pPr>
        <w:pStyle w:val="NodeStart"/>
      </w:pPr>
      <w:r>
        <w:t xml:space="preserve"> </w:t>
      </w:r>
    </w:p>
    <w:p>
      <w:pPr>
        <w:pStyle w:val="HeadSeparator"/>
      </w:pPr>
      <w:r>
        <w:t xml:space="preserve"> </w:t>
      </w:r>
    </w:p>
    <w:bookmarkStart w:id="131" w:name="_auto_toc_131"/>
    <w:bookmarkEnd w:id="131"/>
    <w:p>
      <w:pPr>
        <w:pStyle w:val="ResourceNumber"/>
      </w:pPr>
      <w:r>
        <w:t xml:space="preserve">11.6</w:t>
      </w:r>
    </w:p>
    <w:p>
      <w:pPr>
        <w:pStyle w:val="ResourceTitle"/>
      </w:pPr>
      <w:r>
        <w:t xml:space="preserve">Dioguardi v. Durning</w:t>
      </w:r>
    </w:p>
    <w:p>
      <w:pPr>
        <w:pStyle w:val="HeadFieldSeparator"/>
      </w:pPr>
      <w:r>
        <w:t xml:space="preserve"> </w:t>
      </w:r>
    </w:p>
    <w:p>
      <w:pPr>
        <w:pStyle w:val="ResourceHeadnote"/>
      </w:pPr>
      <w:r>
        <w:t xml:space="preserve">The Federal Rules introduced an alternative to code pleading, known as notice pleading. In notice pleading, the courts use the complaint less to assess whether the plaintiff has a high likelihood of succeeding in proving an entitlement to recovery and more to put the court and the defendant on notice of the nature of the allegations and the factual transaction that supposedly supports them. Even under notice pleading, courts can and will (upon a defendant's motion) dismiss complaints that (i) are defective legally (such as a lawsuit against a person who is not a state employee under 42. U.S.C. § 1983) or (ii) allege fantastical factual sequences, such a defendant's causing the plaintiff to be internally decapitated or to time travel in a semi-conscious state. Courts will dismiss complaints in either of those two categories under a code or a notice pleading regime. But courts administering a notice pleading regime will dismiss fewer complaints because of insufficient factual specificity. Instead, they will depend more on the summary judgment process, which occurs after discovery, to weed out litigation with an insufficient likelihood of success.</w:t>
      </w:r>
    </w:p>
    <w:p>
      <w:pPr>
        <w:pStyle w:val="ResourceHeadnote"/>
      </w:pPr>
      <w:r>
        <w:t xml:space="preserve">The following case illustrates the outer edges of tolerance for lack of specificity (perhaps even lack of coherence) under a notice pleading regime.</w:t>
      </w:r>
    </w:p>
    <w:p>
      <w:pPr>
        <w:pStyle w:val="ResourceHeadnote"/>
      </w:pPr>
      <w:r>
        <w:t xml:space="preserve">Here was the factual portion of plaintiff Dioguardi's complaint. It may not surprise anyone that he did not have a lawyer.</w:t>
      </w:r>
    </w:p>
    <w:p>
      <w:pPr>
        <w:pStyle w:val="ResourceHeadnote"/>
      </w:pPr>
      <w:r>
        <w:t xml:space="preserve">FIRST: I want justice done on the basis of my medicinal extracts which have disappeared saying that they had leaked, which could never be true in the manner they were bottled.</w:t>
      </w:r>
    </w:p>
    <w:p>
      <w:pPr>
        <w:pStyle w:val="ResourceHeadnote"/>
      </w:pPr>
      <w:r>
        <w:t xml:space="preserve">SECOND: Mr. E.G. Collord Clerk in Charge, promised to give me my merchandise as soon as I paid for it. Then all of a sudden payments were stopped.</w:t>
      </w:r>
    </w:p>
    <w:p>
      <w:pPr>
        <w:pStyle w:val="ResourceHeadnote"/>
      </w:pPr>
      <w:r>
        <w:t xml:space="preserve">THIRD: Then, he didn’t want to sell me my merchandise at catalogue price with the 5% off, which was very important to me, after I had already paid $5,000 for them, beside a few other expenses.</w:t>
      </w:r>
    </w:p>
    <w:p>
      <w:pPr>
        <w:pStyle w:val="ResourceHeadnote"/>
      </w:pPr>
      <w:r>
        <w:t xml:space="preserve">FOURTH: Why was the medicinaly given to the Springdale Distilling Co. with my betting price of $110; and not their price of $120</w:t>
      </w:r>
    </w:p>
    <w:p>
      <w:pPr>
        <w:pStyle w:val="ResourceHeadnote"/>
      </w:pPr>
      <w:r>
        <w:t xml:space="preserve">FIFTH: It isn’t so easy to do away with two cases with 37 bottles of one quart. Being protected, they can take this chance.</w:t>
      </w:r>
    </w:p>
    <w:p>
      <w:pPr>
        <w:pStyle w:val="ResourceHeadnote"/>
      </w:pPr>
      <w:r>
        <w:t xml:space="preserve">SIXTH: No one can stop my rights upon my merchandise, because of both the duly and the entry.</w:t>
      </w:r>
    </w:p>
    <w:p>
      <w:pPr>
        <w:pStyle w:val="HeadEnd"/>
      </w:pPr>
      <w:r>
        <w:t xml:space="preserve"> </w:t>
      </w:r>
    </w:p>
    <w:p>
      <w:pPr>
        <w:pStyle w:val="CaseHeader"/>
      </w:pPr>
      <w:r>
        <w:t xml:space="preserve">United States Court of Appeals for the Second Circuit</w:t>
      </w:r>
    </w:p>
    <w:p>
      <w:pPr>
        <w:pStyle w:val="CaseHeader"/>
      </w:pPr>
      <w:r>
        <w:t xml:space="preserve">139 F.2d 774</w:t>
      </w:r>
    </w:p>
    <w:p>
      <w:pPr>
        <w:pStyle w:val="CaseHeader"/>
      </w:pPr>
      <w:r>
        <w:t xml:space="preserve">No. 157</w:t>
      </w:r>
    </w:p>
    <w:p>
      <w:pPr>
        <w:pStyle w:val="CaseHeader"/>
      </w:pPr>
      <w:r>
        <w:t xml:space="preserve">1944-01-03</w:t>
      </w:r>
    </w:p>
    <w:p>
      <w:pPr>
        <w:pStyle w:val="CaseBody"/>
      </w:pPr>
      <w:r>
        <w:t xml:space="preserve">139 F.2d 774 (1944)</w:t>
      </w:r>
    </w:p>
    <w:p>
      <w:pPr>
        <w:pStyle w:val="CaseHeader"/>
      </w:pPr>
      <w:r>
        <w:t xml:space="preserve">DIOGUARDI</w:t>
      </w:r>
      <w:r>
        <w:br/>
      </w:r>
      <w:r>
        <w:t xml:space="preserve">v.</w:t>
      </w:r>
      <w:r>
        <w:br/>
      </w:r>
      <w:r>
        <w:t xml:space="preserve">DURNING, Collector of Customs, Port of New York.</w:t>
      </w:r>
    </w:p>
    <w:p>
      <w:pPr>
        <w:pStyle w:val="CaseBody"/>
      </w:pPr>
      <w:r>
        <w:rPr>
          <w:rStyle w:val="Elision"/>
        </w:rPr>
        <w:t xml:space="preserve">[ … ]</w:t>
      </w:r>
    </w:p>
    <w:p>
      <w:pPr>
        <w:pStyle w:val="CaseBody"/>
      </w:pPr>
      <w:r>
        <w:t xml:space="preserve">Circuit Court of Appeals, Second Circuit.</w:t>
      </w:r>
    </w:p>
    <w:p>
      <w:pPr>
        <w:pStyle w:val="CaseBody"/>
      </w:pPr>
      <w:r>
        <w:rPr>
          <w:rStyle w:val="Elision"/>
        </w:rPr>
        <w:t xml:space="preserve">[ … ]</w:t>
      </w:r>
    </w:p>
    <w:bookmarkStart w:id="202" w:name="clark-circuit-judge."/>
    <w:p>
      <w:pPr>
        <w:pStyle w:val="Heading2"/>
      </w:pPr>
      <w:r>
        <w:t xml:space="preserve">CLARK, Circuit Judge.</w:t>
      </w:r>
    </w:p>
    <w:p>
      <w:pPr>
        <w:pStyle w:val="CaseBody"/>
      </w:pPr>
      <w:r>
        <w:t xml:space="preserve">In his complaint, obviously home drawn, plaintiff attempts to assert a series of grievances against the Collector of Customs at the Port of New York growing out of his endeavors to import merchandise from Italy "of great value," consisting of bottles of "tonics." We may pass certain of his claims as either inadequate or inadequately stated and consider only these two: (1) that on the auction day, October 9, 1940, when defendant sold the merchandise at "public custom," "he sold my merchandise to another bidder with my price of $110, and not of his price of $120," and (2) "that three weeks before the sale, two cases, of 19 bottles each case, disappeared." Plaintiff does not make wholly clear how these goods came into the collector's hands, since he alleges compliance with the revenue laws; but he does say he made a claim for "refund of merchandise which was two-thirds paid in Milano, Italy," and that the collector denied the claim. These and other circumstances alleged indicate (what, indeed, plaintiff's brief asserts) that his original dispute was with his consignor as to whether anything more was due upon the merchandise, and that the collector, having held it for a year (presumably as unclaimed merchandise under 19 U.S.C.A. § 1491), then sold it, or such part of it as was left, at public auction. For his asserted injuries plaintiff claimed $5,000 damages, together with interest and costs, against the defendant individually and as collector. This complaint was dismissed by the District Court, with leave, however, to plaintiff to amend, on motion of the United States Attorney, appearing for the defendant, on the ground that it "fails to state facts sufficient to constitute a cause of action."</w:t>
      </w:r>
    </w:p>
    <w:p>
      <w:pPr>
        <w:pStyle w:val="CaseBody"/>
      </w:pPr>
      <w:r>
        <w:rPr>
          <w:rStyle w:val="Elision"/>
        </w:rPr>
        <w:t xml:space="preserve">[ … ]</w:t>
      </w:r>
      <w:r>
        <w:t xml:space="preserve">Thereupon plaintiff filed an amended complaint, wherein, with an obviously heightened conviction that he was being unjustly treated, he vigorously reiterates his claims, including those quoted above and now stated as that his "medicinal extracts" were given to the Springdale Distilling Company "with my betting [bidding?] price of $110: and not their price of $120," and "It isnt so easy to do away with two cases with 37 bottles of one quart. Being protected, they can take this chance." An earlier paragraph suggests that defendant had explained the loss of the two cases by "saying that they had leaked, which could never be true in the mauner they were bottled." On defendant's motion for dismissal on the same ground as before, the court made a final judgment dismissing the complaint, and plaintiff now comes to us with increased volubility, if not clarity.</w:t>
      </w:r>
    </w:p>
    <w:p>
      <w:pPr>
        <w:pStyle w:val="CaseBody"/>
      </w:pPr>
      <w:r>
        <w:t xml:space="preserve">It would seem, however, that he has stated enough to withstand a mere formal motion, directed only to the face of the complaint, and that here is another instance of judicial haste which in the long run makes waste. Under the</w:t>
      </w:r>
      <w:r>
        <w:t xml:space="preserve"> </w:t>
      </w:r>
      <w:r>
        <w:t xml:space="preserve">new rules of civil procedure</w:t>
      </w:r>
      <w:r>
        <w:rPr>
          <w:rStyle w:val="FootnoteReference"/>
        </w:rPr>
        <w:footnoteReference w:customMarkFollows="1" w:id="30"/>
        <w:t xml:space="preserve">*</w:t>
      </w:r>
      <w:r>
        <w:t xml:space="preserve">, there is no pleading requirement of stating "facts sufficient to constitute a cause of action," but only that there be "a short and plain statement of the claim showing that the pleader is entitled to relief," Federal Rules of Civil Procedure, rule 8(a)</w:t>
      </w:r>
      <w:r>
        <w:rPr>
          <w:rStyle w:val="Elision"/>
        </w:rPr>
        <w:t xml:space="preserve">[ … ]</w:t>
      </w:r>
      <w:r>
        <w:t xml:space="preserve"> </w:t>
      </w:r>
      <w:r>
        <w:t xml:space="preserve">and the motion for dismissal under Rule 12(b) is for failure to state "a claim upon which relief can be granted." The District Court does not state why it concluded that the complaints showed no claim upon which relief could be granted; and the United States Attorney's brief before us does not help us, for it is limited to the prognostication — unfortunately ill founded so far as we are concerned — that "the most cursory examination" of them will show the correctness of the District Court's action.</w:t>
      </w:r>
    </w:p>
    <w:p>
      <w:pPr>
        <w:pStyle w:val="CaseBody"/>
      </w:pPr>
      <w:r>
        <w:t xml:space="preserve">We think that, however inartistically they may be stated, the plaintiff has disclosed his claims that the collector has converted or otherwise done away with two of his cases of medicinal tonics and has sold the rest in a manner incompatible with the public auction he had announced — and, indeed, required by 19 U.S.C.A. § 1491, above cited, and the Treasury Regulations promulgated under it</w:t>
      </w:r>
      <w:r>
        <w:rPr>
          <w:rStyle w:val="Elision"/>
        </w:rPr>
        <w:t xml:space="preserve">[ … ]</w:t>
      </w:r>
      <w:r>
        <w:t xml:space="preserve">. As to this latter claim, it may be that the collector's only error is a failure to collect an additional ten dollars from the Spring dale Distilling Company; but giving the plaintiff the benefit of reasonable intendments in his allegations (as we must on this motion), the claim appears to be in effect that he was actually the first bidder at the price for which they were sold, and hence was entitled to the merchandise. Of course, defendant did not need to move on the complaint alone; he could have disclosed the facts from his point of view, in advance of a trial if he chose, by asking for a pre-trial hearing or by moving for a summary judgment with supporting affidavits. But, as it stands, we do not see how the plaintiff may properly be deprived of his day in court to show what he obviously so firmly believes and what for present purposes defendant must be taken as admitting. It appears to be well settled that the collector may be held personally for a default or for negligence in the performance of his duties.</w:t>
      </w:r>
      <w:r>
        <w:t xml:space="preserve"> </w:t>
      </w:r>
      <w:r>
        <w:rPr>
          <w:rStyle w:val="Elision"/>
        </w:rPr>
        <w:t xml:space="preserve">[ … ]</w:t>
      </w:r>
    </w:p>
    <w:p>
      <w:pPr>
        <w:pStyle w:val="CaseBody"/>
      </w:pPr>
      <w:r>
        <w:t xml:space="preserve">On remand, the District Court may find substance in other claims asserted by plaintiff, which include a failure properly to catalogue the items (as the cited Regulations provide), or to allow plaintiff to buy at a discount from the catalogue price just before the auction sale (a claim whose basis is not apparent), and a violation of an agreement to deliver the merchandise to the plaintiff as soon as he paid for it, by stopping the payments. In view of plaintiff's limited ability to write and speak English, it will be difficult for the District Court to arrive at justice unless he consents to receive legal assistance in the presentation of his case. The record indicates that</w:t>
      </w:r>
      <w:r>
        <w:t xml:space="preserve"> </w:t>
      </w:r>
      <w:r>
        <w:t xml:space="preserve">he refused further help from a lawyer suggested by the court, and his brief (which was a recital of facts, rather than an argument of law) shows distrust of a lawyer of standing at this bar</w:t>
      </w:r>
      <w:r>
        <w:rPr>
          <w:rStyle w:val="FootnoteReference"/>
        </w:rPr>
        <w:footnoteReference w:customMarkFollows="1" w:id="77"/>
        <w:t xml:space="preserve">**</w:t>
      </w:r>
      <w:r>
        <w:t xml:space="preserve">. It is the plaintiff's privilege to decline all legal help,</w:t>
      </w:r>
      <w:r>
        <w:t xml:space="preserve"> </w:t>
      </w:r>
      <w:r>
        <w:rPr>
          <w:rStyle w:val="Elision"/>
        </w:rPr>
        <w:t xml:space="preserve">[ … ]</w:t>
      </w:r>
      <w:r>
        <w:t xml:space="preserve">; but we fear that he will be indeed ill advised to attempt to meet a motion for summary judgment or other similar presentation of [776] the merits without competent advice and assistance.</w:t>
      </w:r>
    </w:p>
    <w:p>
      <w:pPr>
        <w:pStyle w:val="CaseBody"/>
      </w:pPr>
      <w:r>
        <w:t xml:space="preserve">Judgment is reversed and the action is remanded for further proceedings not inconsistent with this opinion.</w:t>
      </w:r>
    </w:p>
    <w:bookmarkEnd w:id="202"/>
    <w:p>
      <w:pPr>
        <w:pStyle w:val="NodeEnd"/>
      </w:pPr>
      <w:r>
        <w:t xml:space="preserve"> </w:t>
      </w:r>
    </w:p>
    <w:p>
      <w:pPr>
        <w:pStyle w:val="NodeStart"/>
      </w:pPr>
      <w:r>
        <w:t xml:space="preserve"> </w:t>
      </w:r>
    </w:p>
    <w:p>
      <w:pPr>
        <w:pStyle w:val="HeadSeparator"/>
      </w:pPr>
      <w:r>
        <w:t xml:space="preserve"> </w:t>
      </w:r>
    </w:p>
    <w:bookmarkStart w:id="132" w:name="_auto_toc_132"/>
    <w:bookmarkEnd w:id="132"/>
    <w:p>
      <w:pPr>
        <w:pStyle w:val="ResourceNumber"/>
      </w:pPr>
      <w:r>
        <w:t xml:space="preserve">11.7</w:t>
      </w:r>
    </w:p>
    <w:p>
      <w:pPr>
        <w:pStyle w:val="ResourceTitle"/>
      </w:pPr>
      <w:r>
        <w:t xml:space="preserve">Notes following Dioguardi</w:t>
      </w:r>
    </w:p>
    <w:p>
      <w:pPr>
        <w:pStyle w:val="HeadEnd"/>
      </w:pPr>
      <w:r>
        <w:t xml:space="preserve"> </w:t>
      </w:r>
    </w:p>
    <w:p>
      <w:pPr>
        <w:numPr>
          <w:ilvl w:val="0"/>
          <w:numId w:val="1126"/>
        </w:numPr>
      </w:pPr>
      <w:r>
        <w:t xml:space="preserve">What is actually alleged in the complaint? Is there a theory of relief? Does the Second Circuit’s decision make sense after reading the complaint?</w:t>
      </w:r>
    </w:p>
    <w:p>
      <w:pPr>
        <w:numPr>
          <w:ilvl w:val="0"/>
          <w:numId w:val="1126"/>
        </w:numPr>
      </w:pPr>
      <w:r>
        <w:rPr>
          <w:iCs/>
          <w:i/>
        </w:rPr>
        <w:t xml:space="preserve">Dioguardi</w:t>
      </w:r>
      <w:r>
        <w:t xml:space="preserve"> </w:t>
      </w:r>
      <w:r>
        <w:t xml:space="preserve">was decided under notice pleading, not code pleading. How would</w:t>
      </w:r>
      <w:r>
        <w:t xml:space="preserve"> </w:t>
      </w:r>
      <w:r>
        <w:rPr>
          <w:iCs/>
          <w:i/>
        </w:rPr>
        <w:t xml:space="preserve">Dioguardi</w:t>
      </w:r>
      <w:r>
        <w:t xml:space="preserve"> </w:t>
      </w:r>
      <w:r>
        <w:t xml:space="preserve">have been decided in a code pleading jurisdiction?</w:t>
      </w:r>
    </w:p>
    <w:p>
      <w:pPr>
        <w:numPr>
          <w:ilvl w:val="0"/>
          <w:numId w:val="1126"/>
        </w:numPr>
      </w:pPr>
      <w:r>
        <w:t xml:space="preserve">Pleading burdens determine which party must introduce an issue into court proceedings. Burdens exist for both plaintiffs (e.g., causes of action) and defendants (e.g., affirmative defenses). The burden of pleading often, but not always, is assigned to the same party as the burden of persuasion for a specific issue.  We will learn about burdens of persuasion later in the course.</w:t>
      </w:r>
    </w:p>
    <w:p>
      <w:pPr>
        <w:numPr>
          <w:ilvl w:val="0"/>
          <w:numId w:val="1126"/>
        </w:numPr>
      </w:pPr>
      <w:r>
        <w:t xml:space="preserve">In</w:t>
      </w:r>
      <w:r>
        <w:t xml:space="preserve"> </w:t>
      </w:r>
      <w:r>
        <w:rPr>
          <w:iCs/>
          <w:i/>
        </w:rPr>
        <w:t xml:space="preserve">Dioguardi</w:t>
      </w:r>
      <w:r>
        <w:t xml:space="preserve">, the plaintiff survived a motion to dismiss, thus meeting the burden of pleading. Note, though, that this does not necessarily mean the plaintiff won the lawsuit – just that the plaintiff gets to the discovery stage.</w:t>
      </w:r>
    </w:p>
    <w:p>
      <w:pPr>
        <w:numPr>
          <w:ilvl w:val="0"/>
          <w:numId w:val="1126"/>
        </w:numPr>
      </w:pPr>
      <w:r>
        <w:t xml:space="preserve">The </w:t>
      </w:r>
      <w:r>
        <w:rPr>
          <w:iCs/>
          <w:i/>
        </w:rPr>
        <w:t xml:space="preserve">Dioguardi</w:t>
      </w:r>
      <w:r>
        <w:t xml:space="preserve"> </w:t>
      </w:r>
      <w:r>
        <w:t xml:space="preserve">court repeated several times that the plaintiff had "obviously" prepared his claim himself (and even refused a lawyer). Would a lawyer have helped here? Why did Dioguardi refuse one? Are his reasons understandable, given the state of the modern court system?</w:t>
      </w:r>
    </w:p>
    <w:p>
      <w:pPr>
        <w:pStyle w:val="NodeEnd"/>
      </w:pPr>
      <w:r>
        <w:t xml:space="preserve"> </w:t>
      </w:r>
    </w:p>
    <w:p>
      <w:pPr>
        <w:pStyle w:val="NodeStart"/>
      </w:pPr>
      <w:r>
        <w:t xml:space="preserve"> </w:t>
      </w:r>
    </w:p>
    <w:p>
      <w:pPr>
        <w:pStyle w:val="HeadSeparator"/>
      </w:pPr>
      <w:r>
        <w:t xml:space="preserve"> </w:t>
      </w:r>
    </w:p>
    <w:bookmarkStart w:id="133" w:name="_auto_toc_133"/>
    <w:bookmarkEnd w:id="133"/>
    <w:p>
      <w:pPr>
        <w:pStyle w:val="ResourceNumber"/>
      </w:pPr>
      <w:r>
        <w:t xml:space="preserve">11.8</w:t>
      </w:r>
    </w:p>
    <w:p>
      <w:pPr>
        <w:pStyle w:val="ResourceTitle"/>
      </w:pPr>
      <w:r>
        <w:t xml:space="preserve">Utterly Oversimplified Summary of Three Causes of Action</w:t>
      </w:r>
    </w:p>
    <w:p>
      <w:pPr>
        <w:pStyle w:val="HeadFieldSeparator"/>
      </w:pPr>
      <w:r>
        <w:t xml:space="preserve"> </w:t>
      </w:r>
    </w:p>
    <w:p>
      <w:pPr>
        <w:pStyle w:val="ResourceHeadnote"/>
      </w:pPr>
      <w:r>
        <w:t xml:space="preserve">For today's class, please review the discussion of the Sherman Act, Section 1.</w:t>
      </w:r>
    </w:p>
    <w:p>
      <w:pPr>
        <w:pStyle w:val="HeadEnd"/>
      </w:pPr>
      <w:r>
        <w:t xml:space="preserve"> </w:t>
      </w:r>
    </w:p>
    <w:p>
      <w:pPr>
        <w:pStyle w:val="BodyText"/>
      </w:pPr>
      <w:r>
        <w:rPr>
          <w:bCs/>
          <w:b/>
        </w:rPr>
        <w:t xml:space="preserve">Warning: </w:t>
      </w:r>
      <w:r>
        <w:t xml:space="preserve">Use this document only for Professor Greiner’s Civil Procedure course. When dealing with any substantive issue regarding these statutes outside of Professor Greiner’s Civil Procedure, disregard this summary entirely.</w:t>
      </w:r>
    </w:p>
    <w:bookmarkStart w:id="203" w:name="X4a956d243c239a7e3c9b8599afcdc1b8c90b03e"/>
    <w:p>
      <w:pPr>
        <w:pStyle w:val="Heading2"/>
      </w:pPr>
      <w:r>
        <w:rPr>
          <w:bCs/>
          <w:b/>
        </w:rPr>
        <w:t xml:space="preserve">Title VII of the Civil Rights Act of 1964</w:t>
      </w:r>
    </w:p>
    <w:p>
      <w:pPr>
        <w:numPr>
          <w:ilvl w:val="0"/>
          <w:numId w:val="1127"/>
        </w:numPr>
      </w:pPr>
      <w:r>
        <w:t xml:space="preserve">Prohibits adverse action related to a plaintiff’s employment “because of,” among other things, race and sex</w:t>
      </w:r>
    </w:p>
    <w:p>
      <w:pPr>
        <w:numPr>
          <w:ilvl w:val="0"/>
          <w:numId w:val="1127"/>
        </w:numPr>
      </w:pPr>
      <w:r>
        <w:t xml:space="preserve">Has been interpreted to include the following theories of relief:</w:t>
      </w:r>
    </w:p>
    <w:p>
      <w:pPr>
        <w:numPr>
          <w:ilvl w:val="1"/>
          <w:numId w:val="1128"/>
        </w:numPr>
      </w:pPr>
      <w:r>
        <w:t xml:space="preserve">Discharge, failure to hire, failure to promote because of race or sex</w:t>
      </w:r>
    </w:p>
    <w:p>
      <w:pPr>
        <w:numPr>
          <w:ilvl w:val="2"/>
          <w:numId w:val="1129"/>
        </w:numPr>
      </w:pPr>
      <w:r>
        <w:t xml:space="preserve">“Intent”: In certain types of cases, requires a plaintiff to prove that the defendant “intentionally” took the adverse employment action because of race or sex</w:t>
      </w:r>
    </w:p>
    <w:p>
      <w:pPr>
        <w:numPr>
          <w:ilvl w:val="2"/>
          <w:numId w:val="1129"/>
        </w:numPr>
      </w:pPr>
      <w:r>
        <w:t xml:space="preserve">Partly in response to the fact that intent is unobservable, courts have developed a three-part mode of analysis (we will talk more about this when we discuss burden- shifting)</w:t>
      </w:r>
    </w:p>
    <w:p>
      <w:pPr>
        <w:numPr>
          <w:ilvl w:val="1"/>
          <w:numId w:val="1128"/>
        </w:numPr>
      </w:pPr>
      <w:r>
        <w:rPr>
          <w:u w:val="single"/>
        </w:rPr>
        <w:t xml:space="preserve">Prima facie case</w:t>
      </w:r>
      <w:r>
        <w:t xml:space="preserve">: Still a matter of dispute, and specifics vary anyway, but definitely includes the idea that the plaintiff is of one race (sex), that she suffered adverse employment action, and that an applicant/employee of another race (sex) did not suffer adverse employment action; a remaining (currently unanswered) question is whether the prima facie case requires “something more” of a plaintiff that supports an inference of discrimination</w:t>
      </w:r>
    </w:p>
    <w:p>
      <w:pPr>
        <w:numPr>
          <w:ilvl w:val="1"/>
          <w:numId w:val="1128"/>
        </w:numPr>
      </w:pPr>
      <w:r>
        <w:rPr>
          <w:u w:val="single"/>
        </w:rPr>
        <w:t xml:space="preserve">Def’s reasons</w:t>
      </w:r>
      <w:r>
        <w:t xml:space="preserve">: Defendant produces evidence of a legitimate, non-discriminatory reason for the adverse action taken</w:t>
      </w:r>
    </w:p>
    <w:p>
      <w:pPr>
        <w:numPr>
          <w:ilvl w:val="1"/>
          <w:numId w:val="1128"/>
        </w:numPr>
      </w:pPr>
      <w:r>
        <w:rPr>
          <w:u w:val="single"/>
        </w:rPr>
        <w:t xml:space="preserve">Pretext</w:t>
      </w:r>
      <w:r>
        <w:t xml:space="preserve">: Plaintiff attempts to prove that the defendant’s reasons are unworthy of credence, i.e., a pretext for discrimination</w:t>
      </w:r>
    </w:p>
    <w:p>
      <w:pPr>
        <w:numPr>
          <w:ilvl w:val="2"/>
          <w:numId w:val="1130"/>
        </w:numPr>
      </w:pPr>
      <w:r>
        <w:t xml:space="preserve">Sexual harassment</w:t>
      </w:r>
    </w:p>
    <w:p>
      <w:pPr>
        <w:numPr>
          <w:ilvl w:val="3"/>
          <w:numId w:val="1131"/>
        </w:numPr>
      </w:pPr>
      <w:r>
        <w:t xml:space="preserve">“Quid Pro Quo”: Adverse employment action because of the refusal by a plaintiff to engage in sexual conduct with an employee (usually a superior officer) of the defendant</w:t>
      </w:r>
    </w:p>
    <w:p>
      <w:pPr>
        <w:numPr>
          <w:ilvl w:val="3"/>
          <w:numId w:val="1131"/>
        </w:numPr>
      </w:pPr>
      <w:r>
        <w:t xml:space="preserve">“Hostile Workplace”: The maintenance of a working environment in which sexual or racial harassment is so pervasive that it changes the terms or conditions of employment</w:t>
      </w:r>
    </w:p>
    <w:p>
      <w:pPr>
        <w:numPr>
          <w:ilvl w:val="2"/>
          <w:numId w:val="1130"/>
        </w:numPr>
      </w:pPr>
      <w:r>
        <w:t xml:space="preserve">Provides a cause of action against the employer for actions taken by employees within the scope of their employment (the “respondeat superior” theory, which you will cover in more detail in torts)</w:t>
      </w:r>
    </w:p>
    <w:p>
      <w:pPr>
        <w:numPr>
          <w:ilvl w:val="2"/>
          <w:numId w:val="1130"/>
        </w:numPr>
      </w:pPr>
      <w:r>
        <w:t xml:space="preserve">Has tight (comparatively speaking) limitations provisions involving presentation of the claim to an administrative agency before a lawsuit may be filed</w:t>
      </w:r>
    </w:p>
    <w:p>
      <w:pPr>
        <w:numPr>
          <w:ilvl w:val="2"/>
          <w:numId w:val="1130"/>
        </w:numPr>
      </w:pPr>
      <w:r>
        <w:t xml:space="preserve">Includes as an affirmative defense allowing an employer to impose an adverse employment action because of “religion, sex, or national origin” (notice not race) when “religion, sex, or national origin is a bona fide occupational qualification reasonably necessary to the normal operation of that particular business or enterprise”</w:t>
      </w:r>
    </w:p>
    <w:bookmarkEnd w:id="203"/>
    <w:bookmarkStart w:id="204" w:name="u.s.c.-1983-1"/>
    <w:p>
      <w:pPr>
        <w:pStyle w:val="Heading2"/>
      </w:pPr>
      <w:r>
        <w:rPr>
          <w:bCs/>
          <w:b/>
        </w:rPr>
        <w:t xml:space="preserve">42 U.S.C. § 1983</w:t>
      </w:r>
    </w:p>
    <w:p>
      <w:pPr>
        <w:numPr>
          <w:ilvl w:val="0"/>
          <w:numId w:val="1132"/>
        </w:numPr>
      </w:pPr>
      <w:r>
        <w:t xml:space="preserve">Provides a cause of action against a “person” acting under color of state law who deprives the plaintiff of her constitutional rights</w:t>
      </w:r>
    </w:p>
    <w:p>
      <w:pPr>
        <w:numPr>
          <w:ilvl w:val="0"/>
          <w:numId w:val="1132"/>
        </w:numPr>
      </w:pPr>
      <w:r>
        <w:t xml:space="preserve">“Persons” include municipalities as well as human beings, but elements of the cause of action vary depending on the kind of defendant</w:t>
      </w:r>
    </w:p>
    <w:p>
      <w:pPr>
        <w:numPr>
          <w:ilvl w:val="1"/>
          <w:numId w:val="1133"/>
        </w:numPr>
      </w:pPr>
      <w:r>
        <w:t xml:space="preserve">In</w:t>
      </w:r>
      <w:r>
        <w:t xml:space="preserve"> </w:t>
      </w:r>
      <w:r>
        <w:rPr>
          <w:iCs/>
          <w:i/>
        </w:rPr>
        <w:t xml:space="preserve">Monroe v Pape</w:t>
      </w:r>
      <w:r>
        <w:t xml:space="preserve"> </w:t>
      </w:r>
      <w:r>
        <w:t xml:space="preserve">(1961), the Supreme Court held that a municipality was NOT a “person” within the meaning of Section 1983, meaning that no plaintiff could sue a municipality under this statute</w:t>
      </w:r>
    </w:p>
    <w:p>
      <w:pPr>
        <w:numPr>
          <w:ilvl w:val="1"/>
          <w:numId w:val="1133"/>
        </w:numPr>
      </w:pPr>
      <w:r>
        <w:t xml:space="preserve">In</w:t>
      </w:r>
      <w:r>
        <w:t xml:space="preserve"> </w:t>
      </w:r>
      <w:r>
        <w:rPr>
          <w:iCs/>
          <w:i/>
        </w:rPr>
        <w:t xml:space="preserve">Monell v. DSS</w:t>
      </w:r>
      <w:r>
        <w:t xml:space="preserve"> </w:t>
      </w:r>
      <w:r>
        <w:t xml:space="preserve">(1978), however, the Supreme Court reversed itself, holding that a municipality was in fact a “person” within the meaning of Section 1983</w:t>
      </w:r>
    </w:p>
    <w:p>
      <w:pPr>
        <w:numPr>
          <w:ilvl w:val="1"/>
          <w:numId w:val="1133"/>
        </w:numPr>
      </w:pPr>
      <w:r>
        <w:t xml:space="preserve">Between 1961 and 1978, some important cases were decided in which the then-extant</w:t>
      </w:r>
      <w:r>
        <w:t xml:space="preserve"> </w:t>
      </w:r>
      <w:r>
        <w:rPr>
          <w:iCs/>
          <w:i/>
        </w:rPr>
        <w:t xml:space="preserve">Monroe</w:t>
      </w:r>
      <w:r>
        <w:t xml:space="preserve"> </w:t>
      </w:r>
      <w:r>
        <w:t xml:space="preserve">rule made a difference; among these is</w:t>
      </w:r>
      <w:r>
        <w:t xml:space="preserve"> </w:t>
      </w:r>
      <w:r>
        <w:rPr>
          <w:iCs/>
          <w:i/>
        </w:rPr>
        <w:t xml:space="preserve">Aldinger v. Howard</w:t>
      </w:r>
      <w:r>
        <w:t xml:space="preserve"> </w:t>
      </w:r>
      <w:r>
        <w:t xml:space="preserve">(1976), dealing with supplemental jurisdiction</w:t>
      </w:r>
    </w:p>
    <w:p>
      <w:pPr>
        <w:numPr>
          <w:ilvl w:val="0"/>
          <w:numId w:val="1132"/>
        </w:numPr>
      </w:pPr>
      <w:r>
        <w:t xml:space="preserve">Applies to an enormous variety of fact situations, from police brutality to denial of equal protection</w:t>
      </w:r>
    </w:p>
    <w:p>
      <w:pPr>
        <w:numPr>
          <w:ilvl w:val="0"/>
          <w:numId w:val="1132"/>
        </w:numPr>
      </w:pPr>
      <w:r>
        <w:t xml:space="preserve">Has been held to provide a cause of action essentially identical to Title VII when the plaintiff is an employee of a state and the allegedly illegal activity is undertaken by employees of the state with respect to the terms and conditions of the plaintiff’s employment; this is important in</w:t>
      </w:r>
      <w:r>
        <w:t xml:space="preserve"> </w:t>
      </w:r>
      <w:r>
        <w:rPr>
          <w:iCs/>
          <w:i/>
        </w:rPr>
        <w:t xml:space="preserve">Jones v. Clinton</w:t>
      </w:r>
      <w:r>
        <w:t xml:space="preserve"> </w:t>
      </w:r>
      <w:r>
        <w:t xml:space="preserve">because, unlike Title VII, Section 1983 does NOT have comparatively tight limitations periods associated with it</w:t>
      </w:r>
    </w:p>
    <w:p>
      <w:pPr>
        <w:numPr>
          <w:ilvl w:val="0"/>
          <w:numId w:val="1132"/>
        </w:numPr>
      </w:pPr>
      <w:r>
        <w:t xml:space="preserve">Section 1983 is one of a set of important civil rights statutes as to which special removal/remand provisions apply</w:t>
      </w:r>
    </w:p>
    <w:bookmarkEnd w:id="204"/>
    <w:bookmarkStart w:id="205" w:name="sherman-act-section-1-1"/>
    <w:p>
      <w:pPr>
        <w:pStyle w:val="Heading2"/>
      </w:pPr>
      <w:r>
        <w:rPr>
          <w:bCs/>
          <w:b/>
        </w:rPr>
        <w:t xml:space="preserve">Sherman Act, Section 1</w:t>
      </w:r>
    </w:p>
    <w:p>
      <w:pPr>
        <w:numPr>
          <w:ilvl w:val="0"/>
          <w:numId w:val="1134"/>
        </w:numPr>
      </w:pPr>
      <w:r>
        <w:t xml:space="preserve">Prohibits “conspiracy” in restraint of trade</w:t>
      </w:r>
    </w:p>
    <w:p>
      <w:pPr>
        <w:numPr>
          <w:ilvl w:val="0"/>
          <w:numId w:val="1134"/>
        </w:numPr>
      </w:pPr>
      <w:r>
        <w:t xml:space="preserve">Has been interpreted to include two types of analyses: “per se” violations and “rule of reason” cases</w:t>
      </w:r>
    </w:p>
    <w:p>
      <w:pPr>
        <w:numPr>
          <w:ilvl w:val="1"/>
          <w:numId w:val="1135"/>
        </w:numPr>
      </w:pPr>
      <w:r>
        <w:t xml:space="preserve">Per se violations:</w:t>
      </w:r>
    </w:p>
    <w:p>
      <w:pPr>
        <w:numPr>
          <w:ilvl w:val="2"/>
          <w:numId w:val="1136"/>
        </w:numPr>
      </w:pPr>
      <w:r>
        <w:t xml:space="preserve">Ultimate example is a “horizontal” agreement by persons engaged in the same industry or selling the same product to fix prices</w:t>
      </w:r>
    </w:p>
    <w:p>
      <w:pPr>
        <w:numPr>
          <w:ilvl w:val="2"/>
          <w:numId w:val="1136"/>
        </w:numPr>
      </w:pPr>
      <w:r>
        <w:t xml:space="preserve">Another example is an agreement by horizontal competitors to divide a market in a specified way, e.g., to avoid competition in each other’s “areas”</w:t>
      </w:r>
    </w:p>
    <w:p>
      <w:pPr>
        <w:numPr>
          <w:ilvl w:val="1"/>
          <w:numId w:val="1135"/>
        </w:numPr>
      </w:pPr>
      <w:r>
        <w:t xml:space="preserve">Rule of reason: If the defendants’ conduct is not a per se violation, then it is governed by the “rule of reason,” which means that it may be illegal if the plaintiffs can convince the court that the conduct is in restraint of trade; typically requires extensive economic theory and analysis to prove that a particular transaction has anti-competitive effects</w:t>
      </w:r>
    </w:p>
    <w:p>
      <w:pPr>
        <w:numPr>
          <w:ilvl w:val="0"/>
          <w:numId w:val="1134"/>
        </w:numPr>
      </w:pPr>
      <w:r>
        <w:t xml:space="preserve">Requires a plaintiff to prove an “agreement” in restraint of trade, thus rendering proof of “conscious parallelism” insufficient</w:t>
      </w:r>
    </w:p>
    <w:p>
      <w:pPr>
        <w:numPr>
          <w:ilvl w:val="0"/>
          <w:numId w:val="1134"/>
        </w:numPr>
      </w:pPr>
      <w:r>
        <w:t xml:space="preserve">“Conscious parallelism” is action by competitor A that mirrors action by competitor B despite the absence of any sort of agreement between A and B</w:t>
      </w:r>
    </w:p>
    <w:p>
      <w:pPr>
        <w:numPr>
          <w:ilvl w:val="0"/>
          <w:numId w:val="1134"/>
        </w:numPr>
      </w:pPr>
      <w:r>
        <w:t xml:space="preserve">“Conscious parallelism” is sometimes seen in airline ticket pricing (at least, that is what the airlines say), where multiple companies have the same prices for, say, a trip from Boston to Chicago, even though (according to the airlines) they are not communicating with each other directly over prices</w:t>
      </w:r>
    </w:p>
    <w:bookmarkEnd w:id="205"/>
    <w:p>
      <w:pPr>
        <w:pStyle w:val="NodeEnd"/>
      </w:pPr>
      <w:r>
        <w:t xml:space="preserve"> </w:t>
      </w:r>
    </w:p>
    <w:p>
      <w:pPr>
        <w:pStyle w:val="NodeStart"/>
      </w:pPr>
      <w:r>
        <w:t xml:space="preserve"> </w:t>
      </w:r>
    </w:p>
    <w:p>
      <w:pPr>
        <w:pStyle w:val="HeadSeparator"/>
      </w:pPr>
      <w:r>
        <w:t xml:space="preserve"> </w:t>
      </w:r>
    </w:p>
    <w:bookmarkStart w:id="134" w:name="_auto_toc_134"/>
    <w:bookmarkEnd w:id="134"/>
    <w:p>
      <w:pPr>
        <w:pStyle w:val="ResourceNumber"/>
      </w:pPr>
      <w:r>
        <w:t xml:space="preserve">11.9</w:t>
      </w:r>
    </w:p>
    <w:p>
      <w:pPr>
        <w:pStyle w:val="ResourceTitle"/>
      </w:pPr>
      <w:r>
        <w:t xml:space="preserve">Complaint from Twombly v. Bell Atlantic</w:t>
      </w:r>
    </w:p>
    <w:p>
      <w:pPr>
        <w:pStyle w:val="HeadEnd"/>
      </w:pPr>
      <w:r>
        <w:t xml:space="preserve"> </w:t>
      </w:r>
    </w:p>
    <w:p>
      <w:pPr>
        <w:pStyle w:val="BodyText"/>
      </w:pPr>
      <w:r>
        <w:t xml:space="preserve">Please </w:t>
      </w:r>
      <w:r>
        <w:rPr>
          <w:bCs/>
          <w:b/>
        </w:rPr>
        <w:t xml:space="preserve">skim</w:t>
      </w:r>
      <w:r>
        <w:t xml:space="preserve"> </w:t>
      </w:r>
      <w:r>
        <w:t xml:space="preserve">the complaint from the District Court case on appeal in </w:t>
      </w:r>
      <w:r>
        <w:rPr>
          <w:iCs/>
          <w:i/>
        </w:rPr>
        <w:t xml:space="preserve">Twombly v. Bell Atlantic. </w:t>
      </w:r>
      <w:r>
        <w:t xml:space="preserve">The complaint can be found</w:t>
      </w:r>
      <w:r>
        <w:t xml:space="preserve"> </w:t>
      </w:r>
      <w:hyperlink r:id="rId206">
        <w:r>
          <w:rPr>
            <w:rStyle w:val="Hyperlink"/>
          </w:rPr>
          <w:t xml:space="preserve">here</w:t>
        </w:r>
      </w:hyperlink>
      <w:r>
        <w:t xml:space="preserve"> (pdf).</w:t>
      </w:r>
    </w:p>
    <w:p>
      <w:pPr>
        <w:pStyle w:val="NodeEnd"/>
      </w:pPr>
      <w:r>
        <w:t xml:space="preserve"> </w:t>
      </w:r>
    </w:p>
    <w:p>
      <w:pPr>
        <w:pStyle w:val="NodeStart"/>
      </w:pPr>
      <w:r>
        <w:t xml:space="preserve"> </w:t>
      </w:r>
    </w:p>
    <w:p>
      <w:pPr>
        <w:pStyle w:val="HeadSeparator"/>
      </w:pPr>
      <w:r>
        <w:t xml:space="preserve"> </w:t>
      </w:r>
    </w:p>
    <w:bookmarkStart w:id="135" w:name="_auto_toc_135"/>
    <w:bookmarkEnd w:id="135"/>
    <w:p>
      <w:pPr>
        <w:pStyle w:val="ResourceNumber"/>
      </w:pPr>
      <w:r>
        <w:t xml:space="preserve">11.10</w:t>
      </w:r>
    </w:p>
    <w:p>
      <w:pPr>
        <w:pStyle w:val="ResourceTitle"/>
      </w:pPr>
      <w:r>
        <w:t xml:space="preserve">Bell Atlantic Corp. v. Twombly</w:t>
      </w:r>
    </w:p>
    <w:p>
      <w:pPr>
        <w:pStyle w:val="HeadFieldSeparator"/>
      </w:pPr>
      <w:r>
        <w:t xml:space="preserve"> </w:t>
      </w:r>
    </w:p>
    <w:p>
      <w:pPr>
        <w:pStyle w:val="ResourceHeadnote"/>
      </w:pPr>
      <w:r>
        <w:t xml:space="preserve">At this point, we have defined code pleading and notice pleading, and you have reviewed an example of each. So, which regime does the Federal Rules of Civil Procedure adopt?</w:t>
      </w:r>
    </w:p>
    <w:p>
      <w:pPr>
        <w:pStyle w:val="ResourceHeadnote"/>
      </w:pPr>
      <w:r>
        <w:t xml:space="preserve">As suggested above, when in 1938 the Federal Rules became law, the legal community understood that they had adopted notice pleading. And so matters stood for just under 70 years, with occasional hints of dissatisfaction and rumblings that, at least in certain circumstances, Rules 8(a)(2) and 12(b)(6) might require something more than putting the court and the defendant on notice of the nature of the allegations and the factual transaction giving rise to the lawsuit.</w:t>
      </w:r>
    </w:p>
    <w:p>
      <w:pPr>
        <w:pStyle w:val="ResourceHeadnote"/>
      </w:pPr>
      <w:r>
        <w:t xml:space="preserve">In 2007, the Supreme Court decided</w:t>
      </w:r>
      <w:r>
        <w:t xml:space="preserve"> </w:t>
      </w:r>
      <w:r>
        <w:rPr>
          <w:iCs/>
          <w:i/>
        </w:rPr>
        <w:t xml:space="preserve">Bell Atlantic</w:t>
      </w:r>
      <w:r>
        <w:t xml:space="preserve">. Two years later, it decided</w:t>
      </w:r>
      <w:r>
        <w:t xml:space="preserve"> </w:t>
      </w:r>
      <w:r>
        <w:rPr>
          <w:iCs/>
          <w:i/>
        </w:rPr>
        <w:t xml:space="preserve">Iqbal</w:t>
      </w:r>
      <w:r>
        <w:t xml:space="preserve">. Those two decisions rewrote civil procedure textbooks. In those decisions, the Supreme Court interpreted Rules 8(a)(2) and 12(b)(6) as articulating not notice pleading, but something called "plausibility pleading." In my view, "plausibility pleading" is just code pleading (minus the possiblity of having a case dismissed for having included legal conclusions, which under plausiblity pleading are simply ignored). Read these two decisions to see if you agree.</w:t>
      </w:r>
    </w:p>
    <w:p>
      <w:pPr>
        <w:pStyle w:val="HeadEnd"/>
      </w:pPr>
      <w:r>
        <w:t xml:space="preserve"> </w:t>
      </w:r>
    </w:p>
    <w:p>
      <w:pPr>
        <w:pStyle w:val="CaseHeader"/>
      </w:pPr>
      <w:r>
        <w:t xml:space="preserve">Supreme Court of the United States</w:t>
      </w:r>
    </w:p>
    <w:p>
      <w:pPr>
        <w:pStyle w:val="CaseHeader"/>
      </w:pPr>
      <w:r>
        <w:t xml:space="preserve">550 U.S. 544, 167 L. Ed. 2d 929, 127 S. Ct. 1955, 2007 U.S. LEXIS 5901, SCDB 2006-045</w:t>
      </w:r>
    </w:p>
    <w:p>
      <w:pPr>
        <w:pStyle w:val="CaseHeader"/>
      </w:pPr>
      <w:r>
        <w:t xml:space="preserve">No. 05-1126</w:t>
      </w:r>
    </w:p>
    <w:p>
      <w:pPr>
        <w:pStyle w:val="CaseHeader"/>
      </w:pPr>
      <w:r>
        <w:t xml:space="preserve">2007-05-21</w:t>
      </w:r>
    </w:p>
    <w:p>
      <w:pPr>
        <w:pStyle w:val="CaseBody"/>
      </w:pPr>
      <w:r>
        <w:rPr>
          <w:rStyle w:val="Elision"/>
        </w:rPr>
        <w:t xml:space="preserve">[ … ]</w:t>
      </w:r>
    </w:p>
    <w:p>
      <w:pPr>
        <w:pStyle w:val="CaseBody"/>
      </w:pPr>
      <w:r>
        <w:t xml:space="preserve">Justice Souter</w:t>
      </w:r>
    </w:p>
    <w:p>
      <w:pPr>
        <w:pStyle w:val="CaseBody"/>
      </w:pPr>
      <w:r>
        <w:t xml:space="preserve">delivered the opinion of the Court.</w:t>
      </w:r>
    </w:p>
    <w:p>
      <w:pPr>
        <w:pStyle w:val="CaseBody"/>
      </w:pPr>
      <w:r>
        <w:t xml:space="preserve">Liability under § 1 of the Sherman Act, 15 U. S. C. § 1, requires a “contract, combination ... , or conspiracy, in restraint of trade or commerce.” The question in this putative class action is whether a § 1 complaint can survive a motion to dismiss when it alleges that major telecommunications providers engaged in certain parallel conduct unfavorable to competition, absent some factual context suggesting agreement, as distinct from identical, independent action. We hold that such a complaint should be dismissed.</w:t>
      </w:r>
    </w:p>
    <w:p>
      <w:pPr>
        <w:pStyle w:val="CaseBody"/>
      </w:pPr>
      <w:r>
        <w:t xml:space="preserve">I</w:t>
      </w:r>
    </w:p>
    <w:p>
      <w:pPr>
        <w:pStyle w:val="CaseBody"/>
      </w:pPr>
      <w:r>
        <w:t xml:space="preserve">The upshot of the 1984 divestiture of the American Telephone &amp; Telegraph Company’s (AT&amp;T) local telephone business was a system of regional service monopolies (variously called “Regional Bell Operating Companies,” “Baby Bells,” or “Incumbent Local Exchange Carriers” (ILECs)), and a separate, competitive market for long-distance service from which the ILECs were excluded. More than a decade later, Congress withdrew approval of the ILECs’ monopolies by enacting the Telecommunications Act of 1996 (1996 Act)</w:t>
      </w:r>
      <w:r>
        <w:rPr>
          <w:rStyle w:val="Elision"/>
        </w:rPr>
        <w:t xml:space="preserve">[ … ]</w:t>
      </w:r>
      <w:r>
        <w:t xml:space="preserve"> </w:t>
      </w:r>
      <w:r>
        <w:t xml:space="preserve">which “fundamentally restructure[d] local telephone markets” and “subjected] [ILECs] to a host of duties intended to facilitate market entry.”</w:t>
      </w:r>
      <w:r>
        <w:t xml:space="preserve"> </w:t>
      </w:r>
      <w:r>
        <w:rPr>
          <w:rStyle w:val="Elision"/>
        </w:rPr>
        <w:t xml:space="preserve">[ … ]</w:t>
      </w:r>
      <w:r>
        <w:t xml:space="preserve">. In recompense, the 1996 Act set conditions for authorizing ILECs to enter the long-distance market.</w:t>
      </w:r>
      <w:r>
        <w:t xml:space="preserve"> </w:t>
      </w:r>
      <w:r>
        <w:rPr>
          <w:rStyle w:val="Elision"/>
        </w:rPr>
        <w:t xml:space="preserve">[ … ]</w:t>
      </w:r>
    </w:p>
    <w:p>
      <w:pPr>
        <w:pStyle w:val="CaseBody"/>
      </w:pPr>
      <w:r>
        <w:t xml:space="preserve">“Central to the [new] scheme [was each ILEC’s] obligation ... to share its network with competitors,”</w:t>
      </w:r>
      <w:r>
        <w:t xml:space="preserve"> </w:t>
      </w:r>
      <w:r>
        <w:rPr>
          <w:rStyle w:val="Elision"/>
        </w:rPr>
        <w:t xml:space="preserve">[ … ]</w:t>
      </w:r>
      <w:r>
        <w:t xml:space="preserve"> </w:t>
      </w:r>
      <w:r>
        <w:t xml:space="preserve">which came to be known as “competitive local exchange carriers” (CLECs),</w:t>
      </w:r>
      <w:r>
        <w:t xml:space="preserve"> </w:t>
      </w:r>
      <w:r>
        <w:rPr>
          <w:rStyle w:val="Elision"/>
        </w:rPr>
        <w:t xml:space="preserve">[ … ]</w:t>
      </w:r>
      <w:r>
        <w:t xml:space="preserve">. A CLEC could make use of an ILEC’s network in any of three ways: by (1) “purchasing] local telephone services at wholesale rates for resale to end users,” (2) “leasing] elements of the [ILEC’s] network ‘on an unbundled basis,’ ” or (3) “interconnecting] its own facilities with the [ILEC’s] network.”</w:t>
      </w:r>
      <w:r>
        <w:t xml:space="preserve"> </w:t>
      </w:r>
      <w:r>
        <w:rPr>
          <w:rStyle w:val="Elision"/>
        </w:rPr>
        <w:t xml:space="preserve">[ … ]</w:t>
      </w:r>
      <w:r>
        <w:t xml:space="preserve"> </w:t>
      </w:r>
      <w:r>
        <w:rPr>
          <w:rStyle w:val="Elision"/>
        </w:rPr>
        <w:t xml:space="preserve">[ … ]</w:t>
      </w:r>
    </w:p>
    <w:p>
      <w:pPr>
        <w:pStyle w:val="CaseBody"/>
      </w:pPr>
      <w:r>
        <w:t xml:space="preserve">Respondents William Twombly and Lawrence Marcus (hereinafter plaintiffs) represent a putative class consisting of all “subscribers of local telephone and/or high speed internet services . . . from February 8, 1996 to present.” Amended Complaint</w:t>
      </w:r>
      <w:r>
        <w:t xml:space="preserve"> </w:t>
      </w:r>
      <w:r>
        <w:rPr>
          <w:rStyle w:val="Elision"/>
        </w:rPr>
        <w:t xml:space="preserve">[ … ]</w:t>
      </w:r>
      <w:r>
        <w:t xml:space="preserve">. In this action against petitioners, a group of ILECs,</w:t>
      </w:r>
      <w:r>
        <w:rPr>
          <w:rStyle w:val="FootnoteReference"/>
        </w:rPr>
        <w:footnoteReference w:customMarkFollows="1" w:id="168"/>
        <w:t xml:space="preserve">1</w:t>
      </w:r>
      <w:r>
        <w:t xml:space="preserve"> </w:t>
      </w:r>
      <w:r>
        <w:t xml:space="preserve">plaintiffs seek treble damages and declaratory and injunctive relief for claimed violations of §1 of the Sherman Act,</w:t>
      </w:r>
      <w:r>
        <w:t xml:space="preserve"> </w:t>
      </w:r>
      <w:r>
        <w:rPr>
          <w:rStyle w:val="Elision"/>
        </w:rPr>
        <w:t xml:space="preserve">[ … ]</w:t>
      </w:r>
    </w:p>
    <w:p>
      <w:pPr>
        <w:pStyle w:val="CaseBody"/>
      </w:pPr>
      <w:r>
        <w:t xml:space="preserve">The complaint alleges that the ILECs conspired to restrain trade in two ways, each supposedly inflating charges for local telephone and high-speed Internet services. Plaintiffs say, first, that the ILECs “engaged in parallel conduct” in their respective service areas to inhibit the growth of upstart CLECs.</w:t>
      </w:r>
      <w:r>
        <w:t xml:space="preserve"> </w:t>
      </w:r>
      <w:r>
        <w:rPr>
          <w:rStyle w:val="Elision"/>
        </w:rPr>
        <w:t xml:space="preserve">[ … ]</w:t>
      </w:r>
    </w:p>
    <w:p>
      <w:pPr>
        <w:pStyle w:val="CaseBody"/>
      </w:pPr>
      <w:r>
        <w:t xml:space="preserve">Second, the complaint charges agreements by the ILECs to refrain from competing against one another. These are to be inferred from the ILECs’ common failure “meaningfully [to] pursu[e]” “attractive business opportunities]” in contiguous markets where they possessed “substantial competitive advantages,”</w:t>
      </w:r>
      <w:r>
        <w:rPr>
          <w:rStyle w:val="Elision"/>
        </w:rPr>
        <w:t xml:space="preserve">[ … ]</w:t>
      </w:r>
    </w:p>
    <w:p>
      <w:pPr>
        <w:pStyle w:val="CaseBody"/>
      </w:pPr>
      <w:r>
        <w:t xml:space="preserve">The complaint couches its ultimate allegations this way:</w:t>
      </w:r>
    </w:p>
    <w:p>
      <w:pPr>
        <w:pStyle w:val="BlockText"/>
      </w:pPr>
      <w:r>
        <w:t xml:space="preserve">“In the absence of any meaningful competition between the [ILECs] in one another’s markets, and in light of the parallel course of conduct that each engaged in to prevent competition from CLECs within their respective local telephone and/or high speed internet services markets and the other facts and market circumstances alleged above, Plaintiffs allege upon information and belief that [the ILECs] have entered into a contract, combination or conspiracy to prevent competitive entry in their respective local telephone and/or high speed internet services markets and have agreed not to compete with one another and otherwise allocated customers and markets to one another.”</w:t>
      </w:r>
      <w:r>
        <w:t xml:space="preserve"> </w:t>
      </w:r>
      <w:r>
        <w:rPr>
          <w:iCs/>
          <w:i/>
        </w:rPr>
        <w:t xml:space="preserve">Id.,</w:t>
      </w:r>
      <w:r>
        <w:t xml:space="preserve"> </w:t>
      </w:r>
      <w:r>
        <w:t xml:space="preserve">¶ 51</w:t>
      </w:r>
      <w:r>
        <w:rPr>
          <w:rStyle w:val="Elision"/>
        </w:rPr>
        <w:t xml:space="preserve">[ … ]</w:t>
      </w:r>
    </w:p>
    <w:p>
      <w:pPr>
        <w:pStyle w:val="CaseBody"/>
      </w:pPr>
      <w:r>
        <w:t xml:space="preserve">The United States District Court for the Southern District of New York dismissed the complaint for failure to state a claim upon which relief can be granted. The District Court acknowledged that “plaintiffs may allege a conspiracy by citing instances of parallel business behavior that suggest an agreement,” but emphasized that “while ‘[circumstantial evidence of consciously parallel behavior may have made heavy inroads into the traditional judicial attitude toward conspiracy[, . . .] “conscious parallelism” has not yet read conspiracy out of the Sherman Act entirely.’”</w:t>
      </w:r>
      <w:r>
        <w:t xml:space="preserve"> </w:t>
      </w:r>
      <w:r>
        <w:rPr>
          <w:rStyle w:val="Elision"/>
        </w:rPr>
        <w:t xml:space="preserve">[ … ]</w:t>
      </w:r>
      <w:r>
        <w:t xml:space="preserve">. Thus, the District Court understood that allegations of parallel business conduct, taken alone, do not state a claim under § 1; plaintiffs must allege additional facts that “ten[d] to exclude independent self-interested conduct as an explanation for defendants’ parallel behavior.”</w:t>
      </w:r>
      <w:r>
        <w:t xml:space="preserve"> </w:t>
      </w:r>
      <w:r>
        <w:rPr>
          <w:rStyle w:val="Elision"/>
        </w:rPr>
        <w:t xml:space="preserve">[ … ]</w:t>
      </w:r>
      <w:r>
        <w:t xml:space="preserve">. The District Court found plaintiffs’ allegations of parallel ILEC actions to discourage competition inadequate because “the behavior of each ILEC in resisting the incursion of CLECs is fully explained by the ILEC’s own interests in defending its individual territory.”</w:t>
      </w:r>
      <w:r>
        <w:t xml:space="preserve"> </w:t>
      </w:r>
      <w:r>
        <w:rPr>
          <w:rStyle w:val="Elision"/>
        </w:rPr>
        <w:t xml:space="preserve">[ … ]</w:t>
      </w:r>
      <w:r>
        <w:t xml:space="preserve"> </w:t>
      </w:r>
      <w:r>
        <w:t xml:space="preserve">As to the ILECs’ supposed agreement against competing with each other, the District Court found that the complaint does not “alleg[e] facts . . . suggesting that refraining from competing in other territories as CLECs was contrary to [the ILECs’] apparent economic interests, and consequently [does] not rais[e] an inference that [the ILECs’] actions were the result of a conspiracy.”</w:t>
      </w:r>
      <w:r>
        <w:t xml:space="preserve"> </w:t>
      </w:r>
      <w:r>
        <w:rPr>
          <w:iCs/>
          <w:i/>
        </w:rPr>
        <w:t xml:space="preserve">Id.,</w:t>
      </w:r>
      <w:r>
        <w:t xml:space="preserve"> </w:t>
      </w:r>
      <w:r>
        <w:t xml:space="preserve">at 188.</w:t>
      </w:r>
    </w:p>
    <w:p>
      <w:pPr>
        <w:pStyle w:val="CaseBody"/>
      </w:pPr>
      <w:r>
        <w:t xml:space="preserve">The Court of Appeals for the Second Circuit reversed, holding that the District Court tested the complaint by the wrong standard.</w:t>
      </w:r>
      <w:r>
        <w:t xml:space="preserve"> </w:t>
      </w:r>
      <w:r>
        <w:rPr>
          <w:rStyle w:val="Elision"/>
        </w:rPr>
        <w:t xml:space="preserve">[ … ]</w:t>
      </w:r>
    </w:p>
    <w:p>
      <w:pPr>
        <w:pStyle w:val="CaseBody"/>
      </w:pPr>
      <w:r>
        <w:t xml:space="preserve">We granted certiorari to address the proper standard for pleading an antitrust conspiracy through allegations of parallel conduct,</w:t>
      </w:r>
      <w:r>
        <w:t xml:space="preserve"> </w:t>
      </w:r>
      <w:r>
        <w:rPr>
          <w:rStyle w:val="Elision"/>
        </w:rPr>
        <w:t xml:space="preserve">[ … ]</w:t>
      </w:r>
      <w:r>
        <w:t xml:space="preserve">, and now reverse.</w:t>
      </w:r>
    </w:p>
    <w:p>
      <w:pPr>
        <w:pStyle w:val="CaseBody"/>
      </w:pPr>
      <w:r>
        <w:t xml:space="preserve">II</w:t>
      </w:r>
    </w:p>
    <w:p>
      <w:pPr>
        <w:pStyle w:val="CaseBody"/>
      </w:pPr>
      <w:r>
        <w:t xml:space="preserve">A</w:t>
      </w:r>
    </w:p>
    <w:p>
      <w:pPr>
        <w:pStyle w:val="CaseBody"/>
      </w:pPr>
      <w:r>
        <w:t xml:space="preserve">Because §1 of the Sherman Act “does not prohibit [all] unreasonable restraints of trade . . . but only restraints effected by a contract, combination, or conspiracy,”</w:t>
      </w:r>
      <w:r>
        <w:t xml:space="preserve"> </w:t>
      </w:r>
      <w:r>
        <w:rPr>
          <w:rStyle w:val="Elision"/>
        </w:rPr>
        <w:t xml:space="preserve">[ … ]</w:t>
      </w:r>
      <w:r>
        <w:t xml:space="preserve"> </w:t>
      </w:r>
      <w:r>
        <w:t xml:space="preserve">“[t]he crucial question” is whether the challenged anticompetitive conduct “stem[s] from independent decision or from an agreement, tacit or express,”</w:t>
      </w:r>
      <w:r>
        <w:t xml:space="preserve"> </w:t>
      </w:r>
      <w:r>
        <w:rPr>
          <w:rStyle w:val="Elision"/>
        </w:rPr>
        <w:t xml:space="preserve">[ … ]</w:t>
      </w:r>
      <w:r>
        <w:t xml:space="preserve">. While a showing of parallel “business behavior is admissible circumstantial evidence from which the fact finder may infer agreement,” it falls short of “conclusively establishing] agreement or . . . itself constituting] a Sherman Act offense.”</w:t>
      </w:r>
      <w:r>
        <w:t xml:space="preserve"> </w:t>
      </w:r>
      <w:r>
        <w:rPr>
          <w:rStyle w:val="Elision"/>
        </w:rPr>
        <w:t xml:space="preserve">[ … ]</w:t>
      </w:r>
      <w:r>
        <w:t xml:space="preserve"> </w:t>
      </w:r>
      <w:r>
        <w:t xml:space="preserve">Even “conscious parallelism,” a common reaction of “firms in a concentrated market [that] recogniz[e] their shared economic interests and their interdependence with respect to price and output decisions” is “not in itself unlawful.”</w:t>
      </w:r>
      <w:r>
        <w:t xml:space="preserve"> </w:t>
      </w:r>
      <w:r>
        <w:rPr>
          <w:rStyle w:val="Elision"/>
        </w:rPr>
        <w:t xml:space="preserve">[ … ]</w:t>
      </w:r>
    </w:p>
    <w:p>
      <w:pPr>
        <w:pStyle w:val="CaseBody"/>
      </w:pPr>
      <w:r>
        <w:t xml:space="preserve">The inadequacy of showing parallel conduct or interdependence, without more, mirrors the ambiguity of the behavior: consistent with conspiracy, but just as much in line with a wide swath of rational and competitive business strategy unilaterally prompted by common perceptions of the market.</w:t>
      </w:r>
      <w:r>
        <w:t xml:space="preserve"> </w:t>
      </w:r>
      <w:r>
        <w:rPr>
          <w:rStyle w:val="Elision"/>
        </w:rPr>
        <w:t xml:space="preserve">[ … ]</w:t>
      </w:r>
    </w:p>
    <w:p>
      <w:pPr>
        <w:pStyle w:val="CaseBody"/>
      </w:pPr>
      <w:r>
        <w:t xml:space="preserve">B</w:t>
      </w:r>
    </w:p>
    <w:p>
      <w:pPr>
        <w:pStyle w:val="CaseBody"/>
      </w:pPr>
      <w:r>
        <w:t xml:space="preserve">This case presents the antecedent question of what a plaintiff must plead in order to state a claim under §1 of the Sherman Act. Federal Rule of Civil Procedure 8(a)(2) requires only “a short and plain statement of the claim showing that the pleader is entitled to relief,” in order to “give the defendant fair notice of what the . . . claim is and the grounds upon which it rests,”</w:t>
      </w:r>
      <w:r>
        <w:t xml:space="preserve"> </w:t>
      </w:r>
      <w:r>
        <w:rPr>
          <w:rStyle w:val="Elision"/>
        </w:rPr>
        <w:t xml:space="preserve">[ … ]</w:t>
      </w:r>
      <w:r>
        <w:t xml:space="preserve"> </w:t>
      </w:r>
      <w:r>
        <w:t xml:space="preserve">While a complaint attacked by a Rule 12(b)(6) motion to dismiss does not need detailed factual allegations,</w:t>
      </w:r>
      <w:r>
        <w:t xml:space="preserve"> </w:t>
      </w:r>
      <w:r>
        <w:rPr>
          <w:iCs/>
          <w:i/>
        </w:rPr>
        <w:t xml:space="preserve">i</w:t>
      </w:r>
      <w:r>
        <w:rPr>
          <w:rStyle w:val="Elision"/>
        </w:rPr>
        <w:t xml:space="preserve">[ … ]</w:t>
      </w:r>
      <w:r>
        <w:rPr>
          <w:iCs/>
          <w:i/>
        </w:rPr>
        <w:t xml:space="preserve">Bd</w:t>
      </w:r>
      <w:r>
        <w:t xml:space="preserve">, a plaintiff’s obligation to provide the “grounds” of his “entitle[ment] to relief” requires more than labels and conclusions, and a formulaic recitation of the elements of a cause of action will not do,</w:t>
      </w:r>
      <w:r>
        <w:rPr>
          <w:rStyle w:val="Elision"/>
        </w:rPr>
        <w:t xml:space="preserve">[ … ]</w:t>
      </w:r>
      <w:r>
        <w:t xml:space="preserve">. Factual allegations must be enough to raise a right to relief above the speculative level, see 5 C. Wright &amp; A. Miller, Federal Practice and Procedure § 1216, pp. 235-236 (3d ed. 2004) (hereinafter Wright &amp; Miller) (“[T]he pleading must contain something more . . . than ... a statement of facts that merely creates a suspicion [of] a legally cognizable right of action”),</w:t>
      </w:r>
      <w:hyperlink w:anchor="X3dd970941a09d0dffcb4b0a63f5f372f7adb827">
        <w:r>
          <w:rPr>
            <w:rStyle w:val="Elision"/>
          </w:rPr>
          <w:t xml:space="preserve">[ … ]</w:t>
        </w:r>
      </w:hyperlink>
      <w:r>
        <w:t xml:space="preserve">on the assumption that all the allegations in the complaint are true (even if doubtful in fact),</w:t>
      </w:r>
      <w:r>
        <w:rPr>
          <w:rStyle w:val="Elision"/>
        </w:rPr>
        <w:t xml:space="preserve">[ … ]</w:t>
      </w:r>
    </w:p>
    <w:p>
      <w:pPr>
        <w:pStyle w:val="CaseBody"/>
      </w:pPr>
      <w:r>
        <w:t xml:space="preserve">In applying these general standards to a § 1 claim, we hold that stating such a claim requires a complaint with enough factual matter (taken as true) to suggest that an agreement was made.</w:t>
      </w:r>
      <w:r>
        <w:t xml:space="preserve"> </w:t>
      </w:r>
      <w:r>
        <w:t xml:space="preserve">Asking for plausible grounds to infer an agreement does not impose a probability requirement at the pleading stage</w:t>
      </w:r>
      <w:r>
        <w:rPr>
          <w:rStyle w:val="FootnoteReference"/>
        </w:rPr>
        <w:footnoteReference w:customMarkFollows="1" w:id="31"/>
        <w:t xml:space="preserve">*</w:t>
      </w:r>
      <w:r>
        <w:t xml:space="preserve">; it simply calls for enough fact to raise a reasonable expectation that discovery will reveal evidence of illegal agreement.</w:t>
      </w:r>
      <w:hyperlink w:anchor="X58aa980829b0eeeafbceadbf871db8780b7b83f">
        <w:r>
          <w:rPr>
            <w:rStyle w:val="Elision"/>
          </w:rPr>
          <w:t xml:space="preserve">[ … ]</w:t>
        </w:r>
      </w:hyperlink>
      <w:r>
        <w:t xml:space="preserve">And, of course, a well-pleaded complaint may proceed even if it strikes a savvy judge that actual proof of the facts alleged is improbable, and “that a recovery is very remote and unlikely.”</w:t>
      </w:r>
      <w:r>
        <w:t xml:space="preserve"> </w:t>
      </w:r>
      <w:r>
        <w:rPr>
          <w:rStyle w:val="Elision"/>
        </w:rPr>
        <w:t xml:space="preserve">[ … ]</w:t>
      </w:r>
      <w:r>
        <w:t xml:space="preserve">In identifying facts that are suggestive enough to render a § 1 conspiracy plausible, we have the benefit of the prior rulings and considered views of leading commentators, already quoted, that lawful parallel conduct fails to bespeak unlawful agreement. It makes sense to say, therefore, that an allegation of parallel conduct and a bare assertion of conspiracy will not suffice. Without more, parallel conduct does not suggest conspiracy, and a conclusory allegation of agreement at some unidentified point does not supply facts adequate to show illegality. Hence, when allegations of parallel conduct are set out in order to make a § 1 claim, they must be placed in a context that raises a suggestion of a preceding agreement, not merely parallel conduct that could just as well be independent action.</w:t>
      </w:r>
    </w:p>
    <w:p>
      <w:pPr>
        <w:pStyle w:val="CaseBody"/>
      </w:pPr>
      <w:r>
        <w:t xml:space="preserve">The need at the pleading stage for allegations plausibly suggesting (not merely consistent with) agreement reflects the threshold requirement of Rule 8(a)(2) that the “plain statement” possess enough heft to “sho[w] that the pleader is entitled to relief.” A statement of parallel conduct, even conduct consciously undertaken, needs some setting suggesting the agreement necessary to make out a § 1 claim; without that further circumstance pointing toward a meeting of the minds, an account of a defendant’s commercial efforts stays in neutral territory. An allegation of parallel conduct is thus much like a naked assertion of conspiracy in a § 1 complaint: it gets the eomplaint close to stating a claim, but without some further factual enhancement it stops short of the line between possibility and plausibility of “entitle[ment] to relief.”</w:t>
      </w:r>
      <w:r>
        <w:t xml:space="preserve"> </w:t>
      </w:r>
      <w:r>
        <w:rPr>
          <w:rStyle w:val="Elision"/>
        </w:rPr>
        <w:t xml:space="preserve">[ … ]</w:t>
      </w:r>
    </w:p>
    <w:p>
      <w:pPr>
        <w:pStyle w:val="CaseBody"/>
      </w:pPr>
      <w:r>
        <w:t xml:space="preserve">We alluded to the practical significance of the Rule 8 entitlement requirement in</w:t>
      </w:r>
      <w:r>
        <w:t xml:space="preserve"> </w:t>
      </w:r>
      <w:r>
        <w:rPr>
          <w:rStyle w:val="ReplacementText"/>
          <w:iCs/>
          <w:i/>
        </w:rPr>
        <w:t xml:space="preserve">a prior case</w:t>
      </w:r>
      <w:r>
        <w:t xml:space="preserve">, when we explained that something beyond the mere possibility of loss causation must be alleged, lest a plaintiff with “ ‘a largely groundless claim’ ” be allowed to “ ‘take up the time of a number of other people, with the right to do so representing an</w:t>
      </w:r>
      <w:r>
        <w:t xml:space="preserve"> </w:t>
      </w:r>
      <w:r>
        <w:rPr>
          <w:iCs/>
          <w:i/>
        </w:rPr>
        <w:t xml:space="preserve">in terrorem</w:t>
      </w:r>
      <w:r>
        <w:t xml:space="preserve"> </w:t>
      </w:r>
      <w:r>
        <w:t xml:space="preserve">increment of the settlement value.’”</w:t>
      </w:r>
      <w:r>
        <w:t xml:space="preserve"> </w:t>
      </w:r>
      <w:r>
        <w:rPr>
          <w:rStyle w:val="Elision"/>
        </w:rPr>
        <w:t xml:space="preserve">[ … ]</w:t>
      </w:r>
      <w:r>
        <w:t xml:space="preserve"> </w:t>
      </w:r>
      <w:r>
        <w:t xml:space="preserve">So, when the allegations in a complaint, however true, could not raise a claim of entitlement to relief, “ ‘this basic deficiency should ... be exposed at the point of minimum expenditure of time and money by the parties and the court.’”</w:t>
      </w:r>
      <w:r>
        <w:rPr>
          <w:rStyle w:val="Elision"/>
        </w:rPr>
        <w:t xml:space="preserve">[ … ]</w:t>
      </w:r>
    </w:p>
    <w:p>
      <w:pPr>
        <w:pStyle w:val="CaseBody"/>
      </w:pPr>
      <w:r>
        <w:t xml:space="preserve">Thus, it is one thing to be cautious before dismissing an antitrust complaint in advance of discovery, cf.</w:t>
      </w:r>
      <w:r>
        <w:t xml:space="preserve"> </w:t>
      </w:r>
      <w:r>
        <w:rPr>
          <w:rStyle w:val="Elision"/>
        </w:rPr>
        <w:t xml:space="preserve">[ … ]</w:t>
      </w:r>
      <w:r>
        <w:t xml:space="preserve">but quite another to forget that proceeding to antitrust discovery can be expensive. As we indicated over 20 years ago</w:t>
      </w:r>
      <w:r>
        <w:t xml:space="preserve"> </w:t>
      </w:r>
      <w:r>
        <w:rPr>
          <w:rStyle w:val="Elision"/>
        </w:rPr>
        <w:t xml:space="preserve">[ … ]</w:t>
      </w:r>
      <w:r>
        <w:t xml:space="preserve">, “a district court must retain the power to insist upon some specificity in pleading before allowing a potentially massive factual controversy to proceed.”</w:t>
      </w:r>
      <w:r>
        <w:t xml:space="preserve"> </w:t>
      </w:r>
      <w:r>
        <w:rPr>
          <w:rStyle w:val="Elision"/>
        </w:rPr>
        <w:t xml:space="preserve">[ … ]</w:t>
      </w:r>
      <w:r>
        <w:t xml:space="preserve">That potential expense is obvious enough in the present case: plaintiffs represent a putative class of at least 90 percent of all subscribers to local telephone or high-speed Internet service in the continental United States, in an action against America’s largest telecommunications firms (with many thousands of employees generating reams and gigabytes of business records) for unspecified (if any) instances of antitrust violations that allegedly occurred over a period of seven years.</w:t>
      </w:r>
    </w:p>
    <w:p>
      <w:pPr>
        <w:pStyle w:val="CaseBody"/>
      </w:pPr>
      <w:r>
        <w:t xml:space="preserve">It is no answer to say that a claim just shy of a plausible entitlement to relief can, if groundless, be weeded out early in the discovery process through “careful case management,”</w:t>
      </w:r>
      <w:r>
        <w:t xml:space="preserve"> </w:t>
      </w:r>
      <w:r>
        <w:rPr>
          <w:iCs/>
          <w:i/>
        </w:rPr>
        <w:t xml:space="preserve">post,</w:t>
      </w:r>
      <w:r>
        <w:t xml:space="preserve"> </w:t>
      </w:r>
      <w:r>
        <w:t xml:space="preserve">at 573, given the common lament that the success of judicial supervision in checking discovery abuse has been on the modest side. See,</w:t>
      </w:r>
      <w:r>
        <w:t xml:space="preserve"> </w:t>
      </w:r>
      <w:r>
        <w:rPr>
          <w:iCs/>
          <w:i/>
        </w:rPr>
        <w:t xml:space="preserve">e.g.,</w:t>
      </w:r>
      <w:r>
        <w:t xml:space="preserve"> </w:t>
      </w:r>
      <w:r>
        <w:t xml:space="preserve">Easterbrook</w:t>
      </w:r>
      <w:r>
        <w:rPr>
          <w:rStyle w:val="FootnoteReference"/>
        </w:rPr>
        <w:footnoteReference w:customMarkFollows="1" w:id="78"/>
        <w:t xml:space="preserve">**</w:t>
      </w:r>
      <w:r>
        <w:t xml:space="preserve">, Discovery as Abuse, 69 B. U. L. Rev. 635, 638 (1989) (“Judges can do little about impositional discovery when parties control the legal claims to be presented and conduct the discovery themselves”). And it is self-evident that the problem of discovery abuse cannot be solved by “careful scrutiny of evidence at the summary judgment stage,” much less “lucid instructions to juries,”</w:t>
      </w:r>
      <w:r>
        <w:t xml:space="preserve"> </w:t>
      </w:r>
      <w:r>
        <w:rPr>
          <w:iCs/>
          <w:i/>
        </w:rPr>
        <w:t xml:space="preserve">post,</w:t>
      </w:r>
      <w:r>
        <w:t xml:space="preserve"> </w:t>
      </w:r>
      <w:r>
        <w:t xml:space="preserve">at 573; the threat of discovery expense will push cost-conscious defendants to settle even anemic cases before reaching those proceedings. Probably, then, it is only by taking care to require allegations that reach the level suggesting conspiracy that we can hope to avoid the potentially enormous expense of discovery in cases with no “ ‘reasonably founded hope that the [discovery] process will reveal relevant evidence’” to support a §1 claim.</w:t>
      </w:r>
      <w:r>
        <w:t xml:space="preserve"> </w:t>
      </w:r>
      <w:r>
        <w:rPr>
          <w:rStyle w:val="Elision"/>
        </w:rPr>
        <w:t xml:space="preserve">[ … ]</w:t>
      </w:r>
    </w:p>
    <w:p>
      <w:pPr>
        <w:pStyle w:val="CaseBody"/>
      </w:pPr>
      <w:r>
        <w:t xml:space="preserve">III</w:t>
      </w:r>
    </w:p>
    <w:p>
      <w:pPr>
        <w:pStyle w:val="CaseBody"/>
      </w:pPr>
      <w:r>
        <w:t xml:space="preserve">When we look for plausibility in this complaint, we agree with the District Court that plaintiffs’ claim of conspiracy in restraint of trade comes up short. To begin with, the complaint leaves no doubt that plaintiffs rest their § 1 claim on descriptions of parallel conduct and not on any independent allegation of actual agreement among the ILECs.</w:t>
      </w:r>
      <w:r>
        <w:t xml:space="preserve"> </w:t>
      </w:r>
      <w:r>
        <w:rPr>
          <w:iCs/>
          <w:i/>
        </w:rPr>
        <w:t xml:space="preserve">Supra,</w:t>
      </w:r>
      <w:r>
        <w:t xml:space="preserve"> </w:t>
      </w:r>
      <w:r>
        <w:t xml:space="preserve">at 550-551. Although in form a few stray statements speak directly of agreement,</w:t>
      </w:r>
      <w:hyperlink w:anchor="X2598bb32b14e8360bebf62b350e47fc5764b570">
        <w:r>
          <w:rPr>
            <w:rStyle w:val="Elision"/>
          </w:rPr>
          <w:t xml:space="preserve">[ … ]</w:t>
        </w:r>
      </w:hyperlink>
      <w:r>
        <w:t xml:space="preserve"> </w:t>
      </w:r>
      <w:r>
        <w:t xml:space="preserve">on fair reading these are merely legal conclusions resting on the prior allegations. Thus, the complaint first takes account of the alleged “absence of any meaningful competition between [the ILECs] in one another’s markets,” “the parallel course of conduct that each [ILEC] engaged in to prevent competition from CLECs,” “and the other facts and market circumstances alleged [earlier]”; “in light of” these, the complaint concludes “that [the ILECs] have entered into a contract, combination or conspiracy to prevent competitive entry into their . . . markets and have agreed not to compete with one another.” Complaint ¶51, App. 27.</w:t>
      </w:r>
      <w:r>
        <w:t xml:space="preserve"> </w:t>
      </w:r>
      <w:r>
        <w:t xml:space="preserve">The nub of the complaint, then, is the ILECs’ parallel behavior, consisting of steps to keep the CLECs out and manifest disinterest in becoming CLECs themselves, and its sufficiency turns on the suggestions raised by this conduct when viewed in light of common economic experience.</w:t>
      </w:r>
    </w:p>
    <w:p>
      <w:pPr>
        <w:pStyle w:val="CaseBody"/>
      </w:pPr>
      <w:r>
        <w:t xml:space="preserve">We think that nothing contained in the complaint invests either the action or inaction alleged with a plausible suggestion of conspiracy. As to the ILECs’ supposed agreement to disobey the 1996 Act and thwart the CLECs’ attempts to compete, we agree with the District Court that nothing in the complaint intimates that the resistance to the upstarts was anything more than the natural, unilateral reaction of each ILEC intent on keeping its regional dominance. The 1996 Act did more than just subject the ILECs to competition; it obliged them to subsidize their competitors with their own equipment at wholesale rates. The economic incentive to resist was powerful, but resisting competition is routine market conduct, and even if the ILECs flouted the 1996 Act in all the ways the plaintiffs allege, see</w:t>
      </w:r>
      <w:r>
        <w:t xml:space="preserve"> </w:t>
      </w:r>
      <w:r>
        <w:rPr>
          <w:iCs/>
          <w:i/>
        </w:rPr>
        <w:t xml:space="preserve">id.,</w:t>
      </w:r>
      <w:r>
        <w:t xml:space="preserve"> </w:t>
      </w:r>
      <w:r>
        <w:t xml:space="preserve">¶ 47, App. 23-24, there is no reason to infer that the companies had agreed among themselves to do what was only natural anyway; so natural, in fact, that if alleging parallel decisions to resist competition were enough to imply an antitrust conspiracy, pleading a § 1 violation against almost any group of competing businesses would be a sure thing.</w:t>
      </w:r>
    </w:p>
    <w:p>
      <w:pPr>
        <w:pStyle w:val="CaseBody"/>
      </w:pPr>
      <w:r>
        <w:t xml:space="preserve">The complaint makes its closest pass at a predicate for conspiracy with the claim that collusion was necessary because success by even one CLEG in an ILEC’s territory “would have revealed the degree to which competitive entry by CLECs would have been successful in the other territories.”</w:t>
      </w:r>
      <w:r>
        <w:t xml:space="preserve"> </w:t>
      </w:r>
      <w:r>
        <w:rPr>
          <w:iCs/>
          <w:i/>
        </w:rPr>
        <w:t xml:space="preserve">Id.,</w:t>
      </w:r>
      <w:r>
        <w:t xml:space="preserve"> </w:t>
      </w:r>
      <w:r>
        <w:t xml:space="preserve">¶ 50, App. 26-27. But, its logic aside, this general premise still fails to answer the point that there was just no need for joint encouragement to resist the 1996 Act; as the District Court said, “each ILEC has reason to want to avoid dealing with CLECs” and “each ILEC would attempt to keep CLECs out, regardless of the actions of the other ILECs.”</w:t>
      </w:r>
      <w:r>
        <w:t xml:space="preserve"> </w:t>
      </w:r>
      <w:r>
        <w:rPr>
          <w:rStyle w:val="Elision"/>
        </w:rPr>
        <w:t xml:space="preserve">[ … ]</w:t>
      </w:r>
    </w:p>
    <w:p>
      <w:pPr>
        <w:pStyle w:val="CaseBody"/>
      </w:pPr>
      <w:r>
        <w:t xml:space="preserve">Plaintiffs’ second conspiracy theory rests on the competitive reticence among the ILECs themselves in the wake of the 1996 Act, which was supposedly passed in the “‘hop[e] that the large incumbent local monopoly companies ... might attack their neighbors’ service areas, as they are the best situated to do so.’”</w:t>
      </w:r>
      <w:r>
        <w:t xml:space="preserve"> </w:t>
      </w:r>
      <w:r>
        <w:rPr>
          <w:rStyle w:val="Elision"/>
        </w:rPr>
        <w:t xml:space="preserve">[ … ]</w:t>
      </w:r>
      <w:r>
        <w:t xml:space="preserve">Contrary to hope, the ILECs declined “ ‘to enter each other’s service territories in any significant way,’ ”</w:t>
      </w:r>
      <w:r>
        <w:t xml:space="preserve"> </w:t>
      </w:r>
      <w:r>
        <w:rPr>
          <w:rStyle w:val="Elision"/>
        </w:rPr>
        <w:t xml:space="preserve">[ … ]</w:t>
      </w:r>
      <w:r>
        <w:t xml:space="preserve">and the local telephone and high-speed Internet market remains highly compartmentalized geographically, with minimal competition. Based on this state of affairs, and perceiving the ILECs to be blessed with “especially attractive business opportunities” in surrounding markets dominated by other ILECs, the plaintiffs assert that the ILECs’ parallel conduct was “strongly suggestive of conspiracy.”</w:t>
      </w:r>
      <w:r>
        <w:t xml:space="preserve"> </w:t>
      </w:r>
      <w:r>
        <w:rPr>
          <w:rStyle w:val="Elision"/>
        </w:rPr>
        <w:t xml:space="preserve">[ … ]</w:t>
      </w:r>
    </w:p>
    <w:p>
      <w:pPr>
        <w:pStyle w:val="CaseBody"/>
      </w:pPr>
      <w:r>
        <w:t xml:space="preserve">But it was not suggestive of conspiracy, not if history teaches anything. In a traditionally unregulated industry with low barriers to entry, sparse competition among large firms dominating separate geographical segments of the market could very well signify illegal agreement, but here we have an obvious alternative explanation. In the decade preceding the 1996 Act and well before that, monopoly was the norm in telecommunications, not the exception.</w:t>
      </w:r>
      <w:r>
        <w:t xml:space="preserve"> </w:t>
      </w:r>
      <w:r>
        <w:rPr>
          <w:rStyle w:val="Elision"/>
        </w:rPr>
        <w:t xml:space="preserve">[ … ]</w:t>
      </w:r>
      <w:r>
        <w:t xml:space="preserve"> </w:t>
      </w:r>
      <w:r>
        <w:t xml:space="preserve">The ILECs were born in that world, doubtless liked the world the way it was, and surely knew the adage about him who lives by the sword. Hence, a natural explanation for the noncompetition alleged is that the former Government-sanctioned monopolists were sitting tight, expecting their neighbors to do the same thing.</w:t>
      </w:r>
    </w:p>
    <w:p>
      <w:pPr>
        <w:pStyle w:val="CaseBody"/>
      </w:pPr>
      <w:r>
        <w:rPr>
          <w:rStyle w:val="Elision"/>
        </w:rPr>
        <w:t xml:space="preserve">[ … ]</w:t>
      </w:r>
    </w:p>
    <w:p>
      <w:pPr>
        <w:pStyle w:val="CaseBody"/>
      </w:pPr>
      <w:r>
        <w:rPr>
          <w:rStyle w:val="Elision"/>
        </w:rPr>
        <w:t xml:space="preserve">[ … ]</w:t>
      </w:r>
    </w:p>
    <w:p>
      <w:pPr>
        <w:pStyle w:val="CaseBody"/>
      </w:pPr>
      <w:r>
        <w:t xml:space="preserve">* * *</w:t>
      </w:r>
    </w:p>
    <w:p>
      <w:pPr>
        <w:pStyle w:val="CaseBody"/>
      </w:pPr>
      <w:r>
        <w:t xml:space="preserve">The judgment of the Court of Appeals for the Second Circuit is reversed, and the case is remanded for further proceedings consistent with this opinion.</w:t>
      </w:r>
    </w:p>
    <w:p>
      <w:pPr>
        <w:pStyle w:val="CaseBody"/>
      </w:pPr>
      <w:r>
        <w:rPr>
          <w:iCs/>
          <w:i/>
        </w:rPr>
        <w:t xml:space="preserve">It is so ordered.</w:t>
      </w:r>
    </w:p>
    <w:p>
      <w:pPr>
        <w:pStyle w:val="CaseBody"/>
      </w:pPr>
      <w:r>
        <w:t xml:space="preserve">Justice Stevens,</w:t>
      </w:r>
    </w:p>
    <w:p>
      <w:pPr>
        <w:pStyle w:val="CaseBody"/>
      </w:pPr>
      <w:r>
        <w:t xml:space="preserve">with whom</w:t>
      </w:r>
    </w:p>
    <w:p>
      <w:pPr>
        <w:pStyle w:val="CaseBody"/>
      </w:pPr>
      <w:r>
        <w:t xml:space="preserve">Justice Ginsburg joins except as to Part IV, dissenting.</w:t>
      </w:r>
    </w:p>
    <w:p>
      <w:pPr>
        <w:pStyle w:val="CaseBody"/>
      </w:pPr>
      <w:r>
        <w:rPr>
          <w:rStyle w:val="Elision"/>
        </w:rPr>
        <w:t xml:space="preserve">[ … ]</w:t>
      </w:r>
      <w:r>
        <w:rPr>
          <w:rStyle w:val="FootnoteReference"/>
        </w:rPr>
        <w:footnoteReference w:customMarkFollows="1" w:id="108"/>
        <w:t xml:space="preserve">***</w:t>
      </w:r>
    </w:p>
    <w:p>
      <w:pPr>
        <w:pStyle w:val="CaseBody"/>
      </w:pPr>
      <w:r>
        <w:rPr>
          <w:rStyle w:val="ReplacementText"/>
        </w:rPr>
        <w:t xml:space="preserve">This</w:t>
      </w:r>
      <w:r>
        <w:t xml:space="preserve"> </w:t>
      </w:r>
      <w:r>
        <w:t xml:space="preserve">is a case in which there is no dispute about the substantive law. If the defendants acted independently, their conduct was perfectly lawful. If, however, that conduct is the product of a horizontal agreement among potential competitors, it was unlawful. The plaintiffs have alleged such an agreement and, because the complaint was dismissed in advance of answer, the allegation has not even been denied. Why, then, does the case not proceed? Does a judicial opinion that the charge is not “plausible” provide a legally acceptable reason for dismissing the complaint? I think not.</w:t>
      </w:r>
    </w:p>
    <w:p>
      <w:pPr>
        <w:pStyle w:val="CaseBody"/>
      </w:pPr>
      <w:r>
        <w:t xml:space="preserve">Respondents’ amended complaint describes a variety of circumstantial evidence and makes the straightforward allegation that petitioners</w:t>
      </w:r>
    </w:p>
    <w:p>
      <w:pPr>
        <w:pStyle w:val="BlockText"/>
      </w:pPr>
      <w:r>
        <w:t xml:space="preserve">“entered into a contract, combination or conspiracy to prevent competitive entry in their respective local telephone and/or high speed internet services markets and have agreed not to compete with one another and otherwise allocated customers and markets to one another.” Amended Complaint in No. 02 CIV. 10220 (GEL) (SDNY) ¶ 51, App. 27 (hereinafter Complaint).</w:t>
      </w:r>
    </w:p>
    <w:p>
      <w:pPr>
        <w:pStyle w:val="CaseBody"/>
      </w:pPr>
      <w:r>
        <w:t xml:space="preserve">The complaint explains that, contrary to Congress’ expectation when it enacted the 1996 Telecommunications Act, and consistent with their own economic self-interests, petitioner Incumbent Local Exchange Carriers (ILECs) have assiduously avoided infringing upon each other’s markets and have refused to permit nonincumbent competitors to access their networks. The complaint quotes Richard Notebaert, the former chief executive officer of one such ILEC, as saying that competing in a neighboring ILEC’s territory “ ‘might be a good way to turn a quick dollar but that doesn’t make it right.’”</w:t>
      </w:r>
      <w:r>
        <w:t xml:space="preserve"> </w:t>
      </w:r>
      <w:r>
        <w:rPr>
          <w:iCs/>
          <w:i/>
        </w:rPr>
        <w:t xml:space="preserve">Id.,</w:t>
      </w:r>
      <w:r>
        <w:t xml:space="preserve"> </w:t>
      </w:r>
      <w:r>
        <w:t xml:space="preserve">¶42, App. 22. Moreover, respondents allege that petitioners “communicate amongst themselves” through numerous industry associations.</w:t>
      </w:r>
      <w:r>
        <w:t xml:space="preserve"> </w:t>
      </w:r>
      <w:r>
        <w:rPr>
          <w:iCs/>
          <w:i/>
        </w:rPr>
        <w:t xml:space="preserve">Id.,</w:t>
      </w:r>
      <w:r>
        <w:t xml:space="preserve"> </w:t>
      </w:r>
      <w:r>
        <w:t xml:space="preserve">¶ 46, App. 23. In sum, respondents allege that petitioners entered into an agreement that has long been recognized as a classic</w:t>
      </w:r>
      <w:r>
        <w:t xml:space="preserve"> </w:t>
      </w:r>
      <w:r>
        <w:rPr>
          <w:iCs/>
          <w:i/>
        </w:rPr>
        <w:t xml:space="preserve">per se</w:t>
      </w:r>
      <w:r>
        <w:t xml:space="preserve"> </w:t>
      </w:r>
      <w:r>
        <w:t xml:space="preserve">violation of the Sherman Act. See Report of the Attorney General’s National Committee to Study the Antitrust Laws 26 (1955).</w:t>
      </w:r>
    </w:p>
    <w:p>
      <w:pPr>
        <w:pStyle w:val="CaseBody"/>
      </w:pPr>
      <w:r>
        <w:t xml:space="preserve">Under rules of procedure that have been well settled</w:t>
      </w:r>
      <w:r>
        <w:t xml:space="preserve"> </w:t>
      </w:r>
      <w:r>
        <w:rPr>
          <w:rStyle w:val="ReplacementText"/>
        </w:rPr>
        <w:t xml:space="preserve">for decades</w:t>
      </w:r>
      <w:r>
        <w:t xml:space="preserve"> </w:t>
      </w:r>
      <w:r>
        <w:t xml:space="preserve"> </w:t>
      </w:r>
      <w:r>
        <w:t xml:space="preserve">a judge ruling on a defendant’s motion to dismiss a complaint “must accept as true all of the factual allegations contained in the complaint.”</w:t>
      </w:r>
      <w:r>
        <w:t xml:space="preserve"> </w:t>
      </w:r>
      <w:r>
        <w:rPr>
          <w:rStyle w:val="Elision"/>
        </w:rPr>
        <w:t xml:space="preserve">[ … ]</w:t>
      </w:r>
      <w:r>
        <w:t xml:space="preserve">But instead of requiring knowledgeable executives such as Notebaert to respond to these allegations by way of sworn depositions or other limited discovery — and indeed without so much as requiring petitioners to file an answer denying that they entered into any agreement — the majority permits immediate dismissal based on the assurances of company lawyers that nothing untoward was afoot. The Court embraces the argument of those lawyers that “there is no reason to infer that the companies had agreed among themselves to do what was only natural anyway,”</w:t>
      </w:r>
      <w:r>
        <w:t xml:space="preserve"> </w:t>
      </w:r>
      <w:r>
        <w:rPr>
          <w:iCs/>
          <w:i/>
        </w:rPr>
        <w:t xml:space="preserve">ante,</w:t>
      </w:r>
      <w:r>
        <w:t xml:space="preserve"> </w:t>
      </w:r>
      <w:r>
        <w:t xml:space="preserve">at 566; that “there was just no need for joint encouragement to resist the 1996 Act,”</w:t>
      </w:r>
      <w:r>
        <w:t xml:space="preserve"> </w:t>
      </w:r>
      <w:r>
        <w:rPr>
          <w:iCs/>
          <w:i/>
        </w:rPr>
        <w:t xml:space="preserve">ibid.;</w:t>
      </w:r>
      <w:r>
        <w:t xml:space="preserve"> </w:t>
      </w:r>
      <w:r>
        <w:t xml:space="preserve">and that the “natural explanation for the noncompetition alleged is that the former Government-sanctioned monopolists were sitting tight, expecting their neighbors to do the same thing,”</w:t>
      </w:r>
      <w:r>
        <w:t xml:space="preserve"> </w:t>
      </w:r>
      <w:r>
        <w:rPr>
          <w:iCs/>
          <w:i/>
        </w:rPr>
        <w:t xml:space="preserve">ante,</w:t>
      </w:r>
      <w:r>
        <w:t xml:space="preserve"> </w:t>
      </w:r>
      <w:r>
        <w:t xml:space="preserve">at 568.</w:t>
      </w:r>
    </w:p>
    <w:p>
      <w:pPr>
        <w:pStyle w:val="CaseBody"/>
      </w:pPr>
      <w:r>
        <w:t xml:space="preserve">The Court and petitioners’ legal team are no doubt correct that the parallel conduct alleged is consistent with the absence of any contract, combination, or conspiracy. But that conduct is also entirely consistent with the</w:t>
      </w:r>
      <w:r>
        <w:t xml:space="preserve"> </w:t>
      </w:r>
      <w:r>
        <w:rPr>
          <w:iCs/>
          <w:i/>
        </w:rPr>
        <w:t xml:space="preserve">presence</w:t>
      </w:r>
      <w:r>
        <w:t xml:space="preserve"> </w:t>
      </w:r>
      <w:r>
        <w:t xml:space="preserve">of the illegal agreement alleged in the complaint. And the charge that petitioners “agreed not to compete with one another” is not just one of “a few stray statements,”</w:t>
      </w:r>
      <w:r>
        <w:t xml:space="preserve"> </w:t>
      </w:r>
      <w:r>
        <w:rPr>
          <w:iCs/>
          <w:i/>
        </w:rPr>
        <w:t xml:space="preserve">ante,</w:t>
      </w:r>
      <w:r>
        <w:t xml:space="preserve"> </w:t>
      </w:r>
      <w:r>
        <w:t xml:space="preserve">at 564; it is an allegation describing unlawful conduct. As such, the Federal Rules of Civil Procedure, our longstanding precedent, and sound practice mandate that the District Court at least require some sort of response from petitioners before dismissing the case.</w:t>
      </w:r>
    </w:p>
    <w:p>
      <w:pPr>
        <w:pStyle w:val="CaseBody"/>
      </w:pPr>
      <w:r>
        <w:t xml:space="preserve">Two practical concerns presumably explain the Court’s dramatic departure from settled procedural law. Private antitrust litigation can be enormously expensive, and there is a risk that jurors may mistakenly conclude that evidence of parallel conduct has proved that the parties acted pursuant to an agreement when they in fact merely made similar independent decisions. Those concerns merit careful case management, including strict control of discovery, careful scrutiny of evidence at the summary judgment stage, and lucid instructions to juries; they do not, however, justify the dismissal of an adequately pleaded complaint without even requiring the defendants to file answers denying a charge that they in fact engaged in collective decisionmaking. More importantly, they do not justify an interpretation of Federal Rule of Civil Procedure 12(b)(6) that seems to be driven by the majority’s appraisal of the plausibility of the ultimate factual allegation rather than its legal sufficiency.</w:t>
      </w:r>
    </w:p>
    <w:p>
      <w:pPr>
        <w:pStyle w:val="CaseBody"/>
      </w:pPr>
      <w:r>
        <w:t xml:space="preserve">I</w:t>
      </w:r>
    </w:p>
    <w:p>
      <w:pPr>
        <w:pStyle w:val="CaseBody"/>
      </w:pPr>
      <w:r>
        <w:t xml:space="preserve">Rule 8(a)(2) of the Federal Rules requires that a complaint contain “a short and plain statement of the claim showing that the pleader is entitled to relief.” The Rule did not come about by happenstance, and its language is not inadvertent.</w:t>
      </w:r>
      <w:r>
        <w:t xml:space="preserve"> </w:t>
      </w:r>
      <w:r>
        <w:rPr>
          <w:rStyle w:val="Elision"/>
        </w:rPr>
        <w:t xml:space="preserve">[ … ]</w:t>
      </w:r>
      <w:r>
        <w:t xml:space="preserve"> </w:t>
      </w:r>
      <w:r>
        <w:t xml:space="preserve">David Dudley Field developed the highly influential New York Code of 1848, which required “[a] statement of the facts constituting the cause of action, in ordinary and concise language, without repetition, and in such a manner as to enable a person of common understanding to know what is intended.”</w:t>
      </w:r>
      <w:r>
        <w:t xml:space="preserve"> </w:t>
      </w:r>
      <w:r>
        <w:rPr>
          <w:rStyle w:val="Elision"/>
        </w:rPr>
        <w:t xml:space="preserve">[ … ]</w:t>
      </w:r>
      <w:r>
        <w:t xml:space="preserve">. Substantially similar language appeared in the Federal Equity Rules adopted in 1912.</w:t>
      </w:r>
      <w:r>
        <w:t xml:space="preserve"> </w:t>
      </w:r>
      <w:r>
        <w:rPr>
          <w:rStyle w:val="Elision"/>
        </w:rPr>
        <w:t xml:space="preserve">[ … ]</w:t>
      </w:r>
    </w:p>
    <w:p>
      <w:pPr>
        <w:pStyle w:val="CaseBody"/>
      </w:pPr>
      <w:r>
        <w:t xml:space="preserve">A difficulty arose, however, in that the Field Code and its progeny required a plaintiff to plead “facts” rather than “conclusions,” a distinction that proved far easier to say than to apply.</w:t>
      </w:r>
      <w:r>
        <w:rPr>
          <w:rStyle w:val="Elision"/>
        </w:rPr>
        <w:t xml:space="preserve">[ … ]</w:t>
      </w:r>
    </w:p>
    <w:p>
      <w:pPr>
        <w:pStyle w:val="CaseBody"/>
      </w:pPr>
      <w:r>
        <w:t xml:space="preserve">Under the relaxed pleading standards of the Federal Rules, the idea was not to keep litigants out of court but rather to keep them in. The merits of a claim would be sorted out during a flexible pretrial process and, as appropriate, through the crucible of trial.</w:t>
      </w:r>
      <w:r>
        <w:t xml:space="preserve"> </w:t>
      </w:r>
      <w:r>
        <w:rPr>
          <w:rStyle w:val="Elision"/>
        </w:rPr>
        <w:t xml:space="preserve">[ … ]</w:t>
      </w:r>
    </w:p>
    <w:p>
      <w:pPr>
        <w:pStyle w:val="CaseBody"/>
      </w:pPr>
      <w:r>
        <w:t xml:space="preserve">II</w:t>
      </w:r>
    </w:p>
    <w:p>
      <w:pPr>
        <w:pStyle w:val="CaseBody"/>
      </w:pPr>
      <w:r>
        <w:rPr>
          <w:rStyle w:val="Elision"/>
        </w:rPr>
        <w:t xml:space="preserve">[ … ]</w:t>
      </w:r>
    </w:p>
    <w:p>
      <w:pPr>
        <w:pStyle w:val="CaseBody"/>
      </w:pPr>
      <w:r>
        <w:t xml:space="preserve">Ill</w:t>
      </w:r>
    </w:p>
    <w:p>
      <w:pPr>
        <w:pStyle w:val="CaseBody"/>
      </w:pPr>
      <w:r>
        <w:t xml:space="preserve">The Court does not suggest that an agreement to do what the plaintiffs allege would be permissible under the antitrust laws,</w:t>
      </w:r>
      <w:r>
        <w:rPr>
          <w:rStyle w:val="Elision"/>
        </w:rPr>
        <w:t xml:space="preserve">[ … ]</w:t>
      </w:r>
      <w:r>
        <w:t xml:space="preserve"> </w:t>
      </w:r>
      <w:r>
        <w:t xml:space="preserve">Rather, the theory on which the Court permits dismissal is that, so far as the Federal Rules are concerned, no agreement has been alleged at all. This is a mind-boggling conclusion.</w:t>
      </w:r>
    </w:p>
    <w:p>
      <w:pPr>
        <w:pStyle w:val="CaseBody"/>
      </w:pPr>
      <w:r>
        <w:t xml:space="preserve">As the Court explains, prior to the enactment of the Telecommunications Act of 1996 the law prohibited the defendants from competing with each other. The new statute was enacted to replace a monopolistic market with a competitive one. The Act did not merely require the regional monopolists to take affirmative steps to facilitate entry to new competitors,</w:t>
      </w:r>
      <w:r>
        <w:rPr>
          <w:rStyle w:val="Elision"/>
        </w:rPr>
        <w:t xml:space="preserve">[ … ]</w:t>
      </w:r>
      <w:r>
        <w:t xml:space="preserve"> </w:t>
      </w:r>
      <w:r>
        <w:t xml:space="preserve">it also permitted the existing firms to compete with each other and to expand their operations into previously forbidden territory.</w:t>
      </w:r>
      <w:r>
        <w:t xml:space="preserve"> </w:t>
      </w:r>
      <w:r>
        <w:rPr>
          <w:rStyle w:val="Elision"/>
        </w:rPr>
        <w:t xml:space="preserve">[ … ]</w:t>
      </w:r>
      <w:r>
        <w:t xml:space="preserve">. Each of the defendants decided not to take the latter step. That was obviously an extremely important business decision, and I am willing to presume that each company acted entirely independently in reaching that decision. I am even willing to entertain the majority’s belief that any agreement among the companies was unlikely. But the plaintiffs allege in three places in their complaint, ¶¶ 4, 51, 64, App. 11, 27, 30, that the ILECs did in fact agree both to prevent competitors from entering into their local markets and to forgo competition with each other. And as the Court recognizes, at the motion to dismiss stage, a judge assumes “that all the allegations in the complaint are true (even if doubtful in fact).”</w:t>
      </w:r>
      <w:r>
        <w:t xml:space="preserve"> </w:t>
      </w:r>
      <w:r>
        <w:rPr>
          <w:rStyle w:val="Elision"/>
        </w:rPr>
        <w:t xml:space="preserve">[ … ]</w:t>
      </w:r>
    </w:p>
    <w:p>
      <w:pPr>
        <w:pStyle w:val="CaseBody"/>
      </w:pPr>
      <w:r>
        <w:t xml:space="preserve">The majority circumvents this obvious obstacle to dismissal by pretending that it does not exist. The Court admits that “in form a few stray statements in the complaint speak directly of agreement,” but disregards those allegations by saying that “on fair reading these are merely legal conclusions resting on the prior allegations” of parallel conduct.</w:t>
      </w:r>
      <w:r>
        <w:rPr>
          <w:rStyle w:val="Elision"/>
        </w:rPr>
        <w:t xml:space="preserve">[ … ]</w:t>
      </w:r>
      <w:r>
        <w:t xml:space="preserve"> </w:t>
      </w:r>
      <w:r>
        <w:t xml:space="preserve">The Court’s dichotomy between factual allegations and “legal conclusions” is the stuff of a bygone era,</w:t>
      </w:r>
      <w:r>
        <w:t xml:space="preserve"> </w:t>
      </w:r>
      <w:r>
        <w:rPr>
          <w:rStyle w:val="Elision"/>
        </w:rPr>
        <w:t xml:space="preserve">[ … ]</w:t>
      </w:r>
      <w:r>
        <w:t xml:space="preserve"> </w:t>
      </w:r>
      <w:r>
        <w:t xml:space="preserve">That distinction was a defining feature of code pleading,</w:t>
      </w:r>
      <w:r>
        <w:rPr>
          <w:rStyle w:val="Elision"/>
        </w:rPr>
        <w:t xml:space="preserve">[ … ]</w:t>
      </w:r>
    </w:p>
    <w:p>
      <w:pPr>
        <w:pStyle w:val="CaseBody"/>
      </w:pPr>
      <w:r>
        <w:rPr>
          <w:rStyle w:val="Elision"/>
        </w:rPr>
        <w:t xml:space="preserve">[ … ]</w:t>
      </w:r>
      <w:r>
        <w:rPr>
          <w:rStyle w:val="Elision"/>
        </w:rPr>
        <w:t xml:space="preserve">[ … ]</w:t>
      </w:r>
    </w:p>
    <w:p>
      <w:pPr>
        <w:pStyle w:val="CaseBody"/>
      </w:pPr>
      <w:r>
        <w:t xml:space="preserve">To be clear, if I had been the trial judge in this case, I would not have permitted the plaintiffs to engage in massive discovery based solely on the allegations in this complaint. On the other hand, I surely would not have dismissed the complaint without requiring the defendants to answer the charge that they “have agreed not to compete with one another and otherwise allocated customers and markets to one another.”</w:t>
      </w:r>
      <w:r>
        <w:t xml:space="preserve"> </w:t>
      </w:r>
      <w:r>
        <w:rPr>
          <w:rStyle w:val="Elision"/>
        </w:rPr>
        <w:t xml:space="preserve">[ … ]</w:t>
      </w:r>
      <w:r>
        <w:t xml:space="preserve">Even a sworn denial of that charge would not justify a summary dismissal without giving the plaintiffs the opportunity to take depositions from</w:t>
      </w:r>
      <w:r>
        <w:t xml:space="preserve"> </w:t>
      </w:r>
      <w:r>
        <w:rPr>
          <w:rStyle w:val="Elision"/>
        </w:rPr>
        <w:t xml:space="preserve">[ … ]</w:t>
      </w:r>
      <w:r>
        <w:t xml:space="preserve"> </w:t>
      </w:r>
      <w:r>
        <w:t xml:space="preserve">at least one responsible executive representing each of the other defendants.</w:t>
      </w:r>
    </w:p>
    <w:p>
      <w:pPr>
        <w:pStyle w:val="CaseBody"/>
      </w:pPr>
      <w:r>
        <w:rPr>
          <w:rStyle w:val="Elision"/>
        </w:rPr>
        <w:t xml:space="preserve">[ … ]</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t xml:space="preserve">The transparent policy concern that drives the decision is the interest in protecting antitrust defendants — who in this case are some of the wealthiest corporations in our economy — from the burdens of pretrial discovery.</w:t>
      </w:r>
      <w:r>
        <w:t xml:space="preserve"> </w:t>
      </w:r>
      <w:r>
        <w:rPr>
          <w:iCs/>
          <w:i/>
        </w:rPr>
        <w:t xml:space="preserve">Ante,</w:t>
      </w:r>
      <w:r>
        <w:t xml:space="preserve"> </w:t>
      </w:r>
      <w:r>
        <w:t xml:space="preserve">at 558-560. Even if it were not apparent that the legal fees petitioners have incurred in arguing the merits of their Rule 12(b) motion have far exceeded the cost of limited discovery, or that those discovery costs would burden respondents as well as petitioners,</w:t>
      </w:r>
      <w:r>
        <w:rPr>
          <w:rStyle w:val="FootnoteReference"/>
        </w:rPr>
        <w:footnoteReference w:customMarkFollows="1" w:id="196"/>
        <w:t xml:space="preserve">15</w:t>
      </w:r>
      <w:r>
        <w:t xml:space="preserve"> </w:t>
      </w:r>
      <w:r>
        <w:t xml:space="preserve">that concern would not provide an adequate justification for this law-changing decision. For in the final analysis it is only a lack of confidence in the ability of trial judges to control discovery, buttressed by appellate judges’ independent appraisal of the plausibility of profoundly serious factual allegations, that could account for this stark break from precedent.</w:t>
      </w:r>
    </w:p>
    <w:p>
      <w:pPr>
        <w:pStyle w:val="CaseBody"/>
      </w:pPr>
      <w:r>
        <w:t xml:space="preserve">If the allegation of conspiracy happens to be true, today’s decision obstructs the congressional policy favoring competition that undergirds both the Telecommunications Act of 1996 and the Sherman Act itself. More importantly, even if there is abundant evidence that the allegation is untrue, directing that the case be dismissed without even looking at any of that evidence marks a fundamental — and unjustified— change in the character of pretrial practice.</w:t>
      </w:r>
    </w:p>
    <w:p>
      <w:pPr>
        <w:pStyle w:val="CaseBody"/>
      </w:pPr>
      <w:r>
        <w:t xml:space="preserve">Accordingly, I respectfully dissent.</w:t>
      </w:r>
    </w:p>
    <w:bookmarkStart w:id="136" w:name="_auto_toc_136"/>
    <w:bookmarkEnd w:id="136"/>
    <w:p>
      <w:pPr>
        <w:pStyle w:val="ResourceNumber"/>
      </w:pPr>
      <w:r>
        <w:t xml:space="preserve">11.11</w:t>
      </w:r>
    </w:p>
    <w:p>
      <w:pPr>
        <w:pStyle w:val="ResourceTitle"/>
      </w:pPr>
      <w:r>
        <w:t xml:space="preserve">Notes following Twombly</w:t>
      </w:r>
    </w:p>
    <w:p>
      <w:pPr>
        <w:pStyle w:val="HeadEnd"/>
      </w:pPr>
      <w:r>
        <w:t xml:space="preserve"> </w:t>
      </w:r>
    </w:p>
    <w:p>
      <w:pPr>
        <w:numPr>
          <w:ilvl w:val="0"/>
          <w:numId w:val="1137"/>
        </w:numPr>
      </w:pPr>
      <w:r>
        <w:t xml:space="preserve">What is the new pleading standard articulated by</w:t>
      </w:r>
      <w:r>
        <w:t xml:space="preserve"> </w:t>
      </w:r>
      <w:r>
        <w:rPr>
          <w:iCs/>
          <w:i/>
        </w:rPr>
        <w:t xml:space="preserve">Towmbly</w:t>
      </w:r>
      <w:r>
        <w:t xml:space="preserve">? Does this remind you of any earlier pleading standards?</w:t>
      </w:r>
    </w:p>
    <w:p>
      <w:pPr>
        <w:numPr>
          <w:ilvl w:val="0"/>
          <w:numId w:val="1137"/>
        </w:numPr>
      </w:pPr>
      <w:r>
        <w:t xml:space="preserve">Why was the</w:t>
      </w:r>
      <w:r>
        <w:t xml:space="preserve"> </w:t>
      </w:r>
      <w:r>
        <w:rPr>
          <w:iCs/>
          <w:i/>
        </w:rPr>
        <w:t xml:space="preserve">Twombly</w:t>
      </w:r>
      <w:r>
        <w:t xml:space="preserve"> </w:t>
      </w:r>
      <w:r>
        <w:t xml:space="preserve">complaint deemed implausible? Why was alleging a conspiracy, which definitionally takes place in secret and seeks to leave as little evidence as possible, not enough to pass the pleading standard? Should the parallel behavior of the ILECs have supported an inference of conspiracy? Under</w:t>
      </w:r>
      <w:r>
        <w:t xml:space="preserve"> </w:t>
      </w:r>
      <w:r>
        <w:rPr>
          <w:iCs/>
          <w:i/>
        </w:rPr>
        <w:t xml:space="preserve">Twombly</w:t>
      </w:r>
      <w:r>
        <w:t xml:space="preserve">, what level of inference is allowed, and what level of support is required?</w:t>
      </w:r>
    </w:p>
    <w:p>
      <w:pPr>
        <w:numPr>
          <w:ilvl w:val="0"/>
          <w:numId w:val="1137"/>
        </w:numPr>
      </w:pPr>
      <w:r>
        <w:t xml:space="preserve">The Court was concerned with the cost of discovery in</w:t>
      </w:r>
      <w:r>
        <w:t xml:space="preserve"> </w:t>
      </w:r>
      <w:r>
        <w:rPr>
          <w:iCs/>
          <w:i/>
        </w:rPr>
        <w:t xml:space="preserve">Twombly</w:t>
      </w:r>
      <w:r>
        <w:t xml:space="preserve">. Should it have been? Is cost an appropriate consideration at this stage of litigation? Should these concerns cabin the</w:t>
      </w:r>
      <w:r>
        <w:t xml:space="preserve"> </w:t>
      </w:r>
      <w:r>
        <w:rPr>
          <w:iCs/>
          <w:i/>
        </w:rPr>
        <w:t xml:space="preserve">Twombly</w:t>
      </w:r>
      <w:r>
        <w:t xml:space="preserve"> </w:t>
      </w:r>
      <w:r>
        <w:t xml:space="preserve">pleading rule to only expensive-discovery cases?</w:t>
      </w:r>
    </w:p>
    <w:p>
      <w:pPr>
        <w:numPr>
          <w:ilvl w:val="0"/>
          <w:numId w:val="1137"/>
        </w:numPr>
      </w:pPr>
      <w:r>
        <w:t xml:space="preserve">The Court holds that there was insufficient specificity in this complaint, and therefore instructs the district court to dismiss the case.  How much more specificity should a court reasonably expect the plaintiffs to have produced at this stage, before they have access to discovery?  On the other hand, should plaintiffs be allowed to impose costs on the defendants and the court system with only vague or conclusory allegations?</w:t>
      </w:r>
    </w:p>
    <w:p>
      <w:pPr>
        <w:pStyle w:val="NodeEnd"/>
      </w:pPr>
      <w:r>
        <w:t xml:space="preserve"> </w:t>
      </w:r>
    </w:p>
    <w:p>
      <w:pPr>
        <w:pStyle w:val="NodeStart"/>
      </w:pPr>
      <w:r>
        <w:t xml:space="preserve"> </w:t>
      </w:r>
    </w:p>
    <w:p>
      <w:pPr>
        <w:pStyle w:val="HeadSeparator"/>
      </w:pPr>
      <w:r>
        <w:t xml:space="preserve"> </w:t>
      </w:r>
    </w:p>
    <w:bookmarkStart w:id="137" w:name="_auto_toc_137"/>
    <w:bookmarkEnd w:id="137"/>
    <w:p>
      <w:pPr>
        <w:pStyle w:val="ResourceNumber"/>
      </w:pPr>
      <w:r>
        <w:t xml:space="preserve">11.12</w:t>
      </w:r>
    </w:p>
    <w:p>
      <w:pPr>
        <w:pStyle w:val="ResourceTitle"/>
      </w:pPr>
      <w:r>
        <w:t xml:space="preserve">Ashcroft v. Iqbal</w:t>
      </w:r>
    </w:p>
    <w:p>
      <w:pPr>
        <w:pStyle w:val="HeadFieldSeparator"/>
      </w:pPr>
      <w:r>
        <w:t xml:space="preserve"> </w:t>
      </w:r>
    </w:p>
    <w:p>
      <w:pPr>
        <w:pStyle w:val="ResourceHeadnote"/>
      </w:pPr>
      <w:r>
        <w:t xml:space="preserve">Parts II and III of the majority opinion do not relate to the pleading issue. They are mostly omitted, with a few sentences left so you can understand the overall structure of the opinion.</w:t>
      </w:r>
    </w:p>
    <w:p>
      <w:pPr>
        <w:pStyle w:val="HeadEnd"/>
      </w:pPr>
      <w:r>
        <w:t xml:space="preserve"> </w:t>
      </w:r>
    </w:p>
    <w:p>
      <w:pPr>
        <w:pStyle w:val="CaseHeader"/>
      </w:pPr>
      <w:r>
        <w:t xml:space="preserve">Supreme Court of the United States</w:t>
      </w:r>
    </w:p>
    <w:p>
      <w:pPr>
        <w:pStyle w:val="CaseHeader"/>
      </w:pPr>
      <w:r>
        <w:t xml:space="preserve">556 U.S. 662, 173 L. Ed. 2d 868, 129 S. Ct. 1937, 2009 U.S. LEXIS 3472, SCDB 2008-056</w:t>
      </w:r>
    </w:p>
    <w:p>
      <w:pPr>
        <w:pStyle w:val="CaseHeader"/>
      </w:pPr>
      <w:r>
        <w:t xml:space="preserve">No. 07-1015</w:t>
      </w:r>
    </w:p>
    <w:p>
      <w:pPr>
        <w:pStyle w:val="CaseHeader"/>
      </w:pPr>
      <w:r>
        <w:t xml:space="preserve">2009-05-18</w:t>
      </w:r>
    </w:p>
    <w:p>
      <w:pPr>
        <w:pStyle w:val="CaseBody"/>
      </w:pPr>
      <w:r>
        <w:rPr>
          <w:rStyle w:val="Elision"/>
        </w:rPr>
        <w:t xml:space="preserve">[ … ]</w:t>
      </w:r>
    </w:p>
    <w:p>
      <w:pPr>
        <w:pStyle w:val="CaseBody"/>
      </w:pPr>
      <w:r>
        <w:t xml:space="preserve">Justice Kennedy</w:t>
      </w:r>
    </w:p>
    <w:p>
      <w:pPr>
        <w:pStyle w:val="CaseBody"/>
      </w:pPr>
      <w:r>
        <w:t xml:space="preserve">delivered the opinion of the Court.</w:t>
      </w:r>
    </w:p>
    <w:p>
      <w:pPr>
        <w:pStyle w:val="CaseBody"/>
      </w:pPr>
      <w:r>
        <w:t xml:space="preserve">Javaid Iqbal (hereinafter respondent) is a citizen of Pakistan and a Muslim. In the wake of the September 11, 2001, terrorist attacks he was arrested in the United States on criminal charges and detained by federal officials. Respondent claims he was deprived of various constitutional protections while in federal custody. To redress the alleged deprivations, respondent filed a complaint against numerous federal officials, including John Ashcroft, the former Attorney General of the United States, and Robert Mueller, the Director of the Federal Bureau of Investigation (FBI). Ashcroft and Mueller are the petitioners in the case now before us. As to these two petitioners, the complaint alleges that they adopted an unconstitutional policy that subjected respondent to harsh conditions of confinement on account of his race, religion, or national origin.</w:t>
      </w:r>
    </w:p>
    <w:p>
      <w:pPr>
        <w:pStyle w:val="CaseBody"/>
      </w:pPr>
      <w:r>
        <w:t xml:space="preserve">In the District Court petitioners</w:t>
      </w:r>
      <w:r>
        <w:t xml:space="preserve"> </w:t>
      </w:r>
      <w:r>
        <w:rPr>
          <w:rStyle w:val="Elision"/>
        </w:rPr>
        <w:t xml:space="preserve">[ … ]</w:t>
      </w:r>
      <w:r>
        <w:t xml:space="preserve"> </w:t>
      </w:r>
      <w:r>
        <w:t xml:space="preserve">moved to dismiss the suit, contending the complaint was not sufficient to state a claim against them. The District Court denied the motion to dismiss, concluding the complaint was sufficient to state a claim despite petitioners’ official status at the times in question. Petitioners brought an interlocutory appeal in the Court of Appeals for the Second Circuit. The court</w:t>
      </w:r>
      <w:r>
        <w:rPr>
          <w:rStyle w:val="Elision"/>
        </w:rPr>
        <w:t xml:space="preserve">[ … ]</w:t>
      </w:r>
      <w:r>
        <w:t xml:space="preserve"> </w:t>
      </w:r>
      <w:r>
        <w:t xml:space="preserve">affirmed the District Court’s decision.</w:t>
      </w:r>
    </w:p>
    <w:p>
      <w:pPr>
        <w:pStyle w:val="CaseBody"/>
      </w:pPr>
      <w:r>
        <w:t xml:space="preserve">Respondent’s account of his prison ordeal could, if proved, demonstrate unconstitutional misconduct by some governmental actors. But the allegations and pleadings with respect to these actors are not before us here. This case instead turns on a narrower question: Did respondent, as the plaintiff in the District Court, plead factual matter that, if taken as true, states a claim that</w:t>
      </w:r>
      <w:r>
        <w:t xml:space="preserve"> </w:t>
      </w:r>
      <w:r>
        <w:t xml:space="preserve">petitioners</w:t>
      </w:r>
      <w:r>
        <w:t xml:space="preserve"> </w:t>
      </w:r>
      <w:r>
        <w:rPr>
          <w:rStyle w:val="FootnoteReference"/>
        </w:rPr>
        <w:footnoteReference w:customMarkFollows="1" w:id="32"/>
        <w:t xml:space="preserve">*</w:t>
      </w:r>
      <w:r>
        <w:t xml:space="preserve">deprived him of his clearly established constitutional rights. We hold respondent’s pleadings are insufficient.</w:t>
      </w:r>
    </w:p>
    <w:p>
      <w:pPr>
        <w:pStyle w:val="CaseBody"/>
      </w:pPr>
      <w:r>
        <w:t xml:space="preserve">I</w:t>
      </w:r>
    </w:p>
    <w:p>
      <w:pPr>
        <w:pStyle w:val="CaseBody"/>
      </w:pPr>
      <w:r>
        <w:t xml:space="preserve">Following the 2001 attacks, the FBI and other entities within the Department of Justice began an investigation of vast reach to identify the assailants and prevent them from attacking anew. The FBI dedicated more than 4,000 special agents and 3,000 support personnel to the endeavor. By September 18 “the FBI had received more than 96,000 tips or potential leads from the public.” Dept, of Justice, Office of Inspector General, The September 11 Detainees: A Review of the Treatment of Aliens Held on Immigration Charges in Connection with the Investigation of the September 11 Attacks 1,11-12 (Apr. 2003), http://www.usdoj.gov/oig/ special/0306/full.pdf?bcsi_scan_61073ECQF74759AD=0&amp; bcsi_scan_filename=full.pdf (as visited May 14, 2009, and available in Clerk of Court’s case file).</w:t>
      </w:r>
    </w:p>
    <w:p>
      <w:pPr>
        <w:pStyle w:val="CaseBody"/>
      </w:pPr>
      <w:r>
        <w:t xml:space="preserve">In the ensuing months the FBI questioned more than 1,000 people with suspected links to the attacks in particular or to terrorism in general.</w:t>
      </w:r>
      <w:r>
        <w:t xml:space="preserve"> </w:t>
      </w:r>
      <w:r>
        <w:rPr>
          <w:iCs/>
          <w:i/>
        </w:rPr>
        <w:t xml:space="preserve">Id.,</w:t>
      </w:r>
      <w:r>
        <w:t xml:space="preserve"> </w:t>
      </w:r>
      <w:r>
        <w:t xml:space="preserve">at 1. Of those individuals, some 762 were held on immigration charges; and a 184-member subset of that group was deemed to be “of ‘high interest’ ” to the investigation.</w:t>
      </w:r>
      <w:r>
        <w:t xml:space="preserve"> </w:t>
      </w:r>
      <w:r>
        <w:rPr>
          <w:iCs/>
          <w:i/>
        </w:rPr>
        <w:t xml:space="preserve">Id.,</w:t>
      </w:r>
      <w:r>
        <w:t xml:space="preserve"> </w:t>
      </w:r>
      <w:r>
        <w:t xml:space="preserve">at 111. The high-interest detainees were held under restrictive conditions designed to prevent them from communicating with the general prison population or the outside world.</w:t>
      </w:r>
      <w:r>
        <w:t xml:space="preserve"> </w:t>
      </w:r>
      <w:r>
        <w:rPr>
          <w:iCs/>
          <w:i/>
        </w:rPr>
        <w:t xml:space="preserve">Id.,</w:t>
      </w:r>
      <w:r>
        <w:t xml:space="preserve"> </w:t>
      </w:r>
      <w:r>
        <w:t xml:space="preserve">at 112-113.</w:t>
      </w:r>
    </w:p>
    <w:p>
      <w:pPr>
        <w:pStyle w:val="CaseBody"/>
      </w:pPr>
      <w:r>
        <w:t xml:space="preserve">Respondent was one of the detainees. According to his complaint, in November 2001 agents of the FBI and Immigration and Naturalization Service arrested him on charges of fraud in relation to identification documents and conspiracy to defraud the United States.</w:t>
      </w:r>
      <w:r>
        <w:t xml:space="preserve"> </w:t>
      </w:r>
      <w:r>
        <w:rPr>
          <w:rStyle w:val="Elision"/>
        </w:rPr>
        <w:t xml:space="preserve">[ … ]</w:t>
      </w:r>
      <w:r>
        <w:t xml:space="preserve">. Pending trial for those crimes, respondent was housed at the Metropolitan Detention Center (MDC) in Brooklyn, New York. Respondent was designated a person “of high interest” to the September 11 investigation and in January 2002 was placed in a section of the MDC known as the Administrative Maximum Special Housing Unit (ADMAX SHU).</w:t>
      </w:r>
      <w:r>
        <w:t xml:space="preserve"> </w:t>
      </w:r>
      <w:r>
        <w:rPr>
          <w:rStyle w:val="Elision"/>
        </w:rPr>
        <w:t xml:space="preserve">[ … ]</w:t>
      </w:r>
      <w:r>
        <w:t xml:space="preserve"> </w:t>
      </w:r>
      <w:r>
        <w:t xml:space="preserve">As the facility’s name indicates, the ADMAX SHU incorporates the maximum security conditions allowable under Federal Bureau of Prisons regulations.</w:t>
      </w:r>
      <w:r>
        <w:t xml:space="preserve"> </w:t>
      </w:r>
      <w:r>
        <w:rPr>
          <w:iCs/>
          <w:i/>
        </w:rPr>
        <w:t xml:space="preserve">Ibid.</w:t>
      </w:r>
      <w:r>
        <w:t xml:space="preserve"> </w:t>
      </w:r>
      <w:r>
        <w:t xml:space="preserve">ADMAX SHU detainees were kept in lock-down 23 hours a day, spending the remaining hour outside their cells in handcuffs and leg irons accompanied by a four-officer escort.</w:t>
      </w:r>
      <w:r>
        <w:t xml:space="preserve"> </w:t>
      </w:r>
      <w:r>
        <w:rPr>
          <w:iCs/>
          <w:i/>
        </w:rPr>
        <w:t xml:space="preserve">Ibid.</w:t>
      </w:r>
    </w:p>
    <w:p>
      <w:pPr>
        <w:pStyle w:val="CaseBody"/>
      </w:pPr>
      <w:r>
        <w:t xml:space="preserve">Respondent pleaded guilty to the criminal charges, served a term of imprisonment, and was removed to his native Pakistan.</w:t>
      </w:r>
      <w:r>
        <w:t xml:space="preserve"> </w:t>
      </w:r>
      <w:r>
        <w:rPr>
          <w:iCs/>
          <w:i/>
        </w:rPr>
        <w:t xml:space="preserve">Id.,</w:t>
      </w:r>
      <w:r>
        <w:t xml:space="preserve"> </w:t>
      </w:r>
      <w:r>
        <w:t xml:space="preserve">at 149. He then</w:t>
      </w:r>
      <w:r>
        <w:t xml:space="preserve"> </w:t>
      </w:r>
      <w:r>
        <w:rPr>
          <w:rStyle w:val="ReplacementText"/>
        </w:rPr>
        <w:t xml:space="preserve">sued several dozen federal officials, including low-level officials involved in his confinement and higher-level officials, including the Attorney-General and the FBI Director.</w:t>
      </w:r>
      <w:r>
        <w:rPr>
          <w:rStyle w:val="ReplacementText"/>
        </w:rPr>
        <w:t xml:space="preserve">sued several dozen federal officials, including low-level officials involved in his confinement and higher-level officials, including the Attorney-General and the FBI Director.</w:t>
      </w:r>
      <w:r>
        <w:rPr>
          <w:rStyle w:val="Elision"/>
        </w:rPr>
        <w:t xml:space="preserve">[ … ]</w:t>
      </w:r>
    </w:p>
    <w:p>
      <w:pPr>
        <w:pStyle w:val="CaseBody"/>
      </w:pPr>
      <w:r>
        <w:t xml:space="preserve">The 21-cause-of-action complaint does not challenge respondent’s arrest or his confinement in the MDC’s general prison population. Rather, it concentrates on his treatment while confined to the ADMAX SHU. The complaint sets forth various claims against defendants who are not before us. For instance, the complaint alleges that respondent’s jailors “kicked him in the stomach, punched him in the face, and dragged him across” his cell without justification,</w:t>
      </w:r>
      <w:r>
        <w:t xml:space="preserve"> </w:t>
      </w:r>
      <w:r>
        <w:rPr>
          <w:rStyle w:val="Elision"/>
        </w:rPr>
        <w:t xml:space="preserve">[ … ]</w:t>
      </w:r>
      <w:r>
        <w:t xml:space="preserve"> </w:t>
      </w:r>
      <w:r>
        <w:t xml:space="preserve">subjected him to serial strip and body-cavity searches when he posed no safety risk to himself or others,</w:t>
      </w:r>
      <w:r>
        <w:t xml:space="preserve"> </w:t>
      </w:r>
      <w:r>
        <w:rPr>
          <w:rStyle w:val="Elision"/>
        </w:rPr>
        <w:t xml:space="preserve">[ … ]</w:t>
      </w:r>
      <w:r>
        <w:t xml:space="preserve">; and refiised to let him and other Muslims pray because there would be “[n]o prayers for terrorists,”</w:t>
      </w:r>
      <w:r>
        <w:rPr>
          <w:rStyle w:val="Elision"/>
        </w:rPr>
        <w:t xml:space="preserve">[ … ]</w:t>
      </w:r>
    </w:p>
    <w:p>
      <w:pPr>
        <w:pStyle w:val="CaseBody"/>
      </w:pPr>
      <w:r>
        <w:t xml:space="preserve">The allegations against petitioners are the only ones relevant here. The complaint contends that petitioners designated respondent a person of high interest on account of his race, religion, or national origin, in contravention of the First and Fifth Amendments to the Constitution. The complaint alleges that “the [FBI], under the direction of Defendant MUELLER, arrested and detained thousands of Arab Muslim men ... as part of its investigation of the events of September 11.”</w:t>
      </w:r>
      <w:r>
        <w:t xml:space="preserve"> </w:t>
      </w:r>
      <w:r>
        <w:rPr>
          <w:rStyle w:val="Elision"/>
        </w:rPr>
        <w:t xml:space="preserve">[ … ]</w:t>
      </w:r>
      <w:r>
        <w:t xml:space="preserve"> </w:t>
      </w:r>
      <w:r>
        <w:t xml:space="preserve">It further alleges that “[t]he policy of holding post-September-llth detainees in highly restrictive conditions of confinement until they were ‘cleared’ by the FBI was approved by Defendants ASHCROFT and MUELLER in discussions in the weeks after September 11, 2001.”</w:t>
      </w:r>
      <w:r>
        <w:t xml:space="preserve"> </w:t>
      </w:r>
      <w:r>
        <w:rPr>
          <w:rStyle w:val="Elision"/>
        </w:rPr>
        <w:t xml:space="preserve">[ … ]</w:t>
      </w:r>
      <w:r>
        <w:t xml:space="preserve">. Lastly, the complaint posits that petitioners “each knew of, condoned, and willfully and maliciously agreed to subject” respondent to harsh conditions of confinement “as a matter of policy, solely on account of [his] religion, race, and/or national origin and for no legitimate penological interest.”</w:t>
      </w:r>
      <w:r>
        <w:rPr>
          <w:rStyle w:val="Elision"/>
        </w:rPr>
        <w:t xml:space="preserve">[ … ]</w:t>
      </w:r>
      <w:r>
        <w:t xml:space="preserve">The pleading names Ashcroft as the “principal architect” of the policy,</w:t>
      </w:r>
      <w:r>
        <w:t xml:space="preserve"> </w:t>
      </w:r>
      <w:r>
        <w:rPr>
          <w:rStyle w:val="Elision"/>
        </w:rPr>
        <w:t xml:space="preserve">[ … ]</w:t>
      </w:r>
      <w:r>
        <w:t xml:space="preserve">, and identifies Mueller as “instrumental in [its] adoption, promulgation, and implementation,”</w:t>
      </w:r>
      <w:r>
        <w:t xml:space="preserve"> </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t xml:space="preserve">II</w:t>
      </w:r>
    </w:p>
    <w:p>
      <w:pPr>
        <w:pStyle w:val="CaseBody"/>
      </w:pPr>
      <w:r>
        <w:rPr>
          <w:rStyle w:val="Elision"/>
        </w:rPr>
        <w:t xml:space="preserve">[ … ]</w:t>
      </w:r>
      <w:r>
        <w:rPr>
          <w:rStyle w:val="Elision"/>
        </w:rPr>
        <w:t xml:space="preserve">[ … ]</w:t>
      </w:r>
    </w:p>
    <w:p>
      <w:pPr>
        <w:pStyle w:val="CaseBody"/>
      </w:pPr>
      <w:r>
        <w:t xml:space="preserve">Ill</w:t>
      </w:r>
    </w:p>
    <w:p>
      <w:pPr>
        <w:pStyle w:val="CaseBody"/>
      </w:pPr>
      <w:r>
        <w:t xml:space="preserve">In</w:t>
      </w:r>
      <w:r>
        <w:t xml:space="preserve"> </w:t>
      </w:r>
      <w:r>
        <w:rPr>
          <w:iCs/>
          <w:i/>
        </w:rPr>
        <w:t xml:space="preserve">Twombly, supra,</w:t>
      </w:r>
      <w:r>
        <w:t xml:space="preserve"> </w:t>
      </w:r>
      <w:r>
        <w:t xml:space="preserve">at 553-554, the Court found it necessary first to discuss the antitrust principles implicated by the complaint. Here too we begin by taking note of the elements a plaintiff must plead to state a claim of unconstitutional discrimination against officials entitled to assert the defense of qualified immunity.</w:t>
      </w:r>
    </w:p>
    <w:p>
      <w:pPr>
        <w:pStyle w:val="CaseBody"/>
      </w:pPr>
      <w:r>
        <w:rPr>
          <w:rStyle w:val="Elision"/>
        </w:rPr>
        <w:t xml:space="preserve">[ … ]</w:t>
      </w:r>
    </w:p>
    <w:p>
      <w:pPr>
        <w:pStyle w:val="CaseBody"/>
      </w:pPr>
      <w:r>
        <w:t xml:space="preserve">Where the claim is invidious discrimination in contravention</w:t>
      </w:r>
      <w:r>
        <w:t xml:space="preserve"> </w:t>
      </w:r>
      <w:r>
        <w:rPr>
          <w:rStyle w:val="Elision"/>
        </w:rPr>
        <w:t xml:space="preserve">[ … ]</w:t>
      </w:r>
      <w:r>
        <w:t xml:space="preserve">, our decisions make clear that the plaintiff must plead and prove that the defendant acted with discriminatory purpose.</w:t>
      </w:r>
      <w:r>
        <w:t xml:space="preserve"> </w:t>
      </w:r>
      <w:r>
        <w:rPr>
          <w:rStyle w:val="Elision"/>
        </w:rPr>
        <w:t xml:space="preserve">[ … ]</w:t>
      </w:r>
      <w:r>
        <w:t xml:space="preserve"> </w:t>
      </w:r>
      <w:r>
        <w:t xml:space="preserve">Under extant precedent purposeful discrimination requires more than “intent as volition or intent as awareness of consequences.”</w:t>
      </w:r>
      <w:r>
        <w:t xml:space="preserve"> </w:t>
      </w:r>
      <w:r>
        <w:rPr>
          <w:rStyle w:val="Elision"/>
        </w:rPr>
        <w:t xml:space="preserve">[ … ]</w:t>
      </w:r>
      <w:r>
        <w:t xml:space="preserve">. It instead involves a decisionmaker’s undertaking a course of action “ ‘because of,’ not merely ‘in spite of,’ [the action’s] adverse effects upon an identifiable group.”</w:t>
      </w:r>
      <w:r>
        <w:t xml:space="preserve"> </w:t>
      </w:r>
      <w:r>
        <w:rPr>
          <w:rStyle w:val="Elision"/>
        </w:rPr>
        <w:t xml:space="preserve">[ … ]</w:t>
      </w:r>
      <w:r>
        <w:rPr>
          <w:iCs/>
          <w:i/>
        </w:rPr>
        <w:t xml:space="preserve">.</w:t>
      </w:r>
      <w:r>
        <w:t xml:space="preserve"> </w:t>
      </w:r>
      <w:r>
        <w:t xml:space="preserve">It follows that, to state a claim based on a violation of a clearly established right, respondent must plead sufficient factual matter to show that petitioners adopted and implemented the detention policies at issue not for a neutral, investigative reason but for the purpose of discriminating on account of race, religion, or national origin.</w:t>
      </w:r>
    </w:p>
    <w:p>
      <w:pPr>
        <w:pStyle w:val="CaseBody"/>
      </w:pPr>
      <w:r>
        <w:rPr>
          <w:rStyle w:val="Elision"/>
        </w:rPr>
        <w:t xml:space="preserve">[ … ]</w:t>
      </w:r>
    </w:p>
    <w:p>
      <w:pPr>
        <w:pStyle w:val="CaseBody"/>
      </w:pPr>
      <w:r>
        <w:t xml:space="preserve">IV</w:t>
      </w:r>
    </w:p>
    <w:p>
      <w:pPr>
        <w:pStyle w:val="CaseBody"/>
      </w:pPr>
      <w:r>
        <w:t xml:space="preserve">A</w:t>
      </w:r>
    </w:p>
    <w:p>
      <w:pPr>
        <w:pStyle w:val="CaseBody"/>
      </w:pPr>
      <w:r>
        <w:t xml:space="preserve">We turn to respondent’s complaint. Under Federal Rule of Civil Procedure 8(a)(2), a pleading must contain a “short and plain statement of the claim showing that the pleader is entitled to relief.” As the Court held in</w:t>
      </w:r>
      <w:r>
        <w:t xml:space="preserve"> </w:t>
      </w:r>
      <w:r>
        <w:rPr>
          <w:iCs/>
          <w:i/>
        </w:rPr>
        <w:t xml:space="preserve">Twombly,</w:t>
      </w:r>
      <w:r>
        <w:t xml:space="preserve"> </w:t>
      </w:r>
      <w:r>
        <w:t xml:space="preserve">550 U. S. 544, the pleading standard Rule 8 announces does not require “detailed factual allegations,” but it demands more than an unadorned, the-defendant-unlawfully-harmed-me accusation.</w:t>
      </w:r>
      <w:r>
        <w:t xml:space="preserve"> </w:t>
      </w:r>
      <w:r>
        <w:rPr>
          <w:rStyle w:val="Elision"/>
        </w:rPr>
        <w:t xml:space="preserve">[ … ]</w:t>
      </w:r>
      <w:r>
        <w:t xml:space="preserve"> </w:t>
      </w:r>
      <w:r>
        <w:t xml:space="preserve">A pleading that offers “labels and conclusions” or “a formulaic recitation of the elements of a cause of action will not do.”</w:t>
      </w:r>
      <w:r>
        <w:rPr>
          <w:rStyle w:val="Elision"/>
        </w:rPr>
        <w:t xml:space="preserve">[ … ]</w:t>
      </w:r>
      <w:r>
        <w:t xml:space="preserve">. Nor does a complaint suffice if it tenders “naked assertion[s]” devoid of “further factual enhancement.”</w:t>
      </w:r>
      <w:r>
        <w:t xml:space="preserve"> </w:t>
      </w:r>
      <w:r>
        <w:rPr>
          <w:iCs/>
          <w:i/>
        </w:rPr>
        <w:t xml:space="preserve">Id.,</w:t>
      </w:r>
      <w:r>
        <w:t xml:space="preserve"> </w:t>
      </w:r>
      <w:r>
        <w:t xml:space="preserve">at 557.</w:t>
      </w:r>
    </w:p>
    <w:p>
      <w:pPr>
        <w:pStyle w:val="CaseBody"/>
      </w:pPr>
      <w:r>
        <w:t xml:space="preserve">To survive a motion to dismiss, a complaint must contain sufficient factual matter, accepted as true, to “state a claim to relief that is plausible on its face.”</w:t>
      </w:r>
      <w:r>
        <w:t xml:space="preserve"> </w:t>
      </w:r>
      <w:r>
        <w:rPr>
          <w:rStyle w:val="Elision"/>
        </w:rPr>
        <w:t xml:space="preserve">[ … ]</w:t>
      </w:r>
      <w:r>
        <w:t xml:space="preserve"> </w:t>
      </w:r>
      <w:r>
        <w:t xml:space="preserve">A claim has facial plausibility when the plaintiff pleads factual content that allows the court to draw the reasonable inference that the defendant is liable for the misconduct alleged.</w:t>
      </w:r>
      <w:r>
        <w:t xml:space="preserve"> </w:t>
      </w:r>
      <w:r>
        <w:rPr>
          <w:rStyle w:val="Elision"/>
        </w:rPr>
        <w:t xml:space="preserve">[ … ]</w:t>
      </w:r>
      <w:r>
        <w:t xml:space="preserve">The plausibility standard is not akin to a “probability requirement,” but it asks for more than a sheer possibility that a defendant has acted unlawfully.</w:t>
      </w:r>
      <w:r>
        <w:t xml:space="preserve"> </w:t>
      </w:r>
      <w:r>
        <w:rPr>
          <w:rStyle w:val="Elision"/>
        </w:rPr>
        <w:t xml:space="preserve">[ … ]</w:t>
      </w:r>
      <w:r>
        <w:rPr>
          <w:iCs/>
          <w:i/>
        </w:rPr>
        <w:t xml:space="preserve">.</w:t>
      </w:r>
      <w:r>
        <w:t xml:space="preserve"> </w:t>
      </w:r>
      <w:r>
        <w:t xml:space="preserve">Where a complaint pleads facts that are “merely consistent with” a defendant’s liability, it “stops short of the line between possibility and plausibility of ‘entitlement to relief.’ ”</w:t>
      </w:r>
      <w:r>
        <w:t xml:space="preserve"> </w:t>
      </w:r>
      <w:r>
        <w:rPr>
          <w:rStyle w:val="Elision"/>
        </w:rPr>
        <w:t xml:space="preserve">[ … ]</w:t>
      </w:r>
    </w:p>
    <w:p>
      <w:pPr>
        <w:pStyle w:val="CaseBody"/>
      </w:pPr>
      <w:r>
        <w:t xml:space="preserve">Two working principles underlie our decision in</w:t>
      </w:r>
      <w:r>
        <w:t xml:space="preserve"> </w:t>
      </w:r>
      <w:r>
        <w:rPr>
          <w:iCs/>
          <w:i/>
        </w:rPr>
        <w:t xml:space="preserve">Twombly.</w:t>
      </w:r>
      <w:r>
        <w:t xml:space="preserve"> </w:t>
      </w:r>
      <w:r>
        <w:t xml:space="preserve">First, the tenet that a court must accept as true all of the allegations contained in a complaint is inapplicable to legal conclusions. Threadbare recitals of the elements of a cause of action, supported by mere conclusory statements, do not suffice</w:t>
      </w:r>
      <w:r>
        <w:rPr>
          <w:rStyle w:val="Elision"/>
        </w:rPr>
        <w:t xml:space="preserve">[ … ]</w:t>
      </w:r>
      <w:r>
        <w:t xml:space="preserve"> </w:t>
      </w:r>
      <w:r>
        <w:t xml:space="preserve">(Although for the purposes of a motion to dismiss we must take all of the factual allegations in the complaint as true, we “are not bound to accept as true a legal conclusion couched as a factual allegation” (internal quotation marks omitted)). Rule 8 marks a notable and generous departure from the hyperteehnical, code-pleading regime of a prior era, but it does not unlock the doors of discovery for a plaintiff armed with nothing more than conclusions. Second, only a complaint that states a plausible claim for relief survives a motion to dismiss.</w:t>
      </w:r>
      <w:r>
        <w:t xml:space="preserve"> </w:t>
      </w:r>
      <w:r>
        <w:rPr>
          <w:rStyle w:val="Elision"/>
        </w:rPr>
        <w:t xml:space="preserve">[ … ]</w:t>
      </w:r>
      <w:r>
        <w:t xml:space="preserve"> </w:t>
      </w:r>
      <w:r>
        <w:t xml:space="preserve">Determining whether a complaint states a plausible claim for relief will, as the Court of Appeals observed, be a context-specific task that requires the reviewing court to draw on its judicial experience and common sense.</w:t>
      </w:r>
      <w:r>
        <w:t xml:space="preserve"> </w:t>
      </w:r>
      <w:r>
        <w:rPr>
          <w:rStyle w:val="Elision"/>
        </w:rPr>
        <w:t xml:space="preserve">[ … ]</w:t>
      </w:r>
      <w:r>
        <w:t xml:space="preserve"> </w:t>
      </w:r>
      <w:r>
        <w:t xml:space="preserve">But where the well-pleaded facts do not permit the court to infer more than the mere possibility of misconduct, the complaint has alleged — but it has not “show[n]” — “that the pleader is entitled to relief.” Fed. Rule Civ. Proc. 8(a)(2).</w:t>
      </w:r>
    </w:p>
    <w:p>
      <w:pPr>
        <w:pStyle w:val="CaseBody"/>
      </w:pPr>
      <w:r>
        <w:t xml:space="preserve">In keeping with these principles a court considering a motion to dismiss can choose to begin by identifying pleadings that, because they are no more than conclusions, are not entitled to the assumption of truth. While legal conclusions can provide the framework of a complaint, they must be supported by factual allegations. When there are well-pleaded factual allegations, a court should assume their veracity and then determine whether they plausibly give rise to an entitlement to relief.</w:t>
      </w:r>
    </w:p>
    <w:p>
      <w:pPr>
        <w:pStyle w:val="CaseBody"/>
      </w:pPr>
      <w:r>
        <w:rPr>
          <w:rStyle w:val="Elision"/>
        </w:rPr>
        <w:t xml:space="preserve">[ … ]</w:t>
      </w:r>
    </w:p>
    <w:p>
      <w:pPr>
        <w:pStyle w:val="CaseBody"/>
      </w:pPr>
      <w:r>
        <w:t xml:space="preserve">B</w:t>
      </w:r>
    </w:p>
    <w:p>
      <w:pPr>
        <w:pStyle w:val="CaseBody"/>
      </w:pPr>
      <w:r>
        <w:t xml:space="preserve">Under</w:t>
      </w:r>
      <w:r>
        <w:t xml:space="preserve"> </w:t>
      </w:r>
      <w:r>
        <w:rPr>
          <w:iCs/>
          <w:i/>
        </w:rPr>
        <w:t xml:space="preserve">Twombly’s,</w:t>
      </w:r>
      <w:r>
        <w:t xml:space="preserve"> </w:t>
      </w:r>
      <w:r>
        <w:t xml:space="preserve">construction of Rule 8, we conclude that respondent’s complaint has not “nudged [his] claims” of invidious discrimination “across the line from conceivable to plausible.”</w:t>
      </w:r>
      <w:r>
        <w:t xml:space="preserve"> </w:t>
      </w:r>
      <w:r>
        <w:rPr>
          <w:rStyle w:val="Elision"/>
        </w:rPr>
        <w:t xml:space="preserve">[ … ]</w:t>
      </w:r>
      <w:r>
        <w:rPr>
          <w:iCs/>
          <w:i/>
        </w:rPr>
        <w:t xml:space="preserve">.</w:t>
      </w:r>
    </w:p>
    <w:p>
      <w:pPr>
        <w:pStyle w:val="CaseBody"/>
      </w:pPr>
      <w:r>
        <w:t xml:space="preserve">We begin our analysis by identifying the allegations in the complaint that are not entitled to the assumption of truth. Respondent pleads that petitioners “knew of, condoned, and willfully and maliciously agreed to subject [him]” to harsh conditions of confinement “as a matter of policy, solely on account of [his] religion, race, and/or national origin and for no legitimate penological interest.”</w:t>
      </w:r>
      <w:r>
        <w:rPr>
          <w:rStyle w:val="Elision"/>
        </w:rPr>
        <w:t xml:space="preserve">[ … ]</w:t>
      </w:r>
      <w:r>
        <w:t xml:space="preserve">. The complaint alleges that Ashcroft was the “principal architect” of this invidious policy,</w:t>
      </w:r>
      <w:r>
        <w:rPr>
          <w:rStyle w:val="Elision"/>
        </w:rPr>
        <w:t xml:space="preserve">[ … ]</w:t>
      </w:r>
      <w:r>
        <w:t xml:space="preserve">, and that Mueller was “instrumental” in adopting and executing it,</w:t>
      </w:r>
      <w:r>
        <w:t xml:space="preserve"> </w:t>
      </w:r>
      <w:r>
        <w:rPr>
          <w:rStyle w:val="Elision"/>
        </w:rPr>
        <w:t xml:space="preserve">[ … ]</w:t>
      </w:r>
      <w:r>
        <w:t xml:space="preserve"> </w:t>
      </w:r>
      <w:r>
        <w:t xml:space="preserve">These bare assertions, much like the pleading of conspiracy in</w:t>
      </w:r>
      <w:r>
        <w:t xml:space="preserve"> </w:t>
      </w:r>
      <w:r>
        <w:rPr>
          <w:iCs/>
          <w:i/>
        </w:rPr>
        <w:t xml:space="preserve">Twombly,</w:t>
      </w:r>
      <w:r>
        <w:t xml:space="preserve"> </w:t>
      </w:r>
      <w:r>
        <w:t xml:space="preserve">amount to nothing more than a “formulaic recitation of the elements” of a constitutional discrimination claim,</w:t>
      </w:r>
      <w:r>
        <w:t xml:space="preserve"> </w:t>
      </w:r>
      <w:r>
        <w:rPr>
          <w:rStyle w:val="Elision"/>
        </w:rPr>
        <w:t xml:space="preserve">[ … ]</w:t>
      </w:r>
      <w:r>
        <w:t xml:space="preserve"> </w:t>
      </w:r>
      <w:r>
        <w:t xml:space="preserve">namely, that petitioners adopted a policy “‘because of,’ not merely ‘in spite of,’ its adverse effects upon an identifiable group,”</w:t>
      </w:r>
      <w:r>
        <w:t xml:space="preserve"> </w:t>
      </w:r>
      <w:r>
        <w:rPr>
          <w:rStyle w:val="Elision"/>
        </w:rPr>
        <w:t xml:space="preserve">[ … ]</w:t>
      </w:r>
      <w:r>
        <w:t xml:space="preserve"> </w:t>
      </w:r>
      <w:r>
        <w:t xml:space="preserve">As such, the allegations are conclusory and not entitled to be assumed true.</w:t>
      </w:r>
      <w:r>
        <w:t xml:space="preserve"> </w:t>
      </w:r>
      <w:r>
        <w:rPr>
          <w:rStyle w:val="Elision"/>
        </w:rPr>
        <w:t xml:space="preserve">[ … ]</w:t>
      </w:r>
      <w:r>
        <w:t xml:space="preserve">To be clear, we do not reject these bald allegations on the ground that they are unrealistic or nonsensical. We do not so characterize them any more than the Court in</w:t>
      </w:r>
      <w:r>
        <w:t xml:space="preserve"> </w:t>
      </w:r>
      <w:r>
        <w:rPr>
          <w:iCs/>
          <w:i/>
        </w:rPr>
        <w:t xml:space="preserve">Twombly</w:t>
      </w:r>
      <w:r>
        <w:t xml:space="preserve"> </w:t>
      </w:r>
      <w:r>
        <w:t xml:space="preserve">rejected the plaintiffs’ express allegation of a “ ‘contract, combination or conspiracy to prevent competitive entry,’ ”</w:t>
      </w:r>
      <w:r>
        <w:rPr>
          <w:rStyle w:val="Elision"/>
        </w:rPr>
        <w:t xml:space="preserve">[ … ]</w:t>
      </w:r>
      <w:r>
        <w:t xml:space="preserve">, because it thought that claim too chimerical to be maintained. It is the conclusory nature of respondent’s allegations, rather than their</w:t>
      </w:r>
      <w:r>
        <w:t xml:space="preserve"> </w:t>
      </w:r>
      <w:r>
        <w:t xml:space="preserve">extravagantly fanciful nature</w:t>
      </w:r>
      <w:r>
        <w:rPr>
          <w:rStyle w:val="FootnoteReference"/>
        </w:rPr>
        <w:footnoteReference w:customMarkFollows="1" w:id="79"/>
        <w:t xml:space="preserve">**</w:t>
      </w:r>
      <w:r>
        <w:t xml:space="preserve">, that disentitles them to the presumption of truth.</w:t>
      </w:r>
    </w:p>
    <w:p>
      <w:pPr>
        <w:pStyle w:val="CaseBody"/>
      </w:pPr>
      <w:r>
        <w:t xml:space="preserve">We next consider the factual allegations in respondent’s complaint to determine if they plausibly suggest an entitlement to relief. The complaint alleges that “the [FBI], under the direction of Defendant MUELLER, arrested and detained thousands of Arab Muslim men... as part of its investigation of the events of September 11.”</w:t>
      </w:r>
      <w:r>
        <w:t xml:space="preserve"> </w:t>
      </w:r>
      <w:r>
        <w:rPr>
          <w:rStyle w:val="Elision"/>
        </w:rPr>
        <w:t xml:space="preserve">[ … ]</w:t>
      </w:r>
      <w:r>
        <w:t xml:space="preserve"> </w:t>
      </w:r>
      <w:r>
        <w:t xml:space="preserve">It further claims that “[t]he policy of holding post-September-llth detainees in highly restrictive conditions of confinement until they were ‘cleared’ by the FBI was approved by Defendants ASHCROFT and MUELLER in discussions in the weeks after September 11, 2001.”</w:t>
      </w:r>
      <w:r>
        <w:t xml:space="preserve"> </w:t>
      </w:r>
      <w:r>
        <w:rPr>
          <w:rStyle w:val="Elision"/>
        </w:rPr>
        <w:t xml:space="preserve">[ … ]</w:t>
      </w:r>
      <w:r>
        <w:t xml:space="preserve">. Taken as true, these allegations are consistent with petitioners’ purposefully designating detainees “of high interest” because of their race, religion, or national origin. But given more likely explanations, they do not plausibly establish this purpose.</w:t>
      </w:r>
    </w:p>
    <w:p>
      <w:pPr>
        <w:pStyle w:val="CaseBody"/>
      </w:pPr>
      <w:r>
        <w:t xml:space="preserve">The September 11 attacks were perpetrated by 19 Arab Muslim hijackers who counted themselves members in good standing of al Qaeda, an Islamic fundamentalist group. A1 Qaeda was headed by another Arab Muslim' — Osama bin Laden — and composed in large part of his Arab Muslim disciples. It should come as no surprise that a legitimate policy directing law enforcement to arrest and detain individuals because of their suspected link to the attacks would produce a disparate, incidental impact on</w:t>
      </w:r>
      <w:r>
        <w:t xml:space="preserve"> </w:t>
      </w:r>
      <w:r>
        <w:t xml:space="preserve">Arab Muslims</w:t>
      </w:r>
      <w:r>
        <w:rPr>
          <w:rStyle w:val="FootnoteReference"/>
        </w:rPr>
        <w:footnoteReference w:customMarkFollows="1" w:id="109"/>
        <w:t xml:space="preserve">***</w:t>
      </w:r>
      <w:r>
        <w:t xml:space="preserve">, even though the purpose of the policy was to target neither Arabs nor Muslims. On the facts respondent alleges the arrests Mueller oversaw were likely lawful and justified by his nondiscriminatory intent to detain aliens who were illegally present in the United States and who had potential connections to those who committed terrorist acts. As between that “obvious alternative explanation” for the arrests,</w:t>
      </w:r>
      <w:r>
        <w:t xml:space="preserve"> </w:t>
      </w:r>
      <w:r>
        <w:rPr>
          <w:rStyle w:val="Elision"/>
        </w:rPr>
        <w:t xml:space="preserve">[ … ]</w:t>
      </w:r>
      <w:r>
        <w:t xml:space="preserve"> </w:t>
      </w:r>
      <w:r>
        <w:t xml:space="preserve">and the purposeful, invidious discrimination respondent asks us to infer, discrimination is not a plausible conclusion.</w:t>
      </w:r>
    </w:p>
    <w:p>
      <w:pPr>
        <w:pStyle w:val="CaseBody"/>
      </w:pPr>
      <w:r>
        <w:t xml:space="preserve">But even if the complaint’s well-pleaded facts give rise to a plausible inference that respondent’s arrest was the result of unconstitutional discrimination, that inference alone would not entitle respondent to relief. It is important to recall that respondent’s complaint challenges neither the constitutionality of his arrest nor his initial detention in the MDC. Respondent’s constitutional claims against petitioners rest solely on their ostensible “policy of holding post-September-llth detainees” in the ADMAX SHU once they were categorized as “of high interest.”</w:t>
      </w:r>
      <w:r>
        <w:t xml:space="preserve"> </w:t>
      </w:r>
      <w:r>
        <w:rPr>
          <w:rStyle w:val="Elision"/>
        </w:rPr>
        <w:t xml:space="preserve">[ … ]</w:t>
      </w:r>
      <w:r>
        <w:t xml:space="preserve"> </w:t>
      </w:r>
      <w:r>
        <w:t xml:space="preserve">To prevail on that theory, the complaint must contain facts plausibly showing that petitioners purposefully adopted a policy of classifying post-September-11 detainees as “of high interest” because of their race, religion, or national origin.</w:t>
      </w:r>
    </w:p>
    <w:p>
      <w:pPr>
        <w:pStyle w:val="CaseBody"/>
      </w:pPr>
      <w:r>
        <w:t xml:space="preserve">This the complaint fails to do. Though respondent alleges that various other defendants, who are not before us, may have labeled him a person “of high interest” for impermissible reasons, his only factual allegation against petitioners accuses them of adopting a policy approving “restrictive conditions of confinement” for post-September-11 detainees until they were “‘cleared’ by the FBI.”</w:t>
      </w:r>
      <w:r>
        <w:t xml:space="preserve"> </w:t>
      </w:r>
      <w:r>
        <w:rPr>
          <w:rStyle w:val="Elision"/>
        </w:rPr>
        <w:t xml:space="preserve">[ … ]</w:t>
      </w:r>
      <w:r>
        <w:rPr>
          <w:iCs/>
          <w:i/>
        </w:rPr>
        <w:t xml:space="preserve">.</w:t>
      </w:r>
      <w:r>
        <w:t xml:space="preserve"> </w:t>
      </w:r>
      <w:r>
        <w:t xml:space="preserve">Accepting the truth of that allegation, the complaint does not show, or even intimate, that petitioners purposefully housed detainees in the ADMAX SHU due to their race, religion, or national origin. All it plausibly suggests is that the Nation’s top law enforcement officers, in the aftermath of a devastating terrorist attack, sought to keep suspected terrorists in the most secure conditions available until the suspects could be cleared of terrorist activity. Respondent does not argue, nor can he, that such a motive would violate petitioners’ constitutional obligations. He would need to allege more by way of factual content to “nudg[e]” his claim of purposeful discrimination “across the line from conceivable to plausible.”</w:t>
      </w:r>
      <w:r>
        <w:t xml:space="preserve"> </w:t>
      </w:r>
      <w:r>
        <w:rPr>
          <w:rStyle w:val="Elision"/>
        </w:rPr>
        <w:t xml:space="preserve">[ … ]</w:t>
      </w:r>
    </w:p>
    <w:p>
      <w:pPr>
        <w:pStyle w:val="CaseBody"/>
      </w:pPr>
      <w:r>
        <w:t xml:space="preserve">To be sure, respondent can attempt to draw certain contrasts between the pleadings the Court considered in</w:t>
      </w:r>
      <w:r>
        <w:t xml:space="preserve"> </w:t>
      </w:r>
      <w:r>
        <w:rPr>
          <w:iCs/>
          <w:i/>
        </w:rPr>
        <w:t xml:space="preserve">Twombly</w:t>
      </w:r>
      <w:r>
        <w:t xml:space="preserve"> </w:t>
      </w:r>
      <w:r>
        <w:t xml:space="preserve">and the pleadings at issue here. In</w:t>
      </w:r>
      <w:r>
        <w:t xml:space="preserve"> </w:t>
      </w:r>
      <w:r>
        <w:rPr>
          <w:iCs/>
          <w:i/>
        </w:rPr>
        <w:t xml:space="preserve">Twombly,</w:t>
      </w:r>
      <w:r>
        <w:t xml:space="preserve"> </w:t>
      </w:r>
      <w:r>
        <w:t xml:space="preserve">the complaint alleged general wrongdoing that extended over a period of years,</w:t>
      </w:r>
      <w:r>
        <w:t xml:space="preserve"> </w:t>
      </w:r>
      <w:r>
        <w:rPr>
          <w:iCs/>
          <w:i/>
        </w:rPr>
        <w:t xml:space="preserve">id.,</w:t>
      </w:r>
      <w:r>
        <w:t xml:space="preserve"> </w:t>
      </w:r>
      <w:r>
        <w:t xml:space="preserve">at 551, whereas here the complaint alleges discrete wrongs — for instance, beatings — by lower level Government actors. The allegations here, if true, and if condoned by petitioners, could be the basis for some inference of wrongful intent on petitioners’ part. Despite these distinctions, respondent’s pleadings do not suffice to state a claim. Unlike in</w:t>
      </w:r>
      <w:r>
        <w:t xml:space="preserve"> </w:t>
      </w:r>
      <w:r>
        <w:rPr>
          <w:iCs/>
          <w:i/>
        </w:rPr>
        <w:t xml:space="preserve">Twombly,</w:t>
      </w:r>
      <w:r>
        <w:t xml:space="preserve"> </w:t>
      </w:r>
      <w:r>
        <w:t xml:space="preserve">where the doctrine of</w:t>
      </w:r>
      <w:r>
        <w:t xml:space="preserve"> </w:t>
      </w:r>
      <w:r>
        <w:rPr>
          <w:iCs/>
          <w:i/>
        </w:rPr>
        <w:t xml:space="preserve">respondeat superior</w:t>
      </w:r>
      <w:r>
        <w:t xml:space="preserve"> </w:t>
      </w:r>
      <w:r>
        <w:t xml:space="preserve">could bind the corporate defendant, here, as we have noted, petitioners cannot be held liable unless they themselves acted on account of a constitutionally protected characteristic. Yet respondent’s complaint does not contain any factual allegation sufficient to plausibly suggest petitioners’ discriminatory state of mind. His pleadings thus do not meet the standard necessary to comply with Rule 8.</w:t>
      </w:r>
    </w:p>
    <w:p>
      <w:pPr>
        <w:pStyle w:val="CaseBody"/>
      </w:pPr>
      <w:r>
        <w:rPr>
          <w:rStyle w:val="Elision"/>
        </w:rPr>
        <w:t xml:space="preserve">[ … ]</w:t>
      </w:r>
    </w:p>
    <w:p>
      <w:pPr>
        <w:pStyle w:val="CaseBody"/>
      </w:pPr>
      <w:r>
        <w:t xml:space="preserve">C</w:t>
      </w:r>
    </w:p>
    <w:p>
      <w:pPr>
        <w:pStyle w:val="CaseBody"/>
      </w:pPr>
      <w:r>
        <w:t xml:space="preserve">Respondent offers three arguments that bear on our disposition of his case, but none is persuasive.</w:t>
      </w:r>
    </w:p>
    <w:p>
      <w:pPr>
        <w:pStyle w:val="CaseBody"/>
      </w:pPr>
      <w:r>
        <w:t xml:space="preserve">1</w:t>
      </w:r>
    </w:p>
    <w:p>
      <w:pPr>
        <w:pStyle w:val="CaseBody"/>
      </w:pPr>
      <w:r>
        <w:t xml:space="preserve">Respondent first says that our decision in</w:t>
      </w:r>
      <w:r>
        <w:t xml:space="preserve"> </w:t>
      </w:r>
      <w:r>
        <w:rPr>
          <w:iCs/>
          <w:i/>
        </w:rPr>
        <w:t xml:space="preserve">Twombly</w:t>
      </w:r>
      <w:r>
        <w:t xml:space="preserve"> </w:t>
      </w:r>
      <w:r>
        <w:t xml:space="preserve">should be limited to pleadings made in the context of an antitrust dispute.</w:t>
      </w:r>
      <w:r>
        <w:t xml:space="preserve"> </w:t>
      </w:r>
      <w:r>
        <w:rPr>
          <w:rStyle w:val="Elision"/>
        </w:rPr>
        <w:t xml:space="preserve">[ … ]</w:t>
      </w:r>
      <w:r>
        <w:t xml:space="preserve">This argument is not supported by</w:t>
      </w:r>
      <w:r>
        <w:t xml:space="preserve"> </w:t>
      </w:r>
      <w:r>
        <w:rPr>
          <w:iCs/>
          <w:i/>
        </w:rPr>
        <w:t xml:space="preserve">Twombly</w:t>
      </w:r>
      <w:r>
        <w:t xml:space="preserve"> </w:t>
      </w:r>
      <w:r>
        <w:t xml:space="preserve">and is incompatible with the Federal Rules of Civil Procedure. Though</w:t>
      </w:r>
      <w:r>
        <w:t xml:space="preserve"> </w:t>
      </w:r>
      <w:r>
        <w:rPr>
          <w:iCs/>
          <w:i/>
        </w:rPr>
        <w:t xml:space="preserve">Twombly</w:t>
      </w:r>
      <w:r>
        <w:t xml:space="preserve"> </w:t>
      </w:r>
      <w:r>
        <w:t xml:space="preserve">determined the sufficiency of a complaint sounding in antitrust, the decision was based on our interpretation and application of Rule 8.</w:t>
      </w:r>
      <w:r>
        <w:rPr>
          <w:rStyle w:val="Elision"/>
        </w:rPr>
        <w:t xml:space="preserve">[ … ]</w:t>
      </w:r>
      <w:r>
        <w:t xml:space="preserve">That Rule in turn governs the pleading standard “in all civil actions and proceedings in the United States district courts.” Fed. Rule Civ. Proc. 1. Our decision in</w:t>
      </w:r>
      <w:r>
        <w:t xml:space="preserve"> </w:t>
      </w:r>
      <w:r>
        <w:rPr>
          <w:iCs/>
          <w:i/>
        </w:rPr>
        <w:t xml:space="preserve">Twombly</w:t>
      </w:r>
      <w:r>
        <w:t xml:space="preserve"> </w:t>
      </w:r>
      <w:r>
        <w:t xml:space="preserve">expounded the pleading standard for “all civil actions,”</w:t>
      </w:r>
      <w:r>
        <w:t xml:space="preserve"> </w:t>
      </w:r>
      <w:r>
        <w:rPr>
          <w:rStyle w:val="Elision"/>
        </w:rPr>
        <w:t xml:space="preserve">[ … ]</w:t>
      </w:r>
      <w:r>
        <w:t xml:space="preserve">and it applies to antitrust and discrimination suits alike,</w:t>
      </w:r>
      <w:r>
        <w:rPr>
          <w:rStyle w:val="Elision"/>
        </w:rPr>
        <w:t xml:space="preserve">[ … ]</w:t>
      </w:r>
    </w:p>
    <w:p>
      <w:pPr>
        <w:pStyle w:val="CaseBody"/>
      </w:pPr>
      <w:r>
        <w:t xml:space="preserve">2</w:t>
      </w:r>
    </w:p>
    <w:p>
      <w:pPr>
        <w:pStyle w:val="CaseBody"/>
      </w:pPr>
      <w:r>
        <w:t xml:space="preserve">Respondent next implies that our construction of Rule 8 should be tempered where, as here, the Court of Appeals has “instructed the district court to cabin discovery in such a way as to preserve” petitioners’ defense of qualified immunity “as much as possible in anticipation of a summary judgment motion.”</w:t>
      </w:r>
      <w:r>
        <w:t xml:space="preserve"> </w:t>
      </w:r>
      <w:r>
        <w:rPr>
          <w:rStyle w:val="Elision"/>
        </w:rPr>
        <w:t xml:space="preserve">[ … ]</w:t>
      </w:r>
      <w:r>
        <w:t xml:space="preserve"> </w:t>
      </w:r>
      <w:r>
        <w:t xml:space="preserve">We have held, however, that the question presented by a motion to dismiss a complaint for insufficient pleadings does not turn on the controls placed upon the discovery process.</w:t>
      </w:r>
      <w:r>
        <w:t xml:space="preserve"> </w:t>
      </w:r>
      <w:r>
        <w:rPr>
          <w:rStyle w:val="Elision"/>
        </w:rPr>
        <w:t xml:space="preserve">[ … ]</w:t>
      </w:r>
    </w:p>
    <w:p>
      <w:pPr>
        <w:pStyle w:val="CaseBody"/>
      </w:pPr>
      <w:r>
        <w:rPr>
          <w:rStyle w:val="Elision"/>
        </w:rPr>
        <w:t xml:space="preserve">[ … ]</w:t>
      </w:r>
      <w:r>
        <w:t xml:space="preserve">careful</w:t>
      </w:r>
    </w:p>
    <w:p>
      <w:pPr>
        <w:pStyle w:val="CaseBody"/>
      </w:pPr>
      <w:r>
        <w:t xml:space="preserve">3</w:t>
      </w:r>
    </w:p>
    <w:p>
      <w:pPr>
        <w:pStyle w:val="CaseBody"/>
      </w:pPr>
      <w:r>
        <w:t xml:space="preserve">Respondent finally maintains that the Federal Rules expressly allow him to allege petitioners’ discriminatory intent “generally,” which he equates with a conclusory allegation.</w:t>
      </w:r>
      <w:r>
        <w:t xml:space="preserve"> </w:t>
      </w:r>
      <w:r>
        <w:rPr>
          <w:rStyle w:val="Elision"/>
        </w:rPr>
        <w:t xml:space="preserve">[ … ]</w:t>
      </w:r>
      <w:r>
        <w:t xml:space="preserve">Fed. Rule Civ. Proc. 9). It follows, respondent says, that his complaint is sufficiently well pleaded because it claims that petitioners discriminated against him “on account of [his] religion, race, and/or national origin and for no legitimate penological interest.”</w:t>
      </w:r>
      <w:r>
        <w:t xml:space="preserve"> </w:t>
      </w:r>
      <w:r>
        <w:rPr>
          <w:rStyle w:val="Elision"/>
        </w:rPr>
        <w:t xml:space="preserve">[ … ]</w:t>
      </w:r>
      <w:r>
        <w:t xml:space="preserve"> </w:t>
      </w:r>
      <w:r>
        <w:t xml:space="preserve">Were we required to accept this allegation as true, respondent’s complaint would survive petitioners’ motion to dismiss. But the Federal Rules do not require courts to credit a complaint’s conclusory statements without reference to its factual context.</w:t>
      </w:r>
    </w:p>
    <w:p>
      <w:pPr>
        <w:pStyle w:val="CaseBody"/>
      </w:pPr>
      <w:r>
        <w:t xml:space="preserve">It is true that Rule 9(b) requires particularity when pleading “fraud or mistake,” while allowing “[mjalice, intent, knowledge, and other conditions of a person’s mind [to] be alleged generally.” But “generally” is a relative term. In the context of Rule 9, it is to be compared to the particularity requirement applicable to fraud or mistake. Rule 9 merely excuses a party from pleading discriminatory intent under an elevated pleading standard. It does not give him license to evade the less rigid — though still operative — strictures of Rule 8.</w:t>
      </w:r>
      <w:r>
        <w:t xml:space="preserve"> </w:t>
      </w:r>
      <w:r>
        <w:rPr>
          <w:rStyle w:val="Elision"/>
        </w:rPr>
        <w:t xml:space="preserve">[ … ]</w:t>
      </w:r>
    </w:p>
    <w:p>
      <w:pPr>
        <w:pStyle w:val="CaseBody"/>
      </w:pPr>
      <w:r>
        <w:t xml:space="preserve">V</w:t>
      </w:r>
    </w:p>
    <w:p>
      <w:pPr>
        <w:pStyle w:val="CaseBody"/>
      </w:pPr>
      <w:r>
        <w:t xml:space="preserve">We hold that respondent’s complaint fails to plead sufficient facts to state a claim for purposeful and unlawful discrimination against petitioners. The Court of Appeals should decide in the first instance whether to remand to the District Court so that respondent can seek leave to amend his deficient complaint.</w:t>
      </w:r>
    </w:p>
    <w:p>
      <w:pPr>
        <w:pStyle w:val="CaseBody"/>
      </w:pPr>
      <w:r>
        <w:t xml:space="preserve">The judgment of the Court of Appeals is reversed, and the case is remanded for further proceedings consistent with this opinion.</w:t>
      </w:r>
    </w:p>
    <w:p>
      <w:pPr>
        <w:pStyle w:val="CaseBody"/>
      </w:pPr>
      <w:r>
        <w:rPr>
          <w:iCs/>
          <w:i/>
        </w:rPr>
        <w:t xml:space="preserve">It is so ordered.</w:t>
      </w:r>
    </w:p>
    <w:p>
      <w:pPr>
        <w:pStyle w:val="CaseBody"/>
      </w:pPr>
      <w:r>
        <w:t xml:space="preserve">Justice Souter, with whom Justice Stevens, Justice Ginsburg, and Justice Breyer join, dissenting.</w:t>
      </w:r>
    </w:p>
    <w:p>
      <w:pPr>
        <w:pStyle w:val="CaseBody"/>
      </w:pPr>
      <w:r>
        <w:rPr>
          <w:rStyle w:val="Elision"/>
        </w:rPr>
        <w:t xml:space="preserve">[ … ]</w:t>
      </w:r>
      <w:r>
        <w:rPr>
          <w:rStyle w:val="FootnoteReference"/>
        </w:rPr>
        <w:footnoteReference w:customMarkFollows="1" w:id="127"/>
        <w:t xml:space="preserve">****</w:t>
      </w:r>
    </w:p>
    <w:p>
      <w:pPr>
        <w:pStyle w:val="CaseBody"/>
      </w:pPr>
      <w:r>
        <w:rPr>
          <w:rStyle w:val="Elision"/>
        </w:rPr>
        <w:t xml:space="preserve">[ … ]</w:t>
      </w:r>
      <w:r>
        <w:rPr>
          <w:rStyle w:val="ReplacementText"/>
        </w:rPr>
        <w:t xml:space="preserve">two</w:t>
      </w:r>
    </w:p>
    <w:p>
      <w:pPr>
        <w:pStyle w:val="CaseBody"/>
      </w:pPr>
      <w:r>
        <w:rPr>
          <w:rStyle w:val="Elision"/>
        </w:rPr>
        <w:t xml:space="preserve">[ … ]</w:t>
      </w:r>
    </w:p>
    <w:p>
      <w:pPr>
        <w:pStyle w:val="CaseBody"/>
      </w:pPr>
      <w:r>
        <w:rPr>
          <w:rStyle w:val="Elision"/>
        </w:rPr>
        <w:t xml:space="preserve">[ … ]</w:t>
      </w:r>
    </w:p>
    <w:p>
      <w:pPr>
        <w:pStyle w:val="CaseBody"/>
      </w:pPr>
      <w:r>
        <w:t xml:space="preserve">II</w:t>
      </w:r>
    </w:p>
    <w:p>
      <w:pPr>
        <w:pStyle w:val="CaseBody"/>
      </w:pPr>
      <w:r>
        <w:rPr>
          <w:rStyle w:val="ReplacementText"/>
        </w:rPr>
        <w:t xml:space="preserve">The</w:t>
      </w:r>
      <w:r>
        <w:t xml:space="preserve"> </w:t>
      </w:r>
      <w:r>
        <w:t xml:space="preserve">complaint satisfies Rule 8(a)(2). Ashcroft and Mueller admit they are liable for their subordinates’ conduct if they “had actual knowledge of the assertedly discriminatory nature of the classification of suspects as being 'of high interest’ and they were deliberately indifferent to that discrimination.”</w:t>
      </w:r>
      <w:r>
        <w:t xml:space="preserve"> </w:t>
      </w:r>
      <w:r>
        <w:rPr>
          <w:rStyle w:val="Elision"/>
        </w:rPr>
        <w:t xml:space="preserve">[ … ]</w:t>
      </w:r>
      <w:r>
        <w:t xml:space="preserve"> </w:t>
      </w:r>
      <w:r>
        <w:t xml:space="preserve">Iqbal alleges that after the September 11 attacks the FBI “arrested and detained thousands of Arab Muslim men,” Complaint ¶47, App. to Pet. for Cert. 164a, that many of these men were designated by high-ranking FBI officials as being “'of high interest,’”</w:t>
      </w:r>
      <w:r>
        <w:t xml:space="preserve"> </w:t>
      </w:r>
      <w:r>
        <w:rPr>
          <w:iCs/>
          <w:i/>
        </w:rPr>
        <w:t xml:space="preserve">id.,</w:t>
      </w:r>
      <w:r>
        <w:t xml:space="preserve"> </w:t>
      </w:r>
      <w:r>
        <w:t xml:space="preserve">¶¶48, 50, at 164a, and that in many cases, including Iqbal’s, this designation was made “because of the race, religion, and national origin of the detainees, and not because of any evidence of the detainees’ involvement in supporting terrorist activity,”</w:t>
      </w:r>
      <w:r>
        <w:t xml:space="preserve"> </w:t>
      </w:r>
      <w:r>
        <w:rPr>
          <w:iCs/>
          <w:i/>
        </w:rPr>
        <w:t xml:space="preserve">id.,</w:t>
      </w:r>
      <w:r>
        <w:t xml:space="preserve"> </w:t>
      </w:r>
      <w:r>
        <w:t xml:space="preserve">¶49, at 164a. The complaint further alleges that Ashcroft was the “principal architect of the policies and practices challenged,”</w:t>
      </w:r>
      <w:r>
        <w:t xml:space="preserve"> </w:t>
      </w:r>
      <w:r>
        <w:rPr>
          <w:iCs/>
          <w:i/>
        </w:rPr>
        <w:t xml:space="preserve">id.,</w:t>
      </w:r>
      <w:r>
        <w:t xml:space="preserve"> </w:t>
      </w:r>
      <w:r>
        <w:t xml:space="preserve">¶ 10, at 157a, and that Mueller “was instrumental in the adoption, promulgation, and implementation of the policies and practices challenged,”</w:t>
      </w:r>
      <w:r>
        <w:t xml:space="preserve"> </w:t>
      </w:r>
      <w:r>
        <w:rPr>
          <w:iCs/>
          <w:i/>
        </w:rPr>
        <w:t xml:space="preserve">id.,</w:t>
      </w:r>
      <w:r>
        <w:t xml:space="preserve"> </w:t>
      </w:r>
      <w:r>
        <w:t xml:space="preserve">¶ 11, at 157a. According to the complaint, Ashcroft and Mueller “knew of, condoned, and willfully and maliciously agreed to subject [Iqbal] to these conditions of confinement as a matter of policy, solely on account of [his] religion, race, and/or national origin and for no legitimate penological interest.”</w:t>
      </w:r>
      <w:r>
        <w:t xml:space="preserve"> </w:t>
      </w:r>
      <w:r>
        <w:rPr>
          <w:iCs/>
          <w:i/>
        </w:rPr>
        <w:t xml:space="preserve">Id.,</w:t>
      </w:r>
      <w:r>
        <w:t xml:space="preserve"> </w:t>
      </w:r>
      <w:r>
        <w:t xml:space="preserve">¶ 96, at 172a-173a. The complaint thus alleges, at a bare minimum, that Ashcroft and Mueller knew of and condoned the discriminatory policy their subordinates carried out. Actually, the complaint goes further in alleging that Ashcroft and Mueller affirmatively acted to create the discriminatory detention policy. If these factual allegations are true, Ashcroft and Mueller were, at the very least, aware of the discriminatory policy being implemented and deliberately indifferent to it.</w:t>
      </w:r>
    </w:p>
    <w:p>
      <w:pPr>
        <w:pStyle w:val="CaseBody"/>
      </w:pPr>
      <w:r>
        <w:t xml:space="preserve">Ashcroft and Mueller argue that these allegations fail to satisfy the “plausibility standard” of</w:t>
      </w:r>
      <w:r>
        <w:t xml:space="preserve"> </w:t>
      </w:r>
      <w:r>
        <w:rPr>
          <w:iCs/>
          <w:i/>
        </w:rPr>
        <w:t xml:space="preserve">Twombly.</w:t>
      </w:r>
      <w:r>
        <w:t xml:space="preserve"> </w:t>
      </w:r>
      <w:r>
        <w:t xml:space="preserve">They contend that Iqbal’s claims are implausible because such high-ranking officials “tend not to be personally involved in the specific actions of lower-level officers down the bureaucratic chain of command.” Brief for Petitioners 28. But this response bespeaks a fundamental misunderstanding of the enquiry that</w:t>
      </w:r>
      <w:r>
        <w:t xml:space="preserve"> </w:t>
      </w:r>
      <w:r>
        <w:rPr>
          <w:iCs/>
          <w:i/>
        </w:rPr>
        <w:t xml:space="preserve">Twombly</w:t>
      </w:r>
      <w:r>
        <w:t xml:space="preserve"> </w:t>
      </w:r>
      <w:r>
        <w:t xml:space="preserve">demands.</w:t>
      </w:r>
      <w:r>
        <w:t xml:space="preserve"> </w:t>
      </w:r>
      <w:r>
        <w:rPr>
          <w:iCs/>
          <w:i/>
        </w:rPr>
        <w:t xml:space="preserve">Twombly</w:t>
      </w:r>
      <w:r>
        <w:t xml:space="preserve"> </w:t>
      </w:r>
      <w:r>
        <w:t xml:space="preserve">does not require a court at the motion-to-dismiss stage to consider whether the factual allegations are probably true. We made it clear, on the contrary, that a court must take the allegations as true, no matter how skeptical the court may be.</w:t>
      </w:r>
      <w:r>
        <w:t xml:space="preserve"> </w:t>
      </w:r>
      <w:r>
        <w:rPr>
          <w:rStyle w:val="Elision"/>
        </w:rPr>
        <w:t xml:space="preserve">[ … ]</w:t>
      </w:r>
      <w:r>
        <w:t xml:space="preserve">. The sole exception to this rule lies with allegations that are sufficiently fantastic to defy reality as we know it: claims about little green men, or the plaintiff’s recent trip to Pluto, or experiences in time travel. That is not what we have here.</w:t>
      </w:r>
    </w:p>
    <w:p>
      <w:pPr>
        <w:pStyle w:val="CaseBody"/>
      </w:pPr>
      <w:r>
        <w:t xml:space="preserve">Under</w:t>
      </w:r>
      <w:r>
        <w:t xml:space="preserve"> </w:t>
      </w:r>
      <w:r>
        <w:rPr>
          <w:iCs/>
          <w:i/>
        </w:rPr>
        <w:t xml:space="preserve">Twombly,</w:t>
      </w:r>
      <w:r>
        <w:t xml:space="preserve"> </w:t>
      </w:r>
      <w:r>
        <w:t xml:space="preserve">the relevant question is whether, assuming the factual allegations are true, the plaintiff has stated a ground for relief that is plausible. That is, in</w:t>
      </w:r>
      <w:r>
        <w:t xml:space="preserve"> </w:t>
      </w:r>
      <w:r>
        <w:rPr>
          <w:iCs/>
          <w:i/>
        </w:rPr>
        <w:t xml:space="preserve">Twombly’s</w:t>
      </w:r>
      <w:r>
        <w:t xml:space="preserve"> </w:t>
      </w:r>
      <w:r>
        <w:t xml:space="preserve">words, a plaintiff must “allege facts” that, taken as true, are “suggestive of illegal conduct.”</w:t>
      </w:r>
      <w:r>
        <w:t xml:space="preserve"> </w:t>
      </w:r>
      <w:r>
        <w:rPr>
          <w:rStyle w:val="Elision"/>
        </w:rPr>
        <w:t xml:space="preserve">[ … ]</w:t>
      </w:r>
      <w:r>
        <w:t xml:space="preserve">. In</w:t>
      </w:r>
      <w:r>
        <w:t xml:space="preserve"> </w:t>
      </w:r>
      <w:r>
        <w:rPr>
          <w:iCs/>
          <w:i/>
        </w:rPr>
        <w:t xml:space="preserve">Twombly,</w:t>
      </w:r>
      <w:r>
        <w:t xml:space="preserve"> </w:t>
      </w:r>
      <w:r>
        <w:t xml:space="preserve">we were faced with allegations of a conspiracy to violate §1 of the Sherman Act through parallel conduct. The difficulty was that the conduct alleged was “consistent with conspiracy, but just as much in line with a wide swath of rational and competitive business strategy unilaterally prompted by common perceptions of the market.”</w:t>
      </w:r>
      <w:r>
        <w:t xml:space="preserve"> </w:t>
      </w:r>
      <w:r>
        <w:rPr>
          <w:rStyle w:val="Elision"/>
        </w:rPr>
        <w:t xml:space="preserve">[ … ]</w:t>
      </w:r>
      <w:r>
        <w:t xml:space="preserve"> </w:t>
      </w:r>
      <w:r>
        <w:t xml:space="preserve">We held that in that sort of circumstance, “[a]n allegation of parallel conduct is ... much like a naked assertion of conspiracy in a § 1 complaint: it gets the complaint close to stating a claim, but without some further factual enhancement it stops short of the line between possibility and plausibility of ‘entitlement to relief.’ ”</w:t>
      </w:r>
      <w:r>
        <w:t xml:space="preserve"> </w:t>
      </w:r>
      <w:r>
        <w:rPr>
          <w:iCs/>
          <w:i/>
        </w:rPr>
        <w:t xml:space="preserve">Id.,</w:t>
      </w:r>
      <w:r>
        <w:t xml:space="preserve"> </w:t>
      </w:r>
      <w:r>
        <w:t xml:space="preserve">at 557 (brackets omitted). Here, by contrast, the allegations in the complaint are neither confined to naked legal conclusions nor consistent with legal conduct. The complaint alleges that FBI officials discriminated against Iqbal solely on account of his race, religion, and national origin, and it alleges the knowledge and deliberate indifference that, by Ashcroft and Mueller’s own admission, are sufficient to make them liable for the illegal action. Iqbal’s complaint therefore contains “enough facts to state a claim to relief that is plausible on its face.”</w:t>
      </w:r>
      <w:r>
        <w:t xml:space="preserve"> </w:t>
      </w:r>
      <w:r>
        <w:rPr>
          <w:iCs/>
          <w:i/>
        </w:rPr>
        <w:t xml:space="preserve">Id.,</w:t>
      </w:r>
      <w:r>
        <w:t xml:space="preserve"> </w:t>
      </w:r>
      <w:r>
        <w:t xml:space="preserve">at 570.</w:t>
      </w:r>
    </w:p>
    <w:p>
      <w:pPr>
        <w:pStyle w:val="CaseBody"/>
      </w:pPr>
      <w:r>
        <w:t xml:space="preserve">I do not understand the majority to disagree with this understanding of “plausibility” under</w:t>
      </w:r>
      <w:r>
        <w:t xml:space="preserve"> </w:t>
      </w:r>
      <w:r>
        <w:rPr>
          <w:iCs/>
          <w:i/>
        </w:rPr>
        <w:t xml:space="preserve">Twombly.</w:t>
      </w:r>
      <w:r>
        <w:t xml:space="preserve"> </w:t>
      </w:r>
      <w:r>
        <w:t xml:space="preserve">Rather, the majority discards the allegations discussed above with regard to Ashcroft and Mueller as conclusory, and is left considering only two statements in the complaint: that “the [FBI], under the direction of Defendant MUELLER, arrested and detained thousands of Arab Muslim men ... as part of its investigation of the events of September 11,” Complaint ¶ 47, App. to Pet. for Cert. 164a, and that “[t]he policy of holding post-September-llth detainees in highly restrictive conditions of confinement until they were ‘cleared’ by the FBI was approved by Defendants ASHCROFT and MUELLER in discussions in the weeks after September 11, 2001,”</w:t>
      </w:r>
      <w:r>
        <w:t xml:space="preserve"> </w:t>
      </w:r>
      <w:r>
        <w:rPr>
          <w:iCs/>
          <w:i/>
        </w:rPr>
        <w:t xml:space="preserve">id.,</w:t>
      </w:r>
      <w:r>
        <w:t xml:space="preserve"> </w:t>
      </w:r>
      <w:r>
        <w:t xml:space="preserve">¶ 69, at 168a. See</w:t>
      </w:r>
      <w:r>
        <w:t xml:space="preserve"> </w:t>
      </w:r>
      <w:r>
        <w:rPr>
          <w:iCs/>
          <w:i/>
        </w:rPr>
        <w:t xml:space="preserve">ante,</w:t>
      </w:r>
      <w:r>
        <w:t xml:space="preserve"> </w:t>
      </w:r>
      <w:r>
        <w:t xml:space="preserve">at 681. I think the majority is right in saying that these allegations suggest only that Ashcroft and Mueller “sought to keep suspected terrorists in the most secure conditions available until the suspects could be cleared of terrorist activity,”</w:t>
      </w:r>
      <w:r>
        <w:t xml:space="preserve"> </w:t>
      </w:r>
      <w:r>
        <w:rPr>
          <w:iCs/>
          <w:i/>
        </w:rPr>
        <w:t xml:space="preserve">ante,</w:t>
      </w:r>
      <w:r>
        <w:t xml:space="preserve"> </w:t>
      </w:r>
      <w:r>
        <w:t xml:space="preserve">at 683, and that this produced “a disparate, incidental impact on Arab Muslims,”</w:t>
      </w:r>
      <w:r>
        <w:t xml:space="preserve"> </w:t>
      </w:r>
      <w:r>
        <w:rPr>
          <w:iCs/>
          <w:i/>
        </w:rPr>
        <w:t xml:space="preserve">ante,</w:t>
      </w:r>
      <w:r>
        <w:t xml:space="preserve"> </w:t>
      </w:r>
      <w:r>
        <w:t xml:space="preserve">at 682. And I agree that the two allegations selected by the majority, standing alone, do not state a plausible entitlement to relief for unconstitutional discrimination.</w:t>
      </w:r>
    </w:p>
    <w:p>
      <w:pPr>
        <w:pStyle w:val="CaseBody"/>
      </w:pPr>
      <w:r>
        <w:t xml:space="preserve">But these allegations do not stand alone as the only significant, nonconclusory statements in the complaint, for the complaint contains many allegations linking Ashcroft and Mueller to the discriminatory practices of their subordinates. See Complaint ¶ 10, App. to Pet. for Cert. 157a (Ashcroft was the “principal architect” of the discriminatory policy);</w:t>
      </w:r>
      <w:r>
        <w:t xml:space="preserve"> </w:t>
      </w:r>
      <w:r>
        <w:rPr>
          <w:iCs/>
          <w:i/>
        </w:rPr>
        <w:t xml:space="preserve">id.,</w:t>
      </w:r>
      <w:r>
        <w:t xml:space="preserve"> </w:t>
      </w:r>
      <w:r>
        <w:t xml:space="preserve">¶ 11, at 157a (Mueller was “instrumental’ in adopting and executing the discriminatory policy);</w:t>
      </w:r>
      <w:r>
        <w:t xml:space="preserve"> </w:t>
      </w:r>
      <w:r>
        <w:rPr>
          <w:iCs/>
          <w:i/>
        </w:rPr>
        <w:t xml:space="preserve">id.,</w:t>
      </w:r>
      <w:r>
        <w:t xml:space="preserve"> </w:t>
      </w:r>
      <w:r>
        <w:t xml:space="preserve">¶ 96, at 172a-173a (Ashcroft and Mueller “knew of, condoned, and willfully and maliciously agreed to subject” Iqbal to harsh conditions “as a matter of policy, solely on account of [his] religion, race, and/or national origin and for no legitimate penological interest”).</w:t>
      </w:r>
    </w:p>
    <w:p>
      <w:pPr>
        <w:pStyle w:val="CaseBody"/>
      </w:pPr>
      <w:r>
        <w:t xml:space="preserve">The majority says that these are “bare assertions” that, “much like the pleading of conspiracy in</w:t>
      </w:r>
      <w:r>
        <w:t xml:space="preserve"> </w:t>
      </w:r>
      <w:r>
        <w:rPr>
          <w:iCs/>
          <w:i/>
        </w:rPr>
        <w:t xml:space="preserve">Twombly,</w:t>
      </w:r>
      <w:r>
        <w:t xml:space="preserve"> </w:t>
      </w:r>
      <w:r>
        <w:t xml:space="preserve">amount to nothing more than a ‘formulaic recitation of the elements’ of a constitutional discrimination claim” and therefore are “not entitled to be assumed true.”</w:t>
      </w:r>
      <w:r>
        <w:t xml:space="preserve"> </w:t>
      </w:r>
      <w:r>
        <w:rPr>
          <w:iCs/>
          <w:i/>
        </w:rPr>
        <w:t xml:space="preserve">Ante,</w:t>
      </w:r>
      <w:r>
        <w:t xml:space="preserve"> </w:t>
      </w:r>
      <w:r>
        <w:t xml:space="preserve">at 681 (quoting</w:t>
      </w:r>
      <w:r>
        <w:t xml:space="preserve"> </w:t>
      </w:r>
      <w:r>
        <w:rPr>
          <w:iCs/>
          <w:i/>
        </w:rPr>
        <w:t xml:space="preserve">Twombly, supra,</w:t>
      </w:r>
      <w:r>
        <w:t xml:space="preserve"> </w:t>
      </w:r>
      <w:r>
        <w:t xml:space="preserve">at 555). The fallacy of the majority’s position, however, lies in looking at the relevant assertions in isolation. The complaint contains specific allegations that, in the aftermath of the September 11 attacks, the Chief of the FBI’s International Terrorism Operations Section and the Assistant Special Agent in Charge for the FBI’s New York Field Office implemented a policy that discriminated against Arab Muslim men, including Iqbal, solely on account of their race, religion, or national origin. See Complaint ¶¶ 47-53,</w:t>
      </w:r>
      <w:r>
        <w:t xml:space="preserve"> </w:t>
      </w:r>
      <w:r>
        <w:rPr>
          <w:iCs/>
          <w:i/>
        </w:rPr>
        <w:t xml:space="preserve">supra,</w:t>
      </w:r>
      <w:r>
        <w:t xml:space="preserve"> </w:t>
      </w:r>
      <w:r>
        <w:t xml:space="preserve">at 164a-165a. Viewed in light of these subsidiary allegations, the allegations singled out by the majority as “eonclusory” are no such thing. Iqbal’s claim is not that Ashcroft and Mueller “knew of, condoned, and willfully and maliciously agreed to subject” him to a discriminatory practice that is left undefined; his allegation is that “they knew of, condoned, and willfully and maliciously agreed to subject” him to a particular, discrete, discriminatory policy detailed in the complaint. Iqbal does not say merely that Ashcroft was the architect of some amorphous discrimination, or that Mueller was instrumental in an ill-defined constitutional violation; he alleges that they helped to create the discriminatory policy he has described. Taking the complaint as a whole, it gives Ashcroft and Mueller “ ‘fair notice of what the . . . claim is and the grounds upon which it rests.’”</w:t>
      </w:r>
      <w:r>
        <w:t xml:space="preserve"> </w:t>
      </w:r>
      <w:r>
        <w:rPr>
          <w:iCs/>
          <w:i/>
        </w:rPr>
        <w:t xml:space="preserve">Twombly,</w:t>
      </w:r>
      <w:r>
        <w:t xml:space="preserve"> </w:t>
      </w:r>
      <w:r>
        <w:t xml:space="preserve">550 U. S., at 555 (quoting</w:t>
      </w:r>
      <w:r>
        <w:t xml:space="preserve"> </w:t>
      </w:r>
      <w:r>
        <w:rPr>
          <w:iCs/>
          <w:i/>
        </w:rPr>
        <w:t xml:space="preserve">Conley</w:t>
      </w:r>
      <w:r>
        <w:t xml:space="preserve"> </w:t>
      </w:r>
      <w:r>
        <w:t xml:space="preserve">v.</w:t>
      </w:r>
      <w:r>
        <w:t xml:space="preserve"> </w:t>
      </w:r>
      <w:r>
        <w:rPr>
          <w:iCs/>
          <w:i/>
        </w:rPr>
        <w:t xml:space="preserve">Gibson,</w:t>
      </w:r>
      <w:r>
        <w:t xml:space="preserve"> </w:t>
      </w:r>
      <w:r>
        <w:t xml:space="preserve">355 U. S. 41, 47 (1957) (omission in original)).</w:t>
      </w:r>
    </w:p>
    <w:p>
      <w:pPr>
        <w:pStyle w:val="CaseBody"/>
      </w:pPr>
      <w:r>
        <w:t xml:space="preserve">That aside, the majority’s holding that the statements it selects are conclusory cannot be squared with its treatment of certain other allegations in the complaint as noneonclusory. For example, the majority takes as true the statement that “[t]he policy of holding post-September-11th detainees in highly restrictive conditions of confinement until they were ‘cleared’ by the FBI was approved by Defendants ASHCROFT and MUELLER in discussions in the weeks after September 11, 2001.” Complaint ¶ 69,</w:t>
      </w:r>
      <w:r>
        <w:t xml:space="preserve"> </w:t>
      </w:r>
      <w:r>
        <w:rPr>
          <w:iCs/>
          <w:i/>
        </w:rPr>
        <w:t xml:space="preserve">supra,</w:t>
      </w:r>
      <w:r>
        <w:t xml:space="preserve"> </w:t>
      </w:r>
      <w:r>
        <w:t xml:space="preserve">at 168a; see</w:t>
      </w:r>
      <w:r>
        <w:t xml:space="preserve"> </w:t>
      </w:r>
      <w:r>
        <w:rPr>
          <w:iCs/>
          <w:i/>
        </w:rPr>
        <w:t xml:space="preserve">ante,</w:t>
      </w:r>
      <w:r>
        <w:t xml:space="preserve"> </w:t>
      </w:r>
      <w:r>
        <w:t xml:space="preserve">at 681. This statement makes two points: (1) after September 11, the FBI held certain detainees in highly restrictive conditions, and (2) Ashcroft and Mueller discussed and approved these conditions. If, as the majority says, these allegations are not conclusory, then I cannot see why the majority deems it merely conclusory when Iqbal alleges that (1) after September 11, the FBI designated Arab Muslim detainees as being of “ ‘high interest’ ” “because of the race, religion, and national origin of the detainees, and not because of any evidence of the detainees’ involvement in supporting terrorist activity,” Complaint ¶¶ 48-50, App. to Pet. for Cert. 164a, and (2) Ashcroft and Mueller “knew of, condoned, and willfully and maliciously agreed” to that discrimination,</w:t>
      </w:r>
      <w:r>
        <w:t xml:space="preserve"> </w:t>
      </w:r>
      <w:r>
        <w:rPr>
          <w:iCs/>
          <w:i/>
        </w:rPr>
        <w:t xml:space="preserve">id.,</w:t>
      </w:r>
      <w:r>
        <w:t xml:space="preserve"> </w:t>
      </w:r>
      <w:r>
        <w:t xml:space="preserve">¶ 96, at 172a. By my lights, there is no principled basis for the majority’s disregard of the allegations linking Ashcroft and Mueller to their subordinates’ discrimination.</w:t>
      </w:r>
    </w:p>
    <w:p>
      <w:pPr>
        <w:pStyle w:val="CaseBody"/>
      </w:pPr>
      <w:r>
        <w:t xml:space="preserve">I respectfully dissent.</w:t>
      </w:r>
    </w:p>
    <w:p>
      <w:pPr>
        <w:pStyle w:val="CaseBody"/>
      </w:pPr>
      <w:r>
        <w:t xml:space="preserve">Justice Breyer,</w:t>
      </w:r>
    </w:p>
    <w:p>
      <w:pPr>
        <w:pStyle w:val="CaseBody"/>
      </w:pPr>
      <w:r>
        <w:t xml:space="preserve">dissenting.</w:t>
      </w:r>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138" w:name="_auto_toc_138"/>
    <w:bookmarkEnd w:id="138"/>
    <w:p>
      <w:pPr>
        <w:pStyle w:val="ResourceNumber"/>
      </w:pPr>
      <w:r>
        <w:t xml:space="preserve">11.13</w:t>
      </w:r>
    </w:p>
    <w:p>
      <w:pPr>
        <w:pStyle w:val="ResourceTitle"/>
      </w:pPr>
      <w:r>
        <w:t xml:space="preserve">Notes following Iqbal</w:t>
      </w:r>
    </w:p>
    <w:p>
      <w:pPr>
        <w:pStyle w:val="HeadEnd"/>
      </w:pPr>
      <w:r>
        <w:t xml:space="preserve"> </w:t>
      </w:r>
    </w:p>
    <w:p>
      <w:pPr>
        <w:numPr>
          <w:ilvl w:val="0"/>
          <w:numId w:val="1138"/>
        </w:numPr>
      </w:pPr>
      <w:r>
        <w:t xml:space="preserve">Under</w:t>
      </w:r>
      <w:r>
        <w:t xml:space="preserve"> </w:t>
      </w:r>
      <w:r>
        <w:rPr>
          <w:iCs/>
          <w:i/>
        </w:rPr>
        <w:t xml:space="preserve">Twombly</w:t>
      </w:r>
      <w:r>
        <w:t xml:space="preserve"> </w:t>
      </w:r>
      <w:r>
        <w:t xml:space="preserve">and</w:t>
      </w:r>
      <w:r>
        <w:t xml:space="preserve"> </w:t>
      </w:r>
      <w:r>
        <w:rPr>
          <w:iCs/>
          <w:i/>
        </w:rPr>
        <w:t xml:space="preserve">Iqbal</w:t>
      </w:r>
      <w:r>
        <w:t xml:space="preserve">, what does a court presume to be true when deciding a motion to dismiss? What types of statements do not receive a presumption of truth? How does this “plausibility pleading” standard compare to notice and code pleading?</w:t>
      </w:r>
    </w:p>
    <w:p>
      <w:pPr>
        <w:numPr>
          <w:ilvl w:val="0"/>
          <w:numId w:val="1138"/>
        </w:numPr>
      </w:pPr>
      <w:r>
        <w:t xml:space="preserve">Why was the allegation that defendants “knew of, condoned, and willfully and maliciously agreed” to the violation of Iqbal’s constitutional rights considered conclusory? What facts could Iqbal have alleged that would have gained him the presumption of truth?</w:t>
      </w:r>
    </w:p>
    <w:p>
      <w:pPr>
        <w:numPr>
          <w:ilvl w:val="0"/>
          <w:numId w:val="1138"/>
        </w:numPr>
      </w:pPr>
      <w:r>
        <w:t xml:space="preserve">The original FRCP included an Appendix of Forms, which were intended to help guide plaintiffs in alleging required facts. The forms (and Rule 84, which they accompanied) were abrogated in 2015, though this abrogation was not meant to alter pleading standards. Read abrogated Form 11.  Under Rule 84 (which was repealed after</w:t>
      </w:r>
      <w:r>
        <w:t xml:space="preserve"> </w:t>
      </w:r>
      <w:r>
        <w:rPr>
          <w:iCs/>
          <w:i/>
        </w:rPr>
        <w:t xml:space="preserve">Iqbal)</w:t>
      </w:r>
      <w:r>
        <w:t xml:space="preserve">, Form 11 was sufficient to state a claim.  Would the allegations in Form 11 survive plausibility pleading?</w:t>
      </w:r>
    </w:p>
    <w:p>
      <w:pPr>
        <w:numPr>
          <w:ilvl w:val="0"/>
          <w:numId w:val="1138"/>
        </w:numPr>
      </w:pPr>
      <w:r>
        <w:t xml:space="preserve">Consider the following passage: “Twombly and Iqbal both ignore the problem of information asymmetry. In many contemporary litigation contexts, critical information, such as the formulation and testing of a pharmaceutical or the design and manufacture of other products, is entirely in the defendant's possession and unavailable to the plaintiff. One can understand requiring a plaintiff to plead what he or she knows or could know with reasonable effort--in many situations, of course, the plaintiff does not know what happened to him--but it is futile and a bit absurd to tell someone to plead what he or she does not know and cannot access. We no longer live in the simple, long-past world that enabled a buyer to appraise the strengths and weaknesses of products, such as an oxcart or plough, at the time of purchase. The average consumer or investor (and even many sophisticated ones) knows very little (indeed, probably nothing) about the formulation or pharmacology of a pill, the hardware of a computer, or the underlying details of a financial transaction, and has little or no realistic ability to investigate these matters. Discovery was designed to provide each side with the ability to obtain relevant information that otherwise was beyond their reach so that the litigation playing field would be level, settlements would be informed, and meaningful trials would be possible.” Arthur R. Miller, Simplified Pleading, Meaningful Days in Court, and Trials on the Merits: Reflections on the Deformation of Federal Procedure, 88 N.Y.U.L. Rev. 286, 340-41 (2013).</w:t>
      </w:r>
    </w:p>
    <w:p>
      <w:pPr>
        <w:numPr>
          <w:ilvl w:val="0"/>
          <w:numId w:val="1138"/>
        </w:numPr>
      </w:pPr>
      <w:r>
        <w:t xml:space="preserve">In</w:t>
      </w:r>
      <w:r>
        <w:t xml:space="preserve"> </w:t>
      </w:r>
      <w:r>
        <w:rPr>
          <w:iCs/>
          <w:i/>
        </w:rPr>
        <w:t xml:space="preserve">Ziglar v. Abbasi</w:t>
      </w:r>
      <w:r>
        <w:t xml:space="preserve">, 582 U.S. 120 (2017), the Supreme Court considered a complaint that alleged Muslim, South Asian, and Arab immigrants were unconstitutionally detained based on suspicions of terrorism. The Court allowed some of the plaintiffs to survive a motion to dismiss, stating that it was plausible that prison wardens were ignoring the conditions of confinement of some plaintiffs, based on reports by the Inspector General filed by the plaintiffs. Under</w:t>
      </w:r>
      <w:r>
        <w:t xml:space="preserve"> </w:t>
      </w:r>
      <w:r>
        <w:rPr>
          <w:iCs/>
          <w:i/>
        </w:rPr>
        <w:t xml:space="preserve">Iqbal</w:t>
      </w:r>
      <w:r>
        <w:t xml:space="preserve">, without the additional evidence, what would have happened to the complaints?</w:t>
      </w:r>
    </w:p>
    <w:p>
      <w:pPr>
        <w:numPr>
          <w:ilvl w:val="0"/>
          <w:numId w:val="1138"/>
        </w:numPr>
      </w:pPr>
      <w:r>
        <w:t xml:space="preserve">In</w:t>
      </w:r>
      <w:r>
        <w:t xml:space="preserve"> </w:t>
      </w:r>
      <w:r>
        <w:rPr>
          <w:iCs/>
          <w:i/>
        </w:rPr>
        <w:t xml:space="preserve">Twombly</w:t>
      </w:r>
      <w:r>
        <w:t xml:space="preserve"> </w:t>
      </w:r>
      <w:r>
        <w:t xml:space="preserve">and</w:t>
      </w:r>
      <w:r>
        <w:t xml:space="preserve"> </w:t>
      </w:r>
      <w:r>
        <w:rPr>
          <w:iCs/>
          <w:i/>
        </w:rPr>
        <w:t xml:space="preserve">Iqbal</w:t>
      </w:r>
      <w:r>
        <w:t xml:space="preserve">, the Court stated that the plausibility requirement is not the same as a probability requirement, but requires more than mere possibility. One commenter noted that “[w]e are left with a sort of goldilocks approach: probability (too much); possibility (too little); plausibility (just right).” Edward D. Cavanagh, Making Sense of Twombly, 63 S.C.L. Rev 97, 112 (2011). What are your thoughts on the distinction between probability, plausibility, and possibility?</w:t>
      </w:r>
    </w:p>
    <w:p>
      <w:pPr>
        <w:numPr>
          <w:ilvl w:val="0"/>
          <w:numId w:val="1138"/>
        </w:numPr>
      </w:pPr>
      <w:r>
        <w:t xml:space="preserve">Does</w:t>
      </w:r>
      <w:r>
        <w:t xml:space="preserve"> </w:t>
      </w:r>
      <w:r>
        <w:rPr>
          <w:iCs/>
          <w:i/>
        </w:rPr>
        <w:t xml:space="preserve">Iqbal</w:t>
      </w:r>
      <w:r>
        <w:t xml:space="preserve"> </w:t>
      </w:r>
      <w:r>
        <w:t xml:space="preserve">make the pleading standard claim-specific? Would this violate Rule 1? Does</w:t>
      </w:r>
      <w:r>
        <w:t xml:space="preserve"> </w:t>
      </w:r>
      <w:r>
        <w:rPr>
          <w:iCs/>
          <w:i/>
        </w:rPr>
        <w:t xml:space="preserve">Iqbal</w:t>
      </w:r>
      <w:r>
        <w:t xml:space="preserve"> </w:t>
      </w:r>
      <w:r>
        <w:t xml:space="preserve">make the pleading standard dependent on a specific judge’s expertise? How might this affect forum shopping?</w:t>
      </w:r>
    </w:p>
    <w:p>
      <w:pPr>
        <w:numPr>
          <w:ilvl w:val="0"/>
          <w:numId w:val="1138"/>
        </w:numPr>
      </w:pPr>
      <w:r>
        <w:t xml:space="preserve">In some European countries, the civil legal system requires the pleader to allege specific facts that would prove the claim with a high degree of particularity. Does</w:t>
      </w:r>
      <w:r>
        <w:t xml:space="preserve"> </w:t>
      </w:r>
      <w:r>
        <w:rPr>
          <w:iCs/>
          <w:i/>
        </w:rPr>
        <w:t xml:space="preserve">Iqbal</w:t>
      </w:r>
      <w:r>
        <w:t xml:space="preserve"> </w:t>
      </w:r>
      <w:r>
        <w:t xml:space="preserve">bring the U.S. closer to those standards?</w:t>
      </w:r>
    </w:p>
    <w:p>
      <w:pPr>
        <w:numPr>
          <w:ilvl w:val="0"/>
          <w:numId w:val="1138"/>
        </w:numPr>
      </w:pPr>
      <w:r>
        <w:t xml:space="preserve">Some studies have found that</w:t>
      </w:r>
      <w:r>
        <w:t xml:space="preserve"> </w:t>
      </w:r>
      <w:r>
        <w:rPr>
          <w:iCs/>
          <w:i/>
        </w:rPr>
        <w:t xml:space="preserve">Twombly</w:t>
      </w:r>
      <w:r>
        <w:t xml:space="preserve"> </w:t>
      </w:r>
      <w:r>
        <w:t xml:space="preserve">and</w:t>
      </w:r>
      <w:r>
        <w:t xml:space="preserve"> </w:t>
      </w:r>
      <w:r>
        <w:rPr>
          <w:iCs/>
          <w:i/>
        </w:rPr>
        <w:t xml:space="preserve">Iqbal</w:t>
      </w:r>
      <w:r>
        <w:t xml:space="preserve"> </w:t>
      </w:r>
      <w:r>
        <w:t xml:space="preserve">have increased dismissal rates, especially in lawsuits filed by prisoners. See, e.g., Scott Dodson, A New Look: Dismissal Rates of Federal Civil Claims, 9 Judicature 127 (2012). Others have found the opposite.  All of these studies are of questionable value.  Among other things, lawyers and litigants may change their minds about which complaints to file in response to Supreme Court decisions that alter pleading standards.</w:t>
      </w:r>
    </w:p>
    <w:p>
      <w:pPr>
        <w:numPr>
          <w:ilvl w:val="0"/>
          <w:numId w:val="1138"/>
        </w:numPr>
      </w:pPr>
      <w:r>
        <w:t xml:space="preserve">Some state courts with rules of civil procedure nearly identical to FRCP 8 and 12 have declined to adopt the</w:t>
      </w:r>
      <w:r>
        <w:t xml:space="preserve"> </w:t>
      </w:r>
      <w:r>
        <w:rPr>
          <w:iCs/>
          <w:i/>
        </w:rPr>
        <w:t xml:space="preserve">Twombly/Iqbal</w:t>
      </w:r>
      <w:r>
        <w:t xml:space="preserve"> </w:t>
      </w:r>
      <w:r>
        <w:t xml:space="preserve">pleading standards. Should federal courts sitting in diversity adopt a state pleading standard?</w:t>
      </w:r>
    </w:p>
    <w:p>
      <w:pPr>
        <w:pStyle w:val="NodeEnd"/>
      </w:pPr>
      <w:r>
        <w:t xml:space="preserve"> </w:t>
      </w:r>
    </w:p>
    <w:p>
      <w:pPr>
        <w:pStyle w:val="NodeStart"/>
      </w:pPr>
      <w:r>
        <w:t xml:space="preserve"> </w:t>
      </w:r>
    </w:p>
    <w:p>
      <w:pPr>
        <w:pStyle w:val="HeadSeparator"/>
      </w:pPr>
      <w:r>
        <w:t xml:space="preserve"> </w:t>
      </w:r>
    </w:p>
    <w:bookmarkStart w:id="139" w:name="_auto_toc_139"/>
    <w:bookmarkEnd w:id="139"/>
    <w:p>
      <w:pPr>
        <w:pStyle w:val="ResourceNumber"/>
      </w:pPr>
      <w:r>
        <w:t xml:space="preserve">11.14</w:t>
      </w:r>
    </w:p>
    <w:p>
      <w:pPr>
        <w:pStyle w:val="ResourceTitle"/>
      </w:pPr>
      <w:r>
        <w:t xml:space="preserve">Complaint Practice Exercise</w:t>
      </w:r>
    </w:p>
    <w:p>
      <w:pPr>
        <w:pStyle w:val="HeadFieldSeparator"/>
      </w:pPr>
      <w:r>
        <w:t xml:space="preserve"> </w:t>
      </w:r>
    </w:p>
    <w:p>
      <w:pPr>
        <w:pStyle w:val="ResourceHeadnote"/>
      </w:pPr>
      <w:r>
        <w:t xml:space="preserve">This practice exercise provides an opportunity for you to test your understanding of the sufficiency of a complaint. The following text is a fictional complaint filed by a plaintiff in the United States District Court for the Southern District of New York. The fictional case is</w:t>
      </w:r>
      <w:r>
        <w:t xml:space="preserve"> </w:t>
      </w:r>
      <w:r>
        <w:rPr>
          <w:iCs/>
          <w:i/>
        </w:rPr>
        <w:t xml:space="preserve">Aybara v. Damodred</w:t>
      </w:r>
      <w:r>
        <w:t xml:space="preserve">.</w:t>
      </w:r>
    </w:p>
    <w:p>
      <w:pPr>
        <w:pStyle w:val="ResourceHeadnote"/>
      </w:pPr>
      <w:r>
        <w:t xml:space="preserve">After reading the text of the complaint, analyze its content to determine whether this complaint would meet the pleading standards that we have studied in this unit.</w:t>
      </w:r>
    </w:p>
    <w:p>
      <w:pPr>
        <w:pStyle w:val="HeadEnd"/>
      </w:pPr>
      <w:r>
        <w:t xml:space="preserve"> </w:t>
      </w:r>
    </w:p>
    <w:bookmarkStart w:id="207" w:name="aybara-v.-damodred"/>
    <w:p>
      <w:pPr>
        <w:pStyle w:val="Heading3"/>
      </w:pPr>
      <w:r>
        <w:rPr>
          <w:bCs/>
          <w:b/>
        </w:rPr>
        <w:t xml:space="preserve">Aybara v. Damodred</w:t>
      </w:r>
    </w:p>
    <w:p>
      <w:pPr>
        <w:pStyle w:val="FirstParagraph"/>
      </w:pPr>
      <w:r>
        <w:t xml:space="preserve">In the United States District Court for the Southern District of New York</w:t>
      </w:r>
    </w:p>
    <w:p>
      <w:pPr>
        <w:numPr>
          <w:ilvl w:val="0"/>
          <w:numId w:val="1139"/>
        </w:numPr>
      </w:pPr>
      <w:r>
        <w:t xml:space="preserve">This Court has subject matter jurisdiction under 28 U.S.C. section 1332.</w:t>
      </w:r>
    </w:p>
    <w:p>
      <w:pPr>
        <w:numPr>
          <w:ilvl w:val="0"/>
          <w:numId w:val="1139"/>
        </w:numPr>
      </w:pPr>
      <w:r>
        <w:t xml:space="preserve">Venue is proper under 28 U.S.C. section 1391.</w:t>
      </w:r>
    </w:p>
    <w:p>
      <w:pPr>
        <w:numPr>
          <w:ilvl w:val="0"/>
          <w:numId w:val="1139"/>
        </w:numPr>
      </w:pPr>
      <w:r>
        <w:t xml:space="preserve">Plaintiff Perrin Aybara is a domiciliary of Texas. Defendant Moiraine Damodred is a domiciliary of New York.</w:t>
      </w:r>
    </w:p>
    <w:p>
      <w:pPr>
        <w:numPr>
          <w:ilvl w:val="0"/>
          <w:numId w:val="1139"/>
        </w:numPr>
      </w:pPr>
      <w:r>
        <w:t xml:space="preserve">On November 1, 2023, Defendant sold Plaintiff a ticket for a bumper boat ride in a BustYourYouKnowWhatBumpers construct in Sacramento, CA.</w:t>
      </w:r>
    </w:p>
    <w:p>
      <w:pPr>
        <w:numPr>
          <w:ilvl w:val="0"/>
          <w:numId w:val="1139"/>
        </w:numPr>
      </w:pPr>
      <w:r>
        <w:t xml:space="preserve">Defendant did so despite knowing that she had received insufficient training on how to set up and operate the boats.</w:t>
      </w:r>
    </w:p>
    <w:p>
      <w:pPr>
        <w:numPr>
          <w:ilvl w:val="0"/>
          <w:numId w:val="1139"/>
        </w:numPr>
      </w:pPr>
      <w:r>
        <w:t xml:space="preserve">Plaintiff entered the ride in a boat that the Defendant set up. Defendant entered the ride in a separate boat that she also set up.</w:t>
      </w:r>
    </w:p>
    <w:p>
      <w:pPr>
        <w:numPr>
          <w:ilvl w:val="0"/>
          <w:numId w:val="1139"/>
        </w:numPr>
      </w:pPr>
      <w:r>
        <w:t xml:space="preserve">Plaintiff drove his boat safely and carefully at all times.</w:t>
      </w:r>
    </w:p>
    <w:p>
      <w:pPr>
        <w:numPr>
          <w:ilvl w:val="0"/>
          <w:numId w:val="1139"/>
        </w:numPr>
      </w:pPr>
      <w:r>
        <w:t xml:space="preserve">Despite Plaintiff’s safe driving, Plaintiff’s boat malfunctioned, causing an unexpectedly sharp turn.</w:t>
      </w:r>
    </w:p>
    <w:p>
      <w:pPr>
        <w:numPr>
          <w:ilvl w:val="0"/>
          <w:numId w:val="1139"/>
        </w:numPr>
      </w:pPr>
      <w:r>
        <w:t xml:space="preserve">The malfunction referred to in the previous paragraph caused Plaintiff to be thrown from the boat and into Defendant.</w:t>
      </w:r>
    </w:p>
    <w:p>
      <w:pPr>
        <w:numPr>
          <w:ilvl w:val="0"/>
          <w:numId w:val="1139"/>
        </w:numPr>
      </w:pPr>
      <w:r>
        <w:t xml:space="preserve">The resulting crash shattered multiple areas of Plaintiff’s wrist and arm, requiring extensive hospitalization and inflicting a great deal of pain.</w:t>
      </w:r>
    </w:p>
    <w:p>
      <w:pPr>
        <w:numPr>
          <w:ilvl w:val="0"/>
          <w:numId w:val="1139"/>
        </w:numPr>
      </w:pPr>
      <w:r>
        <w:t xml:space="preserve">Defendant’s conduct fell below the standard of ordinary care. Her negligent conduct caused Plaintiff’s injuries.</w:t>
      </w:r>
    </w:p>
    <w:p>
      <w:pPr>
        <w:numPr>
          <w:ilvl w:val="0"/>
          <w:numId w:val="1139"/>
        </w:numPr>
      </w:pPr>
      <w:r>
        <w:t xml:space="preserve">Wherefore Plaintiff prays that this Court award Plaintiff $400,000.00 in compensatory damages and such other relief as this Court shall deem proper.</w:t>
      </w:r>
    </w:p>
    <w:p>
      <w:pPr>
        <w:pStyle w:val="FirstParagraph"/>
      </w:pPr>
      <w:r>
        <w:t xml:space="preserve">[Signature]</w:t>
      </w:r>
    </w:p>
    <w:bookmarkEnd w:id="207"/>
    <w:p>
      <w:pPr>
        <w:pStyle w:val="NodeEnd"/>
      </w:pPr>
      <w:r>
        <w:t xml:space="preserve"> </w:t>
      </w:r>
    </w:p>
    <w:p>
      <w:pPr>
        <w:pStyle w:val="NodeStart"/>
      </w:pPr>
      <w:r>
        <w:t xml:space="preserve"> </w:t>
      </w:r>
    </w:p>
    <w:p>
      <w:pPr>
        <w:pStyle w:val="HeadSeparator"/>
      </w:pPr>
      <w:r>
        <w:t xml:space="preserve"> </w:t>
      </w:r>
    </w:p>
    <w:bookmarkStart w:id="140" w:name="_auto_toc_140"/>
    <w:bookmarkEnd w:id="140"/>
    <w:p>
      <w:pPr>
        <w:pStyle w:val="ResourceNumber"/>
      </w:pPr>
      <w:r>
        <w:t xml:space="preserve">11.15</w:t>
      </w:r>
    </w:p>
    <w:p>
      <w:pPr>
        <w:pStyle w:val="ResourceTitle"/>
      </w:pPr>
      <w:r>
        <w:t xml:space="preserve">Dismissal Order in Branham v. Dolgencourt and Denial of Injunction in Donald J. Trump for President, Inc. v. Secretary</w:t>
      </w:r>
    </w:p>
    <w:p>
      <w:pPr>
        <w:pStyle w:val="HeadEnd"/>
      </w:pPr>
      <w:r>
        <w:t xml:space="preserve"> </w:t>
      </w:r>
    </w:p>
    <w:p>
      <w:pPr>
        <w:pStyle w:val="BodyText"/>
      </w:pPr>
      <w:r>
        <w:t xml:space="preserve">The</w:t>
      </w:r>
      <w:r>
        <w:t xml:space="preserve"> </w:t>
      </w:r>
      <w:r>
        <w:rPr>
          <w:iCs/>
          <w:i/>
        </w:rPr>
        <w:t xml:space="preserve">Branham</w:t>
      </w:r>
      <w:r>
        <w:t xml:space="preserve"> </w:t>
      </w:r>
      <w:r>
        <w:t xml:space="preserve">dismissal order can be found</w:t>
      </w:r>
      <w:r>
        <w:t xml:space="preserve"> </w:t>
      </w:r>
      <w:hyperlink r:id="rId208">
        <w:r>
          <w:rPr>
            <w:rStyle w:val="Hyperlink"/>
          </w:rPr>
          <w:t xml:space="preserve">here</w:t>
        </w:r>
      </w:hyperlink>
      <w:r>
        <w:t xml:space="preserve"> </w:t>
      </w:r>
      <w:r>
        <w:t xml:space="preserve">(pdf). The</w:t>
      </w:r>
      <w:r>
        <w:t xml:space="preserve"> </w:t>
      </w:r>
      <w:r>
        <w:rPr>
          <w:iCs/>
          <w:i/>
        </w:rPr>
        <w:t xml:space="preserve">Trump</w:t>
      </w:r>
      <w:r>
        <w:t xml:space="preserve"> </w:t>
      </w:r>
      <w:r>
        <w:t xml:space="preserve">denial order can be found here:</w:t>
      </w:r>
      <w:r>
        <w:t xml:space="preserve"> </w:t>
      </w:r>
      <w:hyperlink r:id="rId209">
        <w:r>
          <w:rPr>
            <w:rStyle w:val="Hyperlink"/>
          </w:rPr>
          <w:t xml:space="preserve">203371np.pdf (uscourts.gov) (note that the pleading portion of the opinion occurs on pages 11-15, you can skip everything after page 15).</w:t>
        </w:r>
      </w:hyperlink>
    </w:p>
    <w:p>
      <w:pPr>
        <w:pStyle w:val="NodeEnd"/>
      </w:pPr>
      <w:r>
        <w:t xml:space="preserve"> </w:t>
      </w:r>
    </w:p>
    <w:p>
      <w:pPr>
        <w:pStyle w:val="NodeStart"/>
      </w:pPr>
      <w:r>
        <w:t xml:space="preserve"> </w:t>
      </w:r>
    </w:p>
    <w:p>
      <w:pPr>
        <w:pStyle w:val="HeadSeparator"/>
      </w:pPr>
      <w:r>
        <w:t xml:space="preserve"> </w:t>
      </w:r>
    </w:p>
    <w:bookmarkStart w:id="141" w:name="_auto_toc_141"/>
    <w:bookmarkEnd w:id="141"/>
    <w:p>
      <w:pPr>
        <w:pStyle w:val="ResourceNumber"/>
      </w:pPr>
      <w:r>
        <w:t xml:space="preserve">11.16</w:t>
      </w:r>
    </w:p>
    <w:p>
      <w:pPr>
        <w:pStyle w:val="ResourceTitle"/>
      </w:pPr>
      <w:r>
        <w:t xml:space="preserve">The Lost Story of Iqbal</w:t>
      </w:r>
    </w:p>
    <w:p>
      <w:pPr>
        <w:pStyle w:val="HeadFieldSeparator"/>
      </w:pPr>
      <w:r>
        <w:t xml:space="preserve"> </w:t>
      </w:r>
    </w:p>
    <w:p>
      <w:pPr>
        <w:pStyle w:val="ResourceHeadnote"/>
      </w:pPr>
      <w:r>
        <w:t xml:space="preserve">This reading is optional. It is only for those interested in learning more about the circumstances around the</w:t>
      </w:r>
      <w:r>
        <w:t xml:space="preserve"> </w:t>
      </w:r>
      <w:r>
        <w:rPr>
          <w:iCs/>
          <w:i/>
        </w:rPr>
        <w:t xml:space="preserve">Iqbal</w:t>
      </w:r>
      <w:r>
        <w:t xml:space="preserve"> </w:t>
      </w:r>
      <w:r>
        <w:t xml:space="preserve">decision. The excerpt is from "The Lost Story of</w:t>
      </w:r>
      <w:r>
        <w:t xml:space="preserve"> </w:t>
      </w:r>
      <w:r>
        <w:rPr>
          <w:iCs/>
          <w:i/>
        </w:rPr>
        <w:t xml:space="preserve">Iqbal"</w:t>
      </w:r>
      <w:r>
        <w:t xml:space="preserve"> </w:t>
      </w:r>
      <w:r>
        <w:t xml:space="preserve">by Professor Sinnar, found</w:t>
      </w:r>
      <w:r>
        <w:t xml:space="preserve"> </w:t>
      </w:r>
      <w:hyperlink r:id="rId210">
        <w:r>
          <w:rPr>
            <w:rStyle w:val="Hyperlink"/>
          </w:rPr>
          <w:t xml:space="preserve">here</w:t>
        </w:r>
      </w:hyperlink>
      <w:r>
        <w:t xml:space="preserve"> </w:t>
      </w:r>
      <w:r>
        <w:t xml:space="preserve">(pdf).</w:t>
      </w:r>
    </w:p>
    <w:p>
      <w:pPr>
        <w:pStyle w:val="HeadEnd"/>
      </w:pPr>
      <w:r>
        <w:t xml:space="preserve"> </w:t>
      </w:r>
    </w:p>
    <w:p>
      <w:pPr>
        <w:pStyle w:val="BodyText"/>
      </w:pPr>
      <w:r>
        <w:t xml:space="preserve">This article can be cited as: Shirin Sinnar, </w:t>
      </w:r>
      <w:r>
        <w:t xml:space="preserve">The Lost Story of </w:t>
      </w:r>
      <w:r>
        <w:rPr>
          <w:iCs/>
          <w:i/>
        </w:rPr>
        <w:t xml:space="preserve">Iqbal</w:t>
      </w:r>
      <w:r>
        <w:t xml:space="preserve">, 105 </w:t>
      </w:r>
      <w:r>
        <w:rPr>
          <w:bCs/>
          <w:b/>
        </w:rPr>
        <w:t xml:space="preserve">Geo. L.J.</w:t>
      </w:r>
      <w:r>
        <w:t xml:space="preserve"> </w:t>
      </w:r>
      <w:r>
        <w:t xml:space="preserve">378 (2017).</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142" w:name="_auto_toc_142"/>
    <w:bookmarkEnd w:id="142"/>
    <w:p>
      <w:pPr>
        <w:pStyle w:val="ChapterNumber"/>
      </w:pPr>
      <w:r>
        <w:t xml:space="preserve">12</w:t>
      </w:r>
    </w:p>
    <w:p>
      <w:pPr>
        <w:pStyle w:val="ChapterTitle"/>
      </w:pPr>
      <w:r>
        <w:t xml:space="preserve">Day 12</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143" w:name="_auto_toc_143"/>
    <w:bookmarkEnd w:id="143"/>
    <w:p>
      <w:pPr>
        <w:pStyle w:val="ResourceNumber"/>
      </w:pPr>
      <w:r>
        <w:t xml:space="preserve">12.1</w:t>
      </w:r>
    </w:p>
    <w:p>
      <w:pPr>
        <w:pStyle w:val="ResourceTitle"/>
      </w:pPr>
      <w:r>
        <w:t xml:space="preserve">Rules</w:t>
      </w:r>
    </w:p>
    <w:p>
      <w:pPr>
        <w:pStyle w:val="HeadFieldSeparator"/>
      </w:pPr>
      <w:r>
        <w:t xml:space="preserve"> </w:t>
      </w:r>
    </w:p>
    <w:p>
      <w:pPr>
        <w:pStyle w:val="ResourceHeadnote"/>
      </w:pPr>
      <w:r>
        <w:t xml:space="preserve">Read the following Federal Rules of Civil Procedure. You can access them via the internet or the supplemental handout provided on Canvas.</w:t>
      </w:r>
    </w:p>
    <w:p>
      <w:pPr>
        <w:pStyle w:val="HeadEnd"/>
      </w:pPr>
      <w:r>
        <w:t xml:space="preserve"> </w:t>
      </w:r>
    </w:p>
    <w:p>
      <w:pPr>
        <w:numPr>
          <w:ilvl w:val="0"/>
          <w:numId w:val="1140"/>
        </w:numPr>
      </w:pPr>
      <w:r>
        <w:t xml:space="preserve">Fed. R. Civ. P. 65(a-d)</w:t>
      </w:r>
    </w:p>
    <w:p>
      <w:pPr>
        <w:pStyle w:val="NodeEnd"/>
      </w:pPr>
      <w:r>
        <w:t xml:space="preserve"> </w:t>
      </w:r>
    </w:p>
    <w:p>
      <w:pPr>
        <w:pStyle w:val="NodeStart"/>
      </w:pPr>
      <w:r>
        <w:t xml:space="preserve"> </w:t>
      </w:r>
    </w:p>
    <w:p>
      <w:pPr>
        <w:pStyle w:val="HeadSeparator"/>
      </w:pPr>
      <w:r>
        <w:t xml:space="preserve"> </w:t>
      </w:r>
    </w:p>
    <w:bookmarkStart w:id="144" w:name="_auto_toc_144"/>
    <w:bookmarkEnd w:id="144"/>
    <w:p>
      <w:pPr>
        <w:pStyle w:val="ResourceNumber"/>
      </w:pPr>
      <w:r>
        <w:t xml:space="preserve">12.2</w:t>
      </w:r>
    </w:p>
    <w:p>
      <w:pPr>
        <w:pStyle w:val="ResourceTitle"/>
      </w:pPr>
      <w:r>
        <w:t xml:space="preserve">Hunter Readings</w:t>
      </w:r>
    </w:p>
    <w:p>
      <w:pPr>
        <w:pStyle w:val="HeadFieldSeparator"/>
      </w:pPr>
      <w:r>
        <w:t xml:space="preserve"> </w:t>
      </w:r>
    </w:p>
    <w:p>
      <w:pPr>
        <w:pStyle w:val="ResourceHeadnote"/>
      </w:pPr>
      <w:r>
        <w:t xml:space="preserve">Read the following pages from</w:t>
      </w:r>
      <w:r>
        <w:t xml:space="preserve"> </w:t>
      </w:r>
      <w:r>
        <w:t xml:space="preserve">The Power of Procedure</w:t>
      </w:r>
      <w:r>
        <w:t xml:space="preserve"> </w:t>
      </w:r>
      <w:r>
        <w:t xml:space="preserve">by Nan Hunter.</w:t>
      </w:r>
    </w:p>
    <w:p>
      <w:pPr>
        <w:pStyle w:val="HeadEnd"/>
      </w:pPr>
      <w:r>
        <w:t xml:space="preserve"> </w:t>
      </w:r>
    </w:p>
    <w:p>
      <w:pPr>
        <w:pStyle w:val="BodyText"/>
      </w:pPr>
      <w:r>
        <w:t xml:space="preserve">Read pages:</w:t>
      </w:r>
    </w:p>
    <w:p>
      <w:pPr>
        <w:numPr>
          <w:ilvl w:val="0"/>
          <w:numId w:val="1141"/>
        </w:numPr>
      </w:pPr>
      <w:r>
        <w:t xml:space="preserve">7-17</w:t>
      </w:r>
    </w:p>
    <w:p>
      <w:pPr>
        <w:numPr>
          <w:ilvl w:val="0"/>
          <w:numId w:val="1141"/>
        </w:numPr>
      </w:pPr>
      <w:r>
        <w:t xml:space="preserve">21-35</w:t>
      </w:r>
    </w:p>
    <w:p>
      <w:pPr>
        <w:numPr>
          <w:ilvl w:val="0"/>
          <w:numId w:val="1141"/>
        </w:numPr>
      </w:pPr>
      <w:r>
        <w:t xml:space="preserve">51-61</w:t>
      </w:r>
    </w:p>
    <w:p>
      <w:pPr>
        <w:numPr>
          <w:ilvl w:val="0"/>
          <w:numId w:val="1141"/>
        </w:numPr>
      </w:pPr>
      <w:r>
        <w:t xml:space="preserve">66-68</w:t>
      </w:r>
    </w:p>
    <w:p>
      <w:pPr>
        <w:numPr>
          <w:ilvl w:val="0"/>
          <w:numId w:val="1141"/>
        </w:numPr>
      </w:pPr>
      <w:r>
        <w:t xml:space="preserve">70-72</w:t>
      </w:r>
    </w:p>
    <w:p>
      <w:pPr>
        <w:pStyle w:val="FirstParagraph"/>
      </w:pPr>
      <w:r>
        <w:t xml:space="preserve">This reading covers the complaint, Rule 12(c) litigation, the answer, the proposed amended complaint, and the order granting leave to amend in</w:t>
      </w:r>
      <w:r>
        <w:t xml:space="preserve"> </w:t>
      </w:r>
      <w:r>
        <w:rPr>
          <w:iCs/>
          <w:i/>
        </w:rPr>
        <w:t xml:space="preserve">Jones v. Clinton</w:t>
      </w:r>
      <w:r>
        <w:t xml:space="preserve">.</w:t>
      </w:r>
    </w:p>
    <w:p>
      <w:pPr>
        <w:pStyle w:val="BodyText"/>
      </w:pPr>
      <w:r>
        <w:t xml:space="preserve">A few notes:</w:t>
      </w:r>
    </w:p>
    <w:p>
      <w:pPr>
        <w:numPr>
          <w:ilvl w:val="0"/>
          <w:numId w:val="1142"/>
        </w:numPr>
      </w:pPr>
      <w:r>
        <w:t xml:space="preserve">For our purposes, a motion for judgment on the pleadings under Rule 12(c) is the same thing as a motion to dismiss for failure to state a claim under Rule 12(b)(6).  The only difference is the timing of the motion.  A defendant files a 12(b)(6) motion before, or instead of, filing an answer to the complaint.  A defendant files a motion for judgment on the pleadings after filing an answer.  But the standards the court deploys in adjudicating the motions are the same.  It is those standards that we will learn about in this class.</w:t>
      </w:r>
    </w:p>
    <w:p>
      <w:pPr>
        <w:numPr>
          <w:ilvl w:val="0"/>
          <w:numId w:val="1142"/>
        </w:numPr>
      </w:pPr>
      <w:r>
        <w:t xml:space="preserve">Remember, we distinguish "code" pleading from "notice" pleading.  The federal courts from 1938 (when the Federal Rules of Civil Procedure came into effect) to approximately 2007-09 used notice pleading.  In 2007-09, the Supreme Court decided two cases,</w:t>
      </w:r>
      <w:r>
        <w:t xml:space="preserve"> </w:t>
      </w:r>
      <w:r>
        <w:rPr>
          <w:iCs/>
          <w:i/>
        </w:rPr>
        <w:t xml:space="preserve">Bell Atlantic</w:t>
      </w:r>
      <w:r>
        <w:t xml:space="preserve"> </w:t>
      </w:r>
      <w:r>
        <w:t xml:space="preserve">and</w:t>
      </w:r>
      <w:r>
        <w:t xml:space="preserve"> </w:t>
      </w:r>
      <w:r>
        <w:rPr>
          <w:iCs/>
          <w:i/>
        </w:rPr>
        <w:t xml:space="preserve">Iqbal</w:t>
      </w:r>
      <w:r>
        <w:t xml:space="preserve">, that switched the federal standard from notice pleading to something called "plausibility" pleading.  Plausibility pleading is just code pleading.</w:t>
      </w:r>
    </w:p>
    <w:p>
      <w:pPr>
        <w:numPr>
          <w:ilvl w:val="0"/>
          <w:numId w:val="1142"/>
        </w:numPr>
      </w:pPr>
      <w:r>
        <w:t xml:space="preserve">At the time that Judge Wright issued her decision denying President Clinton's motion to dismiss, the applicable standard was notice pleading.  So you should read her decision as, like the</w:t>
      </w:r>
      <w:r>
        <w:t xml:space="preserve"> </w:t>
      </w:r>
      <w:r>
        <w:rPr>
          <w:iCs/>
          <w:i/>
        </w:rPr>
        <w:t xml:space="preserve">Dioguardi</w:t>
      </w:r>
      <w:r>
        <w:t xml:space="preserve"> </w:t>
      </w:r>
      <w:r>
        <w:t xml:space="preserve">case, an example of a notice pleading decision.</w:t>
      </w:r>
    </w:p>
    <w:p>
      <w:pPr>
        <w:pStyle w:val="NodeEnd"/>
      </w:pPr>
      <w:r>
        <w:t xml:space="preserve"> </w:t>
      </w:r>
    </w:p>
    <w:p>
      <w:pPr>
        <w:pStyle w:val="NodeStart"/>
      </w:pPr>
      <w:r>
        <w:t xml:space="preserve"> </w:t>
      </w:r>
    </w:p>
    <w:p>
      <w:pPr>
        <w:pStyle w:val="HeadSeparator"/>
      </w:pPr>
      <w:r>
        <w:t xml:space="preserve"> </w:t>
      </w:r>
    </w:p>
    <w:bookmarkStart w:id="145" w:name="_auto_toc_145"/>
    <w:bookmarkEnd w:id="145"/>
    <w:p>
      <w:pPr>
        <w:pStyle w:val="ResourceNumber"/>
      </w:pPr>
      <w:r>
        <w:t xml:space="preserve">12.3</w:t>
      </w:r>
    </w:p>
    <w:p>
      <w:pPr>
        <w:pStyle w:val="ResourceTitle"/>
      </w:pPr>
      <w:r>
        <w:t xml:space="preserve">Plaintiff's Opening Brief in Thane-Coat</w:t>
      </w:r>
    </w:p>
    <w:p>
      <w:pPr>
        <w:pStyle w:val="HeadEnd"/>
      </w:pPr>
      <w:r>
        <w:t xml:space="preserve"> </w:t>
      </w:r>
    </w:p>
    <w:p>
      <w:pPr>
        <w:pStyle w:val="BodyText"/>
      </w:pPr>
      <w:r>
        <w:t xml:space="preserve">Find the assigned excerpts</w:t>
      </w:r>
      <w:r>
        <w:t xml:space="preserve"> </w:t>
      </w:r>
      <w:hyperlink r:id="rId211">
        <w:r>
          <w:rPr>
            <w:rStyle w:val="Hyperlink"/>
          </w:rPr>
          <w:t xml:space="preserve">here</w:t>
        </w:r>
      </w:hyperlink>
      <w:r>
        <w:t xml:space="preserve"> (pdf).</w:t>
      </w:r>
    </w:p>
    <w:p>
      <w:pPr>
        <w:pStyle w:val="NodeEnd"/>
      </w:pPr>
      <w:r>
        <w:t xml:space="preserve"> </w:t>
      </w:r>
    </w:p>
    <w:p>
      <w:pPr>
        <w:pStyle w:val="NodeStart"/>
      </w:pPr>
      <w:r>
        <w:t xml:space="preserve"> </w:t>
      </w:r>
    </w:p>
    <w:p>
      <w:pPr>
        <w:pStyle w:val="HeadSeparator"/>
      </w:pPr>
      <w:r>
        <w:t xml:space="preserve"> </w:t>
      </w:r>
    </w:p>
    <w:bookmarkStart w:id="146" w:name="_auto_toc_146"/>
    <w:bookmarkEnd w:id="146"/>
    <w:p>
      <w:pPr>
        <w:pStyle w:val="ResourceNumber"/>
      </w:pPr>
      <w:r>
        <w:t xml:space="preserve">12.4</w:t>
      </w:r>
    </w:p>
    <w:p>
      <w:pPr>
        <w:pStyle w:val="ResourceTitle"/>
      </w:pPr>
      <w:r>
        <w:t xml:space="preserve">Defendants' Brief in Thane-Coat</w:t>
      </w:r>
    </w:p>
    <w:p>
      <w:pPr>
        <w:pStyle w:val="HeadEnd"/>
      </w:pPr>
      <w:r>
        <w:t xml:space="preserve"> </w:t>
      </w:r>
    </w:p>
    <w:p>
      <w:pPr>
        <w:pStyle w:val="BodyText"/>
      </w:pPr>
      <w:r>
        <w:t xml:space="preserve">Find the assigned excerpts</w:t>
      </w:r>
      <w:r>
        <w:t xml:space="preserve"> </w:t>
      </w:r>
      <w:hyperlink r:id="rId212">
        <w:r>
          <w:rPr>
            <w:rStyle w:val="Hyperlink"/>
          </w:rPr>
          <w:t xml:space="preserve">here</w:t>
        </w:r>
      </w:hyperlink>
      <w:r>
        <w:t xml:space="preserve"> (pdf).</w:t>
      </w:r>
    </w:p>
    <w:p>
      <w:pPr>
        <w:pStyle w:val="NodeEnd"/>
      </w:pPr>
      <w:r>
        <w:t xml:space="preserve"> </w:t>
      </w:r>
    </w:p>
    <w:p>
      <w:pPr>
        <w:pStyle w:val="NodeStart"/>
      </w:pPr>
      <w:r>
        <w:t xml:space="preserve"> </w:t>
      </w:r>
    </w:p>
    <w:p>
      <w:pPr>
        <w:pStyle w:val="HeadSeparator"/>
      </w:pPr>
      <w:r>
        <w:t xml:space="preserve"> </w:t>
      </w:r>
    </w:p>
    <w:bookmarkStart w:id="147" w:name="_auto_toc_147"/>
    <w:bookmarkEnd w:id="147"/>
    <w:p>
      <w:pPr>
        <w:pStyle w:val="ResourceNumber"/>
      </w:pPr>
      <w:r>
        <w:t xml:space="preserve">12.5</w:t>
      </w:r>
    </w:p>
    <w:p>
      <w:pPr>
        <w:pStyle w:val="ResourceTitle"/>
      </w:pPr>
      <w:r>
        <w:t xml:space="preserve">A. L. K. Corp. v. Columbia Pictures Industries, Inc.</w:t>
      </w:r>
    </w:p>
    <w:p>
      <w:pPr>
        <w:pStyle w:val="HeadFieldSeparator"/>
      </w:pPr>
      <w:r>
        <w:t xml:space="preserve"> </w:t>
      </w:r>
    </w:p>
    <w:p>
      <w:pPr>
        <w:pStyle w:val="ResourceHeadnote"/>
      </w:pPr>
      <w:r>
        <w:t xml:space="preserve">Courts consider four things when ruling on preliminary injunctions. (There is a circuit split on whether the four considerations are prerequisites, as in the Fifth Circuit, or whether a strong showing on one of the considerations can make up for a less strong showing on another, as in the Ninth Circuit.)</w:t>
      </w:r>
    </w:p>
    <w:p>
      <w:pPr>
        <w:pStyle w:val="ResourceHeadnote"/>
      </w:pPr>
      <w:r>
        <w:t xml:space="preserve">One of the considerations is “irreparable harm,” which occurs when money cannot remediate the damage done. Such a situation might occur when the injury is nearly impossible to quantify; more commonly, the issue is that a life or limb will be (or might reasonably be in danger of being) lost, or that there is some legal bar to after-the-fact monetary recovery. There may be other injuries for which money damages are inadequate or impracticable to quantify (for example, a work of art), but</w:t>
      </w:r>
      <w:r>
        <w:t xml:space="preserve"> </w:t>
      </w:r>
      <w:r>
        <w:rPr>
          <w:iCs/>
          <w:i/>
        </w:rPr>
        <w:t xml:space="preserve">ALK Corporation</w:t>
      </w:r>
      <w:r>
        <w:t xml:space="preserve"> </w:t>
      </w:r>
      <w:r>
        <w:t xml:space="preserve">demonstrates the black letter law here, which is that courts are reluctant to embrace the “non-quantifiable” argument. Note how the court deals with the plaintiff’s argument that “theatre momentum” is a real but non-quantifiable asset.</w:t>
      </w:r>
    </w:p>
    <w:p>
      <w:pPr>
        <w:pStyle w:val="HeadEnd"/>
      </w:pPr>
      <w:r>
        <w:t xml:space="preserve"> </w:t>
      </w:r>
    </w:p>
    <w:p>
      <w:pPr>
        <w:pStyle w:val="CaseHeader"/>
      </w:pPr>
      <w:r>
        <w:t xml:space="preserve">United States Court of Appeals for the Third Circuit</w:t>
      </w:r>
    </w:p>
    <w:p>
      <w:pPr>
        <w:pStyle w:val="CaseHeader"/>
      </w:pPr>
      <w:r>
        <w:t xml:space="preserve">440 F.2d 761</w:t>
      </w:r>
    </w:p>
    <w:p>
      <w:pPr>
        <w:pStyle w:val="CaseHeader"/>
      </w:pPr>
      <w:r>
        <w:t xml:space="preserve">No. 71-1015</w:t>
      </w:r>
    </w:p>
    <w:p>
      <w:pPr>
        <w:pStyle w:val="CaseHeader"/>
      </w:pPr>
      <w:r>
        <w:t xml:space="preserve">1971-04-07</w:t>
      </w:r>
    </w:p>
    <w:p>
      <w:pPr>
        <w:pStyle w:val="CaseBody"/>
      </w:pPr>
      <w:r>
        <w:rPr>
          <w:rStyle w:val="Elision"/>
        </w:rPr>
        <w:t xml:space="preserve">[ … ]</w:t>
      </w:r>
    </w:p>
    <w:p>
      <w:pPr>
        <w:pStyle w:val="CaseBody"/>
      </w:pPr>
      <w:r>
        <w:t xml:space="preserve">SEITZ, Circuit Judge.</w:t>
      </w:r>
    </w:p>
    <w:p>
      <w:pPr>
        <w:pStyle w:val="CaseBody"/>
      </w:pPr>
      <w:r>
        <w:t xml:space="preserve">This is an appeal from an order of the district court</w:t>
      </w:r>
      <w:r>
        <w:rPr>
          <w:rStyle w:val="Elision"/>
        </w:rPr>
        <w:t xml:space="preserve">[ … ]</w:t>
      </w:r>
      <w:r>
        <w:t xml:space="preserve"> </w:t>
      </w:r>
      <w:r>
        <w:t xml:space="preserve">granting plaintiff’s motion for a preliminary in-j unction against defendant’s licensing or contracting to license the showing of a particular motion picture at any theatre within the Philadelphia area other than that owned by plaintiff.</w:t>
      </w:r>
    </w:p>
    <w:p>
      <w:pPr>
        <w:pStyle w:val="CaseBody"/>
      </w:pPr>
      <w:r>
        <w:t xml:space="preserve">In April of 1970, defendant (Columbia), a motion picture distributor, granted to plaintiff (The 1812), the owner and operator of The 1812 Theatre, a license for the exclusive first-run Philadelphia exhibition of a motion picture entitled “Husbands.” Shortly after the licensing agreement was executed, however, Columbia notified The 1812 that it would not be able to deliver “Husbands” on or about the proposed delivery date of July 8, 1970</w:t>
      </w:r>
      <w:r>
        <w:t xml:space="preserve"> </w:t>
      </w:r>
      <w:hyperlink w:anchor="Xfd878054350e729de85abeff81516f05e8cd73c">
        <w:r>
          <w:rPr>
            <w:rStyle w:val="Elision"/>
          </w:rPr>
          <w:t xml:space="preserve">[ … ]</w:t>
        </w:r>
      </w:hyperlink>
      <w:r>
        <w:t xml:space="preserve"> </w:t>
      </w:r>
      <w:r>
        <w:t xml:space="preserve">because of difficulties between Columbia and John Cassavetes, the producer of the motion picture, concerning the final cutting of the film. After a delay of several more months, Columbia finally informed The 1812 that it was invoking a clause in the agreement which purportedly terminated the license whenever Columbia, for reasons beyond its direct control, failed to obtain timely delivery from the producer. Columbia therefore told The 1812 that it intended to solicit new bids from all Greater Philadelphia first-run theatres for the exclusive license to exhibit “Husbands.” Denying that the agreement had terminated, The 1812 then brought the present diversity action, seeking to enjoin Columbia from resubmitting “Husbands” for bids, to compel specific performance of its licensing agreement with Columbia, and to recover damages.</w:t>
      </w:r>
    </w:p>
    <w:p>
      <w:pPr>
        <w:pStyle w:val="CaseBody"/>
      </w:pPr>
      <w:r>
        <w:t xml:space="preserve">After a hearing on plaintiff’s motion for a preliminary injunction, the district court interpreted the licensing agreement as not being subject to termination by Columbia merely because of the produeer’s failure to make timely delivery. Ruling that every motion picture is a “unique” production and that The 1812’s inability to obtain “Husbands” might cause an intangible loss of good will, which it described as “theatre momentum,” the court concluded that The 1812 would not have an adequate remedy at law for breach of contract since proof of damages would be difficult and speculative, if not impossible. The court thus found a probability that plaintiff would ultimately be successful on the merits and preliminarily enjoined Columbia from licensing the movie to any exhibitor in Philadelphia except The 1812. Unless the status quo were preserved, the court reasoned, plaintiff’s rights under its license might be lost forever. If the preliminary injunction were ultimately determined to have been improvidently granted, on the other hand, Columbia would only sustain pecuniary damages, which could be prevented by requiring The 1812 to post a substantial bond.</w:t>
      </w:r>
      <w:hyperlink w:anchor="Xbf02144d793d1456294fb2ea304fd27a72f0953">
        <w:r>
          <w:rPr>
            <w:rStyle w:val="Elision"/>
          </w:rPr>
          <w:t xml:space="preserve">[ … ]</w:t>
        </w:r>
      </w:hyperlink>
    </w:p>
    <w:p>
      <w:pPr>
        <w:pStyle w:val="CaseBody"/>
      </w:pPr>
      <w:r>
        <w:t xml:space="preserve">As a prerequisite to the issuance of a preliminary injunction the moving party must generally show</w:t>
      </w:r>
      <w:r>
        <w:t xml:space="preserve">: (1) a reasonable probability of eventual success in the litigation, and (2) that it will be irreparably injured</w:t>
      </w:r>
      <w:r>
        <w:t xml:space="preserve"> </w:t>
      </w:r>
      <w:r>
        <w:rPr>
          <w:iCs/>
          <w:i/>
        </w:rPr>
        <w:t xml:space="preserve">pendente lite</w:t>
      </w:r>
      <w:r>
        <w:rPr>
          <w:iCs/>
          <w:i/>
        </w:rPr>
        <w:t xml:space="preserve"> </w:t>
      </w:r>
      <w:r>
        <w:t xml:space="preserve">if relief is not granted to prevent a change in the status quo.</w:t>
      </w:r>
      <w:r>
        <w:rPr>
          <w:rStyle w:val="FootnoteReference"/>
        </w:rPr>
        <w:footnoteReference w:customMarkFollows="1" w:id="33"/>
        <w:t xml:space="preserve">*</w:t>
      </w:r>
      <w:r>
        <w:t xml:space="preserve"> </w:t>
      </w:r>
      <w:r>
        <w:rPr>
          <w:rStyle w:val="Elision"/>
        </w:rPr>
        <w:t xml:space="preserve">[ … ]</w:t>
      </w:r>
      <w:r>
        <w:t xml:space="preserve">. In applying these criteria, a district court must have considerable discretion because of the infinite variety of situations which may confront it. Nevertheless, its discretion is not unlimited and must be guided by the traditional principles of equity. Without reaching the substantial question of contractual interpretation decided by the district court, we find that plaintiff has failed to satisfy the second of the above prerequisites for interlocutory injunctive relief.</w:t>
      </w:r>
    </w:p>
    <w:p>
      <w:pPr>
        <w:pStyle w:val="CaseBody"/>
      </w:pPr>
      <w:r>
        <w:t xml:space="preserve">Admittedly, the denial of a preliminary injunction in this case would permit Columbia to resolieit bids on “Husbands,” with the resulting possibility that plaintiff’s asserted rights to the film will be lost. This injury cannot be considered “irreparable,” however, unless plaintiff demonstrates that its</w:t>
      </w:r>
      <w:r>
        <w:t xml:space="preserve"> </w:t>
      </w:r>
      <w:r>
        <w:t xml:space="preserve">legal remedies</w:t>
      </w:r>
      <w:r>
        <w:rPr>
          <w:rStyle w:val="FootnoteReference"/>
        </w:rPr>
        <w:footnoteReference w:customMarkFollows="1" w:id="80"/>
        <w:t xml:space="preserve">**</w:t>
      </w:r>
      <w:r>
        <w:t xml:space="preserve"> </w:t>
      </w:r>
      <w:r>
        <w:t xml:space="preserve">are either inadequate or impracticable. Generally speaking a breach of contract results in irreparable injury warranting equitable relief in two types of cases:</w:t>
      </w:r>
    </w:p>
    <w:p>
      <w:pPr>
        <w:pStyle w:val="BlockText"/>
      </w:pPr>
      <w:r>
        <w:t xml:space="preserve">“1. Where the subject-matter of the contract is of such a special nature, or of such a peculiar value, that the damages, when ascertained according to legal rules, would not be a just and reasonable substitute for or representative of that subject-matter in the hands of the party who is entitled to its benefit; or in other words, where the damages are</w:t>
      </w:r>
      <w:r>
        <w:t xml:space="preserve"> </w:t>
      </w:r>
      <w:r>
        <w:rPr>
          <w:iCs/>
          <w:i/>
        </w:rPr>
        <w:t xml:space="preserve">inadequate;</w:t>
      </w:r>
    </w:p>
    <w:p>
      <w:pPr>
        <w:pStyle w:val="BlockText"/>
      </w:pPr>
      <w:r>
        <w:t xml:space="preserve">2. Where, from some special and practical features or incidents of the contract inhering either in its subject-matter, in its terms, or in the relations of the parties, it is impossible to arrive at a legal measure of damages at all, or at least with any sufficient degree of certainty, so that</w:t>
      </w:r>
      <w:r>
        <w:t xml:space="preserve"> </w:t>
      </w:r>
      <w:r>
        <w:rPr>
          <w:iCs/>
          <w:i/>
        </w:rPr>
        <w:t xml:space="preserve">no</w:t>
      </w:r>
      <w:r>
        <w:t xml:space="preserve"> </w:t>
      </w:r>
      <w:r>
        <w:t xml:space="preserve">real compensation can be obtained by means of an action at law; or in other words, where damages are</w:t>
      </w:r>
      <w:r>
        <w:t xml:space="preserve"> </w:t>
      </w:r>
      <w:r>
        <w:rPr>
          <w:iCs/>
          <w:i/>
        </w:rPr>
        <w:t xml:space="preserve">impracticable.”</w:t>
      </w:r>
    </w:p>
    <w:p>
      <w:pPr>
        <w:pStyle w:val="CaseBody"/>
      </w:pPr>
      <w:r>
        <w:rPr>
          <w:rStyle w:val="Elision"/>
        </w:rPr>
        <w:t xml:space="preserve">[ … ]</w:t>
      </w:r>
    </w:p>
    <w:p>
      <w:pPr>
        <w:pStyle w:val="CaseBody"/>
      </w:pPr>
      <w:r>
        <w:t xml:space="preserve">Against this legal background, plaintiff asserts that its injury from the denial of a preliminary injunction cannot be adequately compensated by monetary damages because “Husbands,” like all movies, is a unique production which will have a distinctive effect upon The 1812’s “theatre momentum.” Plaintiff further contends that damages would be impracticable because, if The 1812 does not acquire this particular picture, the value of its lost “momentum” will be impossible to calculate with any reasonable degree of certainty. Despite these contentions, we think that plaintiff has failed to prove that its injury will in fact be irreparable so as to make interlocutory equitable relief appropriate in this case.</w:t>
      </w:r>
    </w:p>
    <w:p>
      <w:pPr>
        <w:pStyle w:val="CaseBody"/>
      </w:pPr>
      <w:r>
        <w:t xml:space="preserve">It is true that every motion picture is unique in the sense that no two are identical, but such a characterization does not end our inquiry since the inability to obtain a particular film does not of itself show that “nothing can answer the justice of the case but the performance of the contract in specie * *</w:t>
      </w:r>
      <w:r>
        <w:t xml:space="preserve"> </w:t>
      </w:r>
      <w:r>
        <w:rPr>
          <w:rStyle w:val="Elision"/>
        </w:rPr>
        <w:t xml:space="preserve">[ … ]</w:t>
      </w:r>
      <w:r>
        <w:t xml:space="preserve"> </w:t>
      </w:r>
      <w:r>
        <w:t xml:space="preserve">Here, although the parties entered into a commercial contract whose primary purpose was one of mutual pecuniary benefit, The 1812 maintains that “Husbands” has a value which is so extraordinary that the theatre’s mere recovery of lost profits would be inadequate. In so doing, it seizes upon what it describes as a definite, though intangible, asset known as “theatre momentum.” The 1812 argues that there is intense competition among “first-class” motion picture theatres to create a special image which will enhance their drawing power. If large numbers of people are attracted to one particularly outstanding movie, plaintiff says, they will also gain an impression of the theatre’s atmosphere, personnel, and type of clientele and will be exposed to trailers of coming attractions so that they will later return to the same theatre on the strength of its image as a pleasant place where fine pictures are shown. Plaintiff describes this combination of circumstances as similar to good will in that it promotes the forward movement of the theatre’s business by maintaining and increasing patronage. Each good picture, it says, adds an increment to the momentum, and a withholding of any increment will in some way forever retard the growth of momentum.</w:t>
      </w:r>
    </w:p>
    <w:p>
      <w:pPr>
        <w:pStyle w:val="CaseBody"/>
      </w:pPr>
      <w:r>
        <w:t xml:space="preserve">Even assuming that an asset such as theatre momentum does exist and that its value is not measurable in monetary terms, the record here does not disclose that plaintiff’s failure to acquire “Husbands” will cause any irreparable damage to this asset.</w:t>
      </w:r>
      <w:r>
        <w:t xml:space="preserve"> </w:t>
      </w:r>
      <w:r>
        <w:t xml:space="preserve">Although, as previously stated, all motion pictures are somewhat “unique,” certainly some pictures are fungible with respect to their effect upon theatre momentum.</w:t>
      </w:r>
      <w:r>
        <w:rPr>
          <w:rStyle w:val="FootnoteReference"/>
        </w:rPr>
        <w:footnoteReference w:customMarkFollows="1" w:id="110"/>
        <w:t xml:space="preserve">***</w:t>
      </w:r>
      <w:r>
        <w:rPr>
          <w:rStyle w:val="FootnoteReference"/>
        </w:rPr>
        <w:footnoteReference w:customMarkFollows="1" w:id="218"/>
        <w:t xml:space="preserve">3</w:t>
      </w:r>
      <w:r>
        <w:t xml:space="preserve"> </w:t>
      </w:r>
      <w:r>
        <w:t xml:space="preserve">The injury contemplated by the denial of a preliminary injunction must be actual and of serious consequence, not merely theoretical. We find that The 1812 has failed to demonstrate that “Husbands” will have any effect upon its momentum different from that of other available motion pictures of the same type.</w:t>
      </w:r>
      <w:hyperlink w:anchor="X7903aa52d8a9444113d4ca8e069005c6f7cd3a8">
        <w:r>
          <w:rPr>
            <w:rStyle w:val="Elision"/>
          </w:rPr>
          <w:t xml:space="preserve">[ … ]</w:t>
        </w:r>
      </w:hyperlink>
    </w:p>
    <w:p>
      <w:pPr>
        <w:pStyle w:val="CaseBody"/>
      </w:pPr>
      <w:r>
        <w:t xml:space="preserve">Thus, even if a breach of contract is ultimately found, the only cognizable injury which The 1812 has established that it may sustain is a loss of income —the difference between the income which could have been earned by showing “Husbands” as contracted for and that actually earned during the same period. This is capable of measurement and can adequately be remedied by monetary damages if The 1812 succeeds on the merits.</w:t>
      </w:r>
      <w:r>
        <w:t xml:space="preserve"> </w:t>
      </w:r>
      <w:r>
        <w:rPr>
          <w:rStyle w:val="Elision"/>
        </w:rPr>
        <w:t xml:space="preserve">[ … ]</w:t>
      </w:r>
      <w:r>
        <w:t xml:space="preserve"> </w:t>
      </w:r>
      <w:r>
        <w:t xml:space="preserve">In addition, we see nothing to prevent The 1812 from successfully rebidding for “Husbands”</w:t>
      </w:r>
      <w:r>
        <w:t xml:space="preserve"> </w:t>
      </w:r>
      <w:hyperlink w:anchor="Xb5e4ca98b17bd4fc2001c411ea2390fe52678d7">
        <w:r>
          <w:rPr>
            <w:rStyle w:val="Elision"/>
          </w:rPr>
          <w:t xml:space="preserve">[ … ]</w:t>
        </w:r>
      </w:hyperlink>
      <w:r>
        <w:t xml:space="preserve"> </w:t>
      </w:r>
      <w:r>
        <w:t xml:space="preserve">and, if eventually successful in proving a breach of contract, recovering appropriate damages.</w:t>
      </w:r>
    </w:p>
    <w:p>
      <w:pPr>
        <w:pStyle w:val="CaseBody"/>
      </w:pPr>
      <w:r>
        <w:t xml:space="preserve">Because there is no evidence that plaintiff will be irreparably injured</w:t>
      </w:r>
      <w:r>
        <w:t xml:space="preserve"> </w:t>
      </w:r>
      <w:r>
        <w:rPr>
          <w:iCs/>
          <w:i/>
        </w:rPr>
        <w:t xml:space="preserve">pendente lite</w:t>
      </w:r>
      <w:r>
        <w:t xml:space="preserve"> </w:t>
      </w:r>
      <w:r>
        <w:t xml:space="preserve">by the denial of interlocutory relief, we find that the district court abused its discretion in preliminarily enjoining Columbia’s resolicitation of bids.</w:t>
      </w:r>
    </w:p>
    <w:p>
      <w:pPr>
        <w:pStyle w:val="CaseBody"/>
      </w:pPr>
      <w:r>
        <w:t xml:space="preserve">The order of the district court will be reversed.</w:t>
      </w:r>
    </w:p>
    <w:p>
      <w:pPr>
        <w:pStyle w:val="CaseBody"/>
      </w:pPr>
      <w:r>
        <w:rPr>
          <w:rStyle w:val="Elision"/>
        </w:rPr>
        <w:t xml:space="preserve">[ … ]</w:t>
      </w:r>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148" w:name="_auto_toc_148"/>
    <w:bookmarkEnd w:id="148"/>
    <w:p>
      <w:pPr>
        <w:pStyle w:val="ResourceNumber"/>
      </w:pPr>
      <w:r>
        <w:t xml:space="preserve">12.6</w:t>
      </w:r>
    </w:p>
    <w:p>
      <w:pPr>
        <w:pStyle w:val="ResourceTitle"/>
      </w:pPr>
      <w:r>
        <w:t xml:space="preserve">Abney v. Amgen, Inc.</w:t>
      </w:r>
    </w:p>
    <w:p>
      <w:pPr>
        <w:pStyle w:val="HeadFieldSeparator"/>
      </w:pPr>
      <w:r>
        <w:t xml:space="preserve"> </w:t>
      </w:r>
    </w:p>
    <w:p>
      <w:pPr>
        <w:pStyle w:val="ResourceHeadnote"/>
      </w:pPr>
      <w:r>
        <w:t xml:space="preserve">Public interest is one of the four prerequisites (or, in some circuits, factors) that courts consider when deciding on preliminary injunctions.</w:t>
      </w:r>
      <w:r>
        <w:t xml:space="preserve"> </w:t>
      </w:r>
      <w:r>
        <w:rPr>
          <w:iCs/>
          <w:i/>
        </w:rPr>
        <w:t xml:space="preserve">Amgen</w:t>
      </w:r>
      <w:r>
        <w:t xml:space="preserve"> </w:t>
      </w:r>
      <w:r>
        <w:t xml:space="preserve">illustrates the black letter law that there is a strong presumption that public interest is articulated by a public agency and its regulatory scheme. Thus, for example, if the FDA has not approved a drug, it is presumed that the drug does not serve the public interest. An agency, created into law by an “organic statute,” in some ways inherently embodies the public interest.</w:t>
      </w:r>
    </w:p>
    <w:p>
      <w:pPr>
        <w:pStyle w:val="HeadEnd"/>
      </w:pPr>
      <w:r>
        <w:t xml:space="preserve"> </w:t>
      </w:r>
    </w:p>
    <w:p>
      <w:pPr>
        <w:pStyle w:val="CaseHeader"/>
      </w:pPr>
      <w:r>
        <w:t xml:space="preserve">United States Court of Appeals for the Sixth Circuit</w:t>
      </w:r>
    </w:p>
    <w:p>
      <w:pPr>
        <w:pStyle w:val="CaseHeader"/>
      </w:pPr>
      <w:r>
        <w:t xml:space="preserve">443 F.3d 540</w:t>
      </w:r>
    </w:p>
    <w:p>
      <w:pPr>
        <w:pStyle w:val="CaseHeader"/>
      </w:pPr>
      <w:r>
        <w:t xml:space="preserve">No. 05-6132</w:t>
      </w:r>
    </w:p>
    <w:p>
      <w:pPr>
        <w:pStyle w:val="CaseHeader"/>
      </w:pPr>
      <w:r>
        <w:t xml:space="preserve">2006-03-29</w:t>
      </w:r>
    </w:p>
    <w:p>
      <w:pPr>
        <w:pStyle w:val="CaseBody"/>
      </w:pPr>
      <w:r>
        <w:rPr>
          <w:rStyle w:val="Elision"/>
        </w:rPr>
        <w:t xml:space="preserve">[ … ]</w:t>
      </w:r>
    </w:p>
    <w:p>
      <w:pPr>
        <w:pStyle w:val="CaseBody"/>
      </w:pPr>
      <w:r>
        <w:t xml:space="preserve">BOYCE F. MARTIN, Circuit Judge.</w:t>
      </w:r>
    </w:p>
    <w:p>
      <w:pPr>
        <w:pStyle w:val="CaseBody"/>
      </w:pPr>
      <w:r>
        <w:t xml:space="preserve">The plaintiffs in this case are eight individuals involved in a clinical drug trial sponsored by Amgen, Inc. When the study was terminated, the plaintiffs sued claiming that Amgen was legally required to continue providing them with the drug. The plaintiffs filed a motion for a preliminary injunction seeking to require Amgen to provide them with the drug immediately. The district court denied the motion and the plaintiffs appealed. For the reasons discussed below, we AFFIRM the district court’s denial of the plaintiffs’ motion for a preliminary injunction.</w:t>
      </w:r>
    </w:p>
    <w:p>
      <w:pPr>
        <w:pStyle w:val="CaseBody"/>
      </w:pPr>
      <w:r>
        <w:t xml:space="preserve">I.</w:t>
      </w:r>
    </w:p>
    <w:p>
      <w:pPr>
        <w:pStyle w:val="CaseBody"/>
      </w:pPr>
      <w:r>
        <w:t xml:space="preserve">The plaintiffs are all Kentucky residents that suffer from Parkinson’s disease, a neurogenerative disorder characterized by the progressive loss of dopamine-producing neurons in the brain, resulting in tremors, shaking, slow movement, and muscle stiffness and rigidity. The current treatment for Parkinson’s disease focuses on replacing dopamine in the brains of Parkinson’s disease sufferers, thus masking the symptoms of the disease. None of these current treatments are curative, however, as none of them halt the loss of dopamine-producing neurons.</w:t>
      </w:r>
    </w:p>
    <w:p>
      <w:pPr>
        <w:pStyle w:val="CaseBody"/>
      </w:pPr>
      <w:r>
        <w:rPr>
          <w:rStyle w:val="ReplacementText"/>
        </w:rPr>
        <w:t xml:space="preserve">[In 1994, Amgen bought (for $150 million) the rights to a potential Par-kinson’s treatment involving the syn-thetic production of a substance called GDNF that naturally occurs in the body. Amgen’s first attempt to design a deliv-ery system for GDNF failed.]</w:t>
      </w:r>
    </w:p>
    <w:p>
      <w:pPr>
        <w:pStyle w:val="CaseBody"/>
      </w:pPr>
      <w:r>
        <w:t xml:space="preserve">Subsequently, Dr. Steven S. Gill of Frenchay Hospital in Bristol, England developed a means of delivering the drug directly to the brain known as bilateral intraputaminal (IPu) infusion. This procedure involves implanting a pump filled with GDNF in the patient’s abdomen attached to catheters which, when threaded through the patient’s che</w:t>
      </w:r>
      <w:r>
        <w:rPr>
          <w:rStyle w:val="ReplacementText"/>
        </w:rPr>
        <w:t xml:space="preserve">st</w:t>
      </w:r>
      <w:r>
        <w:t xml:space="preserve">, neck, and head, deliver the GDNF directly to the putamen region of the brain.</w:t>
      </w:r>
    </w:p>
    <w:p>
      <w:pPr>
        <w:pStyle w:val="CaseBody"/>
      </w:pPr>
      <w:r>
        <w:t xml:space="preserve">In 2000, Amgen supported an open-label trial in the United Kingdom for the administration of GDNF using IPu with five patients suffering from Parkinson’s disease.</w:t>
      </w:r>
      <w:r>
        <w:t xml:space="preserve"> </w:t>
      </w:r>
      <w:r>
        <w:rPr>
          <w:rStyle w:val="ReplacementText"/>
        </w:rPr>
        <w:t xml:space="preserve">[The initial results from these studies were somewhat positive, but because there was no comparison group, Amgen worried about a placebo effect.]</w:t>
      </w:r>
    </w:p>
    <w:p>
      <w:pPr>
        <w:pStyle w:val="CaseBody"/>
      </w:pPr>
      <w:r>
        <w:t xml:space="preserve">Based on the result open-label studies, in 2003 Amgen sponsored a multi-center Phase II, randomized, double-blind,</w:t>
      </w:r>
      <w:hyperlink w:anchor="X4b04beb68d510718c40158c92a0403f80b665c9">
        <w:r>
          <w:rPr>
            <w:rStyle w:val="Elision"/>
          </w:rPr>
          <w:t xml:space="preserve">[ … ]</w:t>
        </w:r>
      </w:hyperlink>
      <w:r>
        <w:t xml:space="preserve"> </w:t>
      </w:r>
      <w:r>
        <w:t xml:space="preserve">placebo-controlled study of GDNF using the IPu method of delivery in order to test its safety and efficacy</w:t>
      </w:r>
      <w:r>
        <w:rPr>
          <w:rStyle w:val="ReplacementText"/>
        </w:rPr>
        <w:t xml:space="preserve">[at the University of Kentucky].</w:t>
      </w:r>
    </w:p>
    <w:p>
      <w:pPr>
        <w:pStyle w:val="CaseBody"/>
      </w:pPr>
      <w:r>
        <w:t xml:space="preserve">The plaintiffs in this ease elected to participate in the clinical trial at the University.</w:t>
      </w:r>
      <w:r>
        <w:t xml:space="preserve"> </w:t>
      </w:r>
      <w:r>
        <w:rPr>
          <w:rStyle w:val="Elision"/>
        </w:rPr>
        <w:t xml:space="preserve">[ … ]</w:t>
      </w:r>
    </w:p>
    <w:p>
      <w:pPr>
        <w:pStyle w:val="CaseBody"/>
      </w:pPr>
      <w:r>
        <w:t xml:space="preserve">Using the Unified Parkinson’s Disease Rating Scale,</w:t>
      </w:r>
      <w:hyperlink w:anchor="Xf4ba39fe3cbc76ce5ca5790756bde2c928dc9e8">
        <w:r>
          <w:rPr>
            <w:rStyle w:val="Elision"/>
          </w:rPr>
          <w:t xml:space="preserve">[ … ]</w:t>
        </w:r>
      </w:hyperlink>
      <w:r>
        <w:t xml:space="preserve"> </w:t>
      </w:r>
      <w:r>
        <w:t xml:space="preserve">Amgen hoped to see a 25% increase in motor scores relative to the placebo after six months of treatment. In June 2004, the study results showed only a 10.01% increase in the group using GDNF and a 4.52% increase in the group being administered the placebo. Seven of the thirty-four subjects demonstrated dramatic improvement, but four of the seven were receiving the placebo.</w:t>
      </w:r>
    </w:p>
    <w:p>
      <w:pPr>
        <w:pStyle w:val="CaseBody"/>
      </w:pPr>
      <w:r>
        <w:t xml:space="preserve">Despite these less than stellar results, Amgen decided to continue with the clinical trial but convert it into an open-label study with all thirty-four patients receiving GDNF. The plaintiffs contend that after GDNF was administered, they experienced marked physical, cognitive, and emotional improvement. The plaintiffs also have submitted affidavits from several patients from other study locations attesting to similar improvements. Moreover, the plaintiffs have submitted affidavits from all of the doctors participating in the University of Kentucky study and principal investigators involved in the New York and Chicago studies that unanimously state that GDNF is safe and effective.</w:t>
      </w:r>
    </w:p>
    <w:p>
      <w:pPr>
        <w:pStyle w:val="CaseBody"/>
      </w:pPr>
      <w:r>
        <w:t xml:space="preserve">Despite the plaintiffs’ belief that GDNF was working, in September 2004, Amgen announced that it was terminating all clinical use of GDNF based on two scientific concerns.</w:t>
      </w:r>
      <w:r>
        <w:t xml:space="preserve"> </w:t>
      </w:r>
      <w:r>
        <w:rPr>
          <w:rStyle w:val="ReplacementText"/>
        </w:rPr>
        <w:t xml:space="preserve">[The two concerns were (i) the development in the human patients’ bodies of proteins that attacked all GDNF, including the GDNF naturally occurring in the body, and (ii) the development of unusual brain lesions in primates subject to the same GDNF administration system.]</w:t>
      </w:r>
    </w:p>
    <w:p>
      <w:pPr>
        <w:pStyle w:val="CaseBody"/>
      </w:pPr>
      <w:r>
        <w:t xml:space="preserve">The plaintiffs claim that the drug is effective and that Amgen has exaggerated the safety risks of GDNF. The plaintiffs submitted to the district court an affidavit from the principal investigator of the New York study suggesting that the primates’s legions were not a cause for alarm as the primates received larger doses of GDNF than study participants received and because the primates, unlike the study participants, were rapidly withdrawn from GDNF. The affidavit also disagreed with Amgen’s placebo effect theory and asserted that the antibodies found in several study participants were not harmful.</w:t>
      </w:r>
    </w:p>
    <w:p>
      <w:pPr>
        <w:pStyle w:val="CaseBody"/>
      </w:pPr>
      <w:r>
        <w:t xml:space="preserve">The plaintiffs assert that Amgen’s reasons for ending the study were financial rather than safety and efficacy. They allege that because of the prolonged time it took Amgen to develop a delivery method for GDNF, Amgen has little time left before its patent on the drug expires. Moreover, based'on the invasive means of delivering the drug, only those with severe Parkinson’s disease would use the drug, leading to less profit. Finally, GDNF has a short shelf life and thus Amgen would constantly be required to produce new proteins. The plaintiffs claim that all of these considerations led Amgen to conclude that it was financially untenable to bring the drug to market and thus Amgen terminated the study. Amgen vehemently disputes the plaintiffs’ claims.</w:t>
      </w:r>
      <w:hyperlink w:anchor="X5a0d2d11b3d0eb0305746bd35f7256bb4eb3361">
        <w:r>
          <w:rPr>
            <w:rStyle w:val="Elision"/>
          </w:rPr>
          <w:t xml:space="preserve">[ … ]</w:t>
        </w:r>
      </w:hyperlink>
    </w:p>
    <w:p>
      <w:pPr>
        <w:pStyle w:val="CaseBody"/>
      </w:pPr>
      <w:r>
        <w:t xml:space="preserve">After deciding to terminate the study, several investigators and Amgen met with the FDA to consider whether to permit “compassionate use,” meaning use of a drug even if the drug is proven unsafe, of GDNF for the participants. The FDA stated that it would permit compassionate use of GDNF but left the decision up to Amgen. After seeking advice of eight external experts (three bioethicists and five Parkinson’s disease experts), seven of whom advised Amgen to terminate the use of the drug, Amgen decided not to allow compassionate use of GDNF.</w:t>
      </w:r>
    </w:p>
    <w:p>
      <w:pPr>
        <w:pStyle w:val="CaseBody"/>
      </w:pPr>
      <w:r>
        <w:t xml:space="preserve">The plaintiffs filed suit on June 17, 2005, naming Amgen as the sole defendant. The district court had jurisdiction based on diversity of citizenship, and none of the plaintiffs’ causes of action arise under federal law. On June 24, the plaintiffs moved for a preliminary injunction requiring Am-gen to provide the physicians at the University of Kentucky with GDNF and to allow the doctors to administer it to the plaintiffs. None of the plaintiffs have received GDNF treatment since September 2004.</w:t>
      </w:r>
    </w:p>
    <w:p>
      <w:pPr>
        <w:pStyle w:val="CaseBody"/>
      </w:pPr>
      <w:r>
        <w:rPr>
          <w:rStyle w:val="Elision"/>
        </w:rPr>
        <w:t xml:space="preserve">[ … ]</w:t>
      </w:r>
    </w:p>
    <w:p>
      <w:pPr>
        <w:pStyle w:val="CaseBody"/>
      </w:pPr>
      <w:r>
        <w:t xml:space="preserve">The district court held a hearing on the plaintiffs’ motion on July 5 and on July 8 denied the motion.</w:t>
      </w:r>
      <w:r>
        <w:t xml:space="preserve"> </w:t>
      </w:r>
      <w:r>
        <w:rPr>
          <w:rStyle w:val="Elision"/>
        </w:rPr>
        <w:t xml:space="preserve">[ … ]</w:t>
      </w:r>
      <w:r>
        <w:t xml:space="preserve"> </w:t>
      </w:r>
      <w:r>
        <w:t xml:space="preserve">This appeal ensued.</w:t>
      </w:r>
    </w:p>
    <w:p>
      <w:pPr>
        <w:pStyle w:val="CaseBody"/>
      </w:pPr>
      <w:r>
        <w:rPr>
          <w:rStyle w:val="Elision"/>
        </w:rPr>
        <w:t xml:space="preserve">[ … ]</w:t>
      </w:r>
    </w:p>
    <w:p>
      <w:pPr>
        <w:pStyle w:val="CaseBody"/>
      </w:pPr>
      <w:r>
        <w:t xml:space="preserve">A.</w:t>
      </w:r>
    </w:p>
    <w:p>
      <w:pPr>
        <w:pStyle w:val="CaseBody"/>
      </w:pPr>
      <w:r>
        <w:t xml:space="preserve">The first factors to be considered is whether the plaintiffs have demonstrated a likelihood of success on the merits. The plaintiffs identify three grounds on which they allege that Amgen is legally obligated to provide them with GDNF — breach of contract, promissory estoppel and fiduciary duty. The district court concluded that the plaintiffs had little chance of success on any of these grounds. We find nothing in the record that suggests the district court abused its discretion in reaching such a conclusion.</w:t>
      </w:r>
    </w:p>
    <w:p>
      <w:pPr>
        <w:pStyle w:val="CaseBody"/>
      </w:pPr>
      <w:r>
        <w:rPr>
          <w:rStyle w:val="ReplacementText"/>
        </w:rPr>
        <w:t xml:space="preserve">[The remainder of the cour's likelihood-of-success-on-the-merits prong is omitted.]</w:t>
      </w:r>
    </w:p>
    <w:p>
      <w:pPr>
        <w:pStyle w:val="CaseBody"/>
      </w:pPr>
      <w:r>
        <w:t xml:space="preserve">B.</w:t>
      </w:r>
    </w:p>
    <w:p>
      <w:pPr>
        <w:pStyle w:val="CaseBody"/>
      </w:pPr>
      <w:r>
        <w:t xml:space="preserve">The second factors under the preliminary injunction test is whether the plaintiffs will suffer immediate and irreparable harm absent injunctive relief.</w:t>
      </w:r>
      <w:r>
        <w:t xml:space="preserve"> </w:t>
      </w:r>
      <w:r>
        <w:rPr>
          <w:rStyle w:val="ReplacementText"/>
        </w:rPr>
        <w:t xml:space="preserve">[The court held that because the record contained evidence supporting both sides' contentions regarding the effectiveness of GDNF, the district court had not abused its discretioin in finding that plaintiffs had failed to show that the denial of access to the drug would cause them irreparable harm.]</w:t>
      </w:r>
    </w:p>
    <w:p>
      <w:pPr>
        <w:pStyle w:val="CaseBody"/>
      </w:pPr>
      <w:r>
        <w:t xml:space="preserve">C.</w:t>
      </w:r>
    </w:p>
    <w:p>
      <w:pPr>
        <w:pStyle w:val="CaseBody"/>
      </w:pPr>
      <w:r>
        <w:t xml:space="preserve">The third factor we must consider is whether substantial harm to others will occur if the injunction is granted. As to the third factor of the preliminary injunction test the district court concluded that “on balance, the court would side with the plaintiffs on this prong.” Like the second factor, there is conflicting evidence on the record as to whether others would be harmed if the plaintiffs’ motion for a preliminary injunction was granted. On the one hand, Amgen asserts several harms that it would face if a preliminary injunction was awarded, including: (1) exposing Amgen to future civil liability; (2) undermining Amgen’s role as the sponsor of clinical trials under federal regulations requiring Amgen to terminate trials found to present unreasonable and significant risk to patients. On the other hand, these concerns are at least partially obviated by the plaintiffs’ assertions that they will assume all risks of taking GDNF and the fact that the FDA informed Amgen that it would permit compassionate use of Amgen. Given that there is conflicting evidence in the record, we conclude that the district court did not abuse it discretion in finding that this factor weighed in the plaintiffs’ favor.</w:t>
      </w:r>
    </w:p>
    <w:p>
      <w:pPr>
        <w:pStyle w:val="CaseBody"/>
      </w:pPr>
      <w:r>
        <w:t xml:space="preserve">D.</w:t>
      </w:r>
    </w:p>
    <w:p>
      <w:pPr>
        <w:pStyle w:val="CaseBody"/>
      </w:pPr>
      <w:r>
        <w:t xml:space="preserve">The final factor is whether the public interest would be served by granting the plaintiffs’ motion for a preliminary injunction. Before the district court, the plaintiffs asserted that the public interest weighed in favor of granting the preliminary injunction because it should be physicians (who in this case the record suggests were in favor of compassionate use of GDNF) who decide whether a drug should be given to their patients and not pharmaceutical companies. The plaintiffs also claimed that a denial of their motion for an injunction would cause them unnecessary suffering thereby disrespecting human subjects and deterring other patients from participating in clinical trials. In response, Amgen claimed that forcing them to provide GDNF to the plaintiffs is contrary to the FDA’s regulatory scheme and that it is up to the FDA, and not doctors or their patients, to determine whether a drug is safe and effective. The district court found that public interest was not served by granting an injunction in this case.</w:t>
      </w:r>
    </w:p>
    <w:p>
      <w:pPr>
        <w:pStyle w:val="CaseBody"/>
      </w:pPr>
      <w:r>
        <w:t xml:space="preserve">The district court’s opinion made several insightful points regarding this prong. The district court acknowledged that there may be some deterrent concern as to patient participation in clinical trials if the plaintiffs are not provided with compassionate use of GDNF. The district court was quick to point out, however, that granting the plaintiffs’ motion for a preliminary injunction could also deter pharmaceutical companies from sponsoring clinical trials as clinical trial sponsors might be required to continue to produce and distribute a drug they believed to be dangerous. Additionally, the plaintiffs’ claim that physicians should be the sole arbiter of patient care wholly undermines the purpose and value of the FDA. The public has a strong interest in ensuring that the FDA rather individual doctors has the power to decide what drugs meet baseline levels of safety and efficacy. Thus, the district court did not abuse its discretion by concluding that the public interest would not be served by granting the plaintiffs’ motion for preliminary injunction.</w:t>
      </w:r>
    </w:p>
    <w:p>
      <w:pPr>
        <w:pStyle w:val="CaseBody"/>
      </w:pPr>
      <w:r>
        <w:t xml:space="preserve">III.</w:t>
      </w:r>
    </w:p>
    <w:p>
      <w:pPr>
        <w:pStyle w:val="CaseBody"/>
      </w:pPr>
      <w:r>
        <w:t xml:space="preserve">Based on the analysis above, the district court did not abuse its discretion in the denying the plaintiffs’ motion for a preliminary injunction. We therefore AFFIRM the district court’s ruling.</w:t>
      </w:r>
    </w:p>
    <w:p>
      <w:pPr>
        <w:pStyle w:val="CaseBody"/>
      </w:pPr>
      <w:r>
        <w:rPr>
          <w:rStyle w:val="Elision"/>
        </w:rPr>
        <w:t xml:space="preserve">[ … ]</w:t>
      </w:r>
      <w:r>
        <w:rPr>
          <w:rStyle w:val="Elision"/>
        </w:rPr>
        <w:t xml:space="preserve">[ … ]</w:t>
      </w:r>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149" w:name="_auto_toc_149"/>
    <w:bookmarkEnd w:id="149"/>
    <w:p>
      <w:pPr>
        <w:pStyle w:val="ResourceNumber"/>
      </w:pPr>
      <w:r>
        <w:t xml:space="preserve">12.7</w:t>
      </w:r>
    </w:p>
    <w:p>
      <w:pPr>
        <w:pStyle w:val="ResourceTitle"/>
      </w:pPr>
      <w:r>
        <w:t xml:space="preserve">Excerpt from District Court's opinion in the case below Abney v. Amgen</w:t>
      </w:r>
    </w:p>
    <w:p>
      <w:pPr>
        <w:pStyle w:val="HeadFieldSeparator"/>
      </w:pPr>
      <w:r>
        <w:t xml:space="preserve"> </w:t>
      </w:r>
    </w:p>
    <w:p>
      <w:pPr>
        <w:pStyle w:val="ResourceHeadnote"/>
      </w:pPr>
      <w:r>
        <w:t xml:space="preserve">The following is an excerpt from the District Court’s opinion; specifically, it is the portion dealing with the “public interest” prong. Note that the “FDCA” is the federal statute creating the Food and Drug Administration (FDA). Statutes of this type are often called the agency’s “organic statute."</w:t>
      </w:r>
    </w:p>
    <w:p>
      <w:pPr>
        <w:pStyle w:val="HeadEnd"/>
      </w:pPr>
      <w:r>
        <w:t xml:space="preserve"> </w:t>
      </w:r>
    </w:p>
    <w:p>
      <w:pPr>
        <w:pStyle w:val="BodyText"/>
      </w:pPr>
      <w:r>
        <w:t xml:space="preserve">D. Public Policy</w:t>
      </w:r>
    </w:p>
    <w:p>
      <w:pPr>
        <w:pStyle w:val="BodyText"/>
      </w:pPr>
      <w:r>
        <w:t xml:space="preserve">The plaintiffs argue that public interest would be furthered by entry of an injunction because physicians should decide whether life-saving treatment should be given to the patients and not pharmaceutical companies. Additionally, the plaintiffs contend that ignoring the patients' viewpoints throughout the trial process and causing them unnecessary suffering disrespects human subjects and deters the public from volunteering to participate in clinical trials. In support, the plaintiffs submitted the affidavit of the Executive Director of the Parkinson's Pipeline Project, Dr. Cohen, who testifies that the Project "unanimously supports the [plaintiffs'] request for reinstatement of their GDNF treatments … By halting the GDNF trials, Amgen is denying the Parkinson's community potentially valuable information on GDNF therapy." (Pl.'s Compl., Ex. U.)</w:t>
      </w:r>
    </w:p>
    <w:p>
      <w:pPr>
        <w:pStyle w:val="BodyText"/>
      </w:pPr>
      <w:r>
        <w:t xml:space="preserve">The defendant, on the other hand, asserts that the public interest weighs against granting an injunction because forcing pharmaceutical companies to provide investigational drugs like GDNF is contrary to the regulatory scheme of FDA enforcement. Amgen argues that while individual patients and physicians may believe that a certain experimental drug is safe and effective, it is up to the FDA to determine safety and efficacy. The Court agrees.</w:t>
      </w:r>
    </w:p>
    <w:p>
      <w:pPr>
        <w:pStyle w:val="BodyText"/>
      </w:pPr>
      <w:r>
        <w:t xml:space="preserve">Although the Court personally understands the devastation Parkinson's disease brings to the lives of those who have the disease (my late father suffered from it) and the plaintiffs' immense desire for a cure, the public interest would not be furthered by ordering a clinical trial sponsor to provide unapproved and potentially dangerous drugs to clinical trial participants.</w:t>
      </w:r>
      <w:r>
        <w:t xml:space="preserve"> </w:t>
      </w:r>
      <w:r>
        <w:t xml:space="preserve"> </w:t>
      </w:r>
      <w:r>
        <w:t xml:space="preserve">The public interest, manifested by the enactment of the FDCA, is in protecting the public from potentially harmful drugs, as evidenced by the system of regulating drugs prior to their release in the market. United States v. Rutherford, (holding that "the [FDCA] makes explicit provision for carefully regulated use of certain drugs not yet demonstrated safe and effective"); Gonzales v. Raich (stating that "the dispensing of new drugs, even when doctors approve their use, must await federal approval").</w:t>
      </w:r>
    </w:p>
    <w:p>
      <w:pPr>
        <w:pStyle w:val="BodyText"/>
      </w:pPr>
      <w:r>
        <w:t xml:space="preserve">While the plaintiffs assert that denying an injunction would discourage patients from participating in clinical trials, the reverse is also true of discouraging clinical trial sponsors from financially supporting clinical trials. Granting an injunction and forcing a trial sponsor to provide drugs it - and the FDA - find unsafe, because other experts find the drugs safe and effective, would discourage sponsors from financially supporting human clinical trials. This is true because sponsors would have to continue to make and provide drugs that are potentially dangerous. See also Weinberger v. Hynson, Westcott &amp; Dunning, Inc. (discussing efficacy requirements under the FDCA and noting that the beliefs of individual physicians and experts do not replace rigorous scientific evaluation for safety and efficacy). Thus, because the public's safety and the future of clinical trial research weigh in favor of denying the injunction, the Court finds that the public interest would not be furthered by entry of an injunction.</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150" w:name="_auto_toc_150"/>
    <w:bookmarkEnd w:id="150"/>
    <w:p>
      <w:pPr>
        <w:pStyle w:val="ChapterNumber"/>
      </w:pPr>
      <w:r>
        <w:t xml:space="preserve">13</w:t>
      </w:r>
    </w:p>
    <w:p>
      <w:pPr>
        <w:pStyle w:val="ChapterTitle"/>
      </w:pPr>
      <w:r>
        <w:t xml:space="preserve">Day 13</w:t>
      </w:r>
    </w:p>
    <w:p>
      <w:pPr>
        <w:pStyle w:val="HeadFieldSeparator"/>
      </w:pPr>
      <w:r>
        <w:t xml:space="preserve"> </w:t>
      </w:r>
    </w:p>
    <w:p>
      <w:pPr>
        <w:pStyle w:val="ChapterHeadnote"/>
      </w:pPr>
      <w:r>
        <w:t xml:space="preserve">Note also that if you would like a review of procedural due process, particuarly bonds and counterbonds, an outstanding set of eight videos recorded by a student from a prior year are available at https://drive.google.com/drive/folders/1IYqDhcAfp-mAYFr-JFozX7GS_aqikaic?usp=sharing.</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151" w:name="_auto_toc_151"/>
    <w:bookmarkEnd w:id="151"/>
    <w:p>
      <w:pPr>
        <w:pStyle w:val="ResourceNumber"/>
      </w:pPr>
      <w:r>
        <w:t xml:space="preserve">13.1</w:t>
      </w:r>
    </w:p>
    <w:p>
      <w:pPr>
        <w:pStyle w:val="ResourceTitle"/>
      </w:pPr>
      <w:r>
        <w:t xml:space="preserve">Rules</w:t>
      </w:r>
    </w:p>
    <w:p>
      <w:pPr>
        <w:pStyle w:val="HeadFieldSeparator"/>
      </w:pPr>
      <w:r>
        <w:t xml:space="preserve"> </w:t>
      </w:r>
    </w:p>
    <w:p>
      <w:pPr>
        <w:pStyle w:val="ResourceHeadnote"/>
      </w:pPr>
      <w:r>
        <w:t xml:space="preserve">Read the following Federal Rules of Civil Procedure. You can access them via the internet or the supplemental handout provided on Canvas.</w:t>
      </w:r>
    </w:p>
    <w:p>
      <w:pPr>
        <w:pStyle w:val="HeadEnd"/>
      </w:pPr>
      <w:r>
        <w:t xml:space="preserve"> </w:t>
      </w:r>
    </w:p>
    <w:p>
      <w:pPr>
        <w:numPr>
          <w:ilvl w:val="0"/>
          <w:numId w:val="1143"/>
        </w:numPr>
      </w:pPr>
      <w:r>
        <w:t xml:space="preserve">Fed. R. Civ. P. 4(e)(1)</w:t>
      </w:r>
    </w:p>
    <w:p>
      <w:pPr>
        <w:numPr>
          <w:ilvl w:val="0"/>
          <w:numId w:val="1143"/>
        </w:numPr>
      </w:pPr>
      <w:r>
        <w:t xml:space="preserve">Fed. R. Civ. P. 4(h)(1)</w:t>
      </w:r>
    </w:p>
    <w:p>
      <w:pPr>
        <w:pStyle w:val="NodeEnd"/>
      </w:pPr>
      <w:r>
        <w:t xml:space="preserve"> </w:t>
      </w:r>
    </w:p>
    <w:p>
      <w:pPr>
        <w:pStyle w:val="NodeStart"/>
      </w:pPr>
      <w:r>
        <w:t xml:space="preserve"> </w:t>
      </w:r>
    </w:p>
    <w:p>
      <w:pPr>
        <w:pStyle w:val="HeadSeparator"/>
      </w:pPr>
      <w:r>
        <w:t xml:space="preserve"> </w:t>
      </w:r>
    </w:p>
    <w:bookmarkStart w:id="152" w:name="_auto_toc_152"/>
    <w:bookmarkEnd w:id="152"/>
    <w:p>
      <w:pPr>
        <w:pStyle w:val="ResourceNumber"/>
      </w:pPr>
      <w:r>
        <w:t xml:space="preserve">13.2</w:t>
      </w:r>
    </w:p>
    <w:p>
      <w:pPr>
        <w:pStyle w:val="ResourceTitle"/>
      </w:pPr>
      <w:r>
        <w:t xml:space="preserve">Notice and Service of Process (again)</w:t>
      </w:r>
    </w:p>
    <w:p>
      <w:pPr>
        <w:pStyle w:val="HeadEnd"/>
      </w:pPr>
      <w:r>
        <w:t xml:space="preserve"> </w:t>
      </w:r>
    </w:p>
    <w:p>
      <w:pPr>
        <w:pStyle w:val="BodyText"/>
      </w:pPr>
      <w:r>
        <w:t xml:space="preserve">You may wish to review the Notice and Service of Process section of Day 10. The handout version can also be found</w:t>
      </w:r>
      <w:r>
        <w:t xml:space="preserve"> </w:t>
      </w:r>
      <w:hyperlink r:id="rId178">
        <w:r>
          <w:rPr>
            <w:rStyle w:val="Hyperlink"/>
          </w:rPr>
          <w:t xml:space="preserve">here</w:t>
        </w:r>
      </w:hyperlink>
      <w:r>
        <w:t xml:space="preserve"> (Word doc).</w:t>
      </w:r>
    </w:p>
    <w:p>
      <w:pPr>
        <w:pStyle w:val="NodeEnd"/>
      </w:pPr>
      <w:r>
        <w:t xml:space="preserve"> </w:t>
      </w:r>
    </w:p>
    <w:p>
      <w:pPr>
        <w:pStyle w:val="NodeStart"/>
      </w:pPr>
      <w:r>
        <w:t xml:space="preserve"> </w:t>
      </w:r>
    </w:p>
    <w:p>
      <w:pPr>
        <w:pStyle w:val="HeadSeparator"/>
      </w:pPr>
      <w:r>
        <w:t xml:space="preserve"> </w:t>
      </w:r>
    </w:p>
    <w:bookmarkStart w:id="153" w:name="_auto_toc_153"/>
    <w:bookmarkEnd w:id="153"/>
    <w:p>
      <w:pPr>
        <w:pStyle w:val="ResourceNumber"/>
      </w:pPr>
      <w:r>
        <w:t xml:space="preserve">13.3</w:t>
      </w:r>
    </w:p>
    <w:p>
      <w:pPr>
        <w:pStyle w:val="ResourceTitle"/>
      </w:pPr>
      <w:r>
        <w:t xml:space="preserve">Mullane v. Central Hanover Bank &amp; Trust Co.</w:t>
      </w:r>
    </w:p>
    <w:p>
      <w:pPr>
        <w:pStyle w:val="HeadEnd"/>
      </w:pPr>
      <w:r>
        <w:t xml:space="preserve"> </w:t>
      </w:r>
    </w:p>
    <w:p>
      <w:pPr>
        <w:pStyle w:val="CaseHeader"/>
      </w:pPr>
      <w:r>
        <w:t xml:space="preserve">Supreme Court of the United States</w:t>
      </w:r>
    </w:p>
    <w:p>
      <w:pPr>
        <w:pStyle w:val="CaseHeader"/>
      </w:pPr>
      <w:r>
        <w:t xml:space="preserve">339 U.S. 306, 94 L. Ed. 2d 865, 70 S. Ct. 652, SCDB 1949-066, 1950 U.S. LEXIS 2070</w:t>
      </w:r>
    </w:p>
    <w:p>
      <w:pPr>
        <w:pStyle w:val="CaseHeader"/>
      </w:pPr>
      <w:r>
        <w:t xml:space="preserve">No. 378</w:t>
      </w:r>
    </w:p>
    <w:p>
      <w:pPr>
        <w:pStyle w:val="CaseHeader"/>
      </w:pPr>
      <w:r>
        <w:t xml:space="preserve">1950-04-24</w:t>
      </w:r>
    </w:p>
    <w:p>
      <w:pPr>
        <w:pStyle w:val="CaseBody"/>
      </w:pPr>
      <w:r>
        <w:t xml:space="preserve">339 U.S. 306 (1950)</w:t>
      </w:r>
    </w:p>
    <w:p>
      <w:pPr>
        <w:pStyle w:val="CaseHeader"/>
      </w:pPr>
      <w:r>
        <w:t xml:space="preserve">MULLANE, SPECIAL GUARDIAN,</w:t>
      </w:r>
      <w:r>
        <w:br/>
      </w:r>
      <w:r>
        <w:t xml:space="preserve">v.</w:t>
      </w:r>
      <w:r>
        <w:br/>
      </w:r>
      <w:r>
        <w:t xml:space="preserve">CENTRAL HANOVER BANK &amp; TRUST CO., TRUSTEE, ET AL.</w:t>
      </w:r>
    </w:p>
    <w:p>
      <w:pPr>
        <w:pStyle w:val="CaseBody"/>
      </w:pPr>
      <w:r>
        <w:t xml:space="preserve">No. 378.</w:t>
      </w:r>
    </w:p>
    <w:p>
      <w:pPr>
        <w:pStyle w:val="CaseBody"/>
      </w:pPr>
      <w:r>
        <w:t xml:space="preserve">Supreme Court of United States.</w:t>
      </w:r>
    </w:p>
    <w:p>
      <w:pPr>
        <w:pStyle w:val="CaseBody"/>
      </w:pPr>
      <w:r>
        <w:rPr>
          <w:rStyle w:val="Elision"/>
        </w:rPr>
        <w:t xml:space="preserve">[ … ]</w:t>
      </w:r>
    </w:p>
    <w:p>
      <w:pPr>
        <w:pStyle w:val="CaseBody"/>
      </w:pPr>
      <w:r>
        <w:t xml:space="preserve">APPEAL FROM THE COURT OF APPEALS OF NEW YORK.</w:t>
      </w:r>
    </w:p>
    <w:p>
      <w:pPr>
        <w:pStyle w:val="CaseBody"/>
      </w:pPr>
      <w:r>
        <w:rPr>
          <w:rStyle w:val="Elision"/>
        </w:rPr>
        <w:t xml:space="preserve">[ … ]</w:t>
      </w:r>
    </w:p>
    <w:bookmarkStart w:id="213" w:name="X92069228ce300467244653169a14839fd92edae"/>
    <w:p>
      <w:pPr>
        <w:pStyle w:val="Heading2"/>
      </w:pPr>
      <w:r>
        <w:t xml:space="preserve">MR. JUSTICE JACKSON delivered the opinion of the Court.</w:t>
      </w:r>
    </w:p>
    <w:p>
      <w:pPr>
        <w:pStyle w:val="CaseBody"/>
      </w:pPr>
      <w:r>
        <w:t xml:space="preserve">This controversy questions the constitutional sufficiency of notice to notice to beneficiaries on judicial settlement of accounts by the trustee of a common trust fund established under the New York Banking Law. The New York Court of Appeals considered and overruled objections that the statutory notice contravenes requirements of the Fourteenth Amendment and that by allowance of the account beneficiaries were deprived of property without due process of law.</w:t>
      </w:r>
      <w:r>
        <w:rPr>
          <w:rStyle w:val="Elision"/>
        </w:rPr>
        <w:t xml:space="preserve">[ … ]</w:t>
      </w:r>
      <w:r>
        <w:t xml:space="preserve"> </w:t>
      </w:r>
      <w:r>
        <w:rPr>
          <w:rStyle w:val="Elision"/>
        </w:rPr>
        <w:t xml:space="preserve">[ … ]</w:t>
      </w:r>
    </w:p>
    <w:p>
      <w:pPr>
        <w:pStyle w:val="CaseBody"/>
      </w:pPr>
      <w:r>
        <w:t xml:space="preserve">Common trust fund legislation is addressed to a problem appropriate for state action. Mounting overheads have made administration of small trusts undesirable to corporate trustees. In order that donors and testators of moderately sized trusts may not be denied the service of corporate fiduciaries, the District of Columbia and some</w:t>
      </w:r>
      <w:r>
        <w:t xml:space="preserve"> </w:t>
      </w:r>
      <w:r>
        <w:rPr>
          <w:rStyle w:val="Elision"/>
        </w:rPr>
        <w:t xml:space="preserve">[ … ]</w:t>
      </w:r>
      <w:r>
        <w:t xml:space="preserve"> </w:t>
      </w:r>
      <w:r>
        <w:t xml:space="preserve">thirty states other than New York have permitted pooling small trust estates into one fund for investment administration.</w:t>
      </w:r>
      <w:hyperlink w:anchor="X4f679f84438eb56fe6b34cc8a28198f95a7ff3a">
        <w:r>
          <w:rPr>
            <w:rStyle w:val="Elision"/>
            <w:vertAlign w:val="superscript"/>
          </w:rPr>
          <w:t xml:space="preserve">[ … ]</w:t>
        </w:r>
      </w:hyperlink>
      <w:r>
        <w:t xml:space="preserve"> </w:t>
      </w:r>
      <w:r>
        <w:t xml:space="preserve">The income, capital gains, losses and expenses of the collective trust are shared by the constituent trusts in proportion to their contribution. By this plan, diversification of risk and economy of management can be extended to those whose capital standing alone would not obtain such advantage.</w:t>
      </w:r>
    </w:p>
    <w:p>
      <w:pPr>
        <w:pStyle w:val="CaseBody"/>
      </w:pPr>
      <w:r>
        <w:t xml:space="preserve">Statutory authorization for the establishment of such common trust funds is provided in the New York Banking Law</w:t>
      </w:r>
      <w:r>
        <w:rPr>
          <w:rStyle w:val="Elision"/>
        </w:rPr>
        <w:t xml:space="preserve">[ … ]</w:t>
      </w:r>
      <w:r>
        <w:t xml:space="preserve">. Under this Act a trust company may, with approval of the State Banking Board, establish a common fund and, within prescribed limits,</w:t>
      </w:r>
      <w:r>
        <w:t xml:space="preserve"> </w:t>
      </w:r>
      <w:r>
        <w:rPr>
          <w:rStyle w:val="Elision"/>
        </w:rPr>
        <w:t xml:space="preserve">[ … ]</w:t>
      </w:r>
      <w:r>
        <w:t xml:space="preserve"> </w:t>
      </w:r>
      <w:r>
        <w:t xml:space="preserve">invest therein the assets of an unlimited number of estates, trusts or other funds of which it is trustee. Each participating trust shares ratably in the common fund, but exclusive management and control is in the trust company as trustee, and neither a fiduciary nor any beneficiary of a participating trust is deemed to have ownership in any particular asset or investment of this common fund. The trust company must keep fund assets separate from its own, and in its fiduciary capacity may not deal with itself or any affiliate. Provisions are made for accounting twelve to fifteen months after the establishment of a fund and triennially thereafter. The decree in each such judicial settlement of accounts is made binding and conclusive as to any matter set forth in the account upon everyone having any interest in the common fund or in any participating estate, trust or fund.</w:t>
      </w:r>
    </w:p>
    <w:p>
      <w:pPr>
        <w:pStyle w:val="CaseBody"/>
      </w:pPr>
      <w:r>
        <w:t xml:space="preserve">In January, 1946, Central Hanover Bank and Trust Company established a common trust fund in accordance with these provisions, and in March, 1947, it petitioned the Surrogate's Court for</w:t>
      </w:r>
      <w:r>
        <w:t xml:space="preserve"> </w:t>
      </w:r>
      <w:r>
        <w:t xml:space="preserve">settlement</w:t>
      </w:r>
      <w:r>
        <w:rPr>
          <w:rStyle w:val="FootnoteReference"/>
        </w:rPr>
        <w:footnoteReference w:customMarkFollows="1" w:id="34"/>
        <w:t xml:space="preserve">*</w:t>
      </w:r>
      <w:r>
        <w:t xml:space="preserve"> </w:t>
      </w:r>
      <w:r>
        <w:t xml:space="preserve">of its first account as common trustee. During the accounting period a total of 113 trusts</w:t>
      </w:r>
      <w:r>
        <w:rPr>
          <w:rStyle w:val="Elision"/>
        </w:rPr>
        <w:t xml:space="preserve">[ … ]</w:t>
      </w:r>
      <w:r>
        <w:t xml:space="preserve"> </w:t>
      </w:r>
      <w:r>
        <w:t xml:space="preserve">participated in the common trust fund, the gross capital of which was nearly three million dollars. The record does not show the number or residence of the beneficiaries, but they were many and it is clear that some of them were not residents of the State of New York.</w:t>
      </w:r>
    </w:p>
    <w:p>
      <w:pPr>
        <w:pStyle w:val="CaseBody"/>
      </w:pPr>
      <w:r>
        <w:t xml:space="preserve">The only notice given beneficiaries of this specific application was by publication in a local newspaper in strict compliance with the minimum requirements of N. Y. Banking</w:t>
      </w:r>
      <w:r>
        <w:t xml:space="preserve"> </w:t>
      </w:r>
      <w:r>
        <w:rPr>
          <w:rStyle w:val="ReplacementText"/>
        </w:rPr>
        <w:t xml:space="preserve">Law[.]</w:t>
      </w:r>
      <w:r>
        <w:t xml:space="preserve"> </w:t>
      </w:r>
      <w:r>
        <w:rPr>
          <w:rStyle w:val="Elision"/>
        </w:rPr>
        <w:t xml:space="preserve">[ … ]</w:t>
      </w:r>
      <w:r>
        <w:t xml:space="preserve"> </w:t>
      </w:r>
      <w:r>
        <w:t xml:space="preserve">Thus the only notice required, and the only one given, was by newspaper publication setting forth merely the name and address of the trust company, the name and the date of establishment of the common trust fund, and a list of all participating estates, trusts or funds.</w:t>
      </w:r>
    </w:p>
    <w:p>
      <w:pPr>
        <w:pStyle w:val="CaseBody"/>
      </w:pPr>
      <w:r>
        <w:rPr>
          <w:rStyle w:val="Elision"/>
        </w:rPr>
        <w:t xml:space="preserve">[ … ]</w:t>
      </w:r>
    </w:p>
    <w:p>
      <w:pPr>
        <w:pStyle w:val="CaseBody"/>
      </w:pPr>
      <w:r>
        <w:t xml:space="preserve">Upon the filing of the petition for the settlement of accounts, appellant was, by order of the court</w:t>
      </w:r>
      <w:r>
        <w:t xml:space="preserve"> </w:t>
      </w:r>
      <w:r>
        <w:rPr>
          <w:rStyle w:val="Elision"/>
        </w:rPr>
        <w:t xml:space="preserve">[ … ]</w:t>
      </w:r>
      <w:r>
        <w:t xml:space="preserve">, appointed special guardian and attorney for all persons known or unknown not otherwise appearing who had or might thereafter have any interest in the income of the common trust fund; and appellee Vaughan was appointed to represent those similarly interested in the principal. There were no other appearances on behalf of any one interested in either interest or principal.</w:t>
      </w:r>
    </w:p>
    <w:p>
      <w:pPr>
        <w:pStyle w:val="CaseBody"/>
      </w:pPr>
      <w:r>
        <w:rPr>
          <w:rStyle w:val="Elision"/>
        </w:rPr>
        <w:t xml:space="preserve">[ … ]</w:t>
      </w:r>
      <w:r>
        <w:t xml:space="preserve">Appellant appeared specially, objecting that notice and the statutory provisions for notice to beneficiaries were inadequate to afford due process under the Fourteenth Amendment, and therefore that the court was without jurisdiction to render a final and binding decree. Appellant's objections were entertained and overruled, the Surrogate holding that the notice required and given was sufficient.</w:t>
      </w:r>
      <w:r>
        <w:t xml:space="preserve"> </w:t>
      </w:r>
      <w:r>
        <w:rPr>
          <w:rStyle w:val="Elision"/>
        </w:rPr>
        <w:t xml:space="preserve">[ … ]</w:t>
      </w:r>
      <w:r>
        <w:t xml:space="preserve"> </w:t>
      </w:r>
      <w:r>
        <w:t xml:space="preserve">A final decree accepting the accounts has been entered, affirmed by the Appellate Division of the Supreme Court,</w:t>
      </w:r>
      <w:r>
        <w:t xml:space="preserve"> </w:t>
      </w:r>
      <w:r>
        <w:rPr>
          <w:rStyle w:val="Elision"/>
        </w:rPr>
        <w:t xml:space="preserve">[ … ]</w:t>
      </w:r>
      <w:r>
        <w:t xml:space="preserve">, and by the Court of Appeals of the State of New York.</w:t>
      </w:r>
      <w:r>
        <w:t xml:space="preserve"> </w:t>
      </w:r>
      <w:r>
        <w:rPr>
          <w:rStyle w:val="Elision"/>
        </w:rPr>
        <w:t xml:space="preserve">[ … ]</w:t>
      </w:r>
    </w:p>
    <w:p>
      <w:pPr>
        <w:pStyle w:val="CaseBody"/>
      </w:pPr>
      <w:r>
        <w:t xml:space="preserve">The effect of this decree, as held below, is to settle "all questions respecting the management of the common fund." We understand that every right which beneficiaries would otherwise have against the trust company, either as trustee of the common fund or as trustee of any individual trust, for improper management of the common trust fund during the period covered by the accounting is sealed and wholly terminated by the decree.</w:t>
      </w:r>
      <w:r>
        <w:t xml:space="preserve"> </w:t>
      </w:r>
      <w:r>
        <w:rPr>
          <w:rStyle w:val="Elision"/>
        </w:rPr>
        <w:t xml:space="preserve">[ … ]</w:t>
      </w:r>
    </w:p>
    <w:p>
      <w:pPr>
        <w:pStyle w:val="CaseBody"/>
      </w:pPr>
      <w:r>
        <w:t xml:space="preserve">We are met at the outset with a challenge to the power of the State—the right of its courts to adjudicate at all as against those beneficiaries who reside without the State of New York. It is contended that the proceeding is one</w:t>
      </w:r>
      <w:r>
        <w:t xml:space="preserve"> </w:t>
      </w:r>
      <w:r>
        <w:rPr>
          <w:iCs/>
          <w:i/>
        </w:rPr>
        <w:t xml:space="preserve">in personam</w:t>
      </w:r>
      <w:r>
        <w:t xml:space="preserve"> </w:t>
      </w:r>
      <w:r>
        <w:t xml:space="preserve">in that the decree affects neither title to nor possession of any</w:t>
      </w:r>
      <w:r>
        <w:t xml:space="preserve"> </w:t>
      </w:r>
      <w:r>
        <w:rPr>
          <w:iCs/>
          <w:i/>
        </w:rPr>
        <w:t xml:space="preserve">res,</w:t>
      </w:r>
      <w:r>
        <w:t xml:space="preserve"> </w:t>
      </w:r>
      <w:r>
        <w:t xml:space="preserve">but adjudges only personal rights of the beneficiaries to surcharge their trustee for negligence or breach of trust. Accordingly, it is said, under the strict doctrine of</w:t>
      </w:r>
      <w:r>
        <w:t xml:space="preserve"> </w:t>
      </w:r>
      <w:r>
        <w:rPr>
          <w:iCs/>
          <w:i/>
        </w:rPr>
        <w:t xml:space="preserve">Pennoyer</w:t>
      </w:r>
      <w:r>
        <w:t xml:space="preserve"> </w:t>
      </w:r>
      <w:r>
        <w:t xml:space="preserve">v.</w:t>
      </w:r>
      <w:r>
        <w:t xml:space="preserve"> </w:t>
      </w:r>
      <w:r>
        <w:rPr>
          <w:iCs/>
          <w:i/>
        </w:rPr>
        <w:t xml:space="preserve">Neff,</w:t>
      </w:r>
      <w:r>
        <w:t xml:space="preserve"> </w:t>
      </w:r>
      <w:r>
        <w:rPr>
          <w:rStyle w:val="Elision"/>
        </w:rPr>
        <w:t xml:space="preserve">[ … ]</w:t>
      </w:r>
      <w:r>
        <w:t xml:space="preserve"> </w:t>
      </w:r>
      <w:r>
        <w:t xml:space="preserve">the Surrogate</w:t>
      </w:r>
      <w:r>
        <w:rPr>
          <w:rStyle w:val="Elision"/>
        </w:rPr>
        <w:t xml:space="preserve">[ … ]</w:t>
      </w:r>
      <w:r>
        <w:t xml:space="preserve"> </w:t>
      </w:r>
      <w:r>
        <w:t xml:space="preserve">is without jurisdiction as to nonresidents upon whom personal service of process was not made.</w:t>
      </w:r>
    </w:p>
    <w:p>
      <w:pPr>
        <w:pStyle w:val="CaseBody"/>
      </w:pPr>
      <w:r>
        <w:t xml:space="preserve">Distinctions between actions</w:t>
      </w:r>
      <w:r>
        <w:t xml:space="preserve"> </w:t>
      </w:r>
      <w:r>
        <w:rPr>
          <w:iCs/>
          <w:i/>
        </w:rPr>
        <w:t xml:space="preserve">in rem</w:t>
      </w:r>
      <w:r>
        <w:t xml:space="preserve"> </w:t>
      </w:r>
      <w:r>
        <w:t xml:space="preserve">and those</w:t>
      </w:r>
      <w:r>
        <w:t xml:space="preserve"> </w:t>
      </w:r>
      <w:r>
        <w:rPr>
          <w:iCs/>
          <w:i/>
        </w:rPr>
        <w:t xml:space="preserve">in personam</w:t>
      </w:r>
      <w:r>
        <w:t xml:space="preserve"> </w:t>
      </w:r>
      <w:r>
        <w:t xml:space="preserve">are ancient and originally expressed in procedural terms what seems really to have been a distinction in the substantive law of property under a system quite unlike our own.</w:t>
      </w:r>
      <w:r>
        <w:t xml:space="preserve"> </w:t>
      </w:r>
      <w:r>
        <w:rPr>
          <w:rStyle w:val="Elision"/>
        </w:rPr>
        <w:t xml:space="preserve">[ … ]</w:t>
      </w:r>
      <w:r>
        <w:t xml:space="preserve"> </w:t>
      </w:r>
      <w:r>
        <w:t xml:space="preserve">The legal recognition and rise in economic importance of incorporeal or intangible forms of property have upset the ancient simplicity of property law and the clarity of its distinctions, while new forms of proceedings have confused the old procedural classification. American courts have sometimes classed certain actions as</w:t>
      </w:r>
      <w:r>
        <w:t xml:space="preserve"> </w:t>
      </w:r>
      <w:r>
        <w:rPr>
          <w:iCs/>
          <w:i/>
        </w:rPr>
        <w:t xml:space="preserve">in rem</w:t>
      </w:r>
      <w:r>
        <w:t xml:space="preserve"> </w:t>
      </w:r>
      <w:r>
        <w:t xml:space="preserve">because personal service of process was not required, and at other times have held personal service of process not required because the action was</w:t>
      </w:r>
      <w:r>
        <w:t xml:space="preserve"> </w:t>
      </w:r>
      <w:r>
        <w:rPr>
          <w:iCs/>
          <w:i/>
        </w:rPr>
        <w:t xml:space="preserve">in rem.</w:t>
      </w:r>
      <w:r>
        <w:t xml:space="preserve"> </w:t>
      </w:r>
      <w:r>
        <w:rPr>
          <w:rStyle w:val="Elision"/>
        </w:rPr>
        <w:t xml:space="preserve">[ … ]</w:t>
      </w:r>
    </w:p>
    <w:p>
      <w:pPr>
        <w:pStyle w:val="CaseBody"/>
      </w:pPr>
      <w:r>
        <w:t xml:space="preserve">Judicial proceedings to settle fiduciary accounts have been sometimes termed</w:t>
      </w:r>
      <w:r>
        <w:t xml:space="preserve"> </w:t>
      </w:r>
      <w:r>
        <w:rPr>
          <w:iCs/>
          <w:i/>
        </w:rPr>
        <w:t xml:space="preserve">in rem,</w:t>
      </w:r>
      <w:r>
        <w:t xml:space="preserve"> </w:t>
      </w:r>
      <w:r>
        <w:t xml:space="preserve">or more indefinitely</w:t>
      </w:r>
      <w:r>
        <w:t xml:space="preserve"> </w:t>
      </w:r>
      <w:r>
        <w:rPr>
          <w:iCs/>
          <w:i/>
        </w:rPr>
        <w:t xml:space="preserve">quasi in rem,</w:t>
      </w:r>
      <w:r>
        <w:t xml:space="preserve"> </w:t>
      </w:r>
      <w:r>
        <w:t xml:space="preserve">or more vaguely still, "in the nature of a proceeding</w:t>
      </w:r>
      <w:r>
        <w:t xml:space="preserve"> </w:t>
      </w:r>
      <w:r>
        <w:rPr>
          <w:iCs/>
          <w:i/>
        </w:rPr>
        <w:t xml:space="preserve">in rem.</w:t>
      </w:r>
      <w:r>
        <w:t xml:space="preserve">" It is not readily apparent how the courts of New York did or would classify the present proceeding, which has some characteristics and is wanting in some features of proceedings both</w:t>
      </w:r>
      <w:r>
        <w:t xml:space="preserve"> </w:t>
      </w:r>
      <w:r>
        <w:rPr>
          <w:iCs/>
          <w:i/>
        </w:rPr>
        <w:t xml:space="preserve">in rem</w:t>
      </w:r>
      <w:r>
        <w:t xml:space="preserve"> </w:t>
      </w:r>
      <w:r>
        <w:t xml:space="preserve">and</w:t>
      </w:r>
      <w:r>
        <w:t xml:space="preserve"> </w:t>
      </w:r>
      <w:r>
        <w:rPr>
          <w:iCs/>
          <w:i/>
        </w:rPr>
        <w:t xml:space="preserve">in personam.</w:t>
      </w:r>
      <w:r>
        <w:t xml:space="preserve"> </w:t>
      </w:r>
      <w:r>
        <w:t xml:space="preserve">But in any event we think that the requirements of the Fourteenth Amendment to the Federal Constitution do not depend upon a classification for which the standards are so elusive and confused generally and which, being primarily for state courts to define, may and do vary from state to state. Without disparaging the usefulness of distinctions between actions</w:t>
      </w:r>
      <w:r>
        <w:t xml:space="preserve"> </w:t>
      </w:r>
      <w:r>
        <w:rPr>
          <w:iCs/>
          <w:i/>
        </w:rPr>
        <w:t xml:space="preserve">in rem</w:t>
      </w:r>
      <w:r>
        <w:t xml:space="preserve"> </w:t>
      </w:r>
      <w:r>
        <w:t xml:space="preserve">and those</w:t>
      </w:r>
      <w:r>
        <w:t xml:space="preserve"> </w:t>
      </w:r>
      <w:r>
        <w:rPr>
          <w:iCs/>
          <w:i/>
        </w:rPr>
        <w:t xml:space="preserve">in personam</w:t>
      </w:r>
      <w:r>
        <w:t xml:space="preserve"> </w:t>
      </w:r>
      <w:r>
        <w:t xml:space="preserve">in many branches of law, or on other issues, or the reasoning which underlies them, we do not rest the power of the State to resort to constructive service in this proceeding</w:t>
      </w:r>
      <w:r>
        <w:rPr>
          <w:rStyle w:val="Elision"/>
        </w:rPr>
        <w:t xml:space="preserve">[ … ]</w:t>
      </w:r>
      <w:r>
        <w:t xml:space="preserve"> </w:t>
      </w:r>
      <w:r>
        <w:t xml:space="preserve">upon how its courts or this Court may regard this historic antithesis. It is sufficient to observe that, whatever the technical definition of its chosen procedure, the interest of each state in providing means to close trusts that exist by the grace of its laws and are administered under the supervision of its courts is so insistent and rooted in custom as to establish beyond doubt the right of its courts to determine the interests of all claimants, resident or nonresident, provided its procedure accords full opportunity to appear and be heard.</w:t>
      </w:r>
    </w:p>
    <w:p>
      <w:pPr>
        <w:pStyle w:val="CaseBody"/>
      </w:pPr>
      <w:r>
        <w:t xml:space="preserve">Quite different from the question of a state's power to discharge trustees is that of the opportunity it must give beneficiaries to contest. Many controversies have raged about the cryptic and abstract words of the Due Process Clause but there can be no doubt that at a minimum they require that deprivation of life, liberty or property by adjudication be preceded by notice and opportunity for hearing appropriate to the nature of the case.</w:t>
      </w:r>
    </w:p>
    <w:p>
      <w:pPr>
        <w:pStyle w:val="CaseBody"/>
      </w:pPr>
      <w:r>
        <w:t xml:space="preserve">In two ways this proceeding does or may deprive beneficiaries of property. It may cut off their rights to have the trustee answer for negligent or illegal impairments of their interests. Also, their interests are presumably subject to diminution in the proceeding by allowance of fees and expenses to one who, in their names but without their knowledge, may conduct a fruitless or uncompensatory contest. Certainly the proceeding is one in which they may be deprived of property rights and hence notice and hearing must measure up to the standards of due process.</w:t>
      </w:r>
    </w:p>
    <w:p>
      <w:pPr>
        <w:pStyle w:val="CaseBody"/>
      </w:pPr>
      <w:r>
        <w:t xml:space="preserve">Personal service of written notice within the jurisdiction is the classic form of notice always adequate in any type of proceeding. But the vital interest of the State in bringing any issues as to its fiduciaries to a final settlement can be served only if interests or claims of individuals who are outside of the State can somehow be determined. A construction of the Due Process Clause which</w:t>
      </w:r>
      <w:r>
        <w:t xml:space="preserve"> </w:t>
      </w:r>
      <w:r>
        <w:rPr>
          <w:rStyle w:val="Elision"/>
        </w:rPr>
        <w:t xml:space="preserve">[ … ]</w:t>
      </w:r>
      <w:r>
        <w:t xml:space="preserve"> </w:t>
      </w:r>
      <w:r>
        <w:t xml:space="preserve">would place impossible or impractical obstacles in the way could not be justified.</w:t>
      </w:r>
    </w:p>
    <w:p>
      <w:pPr>
        <w:pStyle w:val="CaseBody"/>
      </w:pPr>
      <w:r>
        <w:t xml:space="preserve">Against this interest of the State we must balance the individual interest sought to be protected by the Fourteenth Amendment. This is defined by our holding that "The fundamental requisite of due process of law is the opportunity to be heard."</w:t>
      </w:r>
      <w:r>
        <w:t xml:space="preserve"> </w:t>
      </w:r>
      <w:r>
        <w:rPr>
          <w:rStyle w:val="Elision"/>
        </w:rPr>
        <w:t xml:space="preserve">[ … ]</w:t>
      </w:r>
      <w:r>
        <w:t xml:space="preserve">. This right to be heard has little reality or worth unless one is informed that the matter is pending and can choose for himself whether to appear or default, acquiesce or contest.</w:t>
      </w:r>
    </w:p>
    <w:p>
      <w:pPr>
        <w:pStyle w:val="CaseBody"/>
      </w:pPr>
      <w:r>
        <w:t xml:space="preserve">The Court has not committed itself to any formula achieving a balance between these interests in a particular proceeding or determining when constructive notice may be utilized or what test it must meet. Personal service has not in all circumstances been regarded as indispensable to the process due to residents, and it has more often been held unnecessary as to nonresidents. We disturb none of the established rules on these subjects.</w:t>
      </w:r>
      <w:r>
        <w:t xml:space="preserve"> </w:t>
      </w:r>
      <w:r>
        <w:rPr>
          <w:rStyle w:val="Elision"/>
        </w:rPr>
        <w:t xml:space="preserve">[ … ]</w:t>
      </w:r>
    </w:p>
    <w:p>
      <w:pPr>
        <w:pStyle w:val="CaseBody"/>
      </w:pPr>
      <w:r>
        <w:t xml:space="preserve">An elementary and fundamental requirement of due process in any proceeding which is to be accorded finality is notice reasonably calculated, under all the circumstances, to apprise interested parties of the pendency of the action and afford them an opportunity to present their objections.</w:t>
      </w:r>
      <w:r>
        <w:t xml:space="preserve"> </w:t>
      </w:r>
      <w:r>
        <w:rPr>
          <w:rStyle w:val="Elision"/>
        </w:rPr>
        <w:t xml:space="preserve">[ … ]</w:t>
      </w:r>
      <w:r>
        <w:t xml:space="preserve">The notice must be of such nature as reasonably to convey the required information,</w:t>
      </w:r>
      <w:r>
        <w:t xml:space="preserve"> </w:t>
      </w:r>
      <w:r>
        <w:rPr>
          <w:rStyle w:val="Elision"/>
        </w:rPr>
        <w:t xml:space="preserve">[ … ]</w:t>
      </w:r>
      <w:r>
        <w:t xml:space="preserve">and it must afford a reasonable time for those interested to make their appearance,</w:t>
      </w:r>
      <w:r>
        <w:t xml:space="preserve"> </w:t>
      </w:r>
      <w:r>
        <w:rPr>
          <w:rStyle w:val="Elision"/>
        </w:rPr>
        <w:t xml:space="preserve">[ … ]</w:t>
      </w:r>
      <w:r>
        <w:t xml:space="preserve">But if with due regard for the practicalities and peculiarities of the case these conditions</w:t>
      </w:r>
      <w:r>
        <w:t xml:space="preserve"> </w:t>
      </w:r>
      <w:r>
        <w:rPr>
          <w:rStyle w:val="Elision"/>
        </w:rPr>
        <w:t xml:space="preserve">[ … ]</w:t>
      </w:r>
      <w:r>
        <w:t xml:space="preserve"> </w:t>
      </w:r>
      <w:r>
        <w:t xml:space="preserve">are reasonably met, the constitutional requirements are satisfied. "The criterion is not the possibility of conceivable injury but the just and reasonable character of the requirements, having reference to the subject with which the statute deals."</w:t>
      </w:r>
      <w:r>
        <w:t xml:space="preserve"> </w:t>
      </w:r>
      <w:r>
        <w:rPr>
          <w:rStyle w:val="Elision"/>
        </w:rPr>
        <w:t xml:space="preserve">[ … ]</w:t>
      </w:r>
    </w:p>
    <w:p>
      <w:pPr>
        <w:pStyle w:val="CaseBody"/>
      </w:pPr>
      <w:r>
        <w:t xml:space="preserve">But when notice is a person's due, process which is a mere gesture is not due process. The means employed must be such as one desirous of actually informing the absentee might reasonably adopt to accomplish it. The reasonableness and hence the constitutional validity of any chosen method may be defended on the ground that it is in itself reasonably certain to inform those affected,</w:t>
      </w:r>
      <w:r>
        <w:rPr>
          <w:rStyle w:val="Elision"/>
        </w:rPr>
        <w:t xml:space="preserve">[ … ]</w:t>
      </w:r>
      <w:r>
        <w:t xml:space="preserve">or, where conditions do not reasonably permit such notice, that the form chosen is not substantially less likely to bring home notice than other of the feasible and customary substitutes.</w:t>
      </w:r>
    </w:p>
    <w:p>
      <w:pPr>
        <w:pStyle w:val="CaseBody"/>
      </w:pPr>
      <w:r>
        <w:t xml:space="preserve">It would be idle to pretend that publication alone, as prescribed here, is a reliable means of acquainting interested parties of the fact that their rights are before the courts. It is not an accident that the greater number of cases reaching this Court on the question of adequacy of notice have been concerned with actions founded on process constructively served through local newspapers. Chance alone brings to the attention of even a local resident an advertisement in small type inserted in the back pages of a newspaper, and if he makes his home outside the area of the newspaper's normal circulation the odds that the information will never reach him are large indeed. The chance of actual notice is further reduced when, as here, the notice required does not even name those whose attention it is supposed to attract, and does not inform acquaintances who might call it to attention. In weighing its sufficiency on the basis of equivalence with actual notice, we are unable to regard this as more than a feint.</w:t>
      </w:r>
    </w:p>
    <w:p>
      <w:pPr>
        <w:pStyle w:val="CaseBody"/>
      </w:pPr>
      <w:r>
        <w:rPr>
          <w:rStyle w:val="Elision"/>
        </w:rPr>
        <w:t xml:space="preserve">[ … ]</w:t>
      </w:r>
      <w:r>
        <w:t xml:space="preserve">Nor is publication here reinforced by steps likely to attract the parties' attention to the proceeding. It is true that publication traditionally has been acceptable as notification supplemental to other action which in itself may reasonably be expected to convey a warning. The ways of an owner with tangible property are such that he usually arranges means to learn of any direct attack upon his possessory or proprietary rights. Hence, libel of a ship, attachment of a chattel or entry upon real estate in the name of law may reasonably be expected to come promptly to the owner's attention. When the state within which the owner has located such property seizes it for some reason, publication or posting affords an additional measure of notification. A state may indulge the assumption that one who has left tangible property in the state either has abandoned it, in which case proceedings against it deprive him of nothing</w:t>
      </w:r>
      <w:r>
        <w:rPr>
          <w:rStyle w:val="ReplacementText"/>
        </w:rPr>
        <w:t xml:space="preserve">[.]</w:t>
      </w:r>
      <w:r>
        <w:t xml:space="preserve"> </w:t>
      </w:r>
      <w:r>
        <w:rPr>
          <w:rStyle w:val="Elision"/>
        </w:rPr>
        <w:t xml:space="preserve">[ … ]</w:t>
      </w:r>
      <w:r>
        <w:t xml:space="preserve"> </w:t>
      </w:r>
      <w:r>
        <w:t xml:space="preserve">or that he has left some caretaker under a duty to let him know that it is being jeopardized.</w:t>
      </w:r>
      <w:r>
        <w:t xml:space="preserve"> </w:t>
      </w:r>
      <w:r>
        <w:rPr>
          <w:rStyle w:val="Elision"/>
        </w:rPr>
        <w:t xml:space="preserve">[ … ]</w:t>
      </w:r>
      <w:r>
        <w:t xml:space="preserve">As phrased long ago by Chief Justice Marshall</w:t>
      </w:r>
      <w:r>
        <w:t xml:space="preserve"> </w:t>
      </w:r>
      <w:r>
        <w:rPr>
          <w:rStyle w:val="Elision"/>
        </w:rPr>
        <w:t xml:space="preserve">[ … ]</w:t>
      </w:r>
      <w:r>
        <w:t xml:space="preserve">, "It is the part of common prudence for all those who have any interest in [a thing], to guard that interest by persons who are in a situation to protect it."</w:t>
      </w:r>
    </w:p>
    <w:p>
      <w:pPr>
        <w:pStyle w:val="CaseBody"/>
      </w:pPr>
      <w:r>
        <w:t xml:space="preserve">In the case before us there is, of course, no abandonment. On the other hand these beneficiaries do have a resident fiduciary as caretaker of their interest in this property. But it is their caretaker who in the accounting becomes their adversary. Their trustee is released from giving notice of jeopardy, and no one else is expected to do so. Not even the special guardian is required or apparently expected to communicate with his ward and client, and, of course, if such a duty were merely transferred</w:t>
      </w:r>
      <w:r>
        <w:t xml:space="preserve"> </w:t>
      </w:r>
      <w:r>
        <w:rPr>
          <w:rStyle w:val="Elision"/>
        </w:rPr>
        <w:t xml:space="preserve">[ … ]</w:t>
      </w:r>
      <w:r>
        <w:t xml:space="preserve"> </w:t>
      </w:r>
      <w:r>
        <w:t xml:space="preserve">from the trustee to the guardian, economy would not be served and more likely the cost would be increased.</w:t>
      </w:r>
    </w:p>
    <w:p>
      <w:pPr>
        <w:pStyle w:val="CaseBody"/>
      </w:pPr>
      <w:r>
        <w:t xml:space="preserve">This Court has not hesitated to approve of resort to publication as a customary substitute in another class of cases where it is not reasonably possible or practicable to give more adequate warning. Thus it has been recognized that, in the case of persons missing or unknown, employment of an indirect and even a probably futile means of notification is all that the situation permits and creates no constitutional bar to a final decree foreclosing their rights.</w:t>
      </w:r>
      <w:r>
        <w:t xml:space="preserve"> </w:t>
      </w:r>
      <w:r>
        <w:rPr>
          <w:rStyle w:val="Elision"/>
        </w:rPr>
        <w:t xml:space="preserve">[ … ]</w:t>
      </w:r>
    </w:p>
    <w:p>
      <w:pPr>
        <w:pStyle w:val="CaseBody"/>
      </w:pPr>
      <w:r>
        <w:t xml:space="preserve">Those beneficiaries represented by appellant whose interests or whereabouts could not with due diligence be ascertained come clearly within this category. As to them the statutory notice is sufficient. However great the odds that publication will never reach the eyes of such unknown parties, it is not in the typical case much more likely to fail than any of the choices open to legislators endeavoring to prescribe the best notice practicable.</w:t>
      </w:r>
    </w:p>
    <w:p>
      <w:pPr>
        <w:pStyle w:val="CaseBody"/>
      </w:pPr>
      <w:r>
        <w:t xml:space="preserve">Nor do we consider it unreasonable for the State to dispense with more certain notice to those beneficiaries whose interests are either conjectural or future or, although they could be discovered upon investigation, do not in due course of business come to knowledge of the common trustee. Whatever searches might be required in another situation under ordinary standards of diligence, in view of the character of the proceedings and the nature of the interests here involved we think them unnecessary. We recognize the practical difficulties and costs that would be attendant on frequent investigations into the status of great numbers of beneficiaries, many of whose interests in the common fund are so remote as to be ephemeral; and we have no doubt that such impracticable and extended searches are not required in the [318] name of due process. The expense of keeping informed from day to day of substitutions among even current income beneficiaries and presumptive remaindermen, to say nothing of the far greater number of contingent beneficiaries, would impose a severe burden on the plan, and would likely dissipate its advantages. These are practical matters in which we should be reluctant to disturb the judgment of the state authorities.</w:t>
      </w:r>
    </w:p>
    <w:p>
      <w:pPr>
        <w:pStyle w:val="CaseBody"/>
      </w:pPr>
      <w:r>
        <w:t xml:space="preserve">Accordingly we overrule appellant's constitutional objections to published notice insofar as they are urged on behalf of any beneficiaries whose interests or addresses are unknown to the trustee.</w:t>
      </w:r>
    </w:p>
    <w:p>
      <w:pPr>
        <w:pStyle w:val="CaseBody"/>
      </w:pPr>
      <w:r>
        <w:t xml:space="preserve">As to known present beneficiaries of known place of residence, however, notice by publication stands on a different footing. Exceptions in the name of necessity do not sweep away the rule that within the limits of practicability notice must be such as is reasonably calculated to reach interested parties. Where the names and postoffice addresses of those affected by a proceeding are at hand, the reasons disappear for resort to means less likely than the mails to apprise them of its pendency.</w:t>
      </w:r>
    </w:p>
    <w:p>
      <w:pPr>
        <w:pStyle w:val="CaseBody"/>
      </w:pPr>
      <w:r>
        <w:t xml:space="preserve">The trustee has on its books the names and addresses of the income beneficiaries represented by appellant, and we find no tenable ground for dispensing with a serious effort to inform them personally of the accounting, at least by ordinary mail to the record addresses.</w:t>
      </w:r>
      <w:r>
        <w:t xml:space="preserve"> </w:t>
      </w:r>
      <w:r>
        <w:rPr>
          <w:rStyle w:val="Elision"/>
        </w:rPr>
        <w:t xml:space="preserve">[ … ]</w:t>
      </w:r>
      <w:r>
        <w:t xml:space="preserve"> </w:t>
      </w:r>
      <w:r>
        <w:t xml:space="preserve">Certainly sending them a copy of the statute months and perhaps years in advance does not answer this purpose. The trustee periodically remits their income to them, and we think that they might reasonably expect that with or apart from their remittances word might come to them personally that steps were being taken affecting their interests.</w:t>
      </w:r>
    </w:p>
    <w:p>
      <w:pPr>
        <w:pStyle w:val="CaseBody"/>
      </w:pPr>
      <w:r>
        <w:t xml:space="preserve">We need not weigh contentions that a requirement of personal service of citation on even the large number of known resident or nonresident beneficiaries would, by</w:t>
      </w:r>
      <w:r>
        <w:t xml:space="preserve"> </w:t>
      </w:r>
      <w:r>
        <w:rPr>
          <w:rStyle w:val="Elision"/>
        </w:rPr>
        <w:t xml:space="preserve">[ … ]</w:t>
      </w:r>
      <w:r>
        <w:t xml:space="preserve"> </w:t>
      </w:r>
      <w:r>
        <w:t xml:space="preserve">reasons of delay if not of expense, seriously interfere with the proper administration of the fund. Of course personal service even without the jurisdiction of the issuing authority serves the end of actual and personal notice, whatever power of compulsion it might lack. However, no such service is required under the circumstances. This type of trust presupposes a large number of small interests. The individual interest does not stand alone but is identical with that of a class. The rights of each in the integrity of the fund and the fidelity of the trustee are shared by many other beneficiaries. Therefore notice reasonably certain to reach most of those interested in objecting is likely to safeguard the interests of all, since any objection sustained would inure to the benefit of all. We think that under such circumstances reasonable risks that notice might not actually reach every beneficiary are justifiable.</w:t>
      </w:r>
      <w:r>
        <w:t xml:space="preserve"> </w:t>
      </w:r>
      <w:r>
        <w:rPr>
          <w:rStyle w:val="Elision"/>
        </w:rPr>
        <w:t xml:space="preserve">[ … ]</w:t>
      </w:r>
    </w:p>
    <w:p>
      <w:pPr>
        <w:pStyle w:val="CaseBody"/>
      </w:pPr>
      <w:r>
        <w:t xml:space="preserve">The statutory notice to known beneficiaries is inadequate, not because in fact it fails to reach everyone, but because under the circumstances it is not reasonably calculated to reach those who could easily be informed by other means at hand.</w:t>
      </w:r>
      <w:r>
        <w:t xml:space="preserve"> </w:t>
      </w:r>
      <w:r>
        <w:t xml:space="preserve">However it may have been in former times, the mails today are recognized as an efficient and inexpensive means of communication.</w:t>
      </w:r>
      <w:r>
        <w:rPr>
          <w:rStyle w:val="FootnoteReference"/>
        </w:rPr>
        <w:footnoteReference w:customMarkFollows="1" w:id="81"/>
        <w:t xml:space="preserve">**</w:t>
      </w:r>
      <w:r>
        <w:t xml:space="preserve"> </w:t>
      </w:r>
      <w:r>
        <w:t xml:space="preserve">Moreover, the fact that the trust company has been able to give mailed notice to known beneficiaries at the time the common trust fund was established is persuasive that postal notification at the time of accounting would not seriously burden the plan.</w:t>
      </w:r>
    </w:p>
    <w:p>
      <w:pPr>
        <w:pStyle w:val="CaseBody"/>
      </w:pPr>
      <w:r>
        <w:t xml:space="preserve">In some situations the law requires greater precautions in its proceedings than the business world accepts for its own purposes. In few, if any, will it be satisfied with</w:t>
      </w:r>
      <w:r>
        <w:t xml:space="preserve"> </w:t>
      </w:r>
      <w:r>
        <w:rPr>
          <w:rStyle w:val="Elision"/>
        </w:rPr>
        <w:t xml:space="preserve">[ … ]</w:t>
      </w:r>
      <w:r>
        <w:t xml:space="preserve">less. Certainly it is instructive, in determining the reasonableness of the impersonal broadcast notification here used, to ask whether it would satisfy a prudent man of business, counting his pennies but finding it in his interest to convey information to many persons whose names and addresses are in his files. We are not satisfied that it would. Publication may theoretically be available for all the world to see, but it is too much in our day to suppose that each or any individual beneficiary does or could examine all that is published to see if something may be tucked away in it that affects his property interests.</w:t>
      </w:r>
      <w:r>
        <w:t xml:space="preserve"> </w:t>
      </w:r>
      <w:r>
        <w:rPr>
          <w:rStyle w:val="Elision"/>
        </w:rPr>
        <w:t xml:space="preserve">[ … ]</w:t>
      </w:r>
    </w:p>
    <w:p>
      <w:pPr>
        <w:pStyle w:val="CaseBody"/>
      </w:pPr>
      <w:r>
        <w:rPr>
          <w:rStyle w:val="Elision"/>
        </w:rPr>
        <w:t xml:space="preserve">[ … ]</w:t>
      </w:r>
    </w:p>
    <w:p>
      <w:pPr>
        <w:pStyle w:val="CaseBody"/>
      </w:pPr>
      <w:r>
        <w:rPr>
          <w:iCs/>
          <w:i/>
        </w:rPr>
        <w:t xml:space="preserve">Reversed.</w:t>
      </w:r>
    </w:p>
    <w:p>
      <w:pPr>
        <w:pStyle w:val="CaseBody"/>
      </w:pPr>
      <w:r>
        <w:rPr>
          <w:rStyle w:val="ReplacementText"/>
        </w:rPr>
        <w:t xml:space="preserve">[A dissenting opinion by Justice Burton is omitted.]</w:t>
      </w:r>
    </w:p>
    <w:bookmarkEnd w:id="213"/>
    <w:p>
      <w:pPr>
        <w:pStyle w:val="NodeEnd"/>
      </w:pPr>
      <w:r>
        <w:t xml:space="preserve"> </w:t>
      </w:r>
    </w:p>
    <w:p>
      <w:pPr>
        <w:pStyle w:val="NodeStart"/>
      </w:pPr>
      <w:r>
        <w:t xml:space="preserve"> </w:t>
      </w:r>
    </w:p>
    <w:p>
      <w:pPr>
        <w:pStyle w:val="HeadSeparator"/>
      </w:pPr>
      <w:r>
        <w:t xml:space="preserve"> </w:t>
      </w:r>
    </w:p>
    <w:bookmarkStart w:id="154" w:name="_auto_toc_154"/>
    <w:bookmarkEnd w:id="154"/>
    <w:p>
      <w:pPr>
        <w:pStyle w:val="ResourceNumber"/>
      </w:pPr>
      <w:r>
        <w:t xml:space="preserve">13.4</w:t>
      </w:r>
    </w:p>
    <w:p>
      <w:pPr>
        <w:pStyle w:val="ResourceTitle"/>
      </w:pPr>
      <w:r>
        <w:t xml:space="preserve">Notes following Mullane</w:t>
      </w:r>
    </w:p>
    <w:p>
      <w:pPr>
        <w:pStyle w:val="HeadFieldSeparator"/>
      </w:pPr>
      <w:r>
        <w:t xml:space="preserve"> </w:t>
      </w:r>
    </w:p>
    <w:p>
      <w:pPr>
        <w:pStyle w:val="ResourceHeadnote"/>
      </w:pPr>
      <w:r>
        <w:t xml:space="preserve">These notes consist of cases that help to articulate the "reasonableness" test in</w:t>
      </w:r>
      <w:r>
        <w:t xml:space="preserve"> </w:t>
      </w:r>
      <w:r>
        <w:rPr>
          <w:iCs/>
          <w:i/>
        </w:rPr>
        <w:t xml:space="preserve">Mullane</w:t>
      </w:r>
      <w:r>
        <w:t xml:space="preserve">. This set of notes is particularly important. Perhaps the most important case is</w:t>
      </w:r>
      <w:r>
        <w:t xml:space="preserve"> </w:t>
      </w:r>
      <w:r>
        <w:rPr>
          <w:iCs/>
          <w:i/>
        </w:rPr>
        <w:t xml:space="preserve">Jones v. Flowers</w:t>
      </w:r>
      <w:r>
        <w:t xml:space="preserve">.</w:t>
      </w:r>
    </w:p>
    <w:p>
      <w:pPr>
        <w:pStyle w:val="HeadEnd"/>
      </w:pPr>
      <w:r>
        <w:t xml:space="preserve"> </w:t>
      </w:r>
    </w:p>
    <w:p>
      <w:pPr>
        <w:pStyle w:val="BodyText"/>
      </w:pPr>
      <w:r>
        <w:rPr>
          <w:bCs/>
          <w:b/>
        </w:rPr>
        <w:t xml:space="preserve">McDONALD v. MABEE,</w:t>
      </w:r>
      <w:r>
        <w:t xml:space="preserve"> </w:t>
      </w:r>
      <w:r>
        <w:t xml:space="preserve">243</w:t>
      </w:r>
      <w:r>
        <w:t xml:space="preserve"> </w:t>
      </w:r>
      <w:r>
        <w:rPr>
          <w:bCs/>
          <w:b/>
        </w:rPr>
        <w:t xml:space="preserve">U.S. 90, 37 S.Ct. 343, 61 L.Ed. 608 (1917)</w:t>
      </w:r>
    </w:p>
    <w:p>
      <w:pPr>
        <w:pStyle w:val="BodyText"/>
      </w:pPr>
      <w:r>
        <w:t xml:space="preserve">The plaintiff attempted service in a lawsuit on a promissory note only through publication in a local newspaper in Texas for four weeks in a row. The defendant was a Texas domiciliary but had left the state intending to establish a new home in Tennessee.  The defendant did not receive notice, and judgment was thus entered against them. The plaintiff then requested that the court seize some of the defendant's property in Texas to enforce the judgment.  Upon receiving notice of the property seizure, the defendant objected, arguing that the judgment in the first lawsuit was void because of insufficient attempts at notice.  The Supreme Court agreed, holding that the Due Process Clause was not satisfied by notice by publication for a non-resident defendant in a standard lawsuit for money.  (Note that the opinion in this case requires the notice "most likely to reach the defendant," but after</w:t>
      </w:r>
      <w:r>
        <w:t xml:space="preserve"> </w:t>
      </w:r>
      <w:r>
        <w:rPr>
          <w:iCs/>
          <w:i/>
        </w:rPr>
        <w:t xml:space="preserve">Mullane</w:t>
      </w:r>
      <w:r>
        <w:t xml:space="preserve">, that statement is no longer good law.)</w:t>
      </w:r>
    </w:p>
    <w:p>
      <w:pPr>
        <w:pStyle w:val="BodyText"/>
      </w:pPr>
      <w:r>
        <w:t xml:space="preserve"> </w:t>
      </w:r>
    </w:p>
    <w:p>
      <w:pPr>
        <w:pStyle w:val="BodyText"/>
      </w:pPr>
      <w:r>
        <w:rPr>
          <w:bCs/>
          <w:b/>
        </w:rPr>
        <w:t xml:space="preserve">WUCHTER v. PIZZUTTI, 276 U.S. 13, 48 S.Ct. 259, 72 L.Ed. 446 (1928)</w:t>
      </w:r>
    </w:p>
    <w:p>
      <w:pPr>
        <w:pStyle w:val="BodyText"/>
      </w:pPr>
      <w:r>
        <w:t xml:space="preserve">This case, like</w:t>
      </w:r>
      <w:r>
        <w:t xml:space="preserve"> </w:t>
      </w:r>
      <w:r>
        <w:rPr>
          <w:iCs/>
          <w:i/>
        </w:rPr>
        <w:t xml:space="preserve">Kane</w:t>
      </w:r>
      <w:r>
        <w:t xml:space="preserve"> </w:t>
      </w:r>
      <w:r>
        <w:t xml:space="preserve">and</w:t>
      </w:r>
      <w:r>
        <w:t xml:space="preserve"> </w:t>
      </w:r>
      <w:r>
        <w:rPr>
          <w:iCs/>
          <w:i/>
        </w:rPr>
        <w:t xml:space="preserve">Hess</w:t>
      </w:r>
      <w:r>
        <w:t xml:space="preserve"> </w:t>
      </w:r>
      <w:r>
        <w:t xml:space="preserve">from our personal jurisdiction module, concerned a non-resident driver who allegedly hit the plaintiff with their car.  The state's nonresident-motorist statute provided that service of process could be effectuated against the allegedly negligent defendant by providing copies of the complaint and summons to the Secretary of State of the state, but did not require the Secretary of State to take any action, such as mailing copies of the complaint and summons to the allegedly negligent driver.  The Supreme Court held that statutes of this nature needed to have a requirement that notice reasonably be attempted.  It thus held that this nonresident-motorist statute was unconstitutional under the Due Process Clause.</w:t>
      </w:r>
    </w:p>
    <w:p>
      <w:pPr>
        <w:pStyle w:val="BodyText"/>
      </w:pPr>
      <w:r>
        <w:t xml:space="preserve"> </w:t>
      </w:r>
    </w:p>
    <w:p>
      <w:pPr>
        <w:pStyle w:val="BodyText"/>
      </w:pPr>
      <w:r>
        <w:rPr>
          <w:bCs/>
          <w:b/>
        </w:rPr>
        <w:t xml:space="preserve">MENNONITE BOARD OF MISSIONS v. ADAMS, 462 U.S. 791, 103 S.Ct. 2706, 77 L.Ed.2d 180 (1983)</w:t>
      </w:r>
    </w:p>
    <w:p>
      <w:pPr>
        <w:pStyle w:val="BodyText"/>
      </w:pPr>
      <w:r>
        <w:t xml:space="preserve">The law in most states provides that if a landowner fails to pay taxes on it, the state can seize the real estate and sell it to satisfy the tax debt.  A problem arises when the purported "owner" of the property has mortgaged it (perhaps to a bank, which loaned the mortgagor money to buy the property) and has not paid off the loan.  Then, if the state seizes the property, the mortgagee may lose their rights to that property via the tax sale.  True, the mortgagee might still sue the mortgagor for the unpaid debt, but the mortgagor may be "judgment proof" (meaning may not have any money to pay a judgment against them).  In this case, a state law allowed notice of a tax sale through publication in the newspaper and the posting of information about the real estate being seized.  The government made no attempt to notify the mortgagee directly of the lawsuit. </w:t>
      </w:r>
      <w:r>
        <w:t xml:space="preserve"> </w:t>
      </w:r>
      <w:r>
        <w:t xml:space="preserve">SCOTUS held that it was a violation of the Due Process (as interpreted in</w:t>
      </w:r>
      <w:r>
        <w:t xml:space="preserve"> </w:t>
      </w:r>
      <w:r>
        <w:rPr>
          <w:iCs/>
          <w:i/>
        </w:rPr>
        <w:t xml:space="preserve">Mullane</w:t>
      </w:r>
      <w:r>
        <w:rPr>
          <w:iCs/>
          <w:i/>
        </w:rPr>
        <w:t xml:space="preserve">)</w:t>
      </w:r>
      <w:r>
        <w:t xml:space="preserve"> </w:t>
      </w:r>
      <w:r>
        <w:t xml:space="preserve">standard to only serve notice via publication and posting for a pending tax sale. The Court emphasized again that notice must be reasonably calculated to reach the defendant, so notice via mail was likely a minimum here.  (Remember that, per our discussion earlier in class, county records will typically record the name and address of any mortgagee for each piece of real estate in the county.)</w:t>
      </w:r>
    </w:p>
    <w:p>
      <w:pPr>
        <w:pStyle w:val="BodyText"/>
      </w:pPr>
      <w:r>
        <w:t xml:space="preserve"> </w:t>
      </w:r>
    </w:p>
    <w:p>
      <w:pPr>
        <w:pStyle w:val="BodyText"/>
      </w:pPr>
      <w:r>
        <w:rPr>
          <w:bCs/>
          <w:b/>
        </w:rPr>
        <w:t xml:space="preserve">GREENE v. LINDSEY, 456 U.S. 444, 102 S.Ct. 1874, 72 L.Ed.2d 249 (1982)</w:t>
      </w:r>
    </w:p>
    <w:p>
      <w:pPr>
        <w:pStyle w:val="BodyText"/>
      </w:pPr>
      <w:r>
        <w:t xml:space="preserve">SCOTUS held that notice of an eviction proceeding in an apartment in a public housing unit through posting a copy of the summons and the complaint on the unit's door was a violation of due process. Due Process here required that notice be served by mail. The court highlighted concerns about forms of notice with which others not involved in the lawsuit might easily interfere. For instance, in this case, the Court reasoned, others in the public housing unit could rip down or accidentally knock off the door posting.</w:t>
      </w:r>
    </w:p>
    <w:p>
      <w:pPr>
        <w:pStyle w:val="BodyText"/>
      </w:pPr>
      <w:r>
        <w:t xml:space="preserve"> </w:t>
      </w:r>
    </w:p>
    <w:p>
      <w:pPr>
        <w:pStyle w:val="BodyText"/>
      </w:pPr>
      <w:r>
        <w:rPr>
          <w:bCs/>
          <w:b/>
        </w:rPr>
        <w:t xml:space="preserve">DUSENBERY v. UNITED STATES, 534 U.S. 161, 122 S.Ct. 694, 151 L.Ed.2d 597 (2002). </w:t>
      </w:r>
    </w:p>
    <w:p>
      <w:pPr>
        <w:pStyle w:val="BodyText"/>
      </w:pPr>
      <w:r>
        <w:t xml:space="preserve">SCOTUS held that the government had met the requirement of notice under the Due Process Clause when serving notice to an incarcerated person through publication in a newspaper and mailing certified letters, appropriately addressed, to the federal prison in which the individual was incarcerated. In this case, the Government had also mailed certified letters to the individual’s most recent address and to the address of his stepmother. SCOTUS held that this effort was adequate, even though it assumed the truth of the inmate/defendant's contention that they had not received the notice. Personal notice was not required in this case, even though the Government knew (indeed, it controlled) the whereabouts of the defendant, because the other forms met the</w:t>
      </w:r>
      <w:r>
        <w:t xml:space="preserve"> </w:t>
      </w:r>
      <w:r>
        <w:rPr>
          <w:iCs/>
          <w:i/>
        </w:rPr>
        <w:t xml:space="preserve">Mullane</w:t>
      </w:r>
      <w:r>
        <w:t xml:space="preserve"> </w:t>
      </w:r>
      <w:r>
        <w:t xml:space="preserve">standard in being reasonably calculated to reach the defendant.</w:t>
      </w:r>
    </w:p>
    <w:p>
      <w:pPr>
        <w:pStyle w:val="BodyText"/>
      </w:pPr>
      <w:r>
        <w:t xml:space="preserve"> </w:t>
      </w:r>
    </w:p>
    <w:p>
      <w:pPr>
        <w:pStyle w:val="BodyText"/>
      </w:pPr>
      <w:r>
        <w:rPr>
          <w:bCs/>
          <w:b/>
        </w:rPr>
        <w:t xml:space="preserve">JONES v. FLOWERS, 547 U.S. 220, 126 S.Ct. 1708, 164 L.Ed.2d 415 (2006)</w:t>
      </w:r>
    </w:p>
    <w:p>
      <w:pPr>
        <w:pStyle w:val="BodyText"/>
      </w:pPr>
      <w:r>
        <w:t xml:space="preserve">SCOTUS held that due process requires taking additional, reasonable steps to provide notice if the plaintiff or the state knew that a first attempt to provide notice had failed. In this case, a tax sale notice was sent via certified mail, but that certified mailing was returned unclaimed. The tax authority made no further attempts to provide notice. The Court held that the tax authority was required to make a further attempt because there were reasonable additional steps that could be taken once it became obvious (from the returned certified mailng card that bore no signature) that the original attempt had been unsuccessful. Such reasonable steps included providing notice through regular mail instead of certified mail (which would omit the signature requirement that sometimes leads to mail returning “unclaimed”) or through posting notice on the door.</w:t>
      </w:r>
    </w:p>
    <w:p>
      <w:pPr>
        <w:pStyle w:val="BodyText"/>
      </w:pPr>
      <w:r>
        <w:t xml:space="preserve"> </w:t>
      </w:r>
    </w:p>
    <w:p>
      <w:pPr>
        <w:pStyle w:val="BodyText"/>
      </w:pPr>
      <w:r>
        <w:rPr>
          <w:bCs/>
          <w:b/>
        </w:rPr>
        <w:t xml:space="preserve">COVEY v. TOWN OF SOMERS, 351 U.S. 141, 146–47, 76 S.Ct. 724, 727, 100 L.Ed. 1021, 1026 (1956)</w:t>
      </w:r>
    </w:p>
    <w:p>
      <w:pPr>
        <w:pStyle w:val="BodyText"/>
      </w:pPr>
      <w:r>
        <w:t xml:space="preserve">Notice by mail of foreclosure proceedings for arrears in property taxes was inadequate when sent to a person known to have been judged legally “insane” and committed to a hospital, and who had no guardian protection.</w:t>
      </w:r>
    </w:p>
    <w:p>
      <w:pPr>
        <w:pStyle w:val="BodyText"/>
      </w:pPr>
      <w:r>
        <w:br/>
      </w:r>
      <w:r>
        <w:rPr>
          <w:bCs/>
          <w:b/>
        </w:rPr>
        <w:t xml:space="preserve">ROLLER v. HOLLY, 176 U.S. 398, 20 S.Ct. 410, 44 L.Ed. 520 (1900)</w:t>
      </w:r>
    </w:p>
    <w:p>
      <w:pPr>
        <w:pStyle w:val="BodyText"/>
      </w:pPr>
      <w:r>
        <w:t xml:space="preserve">Due Process requires that notice be served in such a way that allows adequate time to respond. It was a violation of due process when, as in</w:t>
      </w:r>
      <w:r>
        <w:t xml:space="preserve"> </w:t>
      </w:r>
      <w:r>
        <w:rPr>
          <w:iCs/>
          <w:i/>
        </w:rPr>
        <w:t xml:space="preserve">Roller</w:t>
      </w:r>
      <w:r>
        <w:t xml:space="preserve">, a person had to defend an action in Texas for which he had received notice five days before in Virginia. </w:t>
      </w:r>
    </w:p>
    <w:p>
      <w:pPr>
        <w:pStyle w:val="BodyText"/>
      </w:pPr>
      <w:r>
        <w:t xml:space="preserve"> </w:t>
      </w:r>
    </w:p>
    <w:p>
      <w:pPr>
        <w:pStyle w:val="BodyText"/>
      </w:pPr>
      <w:r>
        <w:rPr>
          <w:bCs/>
          <w:b/>
        </w:rPr>
        <w:t xml:space="preserve">AGUCHAK v. MONTGOMERY WARD CO., 520 P.2d 1352 (Alaska 1974) (not a SCOTUS CASE)</w:t>
      </w:r>
    </w:p>
    <w:p>
      <w:pPr>
        <w:pStyle w:val="BodyText"/>
      </w:pPr>
      <w:r>
        <w:t xml:space="preserve">The Aguchaks, who lived in a remote area, were served notice of non-payment for an automobile. Travel to court would have required a cost of $186 and a layover for one night. They did not appear, and a judgment of almost $1000 was entered against them. The court set aside the judgment, holding that the summons should have included information that the Aguchaks could have requested a change of venue or appeared through a written pleading.</w:t>
      </w:r>
    </w:p>
    <w:p>
      <w:pPr>
        <w:pStyle w:val="NodeEnd"/>
      </w:pPr>
      <w:r>
        <w:t xml:space="preserve"> </w:t>
      </w:r>
    </w:p>
    <w:p>
      <w:pPr>
        <w:pStyle w:val="NodeStart"/>
      </w:pPr>
      <w:r>
        <w:t xml:space="preserve"> </w:t>
      </w:r>
    </w:p>
    <w:p>
      <w:pPr>
        <w:pStyle w:val="HeadSeparator"/>
      </w:pPr>
      <w:r>
        <w:t xml:space="preserve"> </w:t>
      </w:r>
    </w:p>
    <w:bookmarkStart w:id="155" w:name="_auto_toc_155"/>
    <w:bookmarkEnd w:id="155"/>
    <w:p>
      <w:pPr>
        <w:pStyle w:val="ResourceNumber"/>
      </w:pPr>
      <w:r>
        <w:t xml:space="preserve">13.5</w:t>
      </w:r>
    </w:p>
    <w:p>
      <w:pPr>
        <w:pStyle w:val="ResourceTitle"/>
      </w:pPr>
      <w:r>
        <w:t xml:space="preserve">Mathews v. Eldridge</w:t>
      </w:r>
    </w:p>
    <w:p>
      <w:pPr>
        <w:pStyle w:val="HeadFieldSeparator"/>
      </w:pPr>
      <w:r>
        <w:t xml:space="preserve"> </w:t>
      </w:r>
    </w:p>
    <w:p>
      <w:pPr>
        <w:pStyle w:val="ResourceHeadnote"/>
      </w:pPr>
      <w:r>
        <w:t xml:space="preserve">Note: please do review the footnotes included in the case.</w:t>
      </w:r>
    </w:p>
    <w:p>
      <w:pPr>
        <w:pStyle w:val="ResourceHeadnote"/>
      </w:pPr>
      <w:r>
        <w:rPr>
          <w:iCs/>
          <w:i/>
        </w:rPr>
        <w:t xml:space="preserve">Mathews v. Eldridge</w:t>
      </w:r>
      <w:r>
        <w:t xml:space="preserve"> </w:t>
      </w:r>
      <w:r>
        <w:t xml:space="preserve">comes six years after a case called</w:t>
      </w:r>
      <w:r>
        <w:t xml:space="preserve"> </w:t>
      </w:r>
      <w:r>
        <w:rPr>
          <w:iCs/>
          <w:i/>
        </w:rPr>
        <w:t xml:space="preserve">Goldberg v. Kelly</w:t>
      </w:r>
      <w:r>
        <w:t xml:space="preserve">, in which the Supreme Court ruled that procedural due process required the federal government to offer an evidentiary hearing to a welfare benefits recipient before terminating the benefits. In</w:t>
      </w:r>
      <w:r>
        <w:t xml:space="preserve"> </w:t>
      </w:r>
      <w:r>
        <w:rPr>
          <w:iCs/>
          <w:i/>
        </w:rPr>
        <w:t xml:space="preserve">Mathews</w:t>
      </w:r>
      <w:r>
        <w:t xml:space="preserve">, the court distinguishes</w:t>
      </w:r>
      <w:r>
        <w:t xml:space="preserve"> </w:t>
      </w:r>
      <w:r>
        <w:rPr>
          <w:iCs/>
          <w:i/>
        </w:rPr>
        <w:t xml:space="preserve">Goldberg</w:t>
      </w:r>
      <w:r>
        <w:t xml:space="preserve"> </w:t>
      </w:r>
      <w:r>
        <w:t xml:space="preserve">in two primary ways. First, while the court acknowledges that, like</w:t>
      </w:r>
      <w:r>
        <w:t xml:space="preserve"> </w:t>
      </w:r>
      <w:r>
        <w:rPr>
          <w:iCs/>
          <w:i/>
        </w:rPr>
        <w:t xml:space="preserve">Goldberg</w:t>
      </w:r>
      <w:r>
        <w:t xml:space="preserve">,</w:t>
      </w:r>
      <w:r>
        <w:t xml:space="preserve"> </w:t>
      </w:r>
      <w:r>
        <w:rPr>
          <w:iCs/>
          <w:i/>
        </w:rPr>
        <w:t xml:space="preserve">Mathews</w:t>
      </w:r>
      <w:r>
        <w:t xml:space="preserve"> </w:t>
      </w:r>
      <w:r>
        <w:t xml:space="preserve">also deals with a “property interest” (i.e., “the interest of an individual in continued receipt of these benefits”), the court finds substantive differences between welfare and disability benefits. What, according to the court, are the interests at issue in</w:t>
      </w:r>
      <w:r>
        <w:t xml:space="preserve"> </w:t>
      </w:r>
      <w:r>
        <w:rPr>
          <w:iCs/>
          <w:i/>
        </w:rPr>
        <w:t xml:space="preserve">Goldberg</w:t>
      </w:r>
      <w:r>
        <w:t xml:space="preserve"> </w:t>
      </w:r>
      <w:r>
        <w:t xml:space="preserve">and</w:t>
      </w:r>
      <w:r>
        <w:t xml:space="preserve"> </w:t>
      </w:r>
      <w:r>
        <w:rPr>
          <w:iCs/>
          <w:i/>
        </w:rPr>
        <w:t xml:space="preserve">Matthews</w:t>
      </w:r>
      <w:r>
        <w:t xml:space="preserve">, and how does the difference between them translate into a constitutional distinction?</w:t>
      </w:r>
      <w:r>
        <w:t xml:space="preserve"> </w:t>
      </w:r>
      <w:r>
        <w:t xml:space="preserve">Second, the court finds a difference in the nature of the determination (and thus the risk of error) in the</w:t>
      </w:r>
      <w:r>
        <w:t xml:space="preserve"> </w:t>
      </w:r>
      <w:r>
        <w:rPr>
          <w:iCs/>
          <w:i/>
        </w:rPr>
        <w:t xml:space="preserve">Goldberg</w:t>
      </w:r>
      <w:r>
        <w:t xml:space="preserve"> </w:t>
      </w:r>
      <w:r>
        <w:t xml:space="preserve">and</w:t>
      </w:r>
      <w:r>
        <w:t xml:space="preserve"> </w:t>
      </w:r>
      <w:r>
        <w:rPr>
          <w:iCs/>
          <w:i/>
        </w:rPr>
        <w:t xml:space="preserve">Matthews</w:t>
      </w:r>
      <w:r>
        <w:t xml:space="preserve"> </w:t>
      </w:r>
      <w:r>
        <w:t xml:space="preserve">settings.</w:t>
      </w:r>
      <w:r>
        <w:t xml:space="preserve"> </w:t>
      </w:r>
      <w:r>
        <w:t xml:space="preserve">What is this difference, and how does it translate into a constitutional distinction?</w:t>
      </w:r>
    </w:p>
    <w:p>
      <w:pPr>
        <w:pStyle w:val="ResourceHeadnote"/>
      </w:pPr>
      <w:r>
        <w:t xml:space="preserve">Note: the procedural steps for terminating (and then appealing) disability benefits are a little complicated. Keep your eye on the ball. What is at issue here? What exactly is the alteration in the existing procedure for which the benefits recipient is arguing?</w:t>
      </w:r>
    </w:p>
    <w:p>
      <w:pPr>
        <w:pStyle w:val="ResourceHeadnote"/>
      </w:pPr>
      <w:r>
        <w:t xml:space="preserve">A final note: the Due Process Clause of the Fourteenth Amendment requires the government to provide due process of law before depriving someone of “life, liberty, or property.”</w:t>
      </w:r>
      <w:r>
        <w:t xml:space="preserve"> </w:t>
      </w:r>
      <w:r>
        <w:rPr>
          <w:iCs/>
          <w:i/>
        </w:rPr>
        <w:t xml:space="preserve">Goldberg</w:t>
      </w:r>
      <w:r>
        <w:t xml:space="preserve"> </w:t>
      </w:r>
      <w:r>
        <w:t xml:space="preserve">and</w:t>
      </w:r>
      <w:r>
        <w:t xml:space="preserve"> </w:t>
      </w:r>
      <w:r>
        <w:rPr>
          <w:iCs/>
          <w:i/>
        </w:rPr>
        <w:t xml:space="preserve">Matthews</w:t>
      </w:r>
      <w:r>
        <w:t xml:space="preserve"> </w:t>
      </w:r>
      <w:r>
        <w:t xml:space="preserve">drew in part from a broadened conceptualization of property theorized by Yale Law Professor Charles Reich in his article, “The New Property.” For Reich, things like drivers’ licenses and public benefits could be considered “property” in part because they are necessary for recipients to function fully in modern society. You are not responsible for the distinction between "old" and "new" property in this course (it is a constitutional law concept), but if you do grasp it, it can be useful for understanding how procedural due process works. By way of example, we will discuss bonds and counterbonds in this class; would it make sense to require a bond in a federal government new property case?</w:t>
      </w:r>
    </w:p>
    <w:p>
      <w:pPr>
        <w:pStyle w:val="HeadEnd"/>
      </w:pPr>
      <w:r>
        <w:t xml:space="preserve"> </w:t>
      </w:r>
    </w:p>
    <w:p>
      <w:pPr>
        <w:pStyle w:val="CaseHeader"/>
      </w:pPr>
      <w:r>
        <w:t xml:space="preserve">Supreme Court of the United States</w:t>
      </w:r>
    </w:p>
    <w:p>
      <w:pPr>
        <w:pStyle w:val="CaseHeader"/>
      </w:pPr>
      <w:r>
        <w:t xml:space="preserve">424 U.S. 319, 47 L. Ed. 2d 18, 96 S. Ct. 893, 1976 U.S. LEXIS 141, SCDB 1975-035</w:t>
      </w:r>
    </w:p>
    <w:p>
      <w:pPr>
        <w:pStyle w:val="CaseHeader"/>
      </w:pPr>
      <w:r>
        <w:t xml:space="preserve">No. 74-204</w:t>
      </w:r>
    </w:p>
    <w:p>
      <w:pPr>
        <w:pStyle w:val="CaseHeader"/>
      </w:pPr>
      <w:r>
        <w:t xml:space="preserve">1976-02-24</w:t>
      </w:r>
    </w:p>
    <w:p>
      <w:pPr>
        <w:pStyle w:val="CaseBody"/>
      </w:pPr>
      <w:r>
        <w:rPr>
          <w:rStyle w:val="Elision"/>
        </w:rPr>
        <w:t xml:space="preserve">[ … ]</w:t>
      </w:r>
    </w:p>
    <w:p>
      <w:pPr>
        <w:pStyle w:val="CaseBody"/>
      </w:pPr>
      <w:r>
        <w:t xml:space="preserve">Mr. Justice Powell</w:t>
      </w:r>
    </w:p>
    <w:p>
      <w:pPr>
        <w:pStyle w:val="CaseBody"/>
      </w:pPr>
      <w:r>
        <w:t xml:space="preserve">delivered the opinion of the Court.</w:t>
      </w:r>
    </w:p>
    <w:p>
      <w:pPr>
        <w:pStyle w:val="CaseBody"/>
      </w:pPr>
      <w:r>
        <w:t xml:space="preserve">The issue in this case is whether the Due Process Clause of the Fifth Amendment requires that prior to the termination of Social Security disability benefit payments the recipient be afforded an opportunity for an evidentiary hearing.</w:t>
      </w:r>
    </w:p>
    <w:p>
      <w:pPr>
        <w:pStyle w:val="CaseBody"/>
      </w:pPr>
      <w:r>
        <w:t xml:space="preserve">I</w:t>
      </w:r>
    </w:p>
    <w:p>
      <w:pPr>
        <w:pStyle w:val="CaseBody"/>
      </w:pPr>
      <w:r>
        <w:t xml:space="preserve">Cash benefits are provided to workers during periods in which they are completely disabled under the disability insurance benefits program created by the 1956 amendments to Title II of the Social Security Act.</w:t>
      </w:r>
      <w:r>
        <w:t xml:space="preserve"> </w:t>
      </w:r>
      <w:r>
        <w:rPr>
          <w:rStyle w:val="Elision"/>
        </w:rPr>
        <w:t xml:space="preserve">[ … ]</w:t>
      </w:r>
      <w:r>
        <w:rPr>
          <w:rStyle w:val="FootnoteReference"/>
        </w:rPr>
        <w:footnoteReference w:customMarkFollows="1" w:id="169"/>
        <w:t xml:space="preserve">1</w:t>
      </w:r>
      <w:r>
        <w:t xml:space="preserve"> </w:t>
      </w:r>
      <w:r>
        <w:t xml:space="preserve">Respondent Eldridge was first awarded benefits in June 1968. In March 1972, he received a questionnaire from the state agency charged with monitoring his medical condition. Eldridge completed the questionnaire, indicating that his condition had not improved and identifying the medical sources, including physicians, from whom he had received treatment recently. The state agency then obtained reports from his physician and a psychiatric consultant. After considering these reports and other information in his file the agency informed Eldridge by letter that it had made a tentative determination that his disability had ceased in May 1972. The letter included a statement of reasons for the proposed termination of benefits, and advised Eldridge that he might request reasonable time in which to obtain and submit additional information pertaining to his condition.</w:t>
      </w:r>
    </w:p>
    <w:p>
      <w:pPr>
        <w:pStyle w:val="CaseBody"/>
      </w:pPr>
      <w:r>
        <w:t xml:space="preserve">In his written response, Eldridge disputed one characterization of his medical condition and indicated that the agency already had enough evidence to establish his disability.</w:t>
      </w:r>
      <w:r>
        <w:rPr>
          <w:rStyle w:val="FootnoteReference"/>
        </w:rPr>
        <w:footnoteReference w:customMarkFollows="1" w:id="181"/>
        <w:t xml:space="preserve">2</w:t>
      </w:r>
      <w:r>
        <w:t xml:space="preserve"> </w:t>
      </w:r>
      <w:r>
        <w:t xml:space="preserve">The state agency then made its final determination that he had ceased to be disabled in May 1972. This determination was accepted by the Social Security Administration (SSA), which notified Eldridge in July that his benefits would terminate after that month. The notification also advised him of his right to seek reconsideration by the state agency of this initial determination within six months.</w:t>
      </w:r>
    </w:p>
    <w:p>
      <w:pPr>
        <w:pStyle w:val="CaseBody"/>
      </w:pPr>
      <w:r>
        <w:t xml:space="preserve">Instead of requesting reconsideration Eldridge commenced this action challenging the constitutional validity of the administrative procedures established by the Secretary of Health, Education, and Welfare for assessing whether there exists a continuing disability. He sought an immediate reinstatement of benefits pending a hearing on the issue of his disability.</w:t>
      </w:r>
      <w:r>
        <w:rPr>
          <w:rStyle w:val="FootnoteReference"/>
        </w:rPr>
        <w:footnoteReference w:customMarkFollows="1" w:id="219"/>
        <w:t xml:space="preserve">3</w:t>
      </w:r>
      <w:r>
        <w:t xml:space="preserve"> </w:t>
      </w:r>
      <w:r>
        <w:rPr>
          <w:rStyle w:val="Elision"/>
        </w:rPr>
        <w:t xml:space="preserve">[ … ]</w:t>
      </w:r>
      <w:r>
        <w:t xml:space="preserve"> </w:t>
      </w:r>
      <w:r>
        <w:t xml:space="preserve">In support of his contention that due process requires a pretermination hearing, Eldridge relied exclusively upon this Court’s decision in</w:t>
      </w:r>
      <w:r>
        <w:t xml:space="preserve"> </w:t>
      </w:r>
      <w:r>
        <w:rPr>
          <w:iCs/>
          <w:i/>
        </w:rPr>
        <w:t xml:space="preserve">Goldberg</w:t>
      </w:r>
      <w:r>
        <w:t xml:space="preserve"> </w:t>
      </w:r>
      <w:r>
        <w:t xml:space="preserve">v.</w:t>
      </w:r>
      <w:r>
        <w:t xml:space="preserve"> </w:t>
      </w:r>
      <w:r>
        <w:rPr>
          <w:iCs/>
          <w:i/>
        </w:rPr>
        <w:t xml:space="preserve">Kelly,</w:t>
      </w:r>
      <w:r>
        <w:rPr>
          <w:rStyle w:val="Elision"/>
        </w:rPr>
        <w:t xml:space="preserve">[ … ]</w:t>
      </w:r>
      <w:r>
        <w:t xml:space="preserve"> </w:t>
      </w:r>
      <w:r>
        <w:t xml:space="preserve">which established a right to an “evidentiary hearing” prior to termination of welfare benefits.</w:t>
      </w:r>
      <w:r>
        <w:rPr>
          <w:rStyle w:val="FootnoteReference"/>
        </w:rPr>
        <w:footnoteReference w:customMarkFollows="1" w:id="190"/>
        <w:t xml:space="preserve">4</w:t>
      </w:r>
      <w:r>
        <w:t xml:space="preserve"> </w:t>
      </w:r>
      <w:r>
        <w:t xml:space="preserve">The Secretary contended that</w:t>
      </w:r>
      <w:r>
        <w:t xml:space="preserve"> </w:t>
      </w:r>
      <w:r>
        <w:rPr>
          <w:iCs/>
          <w:i/>
        </w:rPr>
        <w:t xml:space="preserve">Goldberg</w:t>
      </w:r>
      <w:r>
        <w:t xml:space="preserve"> </w:t>
      </w:r>
      <w:r>
        <w:t xml:space="preserve">was not controlling since eligibility for disability benefits, unlike eligibility for welfare benefits, is not based on financial need and since issues of credibility and veracity do not play a significant role in the disability entitlement decision, which turns primarily on medical evidence.</w:t>
      </w:r>
    </w:p>
    <w:p>
      <w:pPr>
        <w:pStyle w:val="CaseBody"/>
      </w:pPr>
      <w:r>
        <w:t xml:space="preserve">The District Court concluded that the administrative procedures pursuant to which the Secretary had terminated Eldridge’s benefits abridged his right to procedural due process.</w:t>
      </w:r>
      <w:r>
        <w:t xml:space="preserve"> </w:t>
      </w:r>
      <w:r>
        <w:rPr>
          <w:rStyle w:val="Elision"/>
        </w:rPr>
        <w:t xml:space="preserve">[ … ]</w:t>
      </w:r>
      <w:r>
        <w:rPr>
          <w:rStyle w:val="Elision"/>
        </w:rPr>
        <w:t xml:space="preserve">[ … ]</w:t>
      </w:r>
      <w:r>
        <w:t xml:space="preserve"> </w:t>
      </w:r>
      <w:r>
        <w:t xml:space="preserve">Relying entirely upon the District Court’s opinion, the Court of Appeals for the Fourth Circuit affirmed the injunction barring termination of Eldridge’s benefits prior to an evidentiary hearing.</w:t>
      </w:r>
      <w:r>
        <w:t xml:space="preserve"> </w:t>
      </w:r>
      <w:r>
        <w:rPr>
          <w:rStyle w:val="Elision"/>
        </w:rPr>
        <w:t xml:space="preserve">[ … ]</w:t>
      </w:r>
      <w:r>
        <w:t xml:space="preserve"> </w:t>
      </w:r>
      <w:r>
        <w:t xml:space="preserve">We reverse.</w:t>
      </w:r>
    </w:p>
    <w:p>
      <w:pPr>
        <w:pStyle w:val="CaseBody"/>
      </w:pPr>
      <w:r>
        <w:t xml:space="preserve">II</w:t>
      </w:r>
    </w:p>
    <w:p>
      <w:pPr>
        <w:pStyle w:val="CaseBody"/>
      </w:pPr>
      <w:r>
        <w:t xml:space="preserve">At the outset we are confronted by a question as to whether the District Court had jurisdiction over this suit.</w:t>
      </w:r>
      <w:r>
        <w:t xml:space="preserve"> </w:t>
      </w:r>
      <w:r>
        <w:rPr>
          <w:rStyle w:val="ReplacementText"/>
        </w:rPr>
        <w:t xml:space="preserve">[The Court went on to hold that the District Court had jurisdiction.]</w:t>
      </w:r>
    </w:p>
    <w:p>
      <w:pPr>
        <w:pStyle w:val="CaseBody"/>
      </w:pPr>
      <w:r>
        <w:t xml:space="preserve">III</w:t>
      </w:r>
    </w:p>
    <w:p>
      <w:pPr>
        <w:pStyle w:val="CaseBody"/>
      </w:pPr>
      <w:r>
        <w:t xml:space="preserve">A</w:t>
      </w:r>
    </w:p>
    <w:p>
      <w:pPr>
        <w:pStyle w:val="CaseBody"/>
      </w:pPr>
      <w:r>
        <w:t xml:space="preserve">Procedural due process imposes constraints on governmental decisions which deprive individuals of “liberty” or “property” interests within the meaning of the Due Process Clause of the Fifth or Fourteenth Amendment. The Secretary does not contend that procedural due process is inapplicable to terminations of Social Security disability benefits. He recognizes, as has been implicit in our prior decisions,</w:t>
      </w:r>
      <w:r>
        <w:rPr>
          <w:rStyle w:val="Elision"/>
        </w:rPr>
        <w:t xml:space="preserve">[ … ]</w:t>
      </w:r>
      <w:r>
        <w:t xml:space="preserve"> </w:t>
      </w:r>
      <w:r>
        <w:t xml:space="preserve">that the interest of an individual in continued receipt of these benefits is a statutorily created “property” interest protected by the Fifth Amendment.</w:t>
      </w:r>
      <w:r>
        <w:t xml:space="preserve"> </w:t>
      </w:r>
      <w:r>
        <w:rPr>
          <w:rStyle w:val="Elision"/>
        </w:rPr>
        <w:t xml:space="preserve">[ … ]</w:t>
      </w:r>
      <w:r>
        <w:t xml:space="preserve">Rather, the Secretary contends that the existing administrative procedures, detailed below, provide all the process that is constitutionally due before a recipient can be deprived of that interest.</w:t>
      </w:r>
    </w:p>
    <w:p>
      <w:pPr>
        <w:pStyle w:val="CaseBody"/>
      </w:pPr>
      <w:r>
        <w:t xml:space="preserve">This Court consistently has held that some form of hearing is required before an individual is finally deprived of a property interest.</w:t>
      </w:r>
      <w:r>
        <w:t xml:space="preserve"> </w:t>
      </w:r>
      <w:r>
        <w:rPr>
          <w:rStyle w:val="Elision"/>
        </w:rPr>
        <w:t xml:space="preserve">[ … ]</w:t>
      </w:r>
      <w:r>
        <w:t xml:space="preserve">Eldridge agrees that the review procedures available to a claimant before the initial determination of ineligibility becomes final would be adequate if disability benefits were not terminated until after the evidentiary hearing stage of the administrative process. The dispute centers upon what process is due prior to the initial termination of benefits, pending review.</w:t>
      </w:r>
    </w:p>
    <w:p>
      <w:pPr>
        <w:pStyle w:val="CaseBody"/>
      </w:pPr>
      <w:r>
        <w:t xml:space="preserve">In recent years this Court increasingly has had occasion to consider the extent to which due process requires an evidentiary hearing prior to the deprivation of some type of property interest even if such a hearing is provided thereafter. In only one case,</w:t>
      </w:r>
      <w:r>
        <w:t xml:space="preserve"> </w:t>
      </w:r>
      <w:r>
        <w:rPr>
          <w:iCs/>
          <w:i/>
        </w:rPr>
        <w:t xml:space="preserve">Goldberg</w:t>
      </w:r>
      <w:r>
        <w:t xml:space="preserve"> </w:t>
      </w:r>
      <w:r>
        <w:t xml:space="preserve">v.</w:t>
      </w:r>
      <w:r>
        <w:t xml:space="preserve"> </w:t>
      </w:r>
      <w:r>
        <w:rPr>
          <w:iCs/>
          <w:i/>
        </w:rPr>
        <w:t xml:space="preserve">Kelly,</w:t>
      </w:r>
      <w:r>
        <w:rPr>
          <w:rStyle w:val="Elision"/>
        </w:rPr>
        <w:t xml:space="preserve">[ … ]</w:t>
      </w:r>
      <w:r>
        <w:t xml:space="preserve">, has the Court held that a hearing closely approximating a judicial trial is necessary. In other cases requiring some type of pretermination hearing as a matter of constitutional right the Court has spoken sparingly about the requisite procedures.</w:t>
      </w:r>
      <w:r>
        <w:t xml:space="preserve"> </w:t>
      </w:r>
      <w:r>
        <w:rPr>
          <w:iCs/>
          <w:i/>
        </w:rPr>
        <w:t xml:space="preserve">Snia-</w:t>
      </w:r>
      <w:r>
        <w:t xml:space="preserve"> </w:t>
      </w:r>
      <w:r>
        <w:rPr>
          <w:iCs/>
          <w:i/>
        </w:rPr>
        <w:t xml:space="preserve">dach</w:t>
      </w:r>
      <w:r>
        <w:t xml:space="preserve"> </w:t>
      </w:r>
      <w:r>
        <w:t xml:space="preserve">v.</w:t>
      </w:r>
      <w:r>
        <w:t xml:space="preserve"> </w:t>
      </w:r>
      <w:r>
        <w:rPr>
          <w:iCs/>
          <w:i/>
        </w:rPr>
        <w:t xml:space="preserve">Family Finance Corp.,</w:t>
      </w:r>
      <w:r>
        <w:rPr>
          <w:rStyle w:val="Elision"/>
        </w:rPr>
        <w:t xml:space="preserve">[ … ]</w:t>
      </w:r>
      <w:r>
        <w:t xml:space="preserve"> </w:t>
      </w:r>
      <w:r>
        <w:t xml:space="preserve">involving garnishment of wages, was entirely silent on the matter. In</w:t>
      </w:r>
      <w:r>
        <w:t xml:space="preserve"> </w:t>
      </w:r>
      <w:r>
        <w:rPr>
          <w:iCs/>
          <w:i/>
        </w:rPr>
        <w:t xml:space="preserve">Fuentes</w:t>
      </w:r>
      <w:r>
        <w:t xml:space="preserve"> </w:t>
      </w:r>
      <w:r>
        <w:t xml:space="preserve">v.</w:t>
      </w:r>
      <w:r>
        <w:t xml:space="preserve"> </w:t>
      </w:r>
      <w:r>
        <w:rPr>
          <w:iCs/>
          <w:i/>
        </w:rPr>
        <w:t xml:space="preserve">Shevin,</w:t>
      </w:r>
      <w:r>
        <w:t xml:space="preserve"> </w:t>
      </w:r>
      <w:r>
        <w:rPr>
          <w:rStyle w:val="Elision"/>
        </w:rPr>
        <w:t xml:space="preserve">[ … ]</w:t>
      </w:r>
      <w:r>
        <w:t xml:space="preserve"> </w:t>
      </w:r>
      <w:r>
        <w:t xml:space="preserve">the Court said only that in a replevin suit between two private parties the initial determination required something more than an</w:t>
      </w:r>
      <w:r>
        <w:t xml:space="preserve"> </w:t>
      </w:r>
      <w:r>
        <w:rPr>
          <w:iCs/>
          <w:i/>
        </w:rPr>
        <w:t xml:space="preserve">ex parte</w:t>
      </w:r>
      <w:r>
        <w:t xml:space="preserve"> </w:t>
      </w:r>
      <w:r>
        <w:t xml:space="preserve">proceeding before a court clerk.</w:t>
      </w:r>
      <w:r>
        <w:t xml:space="preserve"> </w:t>
      </w:r>
      <w:r>
        <w:rPr>
          <w:rStyle w:val="Elision"/>
        </w:rPr>
        <w:t xml:space="preserve">[ … ]</w:t>
      </w:r>
    </w:p>
    <w:p>
      <w:pPr>
        <w:pStyle w:val="CaseBody"/>
      </w:pPr>
      <w:r>
        <w:rPr>
          <w:rStyle w:val="ReplacementText"/>
        </w:rPr>
        <w:t xml:space="preserve">O</w:t>
      </w:r>
      <w:r>
        <w:t xml:space="preserve">ur prior decisions indicate that identification of the specific dictates of due process generally requires consideration of three distinct factors: First, the private interest that will be affected by the official action; second, the risk of an erroneous deprivation of such interest through the procedures used, and the probable value, if any, of additional or substitute procedural safeguards; and finally, the Government’s interest, including the function involved and the fiscal and administrative burdens that the additional or subs</w:t>
      </w:r>
      <w:r>
        <w:rPr>
          <w:rStyle w:val="Elision"/>
        </w:rPr>
        <w:t xml:space="preserve">[ … ]</w:t>
      </w:r>
      <w:r>
        <w:t xml:space="preserve">See,</w:t>
      </w:r>
      <w:r>
        <w:t xml:space="preserve"> </w:t>
      </w:r>
      <w:r>
        <w:rPr>
          <w:iCs/>
          <w:i/>
        </w:rPr>
        <w:t xml:space="preserve">e. g., Goldberg</w:t>
      </w:r>
      <w:r>
        <w:t xml:space="preserve"> </w:t>
      </w:r>
      <w:r>
        <w:t xml:space="preserve">v.</w:t>
      </w:r>
      <w:r>
        <w:t xml:space="preserve"> </w:t>
      </w:r>
      <w:r>
        <w:rPr>
          <w:iCs/>
          <w:i/>
        </w:rPr>
        <w:t xml:space="preserve">Kelly, supra,</w:t>
      </w:r>
      <w:r>
        <w:t xml:space="preserve"> </w:t>
      </w:r>
      <w:r>
        <w:t xml:space="preserve">at 263-271.</w:t>
      </w:r>
    </w:p>
    <w:p>
      <w:pPr>
        <w:pStyle w:val="CaseBody"/>
      </w:pPr>
      <w:r>
        <w:t xml:space="preserve">We turn first to a description of the procedures for the termination of Social Security disability benefits, and thereafter consider the factors bearing upon the constitutional adequacy of these procedures.</w:t>
      </w:r>
    </w:p>
    <w:p>
      <w:pPr>
        <w:pStyle w:val="CaseBody"/>
      </w:pPr>
      <w:r>
        <w:t xml:space="preserve">B</w:t>
      </w:r>
    </w:p>
    <w:p>
      <w:pPr>
        <w:pStyle w:val="CaseBody"/>
      </w:pPr>
      <w:r>
        <w:rPr>
          <w:rStyle w:val="ReplacementText"/>
        </w:rPr>
        <w:t xml:space="preserve">[The Court quoted extensively from the relevant statute, pointing out that by its terms the beneficiary had to prove continued eligibility for benefits that a “medically determinable physical or mental impairment” rendered him or her unable “to engage in any substantial gainful activity.” The Court noted that in some categories of disability benefits cases, the SSA conducts a pretermina-tion oral interview, but that Eldrige’s case did not fit within one of those cate-gories.]</w:t>
      </w:r>
    </w:p>
    <w:p>
      <w:pPr>
        <w:pStyle w:val="CaseBody"/>
      </w:pPr>
      <w:r>
        <w:t xml:space="preserve">The continuing-eligibility investigation is made by a state agency acting through a “team” consisting of a physician and a nonmedical person trained in disability evaluation. The agency periodically communicates with the disabled worker, usually by mail — in which case he is sent a detailed questionnaire — or by telephone, and requests information concerning his present condition, including current medical restrictions and sources of treatment, and any additional information that he considers relevant to his continued entitlement to benefits.</w:t>
      </w:r>
      <w:r>
        <w:rPr>
          <w:rStyle w:val="Elision"/>
        </w:rPr>
        <w:t xml:space="preserve">[ … ]</w:t>
      </w:r>
      <w:r>
        <w:rPr>
          <w:rStyle w:val="FootnoteReference"/>
        </w:rPr>
        <w:footnoteReference w:customMarkFollows="1" w:id="231"/>
        <w:t xml:space="preserve">16</w:t>
      </w:r>
    </w:p>
    <w:p>
      <w:pPr>
        <w:pStyle w:val="CaseBody"/>
      </w:pPr>
      <w:r>
        <w:t xml:space="preserve">Information regarding the recipient’s current condition is also obtained from his sources of medical treatment.</w:t>
      </w:r>
      <w:r>
        <w:rPr>
          <w:rStyle w:val="Elision"/>
        </w:rPr>
        <w:t xml:space="preserve">[ … ]</w:t>
      </w:r>
      <w:r>
        <w:t xml:space="preserve">If there is a conflict between the information provided by the beneficiary and that obtained from medical sources such as his physician, or between two sources of treatment, the agency may arrange for an examination by an independent consulting physician.</w:t>
      </w:r>
      <w:r>
        <w:rPr>
          <w:rStyle w:val="FootnoteReference"/>
        </w:rPr>
        <w:footnoteReference w:customMarkFollows="1" w:id="232"/>
        <w:t xml:space="preserve">17</w:t>
      </w:r>
      <w:r>
        <w:t xml:space="preserve"> </w:t>
      </w:r>
      <w:r>
        <w:rPr>
          <w:rStyle w:val="Elision"/>
        </w:rPr>
        <w:t xml:space="preserve">[ … ]</w:t>
      </w:r>
      <w:r>
        <w:t xml:space="preserve">Whenever the agency’s tentative assessment of the beneficiary’s condition differs from his own assessment, the beneficiary is informed that benefits may be terminated, provided a summary of the evidence upon which the proposed determination to terminate is based, and afforded an opportunity to review the medical reports and other evidence in his ease file.</w:t>
      </w:r>
      <w:r>
        <w:rPr>
          <w:rStyle w:val="FootnoteReference"/>
        </w:rPr>
        <w:footnoteReference w:customMarkFollows="1" w:id="233"/>
        <w:t xml:space="preserve">18</w:t>
      </w:r>
      <w:r>
        <w:t xml:space="preserve"> </w:t>
      </w:r>
      <w:r>
        <w:t xml:space="preserve">He also may respond in writing and submit additional evidence.</w:t>
      </w:r>
      <w:r>
        <w:t xml:space="preserve"> </w:t>
      </w:r>
      <w:r>
        <w:rPr>
          <w:rStyle w:val="Elision"/>
        </w:rPr>
        <w:t xml:space="preserve">[ … ]</w:t>
      </w:r>
    </w:p>
    <w:p>
      <w:pPr>
        <w:pStyle w:val="CaseBody"/>
      </w:pPr>
      <w:r>
        <w:t xml:space="preserve">The state agency then makes its final determination, which is reviewed by an examiner in the SSA Bureau of Disability Insurance.</w:t>
      </w:r>
      <w:r>
        <w:t xml:space="preserve"> </w:t>
      </w:r>
      <w:r>
        <w:rPr>
          <w:rStyle w:val="Elision"/>
        </w:rPr>
        <w:t xml:space="preserve">[ … ]</w:t>
      </w:r>
      <w:r>
        <w:rPr>
          <w:rStyle w:val="FootnoteReference"/>
        </w:rPr>
        <w:footnoteReference w:customMarkFollows="1" w:id="228"/>
        <w:t xml:space="preserve">19</w:t>
      </w:r>
      <w:r>
        <w:t xml:space="preserve"> </w:t>
      </w:r>
      <w:r>
        <w:t xml:space="preserve">If, as is usually the case, the SSA accepts the agency determination it notifies the recipient in writing, informing him of the reasons for the decision, and of his right to seek</w:t>
      </w:r>
      <w:r>
        <w:t xml:space="preserve"> </w:t>
      </w:r>
      <w:r>
        <w:rPr>
          <w:iCs/>
          <w:i/>
        </w:rPr>
        <w:t xml:space="preserve">de novo</w:t>
      </w:r>
      <w:r>
        <w:t xml:space="preserve"> </w:t>
      </w:r>
      <w:r>
        <w:t xml:space="preserve">reconsideration by the state agency.</w:t>
      </w:r>
      <w:r>
        <w:rPr>
          <w:rStyle w:val="Elision"/>
        </w:rPr>
        <w:t xml:space="preserve">[ … ]</w:t>
      </w:r>
      <w:r>
        <w:rPr>
          <w:rStyle w:val="FootnoteReference"/>
        </w:rPr>
        <w:footnoteReference w:customMarkFollows="1" w:id="235"/>
        <w:t xml:space="preserve">20</w:t>
      </w:r>
      <w:r>
        <w:t xml:space="preserve"> </w:t>
      </w:r>
      <w:r>
        <w:t xml:space="preserve">Upon acceptance by the SSA, benefits are terminated effective two months after the month in which medical recovery is found to have occurred.</w:t>
      </w:r>
      <w:r>
        <w:t xml:space="preserve"> </w:t>
      </w:r>
      <w:r>
        <w:rPr>
          <w:rStyle w:val="Elision"/>
        </w:rPr>
        <w:t xml:space="preserve">[ … ]</w:t>
      </w:r>
    </w:p>
    <w:p>
      <w:pPr>
        <w:pStyle w:val="CaseBody"/>
      </w:pPr>
      <w:r>
        <w:t xml:space="preserve">If the recipient seeks reconsideration by the state agency and the determination is adverse, the SSA reviews the reconsideration determination and notifies the recipient of the decision. He then has a right to an evidentiary hearing before an SSA administrative law judge.</w:t>
      </w:r>
      <w:r>
        <w:t xml:space="preserve"> </w:t>
      </w:r>
      <w:r>
        <w:rPr>
          <w:rStyle w:val="Elision"/>
        </w:rPr>
        <w:t xml:space="preserve">[ … ]</w:t>
      </w:r>
      <w:r>
        <w:t xml:space="preserve">The hearing is non-adversary, and the SSA is not represented by counsel. As at all prior and subsequent stages of the administrative process, however, the claimant may be represented by counsel or other spokesmen.</w:t>
      </w:r>
      <w:r>
        <w:rPr>
          <w:rStyle w:val="Elision"/>
        </w:rPr>
        <w:t xml:space="preserve">[ … ]</w:t>
      </w:r>
      <w:r>
        <w:t xml:space="preserve"> </w:t>
      </w:r>
      <w:r>
        <w:t xml:space="preserve">If this hearing results in an adverse decision, the claimant is entitled to request discretionary review by the SSA Appeals Council,</w:t>
      </w:r>
      <w:r>
        <w:t xml:space="preserve"> </w:t>
      </w:r>
      <w:r>
        <w:rPr>
          <w:rStyle w:val="Elision"/>
        </w:rPr>
        <w:t xml:space="preserve">[ … ]</w:t>
      </w:r>
      <w:r>
        <w:t xml:space="preserve">and finally may obtain judicial review.</w:t>
      </w:r>
      <w:r>
        <w:t xml:space="preserve"> </w:t>
      </w:r>
      <w:r>
        <w:rPr>
          <w:rStyle w:val="Elision"/>
        </w:rPr>
        <w:t xml:space="preserve">[ … ]</w:t>
      </w:r>
      <w:r>
        <w:rPr>
          <w:rStyle w:val="FootnoteReference"/>
        </w:rPr>
        <w:footnoteReference w:customMarkFollows="1" w:id="207"/>
        <w:t xml:space="preserve">21</w:t>
      </w:r>
    </w:p>
    <w:p>
      <w:pPr>
        <w:pStyle w:val="CaseBody"/>
      </w:pPr>
      <w:r>
        <w:t xml:space="preserve">Should it be determined at any point after termination of benefits, that the claimant’s disability extended beyond the date of cessation initially established, the worker is entitled to retroactive payments.</w:t>
      </w:r>
      <w:r>
        <w:t xml:space="preserve"> </w:t>
      </w:r>
      <w:r>
        <w:rPr>
          <w:rStyle w:val="Elision"/>
        </w:rPr>
        <w:t xml:space="preserve">[ … ]</w:t>
      </w:r>
      <w:r>
        <w:t xml:space="preserve">If, on the other hand, a beneficiary receives any payments to which he is later determined not to be entitled, the statute authorizes the Secretary to attempt to recoup these funds in specified circumstances.</w:t>
      </w:r>
      <w:r>
        <w:t xml:space="preserve"> </w:t>
      </w:r>
      <w:r>
        <w:rPr>
          <w:rStyle w:val="Elision"/>
        </w:rPr>
        <w:t xml:space="preserve">[ … ]</w:t>
      </w:r>
      <w:r>
        <w:rPr>
          <w:rStyle w:val="FootnoteReference"/>
        </w:rPr>
        <w:footnoteReference w:customMarkFollows="1" w:id="237"/>
        <w:t xml:space="preserve">22</w:t>
      </w:r>
    </w:p>
    <w:p>
      <w:pPr>
        <w:pStyle w:val="CaseBody"/>
      </w:pPr>
      <w:r>
        <w:t xml:space="preserve">C</w:t>
      </w:r>
    </w:p>
    <w:p>
      <w:pPr>
        <w:pStyle w:val="CaseBody"/>
      </w:pPr>
      <w:r>
        <w:t xml:space="preserve">Despite the elaborate character of the administrative procedures provided by the Secretary, the courts below held them to be constitutionally inadequate, concluding that due process requires an evidentiary hearing prior to termination. In light of the private and governmental interests at stake here and the nature of the existing procedures, we think this was error.</w:t>
      </w:r>
    </w:p>
    <w:p>
      <w:pPr>
        <w:pStyle w:val="CaseBody"/>
      </w:pPr>
      <w:r>
        <w:t xml:space="preserve">Since a recipient whose benefits are terminated is awarded full retroactive relief if he ultimately prevails, his sole interest is in the uninterrupted receipt of this source of income pending final administrative decision on his claim. His potential injury is thus similar in nature to that .of the welfare recipient in</w:t>
      </w:r>
      <w:r>
        <w:t xml:space="preserve"> </w:t>
      </w:r>
      <w:r>
        <w:rPr>
          <w:iCs/>
          <w:i/>
        </w:rPr>
        <w:t xml:space="preserve">Goldberg,</w:t>
      </w:r>
      <w:r>
        <w:t xml:space="preserve"> </w:t>
      </w:r>
      <w:r>
        <w:rPr>
          <w:rStyle w:val="Elision"/>
        </w:rPr>
        <w:t xml:space="preserve">[ … ]</w:t>
      </w:r>
      <w:r>
        <w:t xml:space="preserve">and the wage earner in</w:t>
      </w:r>
      <w:r>
        <w:t xml:space="preserve"> </w:t>
      </w:r>
      <w:r>
        <w:rPr>
          <w:iCs/>
          <w:i/>
        </w:rPr>
        <w:t xml:space="preserve">Sniadach.</w:t>
      </w:r>
      <w:r>
        <w:t xml:space="preserve"> </w:t>
      </w:r>
      <w:r>
        <w:rPr>
          <w:rStyle w:val="Elision"/>
        </w:rPr>
        <w:t xml:space="preserve">[ … ]</w:t>
      </w:r>
      <w:r>
        <w:rPr>
          <w:rStyle w:val="FootnoteReference"/>
        </w:rPr>
        <w:footnoteReference w:customMarkFollows="1" w:id="240"/>
        <w:t xml:space="preserve">23</w:t>
      </w:r>
    </w:p>
    <w:p>
      <w:pPr>
        <w:pStyle w:val="CaseBody"/>
      </w:pPr>
      <w:r>
        <w:t xml:space="preserve">Only in</w:t>
      </w:r>
      <w:r>
        <w:t xml:space="preserve"> </w:t>
      </w:r>
      <w:r>
        <w:rPr>
          <w:iCs/>
          <w:i/>
        </w:rPr>
        <w:t xml:space="preserve">Goldberg</w:t>
      </w:r>
      <w:r>
        <w:t xml:space="preserve"> </w:t>
      </w:r>
      <w:r>
        <w:t xml:space="preserve">has the Court held that due process requires an evidentiary hearing prior to a temporary deprivation. It was emphasized there that welfare assistance is given to persons on the very margin of subsistence:</w:t>
      </w:r>
    </w:p>
    <w:p>
      <w:pPr>
        <w:pStyle w:val="BlockText"/>
      </w:pPr>
      <w:r>
        <w:t xml:space="preserve">“The crucial factor in this context — a factor not present in the case of ... virtually anyone else whose governmental entitlements are ended — is that termination of aid pending resolution of a controversy over eligibility may deprive an</w:t>
      </w:r>
      <w:r>
        <w:t xml:space="preserve"> </w:t>
      </w:r>
      <w:r>
        <w:rPr>
          <w:iCs/>
          <w:i/>
        </w:rPr>
        <w:t xml:space="preserve">eligible</w:t>
      </w:r>
      <w:r>
        <w:t xml:space="preserve"> </w:t>
      </w:r>
      <w:r>
        <w:t xml:space="preserve">recipient of the very means by which to live while he waits.”</w:t>
      </w:r>
      <w:r>
        <w:rPr>
          <w:rStyle w:val="Elision"/>
        </w:rPr>
        <w:t xml:space="preserve">[ … ]</w:t>
      </w:r>
    </w:p>
    <w:p>
      <w:pPr>
        <w:pStyle w:val="CaseBody"/>
      </w:pPr>
      <w:r>
        <w:t xml:space="preserve">Eligibility for disability benefits, in contrast, is not based upon financial need.</w:t>
      </w:r>
      <w:r>
        <w:rPr>
          <w:rStyle w:val="FootnoteReference"/>
        </w:rPr>
        <w:footnoteReference w:customMarkFollows="1" w:id="210"/>
        <w:t xml:space="preserve">24</w:t>
      </w:r>
      <w:r>
        <w:t xml:space="preserve"> </w:t>
      </w:r>
      <w:r>
        <w:t xml:space="preserve">Indeed, it is wholly unrelated to the worker’s income or support from many other sources, such as earnings of other family members, workmen’s compensation awards,</w:t>
      </w:r>
      <w:r>
        <w:rPr>
          <w:rStyle w:val="FootnoteReference"/>
        </w:rPr>
        <w:footnoteReference w:customMarkFollows="1" w:id="213"/>
        <w:t xml:space="preserve">25</w:t>
      </w:r>
      <w:r>
        <w:t xml:space="preserve"> </w:t>
      </w:r>
      <w:r>
        <w:t xml:space="preserve">tort claims awards, savings, private insurance, public or private pensions, veterans’ benefits, food stamps, public assistance, or the “many other important programs, both public and private, which contain provisions for disability payments affecting a substantial portion of the work force . . .</w:t>
      </w:r>
      <w:r>
        <w:t xml:space="preserve"> </w:t>
      </w:r>
      <w:r>
        <w:rPr>
          <w:rStyle w:val="Elision"/>
        </w:rPr>
        <w:t xml:space="preserve">[ … ]</w:t>
      </w:r>
    </w:p>
    <w:p>
      <w:pPr>
        <w:pStyle w:val="CaseBody"/>
      </w:pPr>
      <w:r>
        <w:t xml:space="preserve">As</w:t>
      </w:r>
      <w:r>
        <w:t xml:space="preserve"> </w:t>
      </w:r>
      <w:r>
        <w:rPr>
          <w:iCs/>
          <w:i/>
        </w:rPr>
        <w:t xml:space="preserve">Goldberg</w:t>
      </w:r>
      <w:r>
        <w:t xml:space="preserve"> </w:t>
      </w:r>
      <w:r>
        <w:t xml:space="preserve">illustrates, the degree of potential deprivation that may be created by a particular decision is a factor to be considered in assessing the validity of any administrative decisionmaking process.</w:t>
      </w:r>
      <w:r>
        <w:rPr>
          <w:rStyle w:val="Elision"/>
        </w:rPr>
        <w:t xml:space="preserve">[ … ]</w:t>
      </w:r>
      <w:r>
        <w:t xml:space="preserve">The potential deprivation here is generally likely to be less than in</w:t>
      </w:r>
      <w:r>
        <w:t xml:space="preserve"> </w:t>
      </w:r>
      <w:r>
        <w:rPr>
          <w:iCs/>
          <w:i/>
        </w:rPr>
        <w:t xml:space="preserve">Goldberg,</w:t>
      </w:r>
      <w:r>
        <w:t xml:space="preserve"> </w:t>
      </w:r>
      <w:r>
        <w:t xml:space="preserve">although the degree of difference can be overstated. As the District Court emphasized, to remain eligible for benefits a recipient must be “unable to engage in substantial gainful activity.”</w:t>
      </w:r>
      <w:r>
        <w:t xml:space="preserve"> </w:t>
      </w:r>
      <w:r>
        <w:rPr>
          <w:rStyle w:val="Elision"/>
        </w:rPr>
        <w:t xml:space="preserve">[ … ]</w:t>
      </w:r>
      <w:r>
        <w:t xml:space="preserve"> </w:t>
      </w:r>
      <w:r>
        <w:t xml:space="preserve">Thus</w:t>
      </w:r>
      <w:r>
        <w:rPr>
          <w:rStyle w:val="Elision"/>
        </w:rPr>
        <w:t xml:space="preserve">[ … ]</w:t>
      </w:r>
      <w:r>
        <w:rPr>
          <w:rStyle w:val="Elision"/>
        </w:rPr>
        <w:t xml:space="preserve">[ … ]</w:t>
      </w:r>
      <w:r>
        <w:t xml:space="preserve"> </w:t>
      </w:r>
      <w:r>
        <w:t xml:space="preserve"> </w:t>
      </w:r>
      <w:r>
        <w:t xml:space="preserve">there is little possibility that the terminated recipient will be able to find even temporary employment to ameliorate the interim loss.</w:t>
      </w:r>
    </w:p>
    <w:p>
      <w:pPr>
        <w:pStyle w:val="CaseBody"/>
      </w:pPr>
      <w:r>
        <w:rPr>
          <w:rStyle w:val="ReplacementText"/>
        </w:rPr>
        <w:t xml:space="preserve">"[T]</w:t>
      </w:r>
      <w:r>
        <w:t xml:space="preserve">he possible length of wrongful deprivation of... benefits [also] is an important factor in assessing the impact of official action on the private interests.” The Secretary concedes that the delay between a request for a hearing before an administrative law judge and a decision on the claim is currently between 10 and 11 months. Since a terminated recipient must first obtain a reconsideration decision as a prerequisite to invoking his right to an evidentiary hearing, the delay between the actual cutoff of benefits and final decision after a hearing exceeds one year.</w:t>
      </w:r>
    </w:p>
    <w:p>
      <w:pPr>
        <w:pStyle w:val="CaseBody"/>
      </w:pPr>
      <w:r>
        <w:t xml:space="preserve">In view of the torpidity of this administrative review process,</w:t>
      </w:r>
      <w:r>
        <w:t xml:space="preserve"> </w:t>
      </w:r>
      <w:r>
        <w:rPr>
          <w:rStyle w:val="Elision"/>
        </w:rPr>
        <w:t xml:space="preserve">[ … ]</w:t>
      </w:r>
      <w:r>
        <w:t xml:space="preserve">, and the typically modest resources of the family unit of the physically disabled worker,</w:t>
      </w:r>
      <w:r>
        <w:rPr>
          <w:rStyle w:val="FootnoteReference"/>
        </w:rPr>
        <w:footnoteReference w:customMarkFollows="1" w:id="215"/>
        <w:t xml:space="preserve">26</w:t>
      </w:r>
      <w:r>
        <w:t xml:space="preserve"> </w:t>
      </w:r>
      <w:r>
        <w:t xml:space="preserve">the hardship imposed upon the erroneously terminated disability recipient may be significant. Still, the disabled worker's need is likely to be less than that of a welfare recipient. In addition to the possibility of access to private resources, other forms of government assistance will become available where the termination of disability benefits places a worker or his family below the subsistence level.</w:t>
      </w:r>
      <w:r>
        <w:rPr>
          <w:rStyle w:val="FootnoteReference"/>
        </w:rPr>
        <w:footnoteReference w:customMarkFollows="1" w:id="242"/>
        <w:t xml:space="preserve">27</w:t>
      </w:r>
      <w:r>
        <w:t xml:space="preserve"> </w:t>
      </w:r>
      <w:r>
        <w:rPr>
          <w:rStyle w:val="Elision"/>
        </w:rPr>
        <w:t xml:space="preserve">[ … ]</w:t>
      </w:r>
      <w:r>
        <w:t xml:space="preserve"> </w:t>
      </w:r>
      <w:r>
        <w:t xml:space="preserve">In view of these potential sources of temporary income, there is less reason here than in</w:t>
      </w:r>
      <w:r>
        <w:t xml:space="preserve"> </w:t>
      </w:r>
      <w:r>
        <w:rPr>
          <w:iCs/>
          <w:i/>
        </w:rPr>
        <w:t xml:space="preserve">Goldberg</w:t>
      </w:r>
      <w:r>
        <w:t xml:space="preserve"> </w:t>
      </w:r>
      <w:r>
        <w:t xml:space="preserve">to depart from the ordinary principle, established by our decisions, that something less than an evidentiary hearing is sufficient prior to adverse administrative action.</w:t>
      </w:r>
    </w:p>
    <w:p>
      <w:pPr>
        <w:pStyle w:val="CaseBody"/>
      </w:pPr>
      <w:r>
        <w:t xml:space="preserve">D</w:t>
      </w:r>
    </w:p>
    <w:p>
      <w:pPr>
        <w:pStyle w:val="CaseBody"/>
      </w:pPr>
      <w:r>
        <w:t xml:space="preserve">An additional factor to be considered here is the fairness and reliability of the existing pretermination procedures, and the probable value, if any, of additional procedural safeguards. Central to the evaluation of any administrative process is the nature of the relevant inquiry.</w:t>
      </w:r>
      <w:r>
        <w:t xml:space="preserve"> </w:t>
      </w:r>
      <w:r>
        <w:rPr>
          <w:rStyle w:val="Elision"/>
        </w:rPr>
        <w:t xml:space="preserve">[ … ]</w:t>
      </w:r>
      <w:r>
        <w:t xml:space="preserve"> </w:t>
      </w:r>
      <w:r>
        <w:t xml:space="preserve">In order to remain eligible for benefits the disabled worker must demonstrate by means of “medically acceptable clinical and laboratory diagnostic techniques,”</w:t>
      </w:r>
      <w:r>
        <w:t xml:space="preserve"> </w:t>
      </w:r>
      <w:r>
        <w:rPr>
          <w:rStyle w:val="Elision"/>
        </w:rPr>
        <w:t xml:space="preserve">[ … ]</w:t>
      </w:r>
      <w:r>
        <w:t xml:space="preserve"> </w:t>
      </w:r>
      <w:r>
        <w:t xml:space="preserve">that he is unable “to engage in any substantial gainful activity by reason of any</w:t>
      </w:r>
      <w:r>
        <w:t xml:space="preserve"> </w:t>
      </w:r>
      <w:r>
        <w:rPr>
          <w:iCs/>
          <w:i/>
        </w:rPr>
        <w:t xml:space="preserve">medically determinable</w:t>
      </w:r>
      <w:r>
        <w:t xml:space="preserve"> </w:t>
      </w:r>
      <w:r>
        <w:t xml:space="preserve">physical or mental impairment . . . .”</w:t>
      </w:r>
      <w:r>
        <w:t xml:space="preserve"> </w:t>
      </w:r>
      <w:r>
        <w:rPr>
          <w:rStyle w:val="Elision"/>
        </w:rPr>
        <w:t xml:space="preserve">[ … ]</w:t>
      </w:r>
      <w:r>
        <w:t xml:space="preserve"> </w:t>
      </w:r>
      <w:r>
        <w:t xml:space="preserve">(emphasis supplied). In short, a medical assessment of the worker’s physical or mental condition is required. This is a more sharply focused and easily documented decision than the typical determination of welfare entitlement. In the latter case, a wide variety of information may be deemed relevant, and issues of witness credibility and veracity often are critical to the decisionmaking process.</w:t>
      </w:r>
      <w:r>
        <w:t xml:space="preserve"> </w:t>
      </w:r>
      <w:r>
        <w:rPr>
          <w:iCs/>
          <w:i/>
        </w:rPr>
        <w:t xml:space="preserve">Goldberg</w:t>
      </w:r>
      <w:r>
        <w:t xml:space="preserve"> </w:t>
      </w:r>
      <w:r>
        <w:t xml:space="preserve">noted that in such circumstances “written submissions are a wholly unsatisfactory basis for decision.”</w:t>
      </w:r>
      <w:r>
        <w:t xml:space="preserve"> </w:t>
      </w:r>
      <w:r>
        <w:t xml:space="preserve">397 U. S., at 269</w:t>
      </w:r>
      <w:r>
        <w:t xml:space="preserve">.</w:t>
      </w:r>
    </w:p>
    <w:p>
      <w:pPr>
        <w:pStyle w:val="CaseBody"/>
      </w:pPr>
      <w:r>
        <w:t xml:space="preserve">By contrast, the decision whether to discontinue disability benefits will turn, in most cases, upon “routine, standard, and unbiased medical reports by physician specialists,”</w:t>
      </w:r>
      <w:r>
        <w:t xml:space="preserve"> </w:t>
      </w:r>
      <w:r>
        <w:rPr>
          <w:rStyle w:val="Elision"/>
        </w:rPr>
        <w:t xml:space="preserve">[ … ]</w:t>
      </w:r>
      <w:r>
        <w:t xml:space="preserve"> </w:t>
      </w:r>
      <w:r>
        <w:t xml:space="preserve">concerning a subject whom they have personally examined.</w:t>
      </w:r>
      <w:r>
        <w:rPr>
          <w:rStyle w:val="FootnoteReference"/>
        </w:rPr>
        <w:footnoteReference w:customMarkFollows="1" w:id="243"/>
        <w:t xml:space="preserve">28</w:t>
      </w:r>
      <w:r>
        <w:t xml:space="preserve"> </w:t>
      </w:r>
      <w:r>
        <w:rPr>
          <w:rStyle w:val="ReplacementText"/>
        </w:rPr>
        <w:t xml:space="preserve">[The]</w:t>
      </w:r>
      <w:r>
        <w:t xml:space="preserve"> </w:t>
      </w:r>
      <w:r>
        <w:t xml:space="preserve">Court recognized the “reliability and probative worth of written medical reports,” emphasizing that while there may be “professional disagreement with the medical conclusions” the “specter of questionable credibility and veracity is not present.”</w:t>
      </w:r>
      <w:r>
        <w:t xml:space="preserve"> </w:t>
      </w:r>
      <w:r>
        <w:rPr>
          <w:rStyle w:val="Elision"/>
        </w:rPr>
        <w:t xml:space="preserve">[ … ]</w:t>
      </w:r>
      <w:r>
        <w:t xml:space="preserve"> </w:t>
      </w:r>
      <w:r>
        <w:t xml:space="preserve">To be sure, credibility and veracity may be a factor in the ultimate disability assessment in some cases. But procedural due process rules are shaped by the risk of error inherent in the truth-finding process as applied to the generality of cases, not the rare exceptions. The potential value of an eviden-tiary hearing, or even oral presentation to the decision-maker, is substantially less in this context than in</w:t>
      </w:r>
      <w:r>
        <w:t xml:space="preserve"> </w:t>
      </w:r>
      <w:r>
        <w:rPr>
          <w:iCs/>
          <w:i/>
        </w:rPr>
        <w:t xml:space="preserve">Goldberg.</w:t>
      </w:r>
    </w:p>
    <w:p>
      <w:pPr>
        <w:pStyle w:val="CaseBody"/>
      </w:pPr>
      <w:r>
        <w:t xml:space="preserve">The decision in</w:t>
      </w:r>
      <w:r>
        <w:t xml:space="preserve"> </w:t>
      </w:r>
      <w:r>
        <w:rPr>
          <w:iCs/>
          <w:i/>
        </w:rPr>
        <w:t xml:space="preserve">Goldberg</w:t>
      </w:r>
      <w:r>
        <w:t xml:space="preserve"> </w:t>
      </w:r>
      <w:r>
        <w:t xml:space="preserve">also was based on the Court’s conclusion that written submissions were an inadequate substitute for oral presentation because they did not provide an effective means for the recipient to communicate his case to the decisionmaker. Written submissions were viewed as an unrealistic option, for most recipients lacked the “educational attainment necessary to write effectively” and could not afford professional assistance. In addition, such submissions would not provide the “flexibility of oral presentations” or “permit the recipient to mold his argument to the issues the decision maker appears to regard as important.”</w:t>
      </w:r>
      <w:r>
        <w:t xml:space="preserve"> </w:t>
      </w:r>
      <w:r>
        <w:rPr>
          <w:rStyle w:val="Elision"/>
        </w:rPr>
        <w:t xml:space="preserve">[ … ]</w:t>
      </w:r>
      <w:r>
        <w:t xml:space="preserve"> </w:t>
      </w:r>
      <w:r>
        <w:t xml:space="preserve">In the context of the disability-benefits-entitlement assesment the administrative procedures under review here fully answer these objections.</w:t>
      </w:r>
    </w:p>
    <w:p>
      <w:pPr>
        <w:pStyle w:val="CaseBody"/>
      </w:pPr>
      <w:r>
        <w:t xml:space="preserve">The detailed questionnaire which the state agency periodically sends the recipient identifies with particularity the information relevant to the entitlement decision, and the recipient is invited to obtain assistance from the local SSA office in completing the questionnaire. More important, the information critical to the entitlement decision usually is derived from medical sources, such as the treating physician. Such sources are likely to be able to communicate more effectively through written documents than are welfare recipients or the lay witnesses supporting their cause. The conclusions of physicians often are supported by X-rays and the results of clinical or laboratory tests, information typically more amenable to written than to oral presentation.</w:t>
      </w:r>
      <w:r>
        <w:t xml:space="preserve"> </w:t>
      </w:r>
      <w:r>
        <w:rPr>
          <w:rStyle w:val="Elision"/>
        </w:rPr>
        <w:t xml:space="preserve">[ … ]</w:t>
      </w:r>
    </w:p>
    <w:p>
      <w:pPr>
        <w:pStyle w:val="CaseBody"/>
      </w:pPr>
      <w:r>
        <w:t xml:space="preserve">A further safeguard against mistake is the policy of allowing the disability recipient’s representative full access to all information relied upon by the state agency. In addition, prior to the cutoff of benefits the agency informs the recipient of its tentative assessment, the reasons therefor, and provides a summary of the evidence that, it considers most relevant. Opportunity is then afforded the recipient to submit additional evidence or arguments, enabling him to challenge directly the accuracy of information in his file as well as the correctness of the agency’s tentative conclusions. These procedures, again as contrasted with. those before the Court in</w:t>
      </w:r>
      <w:r>
        <w:t xml:space="preserve"> </w:t>
      </w:r>
      <w:r>
        <w:rPr>
          <w:iCs/>
          <w:i/>
        </w:rPr>
        <w:t xml:space="preserve">Goldberg,</w:t>
      </w:r>
      <w:r>
        <w:t xml:space="preserve"> </w:t>
      </w:r>
      <w:r>
        <w:t xml:space="preserve">enable the recipient to “mold” his argument to respond to the precise issues which the decisionmaker regards as crucial.</w:t>
      </w:r>
    </w:p>
    <w:p>
      <w:pPr>
        <w:pStyle w:val="CaseBody"/>
      </w:pPr>
      <w:r>
        <w:t xml:space="preserve">Despite these carefully structured procedures,</w:t>
      </w:r>
      <w:r>
        <w:t xml:space="preserve"> </w:t>
      </w:r>
      <w:r>
        <w:rPr>
          <w:rStyle w:val="ReplacementText"/>
          <w:iCs/>
          <w:i/>
        </w:rPr>
        <w:t xml:space="preserve">amici</w:t>
      </w:r>
      <w:r>
        <w:t xml:space="preserve">point to the significant reversal rate for appealed cases as clear evidence that the current process is inadequate. Depending upon the base selected and the line of analysis followed, the relevant reversal rates urged by the contending parties vary from- a high of 58.6% for appealed reconsideration decisions to an overall reversal rate of only 3.3%.</w:t>
      </w:r>
      <w:r>
        <w:rPr>
          <w:rStyle w:val="FootnoteReference"/>
        </w:rPr>
        <w:footnoteReference w:customMarkFollows="1" w:id="244"/>
        <w:t xml:space="preserve">29</w:t>
      </w:r>
      <w:r>
        <w:t xml:space="preserve"> </w:t>
      </w:r>
      <w:r>
        <w:t xml:space="preserve">Bare statistics rarely provide a satisfactory measure of the fairness of a decisionmaking process. Their adequacy is especially suspect here since the administrative review system is operated on an open-file basis. A recipient may always submit new evidence, and such submissions may result in additional medical examinations. Such fresh examinations were held in approximately 30% to 40% of the appealed cases in fiscal 1973, either at the reconsideration or evidentiary hearing stage of the administrative process.</w:t>
      </w:r>
      <w:r>
        <w:t xml:space="preserve"> </w:t>
      </w:r>
      <w:r>
        <w:rPr>
          <w:rStyle w:val="Elision"/>
        </w:rPr>
        <w:t xml:space="preserve">[ … ]</w:t>
      </w:r>
      <w:r>
        <w:t xml:space="preserve"> </w:t>
      </w:r>
      <w:r>
        <w:t xml:space="preserve">In this context, the value of reversal rate statistics as one means of evaluating the adequacy of the pretermination process is diminished. Thus, although we view such information as relevant, it is certainly not controlling in this case.</w:t>
      </w:r>
    </w:p>
    <w:p>
      <w:pPr>
        <w:pStyle w:val="CaseBody"/>
      </w:pPr>
      <w:r>
        <w:t xml:space="preserve">E</w:t>
      </w:r>
    </w:p>
    <w:p>
      <w:pPr>
        <w:pStyle w:val="CaseBody"/>
      </w:pPr>
      <w:r>
        <w:t xml:space="preserve">In striking the appropriate due process balance the final factor to be assessed is the puhlic interest. This includes the administrative burden and other societal costs that would be associated with requiring, as a matter of constitutional right, an evidentiary hearing upon demand in all cases prior to the termination of disability benefits. The most visible burden would be the incremental cost resulting from the increased number of hearings and the expense of providing benefits to ineligible recipients pending decision. No one can predict the extent of the increase, but the fact that full benefits would continue until after such hearings would assure the exhaustion in most cases of this attractive option. Nor would the theoretical right of the Secretary to recover undeserved benefits result, as a practical matter, in any substantial offset to the added outlay of public funds. The parties submit widely varying estimates of the probable additional financial cost. We only need say that experience with the constitutionalizing of government procedures suggests that the ultimate additional cost in terms of money and administrative burden would not be insubstantial.</w:t>
      </w:r>
    </w:p>
    <w:p>
      <w:pPr>
        <w:pStyle w:val="CaseBody"/>
      </w:pPr>
      <w:r>
        <w:t xml:space="preserve">Financial cost alone is not a controlling weight in determining whether due process requires a particular procedural safeguard prior to some administrative decision. But the Government’s interest, and hence that of the public, in conserving scarce fiscal and administrative resources is a factor that must be weighed. At some point the benefit of an additional safeguard to the individual affected by the administrative action and to society in terms of increased assurance that the action is just, may be outweighed by the cost. Significantly, the cost of protecting those whom the preliminary administrative process has identified as likely to be found undeserving may in the end come out of the pockets of the deserving since resources available for any particular program of social welfare are not unlimited.</w:t>
      </w:r>
      <w:r>
        <w:rPr>
          <w:rStyle w:val="Elision"/>
        </w:rPr>
        <w:t xml:space="preserve">[ … ]</w:t>
      </w:r>
    </w:p>
    <w:p>
      <w:pPr>
        <w:pStyle w:val="CaseBody"/>
      </w:pPr>
      <w:r>
        <w:t xml:space="preserve">But more is implicated in cases of this type than ad hoc weighing.of fiscal and administrative burdens against the interests of a particular category of claimants. The ultimate balance involves a determination as to when, under our constitutional system, judicial-type procedures must be imposed upon administrative action to assure fairness. We reiterate the wise admonishment of Mr. Justice Frankfurter that.differences in the origin and function of administrative agencies “preclude wholesale transplantation of the rules of procedure, trial, and review which have evolved from the history and experience of courts.”</w:t>
      </w:r>
      <w:r>
        <w:t xml:space="preserve"> </w:t>
      </w:r>
      <w:r>
        <w:rPr>
          <w:rStyle w:val="Elision"/>
        </w:rPr>
        <w:t xml:space="preserve">[ … ]</w:t>
      </w:r>
      <w:r>
        <w:t xml:space="preserve">. The judicial model of an evidentiary hearing is neither a required, nor even the most effective, method of decisionmaking in all circumstances. The essence of due process is the requirement that “a person in jeopardy of serious loss [be given] notice of the case against him and opportunity to meet it.”</w:t>
      </w:r>
      <w:r>
        <w:t xml:space="preserve"> </w:t>
      </w:r>
      <w:r>
        <w:rPr>
          <w:rStyle w:val="Elision"/>
        </w:rPr>
        <w:t xml:space="preserve">[ … ]</w:t>
      </w:r>
      <w:r>
        <w:t xml:space="preserve"> </w:t>
      </w:r>
      <w:r>
        <w:t xml:space="preserve">All that is necessary is that the procedures be tailored, in light of the decision to be made, to “the capacities and circumstances of those who are to be heard,”</w:t>
      </w:r>
      <w:r>
        <w:t xml:space="preserve"> </w:t>
      </w:r>
      <w:r>
        <w:rPr>
          <w:rStyle w:val="Elision"/>
        </w:rPr>
        <w:t xml:space="preserve">[ … ]</w:t>
      </w:r>
      <w:r>
        <w:t xml:space="preserve">, to insure that they are given a meaningful opportunity to present their case. In assessing what process is due in this case, substantial weight must be given to the good-faith judgments of the individuals charged by Congress with the administration of social welfare programs that the procedures they have provided assure fair consideration of the entitlement claims of individuals.</w:t>
      </w:r>
      <w:r>
        <w:t xml:space="preserve"> </w:t>
      </w:r>
      <w:r>
        <w:rPr>
          <w:rStyle w:val="Elision"/>
        </w:rPr>
        <w:t xml:space="preserve">[ … ]</w:t>
      </w:r>
      <w:r>
        <w:t xml:space="preserve">. This is especially so where, as here, the prescribed procedures not only provide the claimant with an effective process for asserting his claim prior to any administrative action, but also assure a right to an evidentiary hearing, as well as to subsequent judicial review, before the denial of his claim becomes final.</w:t>
      </w:r>
      <w:r>
        <w:t xml:space="preserve"> </w:t>
      </w:r>
      <w:r>
        <w:rPr>
          <w:rStyle w:val="Elision"/>
        </w:rPr>
        <w:t xml:space="preserve">[ … ]</w:t>
      </w:r>
    </w:p>
    <w:p>
      <w:pPr>
        <w:pStyle w:val="CaseBody"/>
      </w:pPr>
      <w:r>
        <w:t xml:space="preserve">We conclude that an evidentiary hearing is not required prior to the termination of disability benefits and that the present administrative procedures fully comport with due process.</w:t>
      </w:r>
    </w:p>
    <w:p>
      <w:pPr>
        <w:pStyle w:val="CaseBody"/>
      </w:pPr>
      <w:r>
        <w:t xml:space="preserve">The judgment of the Court of Appeals is</w:t>
      </w:r>
    </w:p>
    <w:p>
      <w:pPr>
        <w:pStyle w:val="CaseBody"/>
      </w:pPr>
      <w:r>
        <w:rPr>
          <w:iCs/>
          <w:i/>
        </w:rPr>
        <w:t xml:space="preserve">Reversed.</w:t>
      </w:r>
    </w:p>
    <w:p>
      <w:pPr>
        <w:pStyle w:val="CaseBody"/>
      </w:pPr>
      <w:r>
        <w:t xml:space="preserve">Mr. Justice Stevens took no part in the consideration or decision of this case.</w:t>
      </w:r>
    </w:p>
    <w:p>
      <w:pPr>
        <w:pStyle w:val="CaseBody"/>
      </w:pPr>
      <w:r>
        <w:rPr>
          <w:rStyle w:val="Elision"/>
        </w:rPr>
        <w:t xml:space="preserve">[ … ]</w:t>
      </w:r>
    </w:p>
    <w:p>
      <w:pPr>
        <w:pStyle w:val="CaseBody"/>
      </w:pPr>
      <w:r>
        <w:t xml:space="preserve">Mr. Justice Brennan,</w:t>
      </w:r>
    </w:p>
    <w:p>
      <w:pPr>
        <w:pStyle w:val="CaseBody"/>
      </w:pPr>
      <w:r>
        <w:t xml:space="preserve">with whom Mr. Justice Marshall concurs, dissenting.</w:t>
      </w:r>
    </w:p>
    <w:p>
      <w:pPr>
        <w:pStyle w:val="CaseBody"/>
      </w:pPr>
      <w:r>
        <w:rPr>
          <w:rStyle w:val="Elision"/>
        </w:rPr>
        <w:t xml:space="preserve">[ … ]</w:t>
      </w:r>
      <w:r>
        <w:rPr>
          <w:rStyle w:val="FootnoteReference"/>
        </w:rPr>
        <w:footnoteReference w:customMarkFollows="1" w:id="35"/>
        <w:t xml:space="preserve">*</w:t>
      </w:r>
      <w:r>
        <w:t xml:space="preserve"> </w:t>
      </w:r>
      <w:r>
        <w:t xml:space="preserve">I agree with the District Court and the Court of Appeals that, prior to termination of benefits, Eldridge must be afforded an evidentiary hearing</w:t>
      </w:r>
      <w:r>
        <w:t xml:space="preserve"> </w:t>
      </w:r>
      <w:r>
        <w:rPr>
          <w:rStyle w:val="Elision"/>
        </w:rPr>
        <w:t xml:space="preserve">[ … ]</w:t>
      </w:r>
      <w:r>
        <w:t xml:space="preserve"> </w:t>
      </w:r>
      <w:r>
        <w:t xml:space="preserve">I would add that the Court’s consideration that a discontinuance of disability benefits may cause the recipient to suffer only a limited deprivation is no argument. It is speculative. Moreover, the very legislative determination to provide disability benfits, without any prerequisite determination of need in fact, presumes a need by the recipient which is not this Court’s function to denigrate. Indeed, in the present case, it is indicated that because disability benefits were terminated there was a foreclosure upon the Eldridge home and the family’s furniture was repossessed, forcing Eldridge, his wife, and their children to sleep in one bed.</w:t>
      </w:r>
      <w:r>
        <w:t xml:space="preserve"> </w:t>
      </w:r>
      <w:r>
        <w:rPr>
          <w:rStyle w:val="Elision"/>
        </w:rPr>
        <w:t xml:space="preserve">[ … ]</w:t>
      </w:r>
      <w:r>
        <w:t xml:space="preserve"> </w:t>
      </w:r>
      <w:r>
        <w:t xml:space="preserve">Finally, it is also no argument that a worker, who has been placed in the untenable position of having been denied disability benefits, may still seek other forms of public assistance.</w:t>
      </w:r>
    </w:p>
    <w:p>
      <w:pPr>
        <w:pStyle w:val="NodeEnd"/>
      </w:pPr>
      <w:r>
        <w:t xml:space="preserve"> </w:t>
      </w:r>
    </w:p>
    <w:p>
      <w:pPr>
        <w:pStyle w:val="NodeStart"/>
      </w:pPr>
      <w:r>
        <w:t xml:space="preserve"> </w:t>
      </w:r>
    </w:p>
    <w:p>
      <w:pPr>
        <w:pStyle w:val="HeadSeparator"/>
      </w:pPr>
      <w:r>
        <w:t xml:space="preserve"> </w:t>
      </w:r>
    </w:p>
    <w:bookmarkStart w:id="156" w:name="_auto_toc_156"/>
    <w:bookmarkEnd w:id="156"/>
    <w:p>
      <w:pPr>
        <w:pStyle w:val="ResourceNumber"/>
      </w:pPr>
      <w:r>
        <w:t xml:space="preserve">13.6</w:t>
      </w:r>
    </w:p>
    <w:p>
      <w:pPr>
        <w:pStyle w:val="ResourceTitle"/>
      </w:pPr>
      <w:r>
        <w:t xml:space="preserve">Notes following Mathews v. Eldridge</w:t>
      </w:r>
    </w:p>
    <w:p>
      <w:pPr>
        <w:pStyle w:val="HeadFieldSeparator"/>
      </w:pPr>
      <w:r>
        <w:t xml:space="preserve"> </w:t>
      </w:r>
    </w:p>
    <w:p>
      <w:pPr>
        <w:pStyle w:val="ResourceHeadnote"/>
      </w:pPr>
      <w:r>
        <w:rPr>
          <w:iCs/>
          <w:i/>
        </w:rPr>
        <w:t xml:space="preserve">Mathews</w:t>
      </w:r>
      <w:r>
        <w:t xml:space="preserve"> </w:t>
      </w:r>
      <w:r>
        <w:t xml:space="preserve">sets out a three-prong test for the form of due process required before depriving someone of a property interest: (1) private interest, (2) risk of erroneous deprivation, (3) public interest.</w:t>
      </w:r>
    </w:p>
    <w:p>
      <w:pPr>
        <w:pStyle w:val="HeadEnd"/>
      </w:pPr>
      <w:r>
        <w:t xml:space="preserve"> </w:t>
      </w:r>
    </w:p>
    <w:p>
      <w:pPr>
        <w:numPr>
          <w:ilvl w:val="0"/>
          <w:numId w:val="1144"/>
        </w:numPr>
      </w:pPr>
      <w:r>
        <w:rPr>
          <w:iCs/>
          <w:i/>
        </w:rPr>
        <w:t xml:space="preserve">Third prong: Government’s interest</w:t>
      </w:r>
      <w:r>
        <w:t xml:space="preserve">. The court says that the government’s, and thus the public’s, interest is to “conserv[e] scarce fiscal and administrative resources” and limit costs of administration.</w:t>
      </w:r>
    </w:p>
    <w:p>
      <w:pPr>
        <w:numPr>
          <w:ilvl w:val="1"/>
          <w:numId w:val="1145"/>
        </w:numPr>
      </w:pPr>
      <w:r>
        <w:t xml:space="preserve">Would you agree with the court’s conceptualization of the government’s interest in this way? What about positive externalities (i.e., continued disability benefits allow the recipient to consume goods in the economy)? Is the court’s conceptualization too thin? Or properly narrow?</w:t>
      </w:r>
    </w:p>
    <w:p>
      <w:pPr>
        <w:numPr>
          <w:ilvl w:val="1"/>
          <w:numId w:val="1145"/>
        </w:numPr>
      </w:pPr>
      <w:r>
        <w:t xml:space="preserve">The court was worried that money spent on process would be money</w:t>
      </w:r>
      <w:r>
        <w:t xml:space="preserve"> </w:t>
      </w:r>
      <w:r>
        <w:rPr>
          <w:iCs/>
          <w:i/>
        </w:rPr>
        <w:t xml:space="preserve">not</w:t>
      </w:r>
      <w:r>
        <w:t xml:space="preserve"> </w:t>
      </w:r>
      <w:r>
        <w:t xml:space="preserve">spent on benefits for other disabled recipients. Is this a reactive or pragmatic jurisprudence? Should judicial decision-making be more normative and aspirational? In other words, how much should judges take into account on-the-ground considerations, like budget issues, when deciding constitutional issues?</w:t>
      </w:r>
    </w:p>
    <w:p>
      <w:pPr>
        <w:numPr>
          <w:ilvl w:val="0"/>
          <w:numId w:val="1144"/>
        </w:numPr>
      </w:pPr>
      <w:r>
        <w:rPr>
          <w:iCs/>
          <w:i/>
        </w:rPr>
        <w:t xml:space="preserve">Rules vs. standards.</w:t>
      </w:r>
      <w:r>
        <w:t xml:space="preserve"> </w:t>
      </w:r>
      <w:r>
        <w:t xml:space="preserve">The court seems to set down a formalistic</w:t>
      </w:r>
      <w:r>
        <w:t xml:space="preserve"> </w:t>
      </w:r>
      <w:r>
        <w:rPr>
          <w:bCs/>
          <w:b/>
        </w:rPr>
        <w:t xml:space="preserve">rule</w:t>
      </w:r>
      <w:r>
        <w:t xml:space="preserve"> </w:t>
      </w:r>
      <w:r>
        <w:t xml:space="preserve">that welfare benefits do require a pre-termination hearing, while disability benefits do not.</w:t>
      </w:r>
    </w:p>
    <w:p>
      <w:pPr>
        <w:numPr>
          <w:ilvl w:val="1"/>
          <w:numId w:val="1146"/>
        </w:numPr>
      </w:pPr>
      <w:r>
        <w:t xml:space="preserve">Are you convinced by the court’s differentiation of these two types of benefits? Is categorization necessary for legal analysis?</w:t>
      </w:r>
    </w:p>
    <w:p>
      <w:pPr>
        <w:numPr>
          <w:ilvl w:val="1"/>
          <w:numId w:val="1146"/>
        </w:numPr>
      </w:pPr>
      <w:r>
        <w:t xml:space="preserve">Would a more individualized</w:t>
      </w:r>
      <w:r>
        <w:t xml:space="preserve"> </w:t>
      </w:r>
      <w:r>
        <w:rPr>
          <w:bCs/>
          <w:b/>
        </w:rPr>
        <w:t xml:space="preserve">standard</w:t>
      </w:r>
      <w:r>
        <w:t xml:space="preserve"> </w:t>
      </w:r>
      <w:r>
        <w:t xml:space="preserve">that looks holistically at each recipient’s financial situation be too malleable? Would this be practical in terms of judicial resources and public budgets?</w:t>
      </w:r>
    </w:p>
    <w:p>
      <w:pPr>
        <w:numPr>
          <w:ilvl w:val="0"/>
          <w:numId w:val="1144"/>
        </w:numPr>
      </w:pPr>
      <w:r>
        <w:rPr>
          <w:iCs/>
          <w:i/>
        </w:rPr>
        <w:t xml:space="preserve">Due process and administrative law.</w:t>
      </w:r>
      <w:r>
        <w:t xml:space="preserve"> </w:t>
      </w:r>
      <w:r>
        <w:rPr>
          <w:iCs/>
          <w:i/>
        </w:rPr>
        <w:t xml:space="preserve">Mathews</w:t>
      </w:r>
      <w:r>
        <w:t xml:space="preserve"> </w:t>
      </w:r>
      <w:r>
        <w:t xml:space="preserve">is a procedural due process case, but it is also a canonical administrative law case. It does not involve an action between two private citizens, but between a citizen and an agency of the government. (We will see the</w:t>
      </w:r>
      <w:r>
        <w:t xml:space="preserve"> </w:t>
      </w:r>
      <w:r>
        <w:rPr>
          <w:iCs/>
          <w:i/>
        </w:rPr>
        <w:t xml:space="preserve">Mathews</w:t>
      </w:r>
      <w:r>
        <w:t xml:space="preserve"> </w:t>
      </w:r>
      <w:r>
        <w:t xml:space="preserve">framework applied in a lawsuit between two private individuals in</w:t>
      </w:r>
      <w:r>
        <w:t xml:space="preserve"> </w:t>
      </w:r>
      <w:r>
        <w:rPr>
          <w:iCs/>
          <w:i/>
        </w:rPr>
        <w:t xml:space="preserve">Doehr</w:t>
      </w:r>
      <w:r>
        <w:t xml:space="preserve">.)</w:t>
      </w:r>
    </w:p>
    <w:p>
      <w:pPr>
        <w:numPr>
          <w:ilvl w:val="1"/>
          <w:numId w:val="1147"/>
        </w:numPr>
      </w:pPr>
      <w:r>
        <w:t xml:space="preserve">The court argues that the unique “origin and function of administrative agencies” precludes “wholesale transplantation of the rules of procedure, trial, and review which have evolved from the history and experience of courts” (latter is quote from Frankfurter). In other words, closely</w:t>
      </w:r>
      <w:r>
        <w:t xml:space="preserve"> </w:t>
      </w:r>
      <w:r>
        <w:t xml:space="preserve">approximating a judicial evidentiary hearing is not necessary to satisfy due process. Why does the court think that due process might require something less than a judicial hearing in the administrative/agency context?</w:t>
      </w:r>
    </w:p>
    <w:p>
      <w:pPr>
        <w:numPr>
          <w:ilvl w:val="1"/>
          <w:numId w:val="1147"/>
        </w:numPr>
      </w:pPr>
      <w:r>
        <w:t xml:space="preserve">As mentioned,</w:t>
      </w:r>
      <w:r>
        <w:t xml:space="preserve"> </w:t>
      </w:r>
      <w:r>
        <w:rPr>
          <w:iCs/>
          <w:i/>
        </w:rPr>
        <w:t xml:space="preserve">Doehr</w:t>
      </w:r>
      <w:r>
        <w:t xml:space="preserve"> </w:t>
      </w:r>
      <w:r>
        <w:t xml:space="preserve">later applies this</w:t>
      </w:r>
      <w:r>
        <w:t xml:space="preserve"> </w:t>
      </w:r>
      <w:r>
        <w:rPr>
          <w:iCs/>
          <w:i/>
        </w:rPr>
        <w:t xml:space="preserve">Mathews</w:t>
      </w:r>
      <w:r>
        <w:t xml:space="preserve"> </w:t>
      </w:r>
      <w:r>
        <w:t xml:space="preserve">framework to old property cases involving citizen opponents. Does this make sense? While the court in</w:t>
      </w:r>
      <w:r>
        <w:t xml:space="preserve"> </w:t>
      </w:r>
      <w:r>
        <w:rPr>
          <w:iCs/>
          <w:i/>
        </w:rPr>
        <w:t xml:space="preserve">Mathews</w:t>
      </w:r>
      <w:r>
        <w:t xml:space="preserve"> </w:t>
      </w:r>
      <w:r>
        <w:t xml:space="preserve">argues for the unique nature of the administrative law setting, the framework used here is then applied in a lawsuit between two private individuals.</w:t>
      </w:r>
    </w:p>
    <w:p>
      <w:pPr>
        <w:numPr>
          <w:ilvl w:val="0"/>
          <w:numId w:val="1144"/>
        </w:numPr>
      </w:pPr>
      <w:r>
        <w:rPr>
          <w:iCs/>
          <w:i/>
        </w:rPr>
        <w:t xml:space="preserve">Dissent</w:t>
      </w:r>
      <w:r>
        <w:t xml:space="preserve">. The dissent argues that the Court should not “denigrate” the presumption that a disability benefits recipient is in need. Do you think the dissent is correct to defer to what it sees as the legislative purpose? Is this in tension with the majority’s deference to administrative agencies?</w:t>
      </w:r>
    </w:p>
    <w:p>
      <w:pPr>
        <w:pStyle w:val="NodeEnd"/>
      </w:pPr>
      <w:r>
        <w:t xml:space="preserve"> </w:t>
      </w:r>
    </w:p>
    <w:p>
      <w:pPr>
        <w:pStyle w:val="NodeStart"/>
      </w:pPr>
      <w:r>
        <w:t xml:space="preserve"> </w:t>
      </w:r>
    </w:p>
    <w:p>
      <w:pPr>
        <w:pStyle w:val="HeadSeparator"/>
      </w:pPr>
      <w:r>
        <w:t xml:space="preserve"> </w:t>
      </w:r>
    </w:p>
    <w:bookmarkStart w:id="157" w:name="_auto_toc_157"/>
    <w:bookmarkEnd w:id="157"/>
    <w:p>
      <w:pPr>
        <w:pStyle w:val="ResourceNumber"/>
      </w:pPr>
      <w:r>
        <w:t xml:space="preserve">13.7</w:t>
      </w:r>
    </w:p>
    <w:p>
      <w:pPr>
        <w:pStyle w:val="ResourceTitle"/>
      </w:pPr>
      <w:r>
        <w:t xml:space="preserve">Opportunity to be Heard: Background &amp; Cases</w:t>
      </w:r>
    </w:p>
    <w:p>
      <w:pPr>
        <w:pStyle w:val="HeadFieldSeparator"/>
      </w:pPr>
      <w:r>
        <w:t xml:space="preserve"> </w:t>
      </w:r>
    </w:p>
    <w:p>
      <w:pPr>
        <w:pStyle w:val="ResourceHeadnote"/>
      </w:pPr>
      <w:r>
        <w:t xml:space="preserve">These cases are not for full Socratic discussion. Instead, they will be used, along with other assigned readings from Days 12 and 13, to compile a list of factors upon which courts appear to rely in deciding whether due process has been provided.</w:t>
      </w:r>
    </w:p>
    <w:p>
      <w:pPr>
        <w:pStyle w:val="HeadEnd"/>
      </w:pPr>
      <w:r>
        <w:t xml:space="preserve"> </w:t>
      </w:r>
    </w:p>
    <w:p>
      <w:pPr>
        <w:pStyle w:val="BodyText"/>
      </w:pPr>
      <w:r>
        <w:rPr>
          <w:bCs/>
          <w:b/>
        </w:rPr>
        <w:t xml:space="preserve">Opportunity to Be Heard:</w:t>
      </w:r>
    </w:p>
    <w:p>
      <w:pPr>
        <w:pStyle w:val="BodyText"/>
      </w:pPr>
      <w:r>
        <w:t xml:space="preserve">According to Justice Jackson in</w:t>
      </w:r>
      <w:r>
        <w:t xml:space="preserve"> </w:t>
      </w:r>
      <w:r>
        <w:rPr>
          <w:iCs/>
          <w:i/>
        </w:rPr>
        <w:t xml:space="preserve">Mullane</w:t>
      </w:r>
      <w:r>
        <w:t xml:space="preserve">, it is clear that: “There can be no doubt that at a minimum [the Due Process Clause] require[s] that deprivation of life, liberty or property by adjudication be preceded by notice and opportunity for hearing appropriate to the nature of the case.”</w:t>
      </w:r>
      <w:r>
        <w:t xml:space="preserve"> </w:t>
      </w:r>
    </w:p>
    <w:p>
      <w:pPr>
        <w:pStyle w:val="BodyText"/>
      </w:pPr>
      <w:r>
        <w:t xml:space="preserve">Therefore, a defendant must have an opportunity to have their day in court - a chance to tell their side of the story, as well as their views on the facts and legal issues in the case. What</w:t>
      </w:r>
      <w:r>
        <w:t xml:space="preserve"> </w:t>
      </w:r>
      <w:r>
        <w:rPr>
          <w:iCs/>
          <w:i/>
        </w:rPr>
        <w:t xml:space="preserve">kind</w:t>
      </w:r>
      <w:r>
        <w:t xml:space="preserve"> </w:t>
      </w:r>
      <w:r>
        <w:t xml:space="preserve">of hearing is required, however, might vary according to the type of interests at stake, from an informal hearing to a full-scale trial.</w:t>
      </w:r>
    </w:p>
    <w:p>
      <w:pPr>
        <w:pStyle w:val="BodyText"/>
      </w:pPr>
      <w:r>
        <w:t xml:space="preserve">Beginning in the 1960s, the Court considered what the Due Process Clause requires –– and especially whether hearings must be before or can take place after a certain deprivation occurs. These cases fell into two general buckets:</w:t>
      </w:r>
    </w:p>
    <w:p>
      <w:pPr>
        <w:pStyle w:val="BodyText"/>
      </w:pPr>
      <w:r>
        <w:rPr>
          <w:bCs/>
          <w:b/>
        </w:rPr>
        <w:t xml:space="preserve">- First</w:t>
      </w:r>
      <w:r>
        <w:t xml:space="preserve">, the Due Process requirements around private creditors’ use of seizures or encumbrances of defender-debtors' assets before a hearing and sometimes before notice took place</w:t>
      </w:r>
    </w:p>
    <w:p>
      <w:pPr>
        <w:pStyle w:val="BodyText"/>
      </w:pPr>
      <w:r>
        <w:rPr>
          <w:bCs/>
          <w:b/>
        </w:rPr>
        <w:t xml:space="preserve">- Second</w:t>
      </w:r>
      <w:r>
        <w:t xml:space="preserve">, the Due Process requirements around whether/when the government can terminate the provision of benefits from someone who currently receives them, or can deny an application for benefits</w:t>
      </w:r>
    </w:p>
    <w:p>
      <w:pPr>
        <w:pStyle w:val="BodyText"/>
      </w:pPr>
      <w:r>
        <w:t xml:space="preserve"> </w:t>
      </w:r>
    </w:p>
    <w:p>
      <w:pPr>
        <w:pStyle w:val="BodyText"/>
      </w:pPr>
      <w:r>
        <w:rPr>
          <w:bCs/>
          <w:b/>
        </w:rPr>
        <w:t xml:space="preserve">Cases:</w:t>
      </w:r>
    </w:p>
    <w:p>
      <w:pPr>
        <w:pStyle w:val="BodyText"/>
      </w:pPr>
      <w:r>
        <w:rPr>
          <w:bCs/>
          <w:b/>
        </w:rPr>
        <w:t xml:space="preserve">SNIADACH v. FAMILY FINANCE CORP. OF BAY VIEW, 395 U.S. 337 (1969)</w:t>
      </w:r>
    </w:p>
    <w:p>
      <w:pPr>
        <w:pStyle w:val="BodyText"/>
      </w:pPr>
      <w:r>
        <w:t xml:space="preserve">The Supreme Court struck down Wisconsin's wage garnishment procedure.  This case was the first in a line of decisions concerning traditional forms of property ("old" property).  The corresponding case in the government benefits/licenses context ("new" property) was</w:t>
      </w:r>
      <w:r>
        <w:t xml:space="preserve"> </w:t>
      </w:r>
      <w:r>
        <w:rPr>
          <w:iCs/>
          <w:i/>
        </w:rPr>
        <w:t xml:space="preserve">Goldberg v. Kelly</w:t>
      </w:r>
      <w:r>
        <w:t xml:space="preserve">, discussed in the</w:t>
      </w:r>
      <w:r>
        <w:t xml:space="preserve"> </w:t>
      </w:r>
      <w:r>
        <w:rPr>
          <w:iCs/>
          <w:i/>
        </w:rPr>
        <w:t xml:space="preserve">Matthews v. Eldridge</w:t>
      </w:r>
      <w:r>
        <w:t xml:space="preserve"> </w:t>
      </w:r>
      <w:r>
        <w:t xml:space="preserve">decision.</w:t>
      </w:r>
    </w:p>
    <w:p>
      <w:pPr>
        <w:pStyle w:val="BodyText"/>
      </w:pPr>
      <w:r>
        <w:t xml:space="preserve">Per the procedure, an alleged creditor’s lawyer requested a writ of garnishment from the court upon filing a simple statement of belief that the defendant owed a debt. A clerk (not a judge) of the court issued the summons to the alleged creditor.  Upon service of the writ upon the defendant's employer, the employer was legally obligated to pay a portion of the defendant's wages into an account that the court controlled pending further order of the court.  All of this could occur before the defendant obtained notice of the lawsuit, much less an opportunity to be heard.</w:t>
      </w:r>
    </w:p>
    <w:p>
      <w:pPr>
        <w:pStyle w:val="BodyText"/>
      </w:pPr>
      <w:r>
        <w:t xml:space="preserve">The court, citing Congressman Reuss, pointed out: "</w:t>
      </w:r>
      <w:r>
        <w:t xml:space="preserve">The idea of wage garnishment in advance of judgment, of trustee process, of wage attachment, or whatever it is called is a most inhuman doctrine. It compels the wage earner, trying to keep his family together, to be driven below the poverty level.”</w:t>
      </w:r>
    </w:p>
    <w:p>
      <w:pPr>
        <w:pStyle w:val="BodyText"/>
      </w:pPr>
      <w:r>
        <w:t xml:space="preserve">In concurrence, Justice Harlan reflected:</w:t>
      </w:r>
    </w:p>
    <w:p>
      <w:pPr>
        <w:pStyle w:val="BodyText"/>
      </w:pPr>
      <w:r>
        <w:t xml:space="preserve">“From my standpoint, I do not consider that the requirements of ‘notice’ and ‘hearing’ are satisfied by the fact that the petitioner was advised of the garnishment simultaneously with the garnishee, or by the fact that she will not permanently lose the garnished property until after a plenary adverse adjudication of the underlying claim against her, or by the fact that relief from the garnishment may have been available in the interim under less than clear circumstances . . .  Apart from special situations, some of which are referred to in this Court's opinion, . . . I think that due process is afforded only by the kinds of ‘notice’ and ‘hearing’ which are aimed at establishing the validity, or at least the probable validity, of the underlying claim against the alleged debtor before he can be deprived of his property or its unrestricted use. I think this is the thrust of the past cases in this Court.”</w:t>
      </w:r>
    </w:p>
    <w:p>
      <w:pPr>
        <w:pStyle w:val="BodyText"/>
      </w:pPr>
      <w:r>
        <w:rPr>
          <w:iCs/>
          <w:i/>
        </w:rPr>
        <w:t xml:space="preserve">Sniadach</w:t>
      </w:r>
      <w:r>
        <w:t xml:space="preserve"> </w:t>
      </w:r>
      <w:r>
        <w:t xml:space="preserve">left open the following two questions: first, whether its requirement extended beyond the wage garnishment context; and second, what would count as “extraordinary circumstances” that would justify a pre-hearing seizure of property. </w:t>
      </w:r>
    </w:p>
    <w:p>
      <w:pPr>
        <w:pStyle w:val="BodyText"/>
      </w:pPr>
      <w:r>
        <w:br/>
      </w:r>
      <w:r>
        <w:rPr>
          <w:bCs/>
          <w:b/>
        </w:rPr>
        <w:t xml:space="preserve">FUENTES v. SHEVIN, 407 U.S. 67, 92 S.Ct. 1983 (1972)</w:t>
      </w:r>
    </w:p>
    <w:p>
      <w:pPr>
        <w:pStyle w:val="BodyText"/>
      </w:pPr>
      <w:r>
        <w:t xml:space="preserve">This case arose in the context of the purchase of a consumer item (e.g., a refrigerator or a large piece of furniture).  The seller agreed to allow the buyer to take immediate possession of the item and to pay in installments.  Under the contract, the seller retained legal title to the item until the full purchase price was paid off.  In many ways, the arrangement was like a mortgage with the seller serving as the lender.  A Florida state statute allowed the seller, in the event that it believed that the buyer had missed a payment, to seize the consumer good without requiring a hearing or much evidence. It allowed the seizure of the good from the defendant at the very moment that the defendant received the complaint, with no prior notice or opportunity to be heard. The Court held 4-3 that it was unconstitutional to exact a replevin of consumer goods without a pre-seizure hearing. </w:t>
      </w:r>
    </w:p>
    <w:p>
      <w:pPr>
        <w:pStyle w:val="BodyText"/>
      </w:pPr>
      <w:r>
        <w:t xml:space="preserve">The Court noted that there might be “extraordinary situations” in which the Due Process Clause could excuse the hearing requirement before seizing property: first, when seizure is directly necessary to secure important governmental or public interests; second, when there is a unique need for urgent action; and third, in cases in which the State has stringently maintained its monopoly on power, and the seizure has been initiated by a government official who has determined that it is both justified and necessary in a narrow instance. Examples might include the collection of taxes, the need to meet war efforts, or the need to protect against economic collapse or contaminated food sources. </w:t>
      </w:r>
    </w:p>
    <w:p>
      <w:pPr>
        <w:pStyle w:val="BodyText"/>
      </w:pPr>
      <w:r>
        <w:t xml:space="preserve">The Court further explained that while the complainants in this case were required to post a bond, which was a factor in favor of the constitutionality of the scheme, it was not enough to overcome the requirement here that the defendant receives an opportunity to be heard prior to their goods being seized. Thus, the existence of a bond requirement alone could not obviate the need for an opportunity to be heard.</w:t>
      </w:r>
    </w:p>
    <w:p>
      <w:pPr>
        <w:pStyle w:val="BodyText"/>
      </w:pPr>
      <w:r>
        <w:t xml:space="preserve">Finally, the Court noted that the opportunity to be heard in this case could not be waived away by contract, even though the contract included a clause stating that the “Seller at its option may take back the merchandise.” A waiver of a constitutional right like this one, the Court held, must at least be clear; and the Court did not think it was completely clear that the buyer had waived their constitutional right to an opportunity to be heard, merely because they assented to the seller’s repossession of the goods. </w:t>
      </w:r>
    </w:p>
    <w:p>
      <w:pPr>
        <w:pStyle w:val="BodyText"/>
      </w:pPr>
      <w:r>
        <w:t xml:space="preserve"> </w:t>
      </w:r>
    </w:p>
    <w:p>
      <w:pPr>
        <w:pStyle w:val="BodyText"/>
      </w:pPr>
      <w:r>
        <w:rPr>
          <w:bCs/>
          <w:b/>
        </w:rPr>
        <w:t xml:space="preserve">MITCHELL v. W.T. GRANT CO., 416 U.S. 600 (1974)</w:t>
      </w:r>
    </w:p>
    <w:p>
      <w:pPr>
        <w:pStyle w:val="BodyText"/>
      </w:pPr>
      <w:r>
        <w:t xml:space="preserve">SCOTUS affirmed the constitutionality of a Louisiana statute that allowed the pre-hearing seizure of property where (1) possessory interest to property was claimed by the applicant and (2) the defendant could discard, waste, hide or otherwise dispose of the property while the suit was pending. The case here involved seizure due to an outstanding balance on personal property purchased under an installment contract. The court held that the vendor’s interest in preventing waste of their product, as well as the involvement of the court and the immediacy of a post-seizure hearing, in combination, mitigated the risk of a wrongful taking.  [It is difficult to distinguish this case from</w:t>
      </w:r>
      <w:r>
        <w:t xml:space="preserve"> </w:t>
      </w:r>
      <w:r>
        <w:rPr>
          <w:iCs/>
          <w:i/>
        </w:rPr>
        <w:t xml:space="preserve">Fuentes</w:t>
      </w:r>
      <w:r>
        <w:t xml:space="preserve">.]</w:t>
      </w:r>
    </w:p>
    <w:p>
      <w:pPr>
        <w:pStyle w:val="BodyText"/>
      </w:pPr>
      <w:r>
        <w:t xml:space="preserve">Note: Compare the above with</w:t>
      </w:r>
      <w:r>
        <w:t xml:space="preserve"> </w:t>
      </w:r>
      <w:r>
        <w:rPr>
          <w:bCs/>
          <w:b/>
        </w:rPr>
        <w:t xml:space="preserve">NORTH GEORGIA FINISHING, INC. v. DI-CHEM, INC., 419 U.S. 601 (1975)</w:t>
      </w:r>
      <w:r>
        <w:t xml:space="preserve">, in which the court found a Georgia seizure statute constitutionally deficient because it allowed a pre-hearing seizure of property to be made on conclusory allegations and without factors that mitigate against the risk of mistaken possession of the property. [It is not easy to distinguish the facts of this case from</w:t>
      </w:r>
      <w:r>
        <w:t xml:space="preserve"> </w:t>
      </w:r>
      <w:r>
        <w:rPr>
          <w:iCs/>
          <w:i/>
        </w:rPr>
        <w:t xml:space="preserve">Fuentes</w:t>
      </w:r>
      <w:r>
        <w:t xml:space="preserve"> </w:t>
      </w:r>
      <w:r>
        <w:t xml:space="preserve">and</w:t>
      </w:r>
      <w:r>
        <w:t xml:space="preserve"> </w:t>
      </w:r>
      <w:r>
        <w:rPr>
          <w:iCs/>
          <w:i/>
        </w:rPr>
        <w:t xml:space="preserve">Mitchell</w:t>
      </w:r>
      <w:r>
        <w:t xml:space="preserve">.  The rulings here demonstrate that the Court was struggling to articulate the requirements of due process in the context of installment payments for consumer goods.]</w:t>
      </w:r>
    </w:p>
    <w:p>
      <w:pPr>
        <w:pStyle w:val="BodyText"/>
      </w:pPr>
      <w:r>
        <w:t xml:space="preserve"> </w:t>
      </w:r>
    </w:p>
    <w:p>
      <w:pPr>
        <w:pStyle w:val="BodyText"/>
      </w:pPr>
      <w:r>
        <w:t xml:space="preserve">Where does this leave us? The cases above hint at a number of factors that might be relevant in adjudicating whether a procedure, with regards to the opportunity to be heard, could be deemed constitutional:</w:t>
      </w:r>
    </w:p>
    <w:p>
      <w:pPr>
        <w:pStyle w:val="BodyText"/>
      </w:pPr>
      <w:r>
        <w:t xml:space="preserve">Is the decision-maker a judge or a clerk?</w:t>
      </w:r>
    </w:p>
    <w:p>
      <w:pPr>
        <w:pStyle w:val="BodyText"/>
      </w:pPr>
      <w:r>
        <w:t xml:space="preserve">Is there a property interest in the object of a seizure for the party seeking for it to be seized?</w:t>
      </w:r>
    </w:p>
    <w:p>
      <w:pPr>
        <w:pStyle w:val="BodyText"/>
      </w:pPr>
      <w:r>
        <w:t xml:space="preserve">Does an immediate hearing follow the seizure or did the seizure come after notice and a hearing?</w:t>
      </w:r>
    </w:p>
    <w:p>
      <w:pPr>
        <w:pStyle w:val="BodyText"/>
      </w:pPr>
      <w:r>
        <w:t xml:space="preserve">Was the seizure exacted for the purposes of establishing jurisdiction or for security?</w:t>
      </w:r>
    </w:p>
    <w:p>
      <w:pPr>
        <w:numPr>
          <w:ilvl w:val="0"/>
          <w:numId w:val="1148"/>
        </w:numPr>
      </w:pPr>
      <w:r>
        <w:t xml:space="preserve">If the seizure were enacted for the purposes of security?</w:t>
      </w:r>
    </w:p>
    <w:p>
      <w:pPr>
        <w:numPr>
          <w:ilvl w:val="0"/>
          <w:numId w:val="1148"/>
        </w:numPr>
      </w:pPr>
      <w:r>
        <w:t xml:space="preserve">Are extraordinary circumstances present, such as waste/destruction of property?</w:t>
      </w:r>
    </w:p>
    <w:p>
      <w:pPr>
        <w:pStyle w:val="FirstParagraph"/>
      </w:pPr>
      <w:r>
        <w:t xml:space="preserve">What showing must the party make?</w:t>
      </w:r>
    </w:p>
    <w:p>
      <w:pPr>
        <w:numPr>
          <w:ilvl w:val="0"/>
          <w:numId w:val="1149"/>
        </w:numPr>
      </w:pPr>
      <w:r>
        <w:t xml:space="preserve">Burdens: probable cause or lesser burden of proof?</w:t>
      </w:r>
    </w:p>
    <w:p>
      <w:pPr>
        <w:numPr>
          <w:ilvl w:val="0"/>
          <w:numId w:val="1149"/>
        </w:numPr>
      </w:pPr>
      <w:r>
        <w:t xml:space="preserve">Must factual allegations be made under penalty of perjury? Are they made with personal knowledge?</w:t>
      </w:r>
    </w:p>
    <w:p>
      <w:pPr>
        <w:numPr>
          <w:ilvl w:val="0"/>
          <w:numId w:val="1149"/>
        </w:numPr>
      </w:pPr>
      <w:r>
        <w:t xml:space="preserve">Can uncontested documentary evidence resolve the dispute?</w:t>
      </w:r>
    </w:p>
    <w:p>
      <w:pPr>
        <w:pStyle w:val="NodeEnd"/>
      </w:pPr>
      <w:r>
        <w:t xml:space="preserve"> </w:t>
      </w:r>
    </w:p>
    <w:p>
      <w:pPr>
        <w:pStyle w:val="NodeStart"/>
      </w:pPr>
      <w:r>
        <w:t xml:space="preserve"> </w:t>
      </w:r>
    </w:p>
    <w:p>
      <w:pPr>
        <w:pStyle w:val="HeadSeparator"/>
      </w:pPr>
      <w:r>
        <w:t xml:space="preserve"> </w:t>
      </w:r>
    </w:p>
    <w:bookmarkStart w:id="158" w:name="_auto_toc_158"/>
    <w:bookmarkEnd w:id="158"/>
    <w:p>
      <w:pPr>
        <w:pStyle w:val="ResourceNumber"/>
      </w:pPr>
      <w:r>
        <w:t xml:space="preserve">13.8</w:t>
      </w:r>
    </w:p>
    <w:p>
      <w:pPr>
        <w:pStyle w:val="ResourceTitle"/>
      </w:pPr>
      <w:r>
        <w:t xml:space="preserve">Connecticut v. Doehr</w:t>
      </w:r>
    </w:p>
    <w:p>
      <w:pPr>
        <w:pStyle w:val="HeadFieldSeparator"/>
      </w:pPr>
      <w:r>
        <w:t xml:space="preserve"> </w:t>
      </w:r>
    </w:p>
    <w:p>
      <w:pPr>
        <w:pStyle w:val="ResourceSubtitle"/>
      </w:pPr>
      <w:r>
        <w:t xml:space="preserve">Bonds</w:t>
      </w:r>
    </w:p>
    <w:p>
      <w:pPr>
        <w:pStyle w:val="HeadFieldSeparator"/>
      </w:pPr>
      <w:r>
        <w:t xml:space="preserve"> </w:t>
      </w:r>
    </w:p>
    <w:p>
      <w:pPr>
        <w:pStyle w:val="ResourceHeadnote"/>
      </w:pPr>
      <w:r>
        <w:t xml:space="preserve">Within the</w:t>
      </w:r>
      <w:r>
        <w:t xml:space="preserve"> </w:t>
      </w:r>
      <w:r>
        <w:rPr>
          <w:iCs/>
          <w:i/>
        </w:rPr>
        <w:t xml:space="preserve">Matthews v. Eldridge</w:t>
      </w:r>
      <w:r>
        <w:t xml:space="preserve"> </w:t>
      </w:r>
      <w:r>
        <w:t xml:space="preserve">test, bonds serve both to reduce the risk to the parties' private interest as well as the risk of erroneous determination. That issue is discussed in this case.</w:t>
      </w:r>
    </w:p>
    <w:p>
      <w:pPr>
        <w:pStyle w:val="HeadEnd"/>
      </w:pPr>
      <w:r>
        <w:t xml:space="preserve"> </w:t>
      </w:r>
    </w:p>
    <w:p>
      <w:pPr>
        <w:pStyle w:val="CaseHeader"/>
      </w:pPr>
      <w:r>
        <w:t xml:space="preserve">Supreme Court of the United States</w:t>
      </w:r>
    </w:p>
    <w:p>
      <w:pPr>
        <w:pStyle w:val="CaseHeader"/>
      </w:pPr>
      <w:r>
        <w:t xml:space="preserve">501 U.S. 1, 115 L. Ed. 2d 1, 111 S. Ct. 2105, 1991 U.S. LEXIS 3317, SCDB 1990-096</w:t>
      </w:r>
    </w:p>
    <w:p>
      <w:pPr>
        <w:pStyle w:val="CaseHeader"/>
      </w:pPr>
      <w:r>
        <w:t xml:space="preserve">No. 90-143</w:t>
      </w:r>
    </w:p>
    <w:p>
      <w:pPr>
        <w:pStyle w:val="CaseHeader"/>
      </w:pPr>
      <w:r>
        <w:t xml:space="preserve">1991-06-06</w:t>
      </w:r>
    </w:p>
    <w:p>
      <w:pPr>
        <w:pStyle w:val="CaseBody"/>
      </w:pPr>
      <w:r>
        <w:t xml:space="preserve">501 U.S. 1 (1991)</w:t>
      </w:r>
    </w:p>
    <w:p>
      <w:pPr>
        <w:pStyle w:val="CaseHeader"/>
      </w:pPr>
      <w:r>
        <w:t xml:space="preserve">CONNECTICUT ET AL.</w:t>
      </w:r>
      <w:r>
        <w:br/>
      </w:r>
      <w:r>
        <w:t xml:space="preserve">v.</w:t>
      </w:r>
      <w:r>
        <w:br/>
      </w:r>
      <w:r>
        <w:t xml:space="preserve">DOEHR.</w:t>
      </w:r>
    </w:p>
    <w:p>
      <w:pPr>
        <w:pStyle w:val="CaseBody"/>
      </w:pPr>
      <w:r>
        <w:t xml:space="preserve">No. 90-143.</w:t>
      </w:r>
    </w:p>
    <w:p>
      <w:pPr>
        <w:pStyle w:val="CaseBody"/>
      </w:pPr>
      <w:r>
        <w:t xml:space="preserve">Supreme Court of the United States.</w:t>
      </w:r>
    </w:p>
    <w:p>
      <w:pPr>
        <w:pStyle w:val="CaseBody"/>
      </w:pPr>
      <w:r>
        <w:rPr>
          <w:rStyle w:val="Elision"/>
        </w:rPr>
        <w:t xml:space="preserve">[ … ]</w:t>
      </w:r>
    </w:p>
    <w:p>
      <w:pPr>
        <w:pStyle w:val="CaseBody"/>
      </w:pPr>
      <w:r>
        <w:rPr>
          <w:rStyle w:val="Elision"/>
        </w:rPr>
        <w:t xml:space="preserve">[ … ]</w:t>
      </w:r>
    </w:p>
    <w:bookmarkStart w:id="214" w:name="X1233788f66dcea0e0de505ecd8dd2ed9abe2f21"/>
    <w:p>
      <w:pPr>
        <w:pStyle w:val="Heading2"/>
      </w:pPr>
      <w:r>
        <w:t xml:space="preserve">JUSTICE WHITE delivered an opinion, Parts I, II, and III of which are the opinion of the Court.</w:t>
      </w:r>
      <w:hyperlink w:anchor="X51e1369b4033914e27028bede06310a5e1934ac">
        <w:r>
          <w:rPr>
            <w:rStyle w:val="Elision"/>
            <w:vertAlign w:val="superscript"/>
          </w:rPr>
          <w:t xml:space="preserve">[ … ]</w:t>
        </w:r>
      </w:hyperlink>
    </w:p>
    <w:p>
      <w:pPr>
        <w:pStyle w:val="CaseBody"/>
      </w:pPr>
      <w:r>
        <w:t xml:space="preserve">This case requires us to determine whether a state statute that authorizes prejudgment attachment of real estate without prior notice or hearing, without a showing of extraordinary circumstances, and without a requirement that the person seeking the attachment post a bond, satisfies the Due Process Clause of the Fourteenth Amendment. We hold that, as applied to this case, it does not.</w:t>
      </w:r>
    </w:p>
    <w:bookmarkEnd w:id="214"/>
    <w:bookmarkStart w:id="215" w:name="i-10"/>
    <w:p>
      <w:pPr>
        <w:pStyle w:val="Heading2"/>
      </w:pPr>
      <w:r>
        <w:rPr>
          <w:rStyle w:val="Elision"/>
        </w:rPr>
        <w:t xml:space="preserve">[ … ]</w:t>
      </w:r>
      <w:r>
        <w:t xml:space="preserve"> </w:t>
      </w:r>
      <w:r>
        <w:t xml:space="preserve">I</w:t>
      </w:r>
    </w:p>
    <w:p>
      <w:pPr>
        <w:pStyle w:val="CaseBody"/>
      </w:pPr>
      <w:r>
        <w:rPr>
          <w:rStyle w:val="ReplacementText"/>
        </w:rPr>
        <w:t xml:space="preserve">The plaintiff</w:t>
      </w:r>
      <w:r>
        <w:t xml:space="preserve"> </w:t>
      </w:r>
      <w:r>
        <w:t xml:space="preserve">submitted an application to the Connecticut Superior Court for an attachment in the amount of $75,000 on</w:t>
      </w:r>
      <w:r>
        <w:t xml:space="preserve"> </w:t>
      </w:r>
      <w:r>
        <w:rPr>
          <w:rStyle w:val="ReplacementText"/>
        </w:rPr>
        <w:t xml:space="preserve">defendant's</w:t>
      </w:r>
      <w:r>
        <w:t xml:space="preserve"> </w:t>
      </w:r>
      <w:r>
        <w:t xml:space="preserve">home in Meriden, Connecticut.</w:t>
      </w:r>
      <w:r>
        <w:t xml:space="preserve"> </w:t>
      </w:r>
      <w:r>
        <w:rPr>
          <w:rStyle w:val="ReplacementText"/>
        </w:rPr>
        <w:t xml:space="preserve">Plaintiff</w:t>
      </w:r>
      <w:r>
        <w:t xml:space="preserve">took this step in conjunction with a civil action for assault and battery that he was seeking to institute against</w:t>
      </w:r>
      <w:r>
        <w:t xml:space="preserve"> </w:t>
      </w:r>
      <w:r>
        <w:rPr>
          <w:rStyle w:val="ReplacementText"/>
        </w:rPr>
        <w:t xml:space="preserve">defendant</w:t>
      </w:r>
      <w:r>
        <w:t xml:space="preserve">in the same court. The suit did not involve</w:t>
      </w:r>
      <w:r>
        <w:t xml:space="preserve"> </w:t>
      </w:r>
      <w:r>
        <w:rPr>
          <w:rStyle w:val="ReplacementText"/>
        </w:rPr>
        <w:t xml:space="preserve">defendant</w:t>
      </w:r>
      <w:r>
        <w:t xml:space="preserve">'s real estate, nor did</w:t>
      </w:r>
      <w:r>
        <w:t xml:space="preserve"> </w:t>
      </w:r>
      <w:r>
        <w:rPr>
          <w:rStyle w:val="ReplacementText"/>
        </w:rPr>
        <w:t xml:space="preserve">plaintiff</w:t>
      </w:r>
      <w:r>
        <w:t xml:space="preserve">have any pre-existing interest either in</w:t>
      </w:r>
      <w:r>
        <w:t xml:space="preserve"> </w:t>
      </w:r>
      <w:r>
        <w:rPr>
          <w:rStyle w:val="ReplacementText"/>
        </w:rPr>
        <w:t xml:space="preserve">defendant</w:t>
      </w:r>
      <w:r>
        <w:t xml:space="preserve">'s home or any of his other property.</w:t>
      </w:r>
    </w:p>
    <w:p>
      <w:pPr>
        <w:pStyle w:val="CaseBody"/>
      </w:pPr>
      <w:r>
        <w:t xml:space="preserve">Connecticut law authorizes prejudgment attachment of real estate without affording prior notice or the opportunity for a prior hearing to the individual whose property is subject to the attachment. The State's prejudgment remedy statute provides, in relevant part:</w:t>
      </w:r>
    </w:p>
    <w:p>
      <w:pPr>
        <w:pStyle w:val="BlockText"/>
      </w:pPr>
      <w:r>
        <w:t xml:space="preserve">"The court or a judge of the court may allow the prejudgment remedy to be issued by an attorney without hearing as provided in sections 52-278c and 52-278d upon verification by oath of the plaintiff or of some competent affiant, that there is probable cause to sustain the validity of the plaintiff's claims and (1) that the prejudgment remedy requested is for an attachment of real property . . . ."</w:t>
      </w:r>
      <w:r>
        <w:t xml:space="preserve"> </w:t>
      </w:r>
      <w:r>
        <w:rPr>
          <w:rStyle w:val="Elision"/>
        </w:rPr>
        <w:t xml:space="preserve">[ … ]</w:t>
      </w:r>
    </w:p>
    <w:p>
      <w:pPr>
        <w:pStyle w:val="CaseBody"/>
      </w:pPr>
      <w:r>
        <w:rPr>
          <w:rStyle w:val="Elision"/>
        </w:rPr>
        <w:t xml:space="preserve">[ … ]</w:t>
      </w:r>
      <w:r>
        <w:t xml:space="preserve">The statute does not require the plaintiff to post a bond to insure the payment of damages that the defendant may suffer should the attachment prove wrongfully issued or the claim prove unsuccessful.</w:t>
      </w:r>
    </w:p>
    <w:p>
      <w:pPr>
        <w:pStyle w:val="CaseBody"/>
      </w:pPr>
      <w:r>
        <w:t xml:space="preserve">As required,</w:t>
      </w:r>
      <w:r>
        <w:t xml:space="preserve"> </w:t>
      </w:r>
      <w:r>
        <w:rPr>
          <w:rStyle w:val="ReplacementText"/>
        </w:rPr>
        <w:t xml:space="preserve">plaintiff</w:t>
      </w:r>
      <w:r>
        <w:t xml:space="preserve">submitted an affidavit in support of his application. In five one-sentence paragraphs,</w:t>
      </w:r>
      <w:r>
        <w:t xml:space="preserve"> </w:t>
      </w:r>
      <w:r>
        <w:rPr>
          <w:rStyle w:val="ReplacementText"/>
        </w:rPr>
        <w:t xml:space="preserve">plaintiff</w:t>
      </w:r>
      <w:r>
        <w:t xml:space="preserve"> </w:t>
      </w:r>
      <w:r>
        <w:t xml:space="preserve">stated that the facts set forth in his previously submitted complaint were true; that "I was willfully, wantonly and maliciously assaulted by the defendant</w:t>
      </w:r>
      <w:r>
        <w:rPr>
          <w:rStyle w:val="Elision"/>
        </w:rPr>
        <w:t xml:space="preserve">[ … ]</w:t>
      </w:r>
      <w:r>
        <w:t xml:space="preserve">; that "[s]aid assault and battery broke my left wrist and further caused an ecchymosis to my right eye, as well as other injuries"; and that "I have further expended sums of money</w:t>
      </w:r>
      <w:r>
        <w:t xml:space="preserve"> </w:t>
      </w:r>
      <w:r>
        <w:rPr>
          <w:rStyle w:val="Elision"/>
        </w:rPr>
        <w:t xml:space="preserve">[ … ]</w:t>
      </w:r>
      <w:r>
        <w:t xml:space="preserve"> </w:t>
      </w:r>
      <w:r>
        <w:t xml:space="preserve">for medical care and treatment."</w:t>
      </w:r>
      <w:r>
        <w:t xml:space="preserve"> </w:t>
      </w:r>
      <w:r>
        <w:rPr>
          <w:rStyle w:val="Elision"/>
        </w:rPr>
        <w:t xml:space="preserve">[ … ]</w:t>
      </w:r>
      <w:r>
        <w:t xml:space="preserve">The affidavit concluded with the statement, "In my opinion, the foregoing facts are sufficient to show that there is probable cause that judgment will be rendered for the plaintiff."</w:t>
      </w:r>
      <w:r>
        <w:t xml:space="preserve"> </w:t>
      </w:r>
      <w:r>
        <w:rPr>
          <w:rStyle w:val="Elision"/>
        </w:rPr>
        <w:t xml:space="preserve">[ … ]</w:t>
      </w:r>
    </w:p>
    <w:p>
      <w:pPr>
        <w:pStyle w:val="CaseBody"/>
      </w:pPr>
      <w:r>
        <w:t xml:space="preserve">On the strength of these submissions the Superior Court Judge, by an order</w:t>
      </w:r>
      <w:r>
        <w:rPr>
          <w:rStyle w:val="Elision"/>
        </w:rPr>
        <w:t xml:space="preserve">[ … ]</w:t>
      </w:r>
      <w:r>
        <w:t xml:space="preserve">, found "probable cause to sustain the validity of the plaintiff's claim" and ordered the attachment on Doehr's home "to the value of $75,000." The sheriff attached the property four days later</w:t>
      </w:r>
      <w:r>
        <w:rPr>
          <w:rStyle w:val="Elision"/>
        </w:rPr>
        <w:t xml:space="preserve">[ … ]</w:t>
      </w:r>
      <w:r>
        <w:t xml:space="preserve">. Only after this did Doehr receive notice of the attachment. He also had yet to be served with the complaint, which is ordinarily necessary for an action to commence in Connecticut.</w:t>
      </w:r>
      <w:r>
        <w:t xml:space="preserve"> </w:t>
      </w:r>
      <w:r>
        <w:rPr>
          <w:rStyle w:val="Elision"/>
        </w:rPr>
        <w:t xml:space="preserve">[ … ]</w:t>
      </w:r>
      <w:r>
        <w:t xml:space="preserve">As the statute further required, the attachment notice informed</w:t>
      </w:r>
      <w:r>
        <w:t xml:space="preserve"> </w:t>
      </w:r>
      <w:r>
        <w:rPr>
          <w:rStyle w:val="ReplacementText"/>
        </w:rPr>
        <w:t xml:space="preserve">defendant</w:t>
      </w:r>
      <w:r>
        <w:t xml:space="preserve">that he had the right to a hearing: (1) to claim that no probable cause existed to sustain the claim; (2) to request that the attachment be vacated, modified, or dismissed or that a bond be substituted; or (3) to claim that some portion of the property was exempt from execution.</w:t>
      </w:r>
      <w:r>
        <w:t xml:space="preserve"> </w:t>
      </w:r>
      <w:r>
        <w:rPr>
          <w:rStyle w:val="Elision"/>
        </w:rPr>
        <w:t xml:space="preserve">[ … ]</w:t>
      </w:r>
    </w:p>
    <w:p>
      <w:pPr>
        <w:pStyle w:val="CaseBody"/>
      </w:pPr>
      <w:r>
        <w:t xml:space="preserve">Rather than pursue these options,</w:t>
      </w:r>
      <w:r>
        <w:t xml:space="preserve"> </w:t>
      </w:r>
      <w:r>
        <w:rPr>
          <w:rStyle w:val="ReplacementText"/>
        </w:rPr>
        <w:t xml:space="preserve">defendant</w:t>
      </w:r>
      <w:r>
        <w:t xml:space="preserve">filed suit against DiGiovanni in Federal District Court, claiming that</w:t>
      </w:r>
      <w:r>
        <w:t xml:space="preserve"> </w:t>
      </w:r>
      <w:r>
        <w:rPr>
          <w:rStyle w:val="ReplacementText"/>
        </w:rPr>
        <w:t xml:space="preserve">[The Connecticut Statute]</w:t>
      </w:r>
      <w:r>
        <w:t xml:space="preserve">was unconstitutional under the Due Process Clause of the Fourteenth Amendment.</w:t>
      </w:r>
      <w:hyperlink w:anchor="Xe402121c5077f1e412da47d185887555b6ea5f8">
        <w:r>
          <w:rPr>
            <w:rStyle w:val="Elision"/>
            <w:vertAlign w:val="superscript"/>
          </w:rPr>
          <w:t xml:space="preserve">[ … ]</w:t>
        </w:r>
      </w:hyperlink>
      <w:r>
        <w:t xml:space="preserve">The District Court upheld the statute and granted summary judgment in favor of DiGiovanni.</w:t>
      </w:r>
      <w:r>
        <w:t xml:space="preserve"> </w:t>
      </w:r>
      <w:r>
        <w:rPr>
          <w:rStyle w:val="Elision"/>
        </w:rPr>
        <w:t xml:space="preserve">[ … ]</w:t>
      </w:r>
      <w:r>
        <w:t xml:space="preserve">,</w:t>
      </w:r>
      <w:r>
        <w:t xml:space="preserve"> </w:t>
      </w:r>
      <w:r>
        <w:rPr>
          <w:rStyle w:val="Elision"/>
        </w:rPr>
        <w:t xml:space="preserve">[ … ]</w:t>
      </w:r>
      <w:r>
        <w:t xml:space="preserve"> </w:t>
      </w:r>
      <w:r>
        <w:t xml:space="preserve">the Second Circuit reversed</w:t>
      </w:r>
      <w:r>
        <w:rPr>
          <w:rStyle w:val="ReplacementText"/>
        </w:rPr>
        <w:t xml:space="preserve">[concluding that]</w:t>
      </w:r>
      <w:r>
        <w:rPr>
          <w:rStyle w:val="Elision"/>
        </w:rPr>
        <w:t xml:space="preserve">[ … ]</w:t>
      </w:r>
      <w:r>
        <w:t xml:space="preserve"> </w:t>
      </w:r>
      <w:r>
        <w:t xml:space="preserve">the Connecticut statute violated due process in permitting</w:t>
      </w:r>
      <w:r>
        <w:t xml:space="preserve"> </w:t>
      </w:r>
      <w:r>
        <w:rPr>
          <w:iCs/>
          <w:i/>
        </w:rPr>
        <w:t xml:space="preserve">ex parte</w:t>
      </w:r>
      <w:r>
        <w:t xml:space="preserve"> </w:t>
      </w:r>
      <w:r>
        <w:t xml:space="preserve">attachment absent a showing of extraordinary circumstances. "The rule to be derived from</w:t>
      </w:r>
      <w:r>
        <w:t xml:space="preserve"> </w:t>
      </w:r>
      <w:r>
        <w:rPr>
          <w:iCs/>
          <w:i/>
        </w:rPr>
        <w:t xml:space="preserve">Sniadach</w:t>
      </w:r>
      <w:r>
        <w:t xml:space="preserve"> </w:t>
      </w:r>
      <w:r>
        <w:t xml:space="preserve">v.</w:t>
      </w:r>
      <w:r>
        <w:t xml:space="preserve"> </w:t>
      </w:r>
      <w:r>
        <w:rPr>
          <w:iCs/>
          <w:i/>
        </w:rPr>
        <w:t xml:space="preserve">Family Finance Corp. of Bay View,</w:t>
      </w:r>
      <w:r>
        <w:t xml:space="preserve"> </w:t>
      </w:r>
      <w:r>
        <w:rPr>
          <w:rStyle w:val="Elision"/>
        </w:rPr>
        <w:t xml:space="preserve">[ … ]</w:t>
      </w:r>
      <w:r>
        <w:t xml:space="preserve">and its progeny, therefore, is not that postattachment hearings are generally acceptable provided that plaintiff files a factual affidavit and that a judicial officer supervises the process, but that a prior hearing may be postponed where exceptional circumstances justify such a delay,</w:t>
      </w:r>
      <w:r>
        <w:t xml:space="preserve"> </w:t>
      </w:r>
      <w:r>
        <w:rPr>
          <w:iCs/>
          <w:i/>
        </w:rPr>
        <w:t xml:space="preserve">and where</w:t>
      </w:r>
      <w:r>
        <w:t xml:space="preserve"> </w:t>
      </w:r>
      <w:r>
        <w:t xml:space="preserve">sufficient additional safeguards are present."</w:t>
      </w:r>
      <w:r>
        <w:t xml:space="preserve"> </w:t>
      </w:r>
      <w:r>
        <w:rPr>
          <w:rStyle w:val="Elision"/>
        </w:rPr>
        <w:t xml:space="preserve">[ … ]</w:t>
      </w:r>
      <w:r>
        <w:rPr>
          <w:rStyle w:val="Elision"/>
        </w:rPr>
        <w:t xml:space="preserve">[ … ]</w:t>
      </w:r>
    </w:p>
    <w:p>
      <w:pPr>
        <w:pStyle w:val="CaseBody"/>
      </w:pPr>
      <w:r>
        <w:t xml:space="preserve">A further reason to invalidate the statute, the court ruled, was the highly factual nature of the issues in this case. In</w:t>
      </w:r>
      <w:r>
        <w:t xml:space="preserve"> </w:t>
      </w:r>
      <w:r>
        <w:rPr>
          <w:iCs/>
          <w:i/>
        </w:rPr>
        <w:t xml:space="preserve">Mitchell,</w:t>
      </w:r>
      <w:r>
        <w:t xml:space="preserve"> </w:t>
      </w:r>
      <w:r>
        <w:t xml:space="preserve">there were "uncomplicated matters that len[t] themselves to documentary proof" and "[t]he nature of the issues at stake minimize[d] the risk that the writ [would] be wrongfully issued by a judge."</w:t>
      </w:r>
      <w:r>
        <w:t xml:space="preserve"> </w:t>
      </w:r>
      <w:r>
        <w:rPr>
          <w:rStyle w:val="Elision"/>
        </w:rPr>
        <w:t xml:space="preserve">[ … ]</w:t>
      </w:r>
      <w:r>
        <w:rPr>
          <w:rStyle w:val="Elision"/>
        </w:rPr>
        <w:t xml:space="preserve">[ … ]</w:t>
      </w:r>
      <w:r>
        <w:t xml:space="preserve"> </w:t>
      </w:r>
      <w:r>
        <w:t xml:space="preserve">Similarly, in</w:t>
      </w:r>
      <w:r>
        <w:t xml:space="preserve"> </w:t>
      </w:r>
      <w:r>
        <w:rPr>
          <w:iCs/>
          <w:i/>
        </w:rPr>
        <w:t xml:space="preserve">Mathews</w:t>
      </w:r>
      <w:r>
        <w:t xml:space="preserve"> </w:t>
      </w:r>
      <w:r>
        <w:t xml:space="preserve">v.</w:t>
      </w:r>
      <w:r>
        <w:t xml:space="preserve"> </w:t>
      </w:r>
      <w:r>
        <w:rPr>
          <w:iCs/>
          <w:i/>
        </w:rPr>
        <w:t xml:space="preserve">Eldridge</w:t>
      </w:r>
      <w:r>
        <w:rPr>
          <w:rStyle w:val="Elision"/>
        </w:rPr>
        <w:t xml:space="preserve">[ … ]</w:t>
      </w:r>
      <w:r>
        <w:t xml:space="preserve">, where an evidentiary hearing was not required prior to the termination of disability benefits, the determination of disability was "sharply focused and easily documented."</w:t>
      </w:r>
      <w:r>
        <w:t xml:space="preserve"> </w:t>
      </w:r>
      <w:r>
        <w:rPr>
          <w:rStyle w:val="ReplacementText"/>
        </w:rPr>
        <w:t xml:space="preserve">[Here, the Second Circuit]</w:t>
      </w:r>
      <w:r>
        <w:t xml:space="preserve"> </w:t>
      </w:r>
      <w:r>
        <w:t xml:space="preserve">observed that in contrast the present case involved the fact-specific event of a fist fight and the issue of</w:t>
      </w:r>
      <w:r>
        <w:t xml:space="preserve"> </w:t>
      </w:r>
      <w:r>
        <w:rPr>
          <w:rStyle w:val="ReplacementText"/>
        </w:rPr>
        <w:t xml:space="preserve">[assault],</w:t>
      </w:r>
      <w:r>
        <w:t xml:space="preserve"> </w:t>
      </w:r>
      <w:r>
        <w:rPr>
          <w:rStyle w:val="ReplacementText"/>
        </w:rPr>
        <w:t xml:space="preserve">[doubting that]</w:t>
      </w:r>
      <w:r>
        <w:t xml:space="preserve"> </w:t>
      </w:r>
      <w:r>
        <w:t xml:space="preserve">the judge could reliably determine probable cause when presented with only the plaintiff's version of the altercation.</w:t>
      </w:r>
      <w:r>
        <w:t xml:space="preserve"> </w:t>
      </w:r>
      <w:r>
        <w:rPr>
          <w:rStyle w:val="ReplacementText"/>
        </w:rPr>
        <w:t xml:space="preserve">[The Second Circuit, therefore, found the statute]</w:t>
      </w:r>
      <w:r>
        <w:t xml:space="preserve"> </w:t>
      </w:r>
      <w:r>
        <w:t xml:space="preserve">infirm for its failure</w:t>
      </w:r>
      <w:r>
        <w:t xml:space="preserve"> </w:t>
      </w:r>
      <w:r>
        <w:rPr>
          <w:rStyle w:val="Elision"/>
        </w:rPr>
        <w:t xml:space="preserve">[ … ]</w:t>
      </w:r>
      <w:r>
        <w:t xml:space="preserve"> </w:t>
      </w:r>
      <w:r>
        <w:t xml:space="preserve">to require the plaintiff to post a bond for the protection of the defendant in the event the attachment was ultimately found to have been improvident.</w:t>
      </w:r>
    </w:p>
    <w:p>
      <w:pPr>
        <w:pStyle w:val="CaseBody"/>
      </w:pPr>
      <w:r>
        <w:rPr>
          <w:rStyle w:val="Elision"/>
        </w:rPr>
        <w:t xml:space="preserve">[ … ]</w:t>
      </w:r>
    </w:p>
    <w:bookmarkEnd w:id="215"/>
    <w:bookmarkStart w:id="216" w:name="ii-9"/>
    <w:p>
      <w:pPr>
        <w:pStyle w:val="Heading2"/>
      </w:pPr>
      <w:r>
        <w:t xml:space="preserve">II</w:t>
      </w:r>
    </w:p>
    <w:p>
      <w:pPr>
        <w:pStyle w:val="CaseBody"/>
      </w:pPr>
      <w:r>
        <w:t xml:space="preserve">With this case we return to the question of what process must be afforded by a state statute enabling an individual to enlist the aid of the State to deprive another of his or her property by means of the prejudgment attachment or similar procedure. Our cases reflect the numerous variations this type of remedy can entail.</w:t>
      </w:r>
      <w:r>
        <w:t xml:space="preserve"> </w:t>
      </w:r>
      <w:r>
        <w:rPr>
          <w:rStyle w:val="Elision"/>
        </w:rPr>
        <w:t xml:space="preserve">[ … ]</w:t>
      </w:r>
      <w:r>
        <w:rPr>
          <w:rStyle w:val="Elision"/>
        </w:rPr>
        <w:t xml:space="preserve">[ … ]</w:t>
      </w:r>
      <w:r>
        <w:rPr>
          <w:rStyle w:val="Elision"/>
        </w:rPr>
        <w:t xml:space="preserve">[ … ]</w:t>
      </w:r>
    </w:p>
    <w:p>
      <w:pPr>
        <w:pStyle w:val="CaseBody"/>
      </w:pPr>
      <w:r>
        <w:t xml:space="preserve">In</w:t>
      </w:r>
      <w:r>
        <w:t xml:space="preserve"> </w:t>
      </w:r>
      <w:r>
        <w:rPr>
          <w:iCs/>
          <w:i/>
        </w:rPr>
        <w:t xml:space="preserve">Mathews,</w:t>
      </w:r>
      <w:r>
        <w:t xml:space="preserve"> </w:t>
      </w:r>
      <w:r>
        <w:t xml:space="preserve">we drew upon our prejudgment remedy decisions to determine what process is due when the government itself seeks to effect a deprivation on its own initiative.</w:t>
      </w:r>
      <w:r>
        <w:t xml:space="preserve"> </w:t>
      </w:r>
      <w:r>
        <w:rPr>
          <w:rStyle w:val="Elision"/>
        </w:rPr>
        <w:t xml:space="preserve">[ … ]</w:t>
      </w:r>
      <w:r>
        <w:t xml:space="preserve"> </w:t>
      </w:r>
      <w:r>
        <w:t xml:space="preserve">That analysis resulted in the now familiar threefold inquiry requiring consideration of "the private interest that will be affected by the official action"; "the risk of an erroneous deprivation of such interest through the procedures used, and the probable value, if any, of additional or substitute safeguards"; and lastly "the Government's interest, including the function involved and the fiscal and administrative burdens that the additional or substitute procedural requirement would entail."</w:t>
      </w:r>
      <w:r>
        <w:t xml:space="preserve"> </w:t>
      </w:r>
      <w:r>
        <w:rPr>
          <w:rStyle w:val="Elision"/>
        </w:rPr>
        <w:t xml:space="preserve">[ … ]</w:t>
      </w:r>
    </w:p>
    <w:p>
      <w:pPr>
        <w:pStyle w:val="CaseBody"/>
      </w:pPr>
      <w:r>
        <w:t xml:space="preserve">Here the inquiry is similar, but the focus is different. Prejudgment remedy statutes ordinarily apply to disputes between private parties rather than between an individual and</w:t>
      </w:r>
      <w:r>
        <w:rPr>
          <w:rStyle w:val="Elision"/>
        </w:rPr>
        <w:t xml:space="preserve">[ … ]</w:t>
      </w:r>
      <w:r>
        <w:t xml:space="preserve"> </w:t>
      </w:r>
      <w:r>
        <w:t xml:space="preserve">the government.</w:t>
      </w:r>
      <w:r>
        <w:t xml:space="preserve"> </w:t>
      </w:r>
      <w:r>
        <w:rPr>
          <w:rStyle w:val="Elision"/>
        </w:rPr>
        <w:t xml:space="preserve">[ … ]</w:t>
      </w:r>
      <w:r>
        <w:t xml:space="preserve">For this type of case, therefore, the relevant inquiry requires, as in</w:t>
      </w:r>
      <w:r>
        <w:t xml:space="preserve"> </w:t>
      </w:r>
      <w:r>
        <w:rPr>
          <w:iCs/>
          <w:i/>
        </w:rPr>
        <w:t xml:space="preserve">Mathews,</w:t>
      </w:r>
      <w:r>
        <w:t xml:space="preserve"> </w:t>
      </w:r>
      <w:r>
        <w:t xml:space="preserve">first, consideration of the private interest that will be affected by the prejudgment measure; second, an examination of the risk of erroneous deprivation through the procedures under attack and the probable value of additional or alternative safeguards; and third, in contrast to</w:t>
      </w:r>
      <w:r>
        <w:t xml:space="preserve"> </w:t>
      </w:r>
      <w:r>
        <w:rPr>
          <w:iCs/>
          <w:i/>
        </w:rPr>
        <w:t xml:space="preserve">Mathews,</w:t>
      </w:r>
      <w:r>
        <w:t xml:space="preserve"> </w:t>
      </w:r>
      <w:r>
        <w:t xml:space="preserve">principal attention to the interest of the party seeking the prejudgment remedy, with, nonetheless, due regard for any ancillary interest the government may have in providing the procedure or forgoing the added burden of providing greater protections.</w:t>
      </w:r>
    </w:p>
    <w:p>
      <w:pPr>
        <w:pStyle w:val="CaseBody"/>
      </w:pPr>
      <w:r>
        <w:t xml:space="preserve">We now consider the</w:t>
      </w:r>
      <w:r>
        <w:t xml:space="preserve"> </w:t>
      </w:r>
      <w:r>
        <w:rPr>
          <w:iCs/>
          <w:i/>
        </w:rPr>
        <w:t xml:space="preserve">Mathews</w:t>
      </w:r>
      <w:r>
        <w:t xml:space="preserve"> </w:t>
      </w:r>
      <w:r>
        <w:t xml:space="preserve">factors in determining the adequacy of the procedures before us, first with regard to the safeguards of notice and a prior hearing, and then in relation to the protection of a bond.</w:t>
      </w:r>
    </w:p>
    <w:bookmarkEnd w:id="216"/>
    <w:bookmarkStart w:id="217" w:name="iii-8"/>
    <w:p>
      <w:pPr>
        <w:pStyle w:val="Heading2"/>
      </w:pPr>
      <w:r>
        <w:t xml:space="preserve">III</w:t>
      </w:r>
    </w:p>
    <w:p>
      <w:pPr>
        <w:pStyle w:val="CaseBody"/>
      </w:pPr>
      <w:r>
        <w:t xml:space="preserve">We agree with the Court of Appeals that the property interests that attachment affects are significant. For a property owner like</w:t>
      </w:r>
      <w:r>
        <w:t xml:space="preserve"> </w:t>
      </w:r>
      <w:r>
        <w:rPr>
          <w:rStyle w:val="ReplacementText"/>
        </w:rPr>
        <w:t xml:space="preserve">defendant</w:t>
      </w:r>
      <w:r>
        <w:t xml:space="preserve">, attachment ordinarily clouds title; impairs the ability to sell or otherwise alienate the property; taints any credit rating; reduces the chance of obtaining a home equity loan or additional mortgage; and can even place an existing mortgage in technical default where there is an insecurity clause. Nor does Connecticut deny that any of these consequences occurs.</w:t>
      </w:r>
    </w:p>
    <w:p>
      <w:pPr>
        <w:pStyle w:val="CaseBody"/>
      </w:pPr>
      <w:r>
        <w:rPr>
          <w:rStyle w:val="Elision"/>
        </w:rPr>
        <w:t xml:space="preserve">[ … ]</w:t>
      </w:r>
      <w:r>
        <w:t xml:space="preserve"> </w:t>
      </w:r>
      <w:r>
        <w:t xml:space="preserve">Instead, the State correctly points out that these effects do not amount to a complete, physical, or permanent deprivation of real property; their impact is less than the perhaps temporary total deprivation of household goods or wages. See</w:t>
      </w:r>
      <w:r>
        <w:t xml:space="preserve"> </w:t>
      </w:r>
      <w:r>
        <w:rPr>
          <w:iCs/>
          <w:i/>
        </w:rPr>
        <w:t xml:space="preserve">Sniadach, supra,</w:t>
      </w:r>
      <w:r>
        <w:t xml:space="preserve"> </w:t>
      </w:r>
      <w:r>
        <w:t xml:space="preserve">at 340;</w:t>
      </w:r>
      <w:r>
        <w:t xml:space="preserve"> </w:t>
      </w:r>
      <w:r>
        <w:rPr>
          <w:iCs/>
          <w:i/>
        </w:rPr>
        <w:t xml:space="preserve">Mitchell,</w:t>
      </w:r>
      <w:r>
        <w:t xml:space="preserve"> </w:t>
      </w:r>
      <w:r>
        <w:t xml:space="preserve">416 U. S., at 613. But the Court has never held that only such extreme deprivations trigger due process concern.</w:t>
      </w:r>
      <w:r>
        <w:t xml:space="preserve"> </w:t>
      </w:r>
      <w:r>
        <w:rPr>
          <w:rStyle w:val="Elision"/>
        </w:rPr>
        <w:t xml:space="preserve">[ … ]</w:t>
      </w:r>
      <w:r>
        <w:rPr>
          <w:rStyle w:val="Elision"/>
        </w:rPr>
        <w:t xml:space="preserve">[ … ]</w:t>
      </w:r>
    </w:p>
    <w:p>
      <w:pPr>
        <w:pStyle w:val="CaseBody"/>
      </w:pPr>
      <w:r>
        <w:t xml:space="preserve">We also agree with the Court of Appeals that the risk of erroneous deprivation that the State permits here is substantial. By definition, attachment statutes premise a deprivation of property on one ultimate factual contingency—the award of damages to the plaintiff which the defendant may not be able to satisfy.</w:t>
      </w:r>
      <w:r>
        <w:t xml:space="preserve"> </w:t>
      </w:r>
      <w:r>
        <w:rPr>
          <w:rStyle w:val="Elision"/>
        </w:rPr>
        <w:t xml:space="preserve">[ … ]</w:t>
      </w:r>
      <w:r>
        <w:t xml:space="preserve">For attachments</w:t>
      </w:r>
      <w:r>
        <w:rPr>
          <w:rStyle w:val="Elision"/>
        </w:rPr>
        <w:t xml:space="preserve">[ … ]</w:t>
      </w:r>
      <w:r>
        <w:t xml:space="preserve"> </w:t>
      </w:r>
      <w:r>
        <w:t xml:space="preserve">before judgment, Connecticut mandates that this determination be made by means of a procedural inquiry that asks whether "there is probable cause to sustain the validity of the plaintiff's claim."</w:t>
      </w:r>
      <w:r>
        <w:t xml:space="preserve"> </w:t>
      </w:r>
      <w:r>
        <w:rPr>
          <w:rStyle w:val="Elision"/>
        </w:rPr>
        <w:t xml:space="preserve">[ … ]</w:t>
      </w:r>
      <w:r>
        <w:t xml:space="preserve"> </w:t>
      </w:r>
      <w:r>
        <w:t xml:space="preserve">What probable cause means in this context, however, remains obscure. The State initially took the position, as did the dissent below, that the statute requires a plaintiff to show the objective likelihood of the suit's success.</w:t>
      </w:r>
      <w:r>
        <w:t xml:space="preserve"> </w:t>
      </w:r>
      <w:r>
        <w:rPr>
          <w:rStyle w:val="Elision"/>
        </w:rPr>
        <w:t xml:space="preserve">[ … ]</w:t>
      </w:r>
      <w:r>
        <w:t xml:space="preserve">.</w:t>
      </w:r>
      <w:r>
        <w:t xml:space="preserve"> </w:t>
      </w:r>
      <w:r>
        <w:rPr>
          <w:rStyle w:val="ReplacementText"/>
        </w:rPr>
        <w:t xml:space="preserve">Defendant</w:t>
      </w:r>
      <w:r>
        <w:t xml:space="preserve">, citing ambiguous state cases, reads the provision as requiring no more than that a plaintiff demonstrate a subjective good-faith belief that the suit will succeed.</w:t>
      </w:r>
      <w:r>
        <w:t xml:space="preserve"> </w:t>
      </w:r>
      <w:r>
        <w:rPr>
          <w:rStyle w:val="Elision"/>
        </w:rPr>
        <w:t xml:space="preserve">[ … ]</w:t>
      </w:r>
      <w:r>
        <w:t xml:space="preserve"> </w:t>
      </w:r>
      <w:r>
        <w:t xml:space="preserve">At oral argument, the State shifted its position to argue that the statute requires something akin to the plaintiff stating a claim with sufficient facts to survive a motion to dismiss.</w:t>
      </w:r>
    </w:p>
    <w:p>
      <w:pPr>
        <w:pStyle w:val="CaseBody"/>
      </w:pPr>
      <w:r>
        <w:t xml:space="preserve">We need not resolve this confusion since the statute presents too great a risk of erroneous deprivation under any</w:t>
      </w:r>
      <w:r>
        <w:t xml:space="preserve"> </w:t>
      </w:r>
      <w:r>
        <w:rPr>
          <w:rStyle w:val="ReplacementText"/>
        </w:rPr>
        <w:t xml:space="preserve">[of the parties']</w:t>
      </w:r>
      <w:r>
        <w:t xml:space="preserve"> </w:t>
      </w:r>
      <w:r>
        <w:t xml:space="preserve">interpretations. If the statute demands inquiry into the sufficiency of the complaint, or, still less, the plaintiff's good-faith belief that the complaint is sufficient, requirement of a complaint and a factual affidavit would permit a court to make these minimal determinations. But neither inquiry adequately reduces the risk of erroneous deprivation. Permitting a court to authorize attachment merely because the plaintiff believes the defendant is liable, or because the plaintiff can make out a facially valid complaint, would permit the deprivation of the defendant's property when the claim would fail to convince a jury, when it rested on factual allegations</w:t>
      </w:r>
      <w:r>
        <w:rPr>
          <w:rStyle w:val="Elision"/>
        </w:rPr>
        <w:t xml:space="preserve">[ … ]</w:t>
      </w:r>
      <w:r>
        <w:t xml:space="preserve"> </w:t>
      </w:r>
      <w:r>
        <w:t xml:space="preserve">that were sufficient to state a cause of action but which the defendant would dispute, or in the case of a mere good-faith standard, even when the complaint failed to state a claim upon which relief could be granted. The potential for unwarranted attachment in these situations is self-evident and too great to satisfy the requirements of due process absent any countervailing consideration.</w:t>
      </w:r>
    </w:p>
    <w:p>
      <w:pPr>
        <w:pStyle w:val="CaseBody"/>
      </w:pPr>
      <w:r>
        <w:t xml:space="preserve">Even if the provision requires the plaintiff to demonstrate, and the judge to find, probable cause to believe that judgment will be rendered in favor of the plaintiff, the risk of error was substantial in this case. As the record shows, and as the State concedes, only a skeletal affidavit need be, and was, filed. The State urges that the reviewing judge normally reviews the complaint as well, but concedes that the complaint may also be conclusory. It is self-evident that the judge could make no realistic assessment concerning the likelihood of an action's success based upon these one-sided, self-serving, and conclusory submissions. And as the Court of Appeals said, in a case like this involving an alleged assault, even a detailed affidavit would give only the plaintiff's version of the confrontation. Unlike determining the existence of a debt or delinquent payments, the issue does not concern "ordinarily uncomplicated matters that lend themselves to documentary proof."</w:t>
      </w:r>
      <w:r>
        <w:t xml:space="preserve"> </w:t>
      </w:r>
      <w:r>
        <w:rPr>
          <w:rStyle w:val="Elision"/>
        </w:rPr>
        <w:t xml:space="preserve">[ … ]</w:t>
      </w:r>
      <w:r>
        <w:rPr>
          <w:rStyle w:val="Elision"/>
        </w:rPr>
        <w:t xml:space="preserve">[ … ]</w:t>
      </w:r>
    </w:p>
    <w:p>
      <w:pPr>
        <w:pStyle w:val="CaseBody"/>
      </w:pPr>
      <w:r>
        <w:t xml:space="preserve">What safeguards the State does afford do not adequately reduce this risk. Connecticut points out that the statute also provides an "expeditiou[s]" postattachment adversary hearing,</w:t>
      </w:r>
      <w:r>
        <w:t xml:space="preserve"> </w:t>
      </w:r>
      <w:r>
        <w:rPr>
          <w:rStyle w:val="Elision"/>
        </w:rPr>
        <w:t xml:space="preserve">[ … ]</w:t>
      </w:r>
      <w:r>
        <w:t xml:space="preserve">notice for such a hearing,</w:t>
      </w:r>
      <w:r>
        <w:t xml:space="preserve"> </w:t>
      </w:r>
      <w:r>
        <w:rPr>
          <w:rStyle w:val="Elision"/>
        </w:rPr>
        <w:t xml:space="preserve">[ … ]</w:t>
      </w:r>
      <w:r>
        <w:t xml:space="preserve">; judicial review of an adverse decision,</w:t>
      </w:r>
      <w:r>
        <w:t xml:space="preserve"> </w:t>
      </w:r>
      <w:r>
        <w:rPr>
          <w:rStyle w:val="Elision"/>
        </w:rPr>
        <w:t xml:space="preserve">[ … ]</w:t>
      </w:r>
      <w:r>
        <w:t xml:space="preserve">; and a double damages action if the original suit is commenced without probable cause</w:t>
      </w:r>
      <w:r>
        <w:rPr>
          <w:rStyle w:val="Elision"/>
        </w:rPr>
        <w:t xml:space="preserve">[ … ]</w:t>
      </w:r>
      <w:r>
        <w:t xml:space="preserve">. Similar considerations were present in</w:t>
      </w:r>
      <w:r>
        <w:t xml:space="preserve"> </w:t>
      </w:r>
      <w:r>
        <w:rPr>
          <w:iCs/>
          <w:i/>
        </w:rPr>
        <w:t xml:space="preserve">Mitchell,</w:t>
      </w:r>
      <w:r>
        <w:t xml:space="preserve"> </w:t>
      </w:r>
      <w:r>
        <w:t xml:space="preserve">where we upheld Louisiana's sequestration statute despite the lack of predeprivation notice and hearing. But in</w:t>
      </w:r>
      <w:r>
        <w:t xml:space="preserve"> </w:t>
      </w:r>
      <w:r>
        <w:rPr>
          <w:iCs/>
          <w:i/>
        </w:rPr>
        <w:t xml:space="preserve">Mitchell,</w:t>
      </w:r>
      <w:r>
        <w:t xml:space="preserve"> </w:t>
      </w:r>
      <w:r>
        <w:t xml:space="preserve">the plaintiff had a vendor's lien to protect, the risk of error was minimal because the likelihood of recovery involved uncomplicated matters that lent themselves to documentary proof,</w:t>
      </w:r>
      <w:r>
        <w:t xml:space="preserve"> </w:t>
      </w:r>
      <w:r>
        <w:rPr>
          <w:rStyle w:val="Elision"/>
        </w:rPr>
        <w:t xml:space="preserve">[ … ]</w:t>
      </w:r>
      <w:r>
        <w:t xml:space="preserve">and the plaintiff was required to put up a bond. None of these factors diminishing the need for a predeprivation hearing is present in this case. It is true that a later hearing might negate the presence of probable cause, but this would not cure the temporary deprivation that an earlier hearing might have prevented.</w:t>
      </w:r>
      <w:r>
        <w:t xml:space="preserve"> </w:t>
      </w:r>
      <w:r>
        <w:rPr>
          <w:rStyle w:val="Elision"/>
        </w:rPr>
        <w:t xml:space="preserve">[ … ]</w:t>
      </w:r>
    </w:p>
    <w:p>
      <w:pPr>
        <w:pStyle w:val="CaseBody"/>
      </w:pPr>
      <w:r>
        <w:rPr>
          <w:rStyle w:val="Elision"/>
        </w:rPr>
        <w:t xml:space="preserve">[ … ]</w:t>
      </w:r>
      <w:r>
        <w:t xml:space="preserve">Finally, we conclude that the interests in favor of an</w:t>
      </w:r>
      <w:r>
        <w:t xml:space="preserve"> </w:t>
      </w:r>
      <w:r>
        <w:rPr>
          <w:iCs/>
          <w:i/>
        </w:rPr>
        <w:t xml:space="preserve">ex parte</w:t>
      </w:r>
      <w:r>
        <w:t xml:space="preserve"> </w:t>
      </w:r>
      <w:r>
        <w:t xml:space="preserve">attachment, particularly the interests of the plaintiff, are too minimal to supply such a consideration here. The plaintiff had no existing interest in</w:t>
      </w:r>
      <w:r>
        <w:t xml:space="preserve"> </w:t>
      </w:r>
      <w:r>
        <w:rPr>
          <w:rStyle w:val="ReplacementText"/>
        </w:rPr>
        <w:t xml:space="preserve">defendant</w:t>
      </w:r>
      <w:r>
        <w:t xml:space="preserve">'s real estate when he sought the attachment. His only interest in attaching the property was to ensure the availability of assets to satisfy his judgment if he prevailed on the merits of his action. Yet there was no allegation that</w:t>
      </w:r>
      <w:r>
        <w:t xml:space="preserve"> </w:t>
      </w:r>
      <w:r>
        <w:rPr>
          <w:rStyle w:val="ReplacementText"/>
        </w:rPr>
        <w:t xml:space="preserve">defendant</w:t>
      </w:r>
      <w:r>
        <w:t xml:space="preserve">was about to transfer or encumber his real estate or take any other action during the pendency of the action that would render his real estate unavailable to satisfy a judgment. Our cases have recognized such a properly supported claim would be an exigent circumstance permitting postponing any notice or hearing until after the attachment is effected.</w:t>
      </w:r>
      <w:r>
        <w:t xml:space="preserve"> </w:t>
      </w:r>
      <w:r>
        <w:rPr>
          <w:rStyle w:val="Elision"/>
        </w:rPr>
        <w:t xml:space="preserve">[ … ]</w:t>
      </w:r>
      <w:r>
        <w:t xml:space="preserve">Absent such allegations, however, the plaintiff's interest in attaching the property does not justify the burdening of</w:t>
      </w:r>
      <w:r>
        <w:t xml:space="preserve"> </w:t>
      </w:r>
      <w:r>
        <w:rPr>
          <w:rStyle w:val="ReplacementText"/>
        </w:rPr>
        <w:t xml:space="preserve">defendant</w:t>
      </w:r>
      <w:r>
        <w:t xml:space="preserve">s ownership rights without a hearing to determine the likelihood of recovery.</w:t>
      </w:r>
    </w:p>
    <w:p>
      <w:pPr>
        <w:pStyle w:val="CaseBody"/>
      </w:pPr>
      <w:r>
        <w:t xml:space="preserve">No interest the government may have affects the analysis. The State's substantive interest in protecting any rights of the plaintiff cannot be any more weighty than those rights themselves. Here the plaintiff's interest is</w:t>
      </w:r>
      <w:r>
        <w:t xml:space="preserve"> </w:t>
      </w:r>
      <w:r>
        <w:rPr>
          <w:iCs/>
          <w:i/>
        </w:rPr>
        <w:t xml:space="preserve">de minimis.</w:t>
      </w:r>
      <w:r>
        <w:t xml:space="preserve"> </w:t>
      </w:r>
      <w:r>
        <w:t xml:space="preserve">Moreover, the State cannot seriously plead additional financial or administrative burdens involving predeprivation hearings when it already claims to provide an immediate postdeprivation hearing.</w:t>
      </w:r>
      <w:r>
        <w:t xml:space="preserve"> </w:t>
      </w:r>
      <w:r>
        <w:rPr>
          <w:rStyle w:val="Elision"/>
        </w:rPr>
        <w:t xml:space="preserve">[ … ]</w:t>
      </w:r>
    </w:p>
    <w:p>
      <w:pPr>
        <w:pStyle w:val="CaseBody"/>
      </w:pPr>
      <w:r>
        <w:rPr>
          <w:rStyle w:val="Elision"/>
        </w:rPr>
        <w:t xml:space="preserve">[ … ]</w:t>
      </w:r>
    </w:p>
    <w:p>
      <w:pPr>
        <w:pStyle w:val="CaseBody"/>
      </w:pPr>
      <w:r>
        <w:t xml:space="preserve">Connecticut's statute appears even more suspect in light of current practice. A survey of state attachment provisions reveals that nearly every State requires either a preattachment hearing, a showing of some exigent circumstance, or both, before permitting an attachment to take place.</w:t>
      </w:r>
      <w:r>
        <w:t xml:space="preserve"> </w:t>
      </w:r>
      <w:r>
        <w:rPr>
          <w:rStyle w:val="Elision"/>
        </w:rPr>
        <w:t xml:space="preserve">[ … ]</w:t>
      </w:r>
    </w:p>
    <w:p>
      <w:pPr>
        <w:pStyle w:val="CaseBody"/>
      </w:pPr>
      <w:r>
        <w:rPr>
          <w:rStyle w:val="Elision"/>
        </w:rPr>
        <w:t xml:space="preserve">[ … ]</w:t>
      </w:r>
    </w:p>
    <w:bookmarkEnd w:id="217"/>
    <w:bookmarkStart w:id="218" w:name="iv-3"/>
    <w:p>
      <w:pPr>
        <w:pStyle w:val="Heading2"/>
      </w:pPr>
      <w:r>
        <w:t xml:space="preserve">IV</w:t>
      </w:r>
    </w:p>
    <w:bookmarkEnd w:id="218"/>
    <w:bookmarkStart w:id="219" w:name="a-6"/>
    <w:p>
      <w:pPr>
        <w:pStyle w:val="Heading2"/>
      </w:pPr>
      <w:r>
        <w:t xml:space="preserve">A</w:t>
      </w:r>
    </w:p>
    <w:p>
      <w:pPr>
        <w:pStyle w:val="CaseBody"/>
      </w:pPr>
      <w:r>
        <w:t xml:space="preserve">Although a majority of the Court does not reach the issue, JUSTICES MARSHALL, STEVENS, O'CONNOR, and I deem it appropriate to consider whether due process also requires the plaintiff to post a bond or other security in addition to requiring a hearing or showing of some exigency.</w:t>
      </w:r>
      <w:hyperlink w:anchor="X858d829239a874073a12d78f3553105bd77d07b">
        <w:r>
          <w:rPr>
            <w:rStyle w:val="Elision"/>
            <w:vertAlign w:val="superscript"/>
          </w:rPr>
          <w:t xml:space="preserve">[ … ]</w:t>
        </w:r>
      </w:hyperlink>
    </w:p>
    <w:p>
      <w:pPr>
        <w:pStyle w:val="CaseBody"/>
      </w:pPr>
      <w:r>
        <w:rPr>
          <w:rStyle w:val="Elision"/>
        </w:rPr>
        <w:t xml:space="preserve">[ … ]</w:t>
      </w:r>
      <w:r>
        <w:t xml:space="preserve">As noted, the impairments to property rights that attachments effect merit due process protection. Several consequences can be severe, such as the default of a homeowner's mortgage. In the present context, it need only be added that we have repeatedly recognized the utility of a bond in protecting property rights affected by the mistaken award of prejudgment remedies.</w:t>
      </w:r>
      <w:r>
        <w:t xml:space="preserve"> </w:t>
      </w:r>
      <w:r>
        <w:rPr>
          <w:rStyle w:val="Elision"/>
        </w:rPr>
        <w:t xml:space="preserve">[ … ]</w:t>
      </w:r>
    </w:p>
    <w:p>
      <w:pPr>
        <w:pStyle w:val="CaseBody"/>
      </w:pPr>
      <w:r>
        <w:t xml:space="preserve">Without a bond, at the time of attachment, the danger that these property rights may be wrongfully deprived remains unacceptably high even with such safegnards as a hearing or exigency requirement. The need for a bond is especially apparent where extraordinary circumstances justify an attachment with no more than the plaintiff's</w:t>
      </w:r>
      <w:r>
        <w:t xml:space="preserve"> </w:t>
      </w:r>
      <w:r>
        <w:rPr>
          <w:iCs/>
          <w:i/>
        </w:rPr>
        <w:t xml:space="preserve">ex parte</w:t>
      </w:r>
      <w:r>
        <w:t xml:space="preserve"> </w:t>
      </w:r>
      <w:r>
        <w:t xml:space="preserve">assertion of a claim. We have already discussed how due process tolerates, and the States generally permit, the otherwise impermissible chance of erroneously depriving the defendant in such situations in light of the heightened interest of the plaintiff. Until a postattachment hearing, however, a defendant has no protection against damages sustained where no extraordinary circumstance in fact existed or the plaintiff's likelihood of recovery was nil. Such protection is what a bond can supply. Both the Court and its individual Members have repeatedly found the requirement of a bond to play an essential role in reducing what would have been too great a degree of risk in precisely this type of circumstance.</w:t>
      </w:r>
      <w:r>
        <w:t xml:space="preserve"> </w:t>
      </w:r>
      <w:r>
        <w:rPr>
          <w:rStyle w:val="Elision"/>
        </w:rPr>
        <w:t xml:space="preserve">[ … ]</w:t>
      </w:r>
    </w:p>
    <w:p>
      <w:pPr>
        <w:pStyle w:val="CaseBody"/>
      </w:pPr>
      <w:r>
        <w:t xml:space="preserve">But the need for a bond does not end here. A defendant's property rights remain at undue risk even when there has been an adversarial hearing to determine the plaintiff's likelihood of recovery. At best, a court's initial assessment of each party's case cannot produce more than an educated prediction as to who will win. This is especially true when, as here, the nature of the claim makes any accurate prediction elusive.</w:t>
      </w:r>
      <w:r>
        <w:t xml:space="preserve"> </w:t>
      </w:r>
      <w:r>
        <w:rPr>
          <w:rStyle w:val="Elision"/>
        </w:rPr>
        <w:t xml:space="preserve">[ … ]</w:t>
      </w:r>
      <w:r>
        <w:t xml:space="preserve">In consequence, even a full hearing under a proper probable-cause standard would not prevent many defendants from having title to their homes impaired during the pendency of suits that never result in the contingency that ultimately justifies such impairment, namely, an award to the plaintiff. Attachment measures currently on the books reflect this concern. All but a handful of States require a plaintiff's bond despite also affording a hearing either before, or (for the vast majority, only under extraordinary circumstances) soon after, an attachment takes place.</w:t>
      </w:r>
      <w:r>
        <w:t xml:space="preserve"> </w:t>
      </w:r>
      <w:r>
        <w:rPr>
          <w:rStyle w:val="Elision"/>
        </w:rPr>
        <w:t xml:space="preserve">[ … ]</w:t>
      </w:r>
    </w:p>
    <w:p>
      <w:pPr>
        <w:pStyle w:val="CaseBody"/>
      </w:pPr>
      <w:r>
        <w:t xml:space="preserve">The State stresses its double damages remedy for suits that are commenced without probable cause.</w:t>
      </w:r>
      <w:r>
        <w:t xml:space="preserve"> </w:t>
      </w:r>
      <w:r>
        <w:rPr>
          <w:rStyle w:val="Elision"/>
        </w:rPr>
        <w:t xml:space="preserve">[ … ]</w:t>
      </w:r>
      <w:r>
        <w:t xml:space="preserve">This remedy, however, fails to make</w:t>
      </w:r>
      <w:r>
        <w:rPr>
          <w:rStyle w:val="Elision"/>
        </w:rPr>
        <w:t xml:space="preserve">[ … ]</w:t>
      </w:r>
      <w:r>
        <w:t xml:space="preserve"> </w:t>
      </w:r>
      <w:r>
        <w:t xml:space="preserve">up for the lack of a bond. As an initial matter, the meaning of "probable cause" in this provision is no more clear here than it was in the attachment provision itself. Should the term mean the plaintiff's good faith or the facial adequacy of the complaint, the remedy is clearly insufficient. A defendant who was deprived where there was little or no likelihood that the plaintiff would obtain a judgment could nonetheless recover only by proving some type of fraud or malice or by showing that the plaintiff had failed to state a claim. Problems persist even if the plaintiff's ultimate failure permits recovery. At best a defendant must await a decision on the merits of the plaintiff's complaint, even assuming that a</w:t>
      </w:r>
      <w:r>
        <w:t xml:space="preserve"> </w:t>
      </w:r>
      <w:r>
        <w:rPr>
          <w:rStyle w:val="Elision"/>
        </w:rPr>
        <w:t xml:space="preserve">[ … ]</w:t>
      </w:r>
      <w:r>
        <w:t xml:space="preserve">action may be brought as a counterclaim.</w:t>
      </w:r>
      <w:r>
        <w:t xml:space="preserve"> </w:t>
      </w:r>
      <w:r>
        <w:rPr>
          <w:rStyle w:val="Elision"/>
        </w:rPr>
        <w:t xml:space="preserve">[ … ]</w:t>
      </w:r>
      <w:r>
        <w:t xml:space="preserve">Settlement, under Connecticut law, precludes seeking the damages remedy, a fact that encourages the use of attachments as a tactical device to pressure an opponent to capitulate.</w:t>
      </w:r>
      <w:r>
        <w:t xml:space="preserve"> </w:t>
      </w:r>
      <w:r>
        <w:rPr>
          <w:rStyle w:val="Elision"/>
        </w:rPr>
        <w:t xml:space="preserve">[ … ]</w:t>
      </w:r>
      <w:r>
        <w:t xml:space="preserve"> </w:t>
      </w:r>
      <w:r>
        <w:rPr>
          <w:rStyle w:val="Elision"/>
        </w:rPr>
        <w:t xml:space="preserve">[ … ]</w:t>
      </w:r>
      <w:r>
        <w:t xml:space="preserve"> </w:t>
      </w:r>
      <w:r>
        <w:t xml:space="preserve">Finally, there is no guarantee that the original plaintiff will have adequate assets to satisfy an award that the defendant may win.</w:t>
      </w:r>
    </w:p>
    <w:p>
      <w:pPr>
        <w:pStyle w:val="CaseBody"/>
      </w:pPr>
      <w:r>
        <w:t xml:space="preserve">Nor is there any appreciable interest against a bond requirement.</w:t>
      </w:r>
      <w:r>
        <w:t xml:space="preserve"> </w:t>
      </w:r>
      <w:r>
        <w:rPr>
          <w:rStyle w:val="Elision"/>
        </w:rPr>
        <w:t xml:space="preserve">[ … ]</w:t>
      </w:r>
      <w:r>
        <w:rPr>
          <w:rStyle w:val="Elision"/>
        </w:rPr>
        <w:t xml:space="preserve">[ … ]</w:t>
      </w:r>
    </w:p>
    <w:bookmarkEnd w:id="219"/>
    <w:bookmarkStart w:id="220" w:name="b-5"/>
    <w:p>
      <w:pPr>
        <w:pStyle w:val="Heading2"/>
      </w:pPr>
      <w:r>
        <w:rPr>
          <w:rStyle w:val="Elision"/>
        </w:rPr>
        <w:t xml:space="preserve">[ … ]</w:t>
      </w:r>
      <w:r>
        <w:t xml:space="preserve"> </w:t>
      </w:r>
      <w:r>
        <w:t xml:space="preserve">B</w:t>
      </w:r>
    </w:p>
    <w:p>
      <w:pPr>
        <w:pStyle w:val="CaseBody"/>
      </w:pPr>
      <w:r>
        <w:t xml:space="preserve">Our foregoing discussion compels the four of us to consider whether a bond excuses the need for a hearing or other safeguards altogether. If a bond is needed to augment the protections afforded by preattachment and postattachment hearings, it arguably follows that a bond renders these safeguards unnecessary. That conclusion is unconvincing, however, for it ignores certain harms that bonds could not undo but that hearings would prevent. The law concerning attachments has rarely, if ever, required defendants to suffer an encumbered title until the case is concluded without any prior opportunity to show that the attachment was unwarranted. Our cases have repeatedly emphasized the importance of providing a prompt postdeprivation hearing at the very least.</w:t>
      </w:r>
      <w:r>
        <w:t xml:space="preserve"> </w:t>
      </w:r>
      <w:r>
        <w:rPr>
          <w:rStyle w:val="Elision"/>
        </w:rPr>
        <w:t xml:space="preserve">[ … ]</w:t>
      </w:r>
      <w:r>
        <w:t xml:space="preserve"> </w:t>
      </w:r>
      <w:r>
        <w:t xml:space="preserve">Every State but one, moreover, expressly requires a preattachment or postattachment hearing to determine the propriety of an attachment.</w:t>
      </w:r>
    </w:p>
    <w:p>
      <w:pPr>
        <w:pStyle w:val="CaseBody"/>
      </w:pPr>
      <w:r>
        <w:rPr>
          <w:rStyle w:val="Elision"/>
        </w:rPr>
        <w:t xml:space="preserve">[ … ]</w:t>
      </w:r>
      <w:r>
        <w:rPr>
          <w:rStyle w:val="Elision"/>
        </w:rPr>
        <w:t xml:space="preserve">[ … ]</w:t>
      </w:r>
      <w:r>
        <w:rPr>
          <w:rStyle w:val="ReplacementText"/>
        </w:rPr>
        <w:t xml:space="preserve">[However], reliance</w:t>
      </w:r>
    </w:p>
    <w:p>
      <w:pPr>
        <w:pStyle w:val="CaseBody"/>
      </w:pPr>
      <w:r>
        <w:rPr>
          <w:rStyle w:val="Elision"/>
        </w:rPr>
        <w:t xml:space="preserve">[ … ]</w:t>
      </w:r>
      <w:r>
        <w:rPr>
          <w:rStyle w:val="Elision"/>
        </w:rPr>
        <w:t xml:space="preserve">[ … ]</w:t>
      </w:r>
    </w:p>
    <w:bookmarkEnd w:id="220"/>
    <w:bookmarkStart w:id="221" w:name="section-12"/>
    <w:p>
      <w:pPr>
        <w:pStyle w:val="Heading2"/>
      </w:pPr>
      <w:r>
        <w:rPr>
          <w:rStyle w:val="Elision"/>
        </w:rPr>
        <w:t xml:space="preserve">[ … ]</w:t>
      </w:r>
    </w:p>
    <w:p>
      <w:pPr>
        <w:pStyle w:val="SourceCode"/>
      </w:pPr>
      <w:r>
        <w:rPr>
          <w:rStyle w:val="VerbatimChar"/>
        </w:rPr>
        <w:t xml:space="preserve">[ … ]</w:t>
      </w:r>
    </w:p>
    <w:bookmarkEnd w:id="221"/>
    <w:p>
      <w:pPr>
        <w:pStyle w:val="NodeEnd"/>
      </w:pPr>
      <w:r>
        <w:t xml:space="preserve"> </w:t>
      </w:r>
    </w:p>
    <w:p>
      <w:pPr>
        <w:pStyle w:val="NodeStart"/>
      </w:pPr>
      <w:r>
        <w:t xml:space="preserve"> </w:t>
      </w:r>
    </w:p>
    <w:p>
      <w:pPr>
        <w:pStyle w:val="HeadSeparator"/>
      </w:pPr>
      <w:r>
        <w:t xml:space="preserve"> </w:t>
      </w:r>
    </w:p>
    <w:bookmarkStart w:id="159" w:name="_auto_toc_159"/>
    <w:bookmarkEnd w:id="159"/>
    <w:p>
      <w:pPr>
        <w:pStyle w:val="ResourceNumber"/>
      </w:pPr>
      <w:r>
        <w:t xml:space="preserve">13.9</w:t>
      </w:r>
    </w:p>
    <w:p>
      <w:pPr>
        <w:pStyle w:val="ResourceTitle"/>
      </w:pPr>
      <w:r>
        <w:t xml:space="preserve">ThomasNeilsonVideos - Google Drive</w:t>
      </w:r>
    </w:p>
    <w:p>
      <w:pPr>
        <w:pStyle w:val="HeadFieldSeparator"/>
      </w:pPr>
      <w:r>
        <w:t xml:space="preserve"> </w:t>
      </w:r>
    </w:p>
    <w:p>
      <w:pPr>
        <w:pStyle w:val="ResourceLink"/>
      </w:pPr>
      <w:hyperlink r:id="rId222">
        <w:r>
          <w:rPr>
            <w:rStyle w:val="Hyperlink"/>
          </w:rPr>
          <w:t xml:space="preserve">https://drive.google.com/drive/folders/1MA1MgwdJ7H88yg7SC3gJ4uBrl2EZzz02?usp=drive_link</w:t>
        </w:r>
      </w:hyperlink>
    </w:p>
    <w:p>
      <w:pPr>
        <w:pStyle w:val="HeadFieldSeparator"/>
      </w:pPr>
      <w:r>
        <w:t xml:space="preserve"> </w:t>
      </w:r>
    </w:p>
    <w:p>
      <w:pPr>
        <w:pStyle w:val="ResourceHeadnote"/>
      </w:pPr>
      <w:r>
        <w:t xml:space="preserve">There are two optional study guides for this portion of the course. Both are available in the google folder available from the link below.</w:t>
      </w:r>
    </w:p>
    <w:p>
      <w:pPr>
        <w:pStyle w:val="ResourceHeadnote"/>
      </w:pPr>
      <w:r>
        <w:t xml:space="preserve">1) "Irene Loewenson_Bonds and Counterbonds Explained.pdf" is a document from a former TA that explains the how and why of bonds and counterbonds.</w:t>
      </w:r>
    </w:p>
    <w:p>
      <w:pPr>
        <w:pStyle w:val="ResourceHeadnote"/>
      </w:pPr>
      <w:r>
        <w:t xml:space="preserve">2) A series of videos by former TA Thomas Nielson explain bonds, counterbonds, the Matthews v. Eldridge test, and how the Matthews factors relate to the list of procedural due process requirements available in Vitek as well as the list of factors that courts rely on to make PDP rulings (e.g., judge/clerk, old/new property, preexisting property interest, testimony/documents proof, etc.).</w:t>
      </w:r>
    </w:p>
    <w:p>
      <w:pPr>
        <w:pStyle w:val="ResourceHeadnote"/>
      </w:pPr>
      <w:r>
        <w:t xml:space="preserve">These are both optional, but if you have any questions about these matters, I recommend reviewing either or both.</w:t>
      </w:r>
    </w:p>
    <w:p>
      <w:pPr>
        <w:pStyle w:val="HeadEnd"/>
      </w:pPr>
      <w:r>
        <w:t xml:space="preserve"> </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160" w:name="_auto_toc_160"/>
    <w:bookmarkEnd w:id="160"/>
    <w:p>
      <w:pPr>
        <w:pStyle w:val="ChapterNumber"/>
      </w:pPr>
      <w:r>
        <w:t xml:space="preserve">14</w:t>
      </w:r>
    </w:p>
    <w:p>
      <w:pPr>
        <w:pStyle w:val="ChapterTitle"/>
      </w:pPr>
      <w:r>
        <w:t xml:space="preserve">Day 14</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161" w:name="_auto_toc_161"/>
    <w:bookmarkEnd w:id="161"/>
    <w:p>
      <w:pPr>
        <w:pStyle w:val="ResourceNumber"/>
      </w:pPr>
      <w:r>
        <w:t xml:space="preserve">14.1</w:t>
      </w:r>
    </w:p>
    <w:p>
      <w:pPr>
        <w:pStyle w:val="ResourceTitle"/>
      </w:pPr>
      <w:r>
        <w:t xml:space="preserve">Lassiter v. Department of Social Services</w:t>
      </w:r>
    </w:p>
    <w:p>
      <w:pPr>
        <w:pStyle w:val="HeadFieldSeparator"/>
      </w:pPr>
      <w:r>
        <w:t xml:space="preserve"> </w:t>
      </w:r>
    </w:p>
    <w:p>
      <w:pPr>
        <w:pStyle w:val="ResourceHeadnote"/>
      </w:pPr>
      <w:r>
        <w:t xml:space="preserve">In</w:t>
      </w:r>
      <w:r>
        <w:t xml:space="preserve"> </w:t>
      </w:r>
      <w:r>
        <w:rPr>
          <w:iCs/>
          <w:i/>
        </w:rPr>
        <w:t xml:space="preserve">Lassiter</w:t>
      </w:r>
      <w:r>
        <w:t xml:space="preserve">, the Court begins with the presumption that there is no right to appointed counsel in cases in which the person faces no danger of losing physical liberty (incarceration). Note that in a case you will read later in the semester,</w:t>
      </w:r>
      <w:r>
        <w:t xml:space="preserve"> </w:t>
      </w:r>
      <w:r>
        <w:rPr>
          <w:iCs/>
          <w:i/>
        </w:rPr>
        <w:t xml:space="preserve">Turner v. Rogers</w:t>
      </w:r>
      <w:r>
        <w:t xml:space="preserve">, the court abandons the distinction it uses here (cases involving physical liberty versus those that do not).</w:t>
      </w:r>
      <w:r>
        <w:t xml:space="preserve"> </w:t>
      </w:r>
      <w:r>
        <w:t xml:space="preserve">For now, take the</w:t>
      </w:r>
      <w:r>
        <w:t xml:space="preserve"> </w:t>
      </w:r>
      <w:r>
        <w:rPr>
          <w:iCs/>
          <w:i/>
        </w:rPr>
        <w:t xml:space="preserve">Lassiter</w:t>
      </w:r>
      <w:r>
        <w:t xml:space="preserve"> </w:t>
      </w:r>
      <w:r>
        <w:t xml:space="preserve">opinion seriously.</w:t>
      </w:r>
      <w:r>
        <w:t xml:space="preserve"> </w:t>
      </w:r>
      <w:r>
        <w:t xml:space="preserve">According to the court, the next step is to “balance these elements [of the three-factor</w:t>
      </w:r>
      <w:r>
        <w:t xml:space="preserve"> </w:t>
      </w:r>
      <w:r>
        <w:rPr>
          <w:iCs/>
          <w:i/>
        </w:rPr>
        <w:t xml:space="preserve">Mathews</w:t>
      </w:r>
      <w:r>
        <w:t xml:space="preserve"> </w:t>
      </w:r>
      <w:r>
        <w:t xml:space="preserve">approach] against each other, and then set their net weight in the scales against the presumption.”</w:t>
      </w:r>
    </w:p>
    <w:p>
      <w:pPr>
        <w:pStyle w:val="ResourceHeadnote"/>
      </w:pPr>
      <w:r>
        <w:t xml:space="preserve">Take a careful look at how the Court applies the</w:t>
      </w:r>
      <w:r>
        <w:t xml:space="preserve"> </w:t>
      </w:r>
      <w:r>
        <w:rPr>
          <w:iCs/>
          <w:i/>
        </w:rPr>
        <w:t xml:space="preserve">Mathews</w:t>
      </w:r>
      <w:r>
        <w:t xml:space="preserve"> </w:t>
      </w:r>
      <w:r>
        <w:t xml:space="preserve">test in</w:t>
      </w:r>
      <w:r>
        <w:t xml:space="preserve"> </w:t>
      </w:r>
      <w:r>
        <w:rPr>
          <w:iCs/>
          <w:i/>
        </w:rPr>
        <w:t xml:space="preserve">Lassiter</w:t>
      </w:r>
      <w:r>
        <w:t xml:space="preserve">. How is the government’s interest in</w:t>
      </w:r>
      <w:r>
        <w:t xml:space="preserve"> </w:t>
      </w:r>
      <w:r>
        <w:rPr>
          <w:iCs/>
          <w:i/>
        </w:rPr>
        <w:t xml:space="preserve">Lassiter</w:t>
      </w:r>
      <w:r>
        <w:t xml:space="preserve"> </w:t>
      </w:r>
      <w:r>
        <w:t xml:space="preserve">different (and similar) to that in</w:t>
      </w:r>
      <w:r>
        <w:t xml:space="preserve"> </w:t>
      </w:r>
      <w:r>
        <w:rPr>
          <w:iCs/>
          <w:i/>
        </w:rPr>
        <w:t xml:space="preserve">Mathews</w:t>
      </w:r>
      <w:r>
        <w:t xml:space="preserve">? Which element does the holding ultimately hinge on?</w:t>
      </w:r>
    </w:p>
    <w:p>
      <w:pPr>
        <w:pStyle w:val="HeadEnd"/>
      </w:pPr>
      <w:r>
        <w:t xml:space="preserve"> </w:t>
      </w:r>
    </w:p>
    <w:p>
      <w:pPr>
        <w:pStyle w:val="CaseHeader"/>
      </w:pPr>
      <w:r>
        <w:t xml:space="preserve">Supreme Court of the United States</w:t>
      </w:r>
    </w:p>
    <w:p>
      <w:pPr>
        <w:pStyle w:val="CaseHeader"/>
      </w:pPr>
      <w:r>
        <w:t xml:space="preserve">452 U.S. 18, 68 L. Ed. 2d 640, 101 S. Ct. 2153, 1981 U.S. LEXIS 107, SCDB 1980-102</w:t>
      </w:r>
    </w:p>
    <w:p>
      <w:pPr>
        <w:pStyle w:val="CaseHeader"/>
      </w:pPr>
      <w:r>
        <w:t xml:space="preserve">No. 79-6423</w:t>
      </w:r>
    </w:p>
    <w:p>
      <w:pPr>
        <w:pStyle w:val="CaseHeader"/>
      </w:pPr>
      <w:r>
        <w:t xml:space="preserve">1981-06-01</w:t>
      </w:r>
    </w:p>
    <w:p>
      <w:pPr>
        <w:pStyle w:val="CaseBody"/>
      </w:pPr>
      <w:r>
        <w:rPr>
          <w:rStyle w:val="Elision"/>
        </w:rPr>
        <w:t xml:space="preserve">[ … ]</w:t>
      </w:r>
    </w:p>
    <w:p>
      <w:pPr>
        <w:pStyle w:val="CaseBody"/>
      </w:pPr>
      <w:r>
        <w:t xml:space="preserve">Justice Stewart</w:t>
      </w:r>
    </w:p>
    <w:p>
      <w:pPr>
        <w:pStyle w:val="CaseBody"/>
      </w:pPr>
      <w:r>
        <w:t xml:space="preserve">delivered the opinion of the Court.</w:t>
      </w:r>
    </w:p>
    <w:p>
      <w:pPr>
        <w:pStyle w:val="CaseBody"/>
      </w:pPr>
      <w:r>
        <w:t xml:space="preserve">I</w:t>
      </w:r>
    </w:p>
    <w:p>
      <w:pPr>
        <w:pStyle w:val="CaseBody"/>
      </w:pPr>
      <w:r>
        <w:t xml:space="preserve">In the late spring of 1975, after hearing evidence that the petitioner, Abby Gail Lassiter, had not provided her infant son William with proper medical care, the District Court of Durham County, N. C., adjudicated him a neglected child and transferred him to the custody of the Durham County Department of Social Services, the respondent here. A year later, Ms. Lassiter was charged with first-degree murder, was convicted of second-degree murder, and began a sentence of 25 to 40 years of imprisonment.</w:t>
      </w:r>
      <w:hyperlink w:anchor="X62f2684d778676c582c9c1eec31feceeefb3a17">
        <w:r>
          <w:rPr>
            <w:rStyle w:val="Elision"/>
          </w:rPr>
          <w:t xml:space="preserve">[ … ]</w:t>
        </w:r>
      </w:hyperlink>
      <w:r>
        <w:t xml:space="preserve">In 1978 the Department petitioned the court to terminate Ms. Lassiter’s parental rights because, the Department alleged, she “has not had any contact with the child since December of 1975” and “has willfully left the child in foster care for more than two consecutive years without showing that substantial progress has been made in correcting the conditions which led to the removal of the child, or without showing a positive response to the diligent efforts of the Department of Social Services to strengthen her relationship to the child, or to make and follow through with constructive planning for the future of the child.”</w:t>
      </w:r>
    </w:p>
    <w:p>
      <w:pPr>
        <w:pStyle w:val="CaseBody"/>
      </w:pPr>
      <w:r>
        <w:t xml:space="preserve">Ms. Lassiter was served with the petition and with notice that a hearing on it would be held. Although her mother had retained counsel for her in connection with an effort to invalidate the murder conviction, Ms. Lassiter never mentioned the forthcoming hearing to him (or, for that matter, to any other person except, she said, to “someone” in the prison). At the behest of the Department of Social Services’ attorney, she was brought from prison to the hearing, which was held August 31, 1978. The hearing opened, apparently at the judge’s instance, with a discussion of whether Ms. Lassiter should have more time in which to find legal assistance. Since the court concluded that she “has had ample opportunity to seek and obtain counsel prior to the hearing of this matter, and [that] her failure to do so is without just cause,” the court did not postpone the proceedings. Ms. Lassiter did not aver that she was indigent, and the court did not appoint counsel for her.</w:t>
      </w:r>
    </w:p>
    <w:p>
      <w:pPr>
        <w:pStyle w:val="CaseBody"/>
      </w:pPr>
      <w:r>
        <w:t xml:space="preserve">A social worker from the respondent Department was the first witness. She testified that in 1975 the Department “received a complaint from Duke Pediatrics that William had not been followed in the pediatric clinic for medical problems and that they were having difficulty in locating Ms. Las-siter . . . .” She said that in May 1975 a social worker had taken William to the hospital, where doctors asked that he stay “because of breathing difficulties [and] malnutrition and [because] there was a great deal of scarring that indicated that he had a severe infection that had gone untreated.” The witness further testified that, except for one “prearranged” visit and a chance meeting on the street, Ms. Las-siter had not seen William after he had come into the State’s custody, and that neither Ms. Lassiter nor her mother had “made any contact with the Department of Social Services regarding that child.” When asked whether William should be placed in his grandmother’s custody, the social worker said he should not, since the grandmother “has indicated to me on a number of occasions that she was not able to take responsibility for the child” and since “I have checked with people in the community and from Ms. Lassiter’s church who also feel that this additional responsibility would be more than she can handle.” The social worker added that William “has not seen his grandmother since the chance meeting in July of ’76 and that was the only time.”</w:t>
      </w:r>
    </w:p>
    <w:p>
      <w:pPr>
        <w:pStyle w:val="CaseBody"/>
      </w:pPr>
      <w:r>
        <w:t xml:space="preserve">After the direct examination of the social worker, the judge said:</w:t>
      </w:r>
    </w:p>
    <w:p>
      <w:pPr>
        <w:pStyle w:val="BlockText"/>
      </w:pPr>
      <w:r>
        <w:t xml:space="preserve">“I notice we made extensive findings in June of ’75 that you were served with papers and called the social services and told them you weren’t coming; and the serious lack of medical treatment. And, as I have said in my findings of the 16th day of June ’75, the Court finds that the grandmother, Ms. Lucille Lassiter, mother of Abby Gail Lassiter, filed a complaint on the 8th day of May, 1975, alleging that the daughter often left the children, Candina, Felicia and William L. with her for days without providing money or food while she was gone.”</w:t>
      </w:r>
    </w:p>
    <w:p>
      <w:pPr>
        <w:pStyle w:val="CaseBody"/>
      </w:pPr>
      <w:r>
        <w:t xml:space="preserve">Ms. Lassiter conducted a cross-examination of the social worker, who firmly reiterated her earlier testimony. The judge explained several times, with varying degrees of clarity, that Ms. Lassiter should only ask questions at this stage; many of her questions were disallowed because they were not really questions, but arguments.</w:t>
      </w:r>
    </w:p>
    <w:p>
      <w:pPr>
        <w:pStyle w:val="CaseBody"/>
      </w:pPr>
      <w:r>
        <w:t xml:space="preserve">Ms. Lassiter herself then testified, under the judge’s questioning, that she had properly cared for William. Under cross-examination, she said that she had seen William more than five or six times after he had been taken from her custody and that, if William could not be with her, she wanted him to be with her mother since, “He knows us. Children know they family. . . . They know they people, they know they family and that child knows us anywhere. ... I got four more other children. Three girls and a boy and they know they little brother when they see him.”</w:t>
      </w:r>
    </w:p>
    <w:p>
      <w:pPr>
        <w:pStyle w:val="CaseBody"/>
      </w:pPr>
      <w:r>
        <w:t xml:space="preserve">Ms. Lassiter’s mother was then called as a witness. She denied, under the questioning of the judge, that she had filed the complaint against Ms. Lassiter, and on cross-examination she denied both having failed to visit William when he was in the State’s custody and having said that she could not care for him.</w:t>
      </w:r>
    </w:p>
    <w:p>
      <w:pPr>
        <w:pStyle w:val="CaseBody"/>
      </w:pPr>
      <w:r>
        <w:t xml:space="preserve">The court found that Ms. Lassiter “has not contacted the Department of Social Services about her child since December, 1975, has not expressed any concern for his care and welfare, and has made no efforts to plan for his future.” Because Ms. Lassiter thus had “wilfully failed to maintain concern or responsibility for the welfare of the minor,” and because it was “in the best interests of the minor,” the court terminated Ms. Lassiter’s status as William’s parent.</w:t>
      </w:r>
      <w:r>
        <w:rPr>
          <w:rStyle w:val="FootnoteReference"/>
        </w:rPr>
        <w:footnoteReference w:customMarkFollows="1" w:id="182"/>
        <w:t xml:space="preserve">2</w:t>
      </w:r>
    </w:p>
    <w:p>
      <w:pPr>
        <w:pStyle w:val="CaseBody"/>
      </w:pPr>
      <w:r>
        <w:t xml:space="preserve">On appeal, Ms. Lassiter argued only that, because she was indigent, the Due Process Clause of the Fourteenth Amendment entitled her to the assistance of counsel, and that the trial court had therefore erred in not requiring the State to provide counsel for her. The North Carolina Court of Appeals decided that “[w]hile this State action does invade a protected area of individual privacy, the invasion is not so serious or unreasonable as to compel us to hold that appointment of counsel for indigent parents is constitutionally mandated.”</w:t>
      </w:r>
      <w:r>
        <w:t xml:space="preserve"> </w:t>
      </w:r>
      <w:r>
        <w:rPr>
          <w:rStyle w:val="Elision"/>
        </w:rPr>
        <w:t xml:space="preserve">[ … ]</w:t>
      </w:r>
      <w:r>
        <w:t xml:space="preserve"> </w:t>
      </w:r>
      <w:r>
        <w:t xml:space="preserve">337. The Supreme Court of North Carolina summarily denied Ms. Lassiter’s application for discretionary review</w:t>
      </w:r>
      <w:r>
        <w:rPr>
          <w:rStyle w:val="Elision"/>
        </w:rPr>
        <w:t xml:space="preserve">[ … ]</w:t>
      </w:r>
      <w:r>
        <w:t xml:space="preserve"> </w:t>
      </w:r>
      <w:r>
        <w:t xml:space="preserve">and we granted certiorari to consider the petitioner’s claim under the Due Process Clause of the Fourteenth Amendment,</w:t>
      </w:r>
      <w:r>
        <w:t xml:space="preserve"> </w:t>
      </w:r>
      <w:r>
        <w:rPr>
          <w:rStyle w:val="Elision"/>
        </w:rPr>
        <w:t xml:space="preserve">[ … ]</w:t>
      </w:r>
    </w:p>
    <w:p>
      <w:pPr>
        <w:pStyle w:val="CaseBody"/>
      </w:pPr>
      <w:r>
        <w:t xml:space="preserve">II</w:t>
      </w:r>
    </w:p>
    <w:p>
      <w:pPr>
        <w:pStyle w:val="CaseBody"/>
      </w:pPr>
      <w:r>
        <w:rPr>
          <w:rStyle w:val="Elision"/>
        </w:rPr>
        <w:t xml:space="preserve">[ … ]</w:t>
      </w:r>
    </w:p>
    <w:p>
      <w:pPr>
        <w:pStyle w:val="CaseBody"/>
      </w:pPr>
      <w:r>
        <w:t xml:space="preserve">A</w:t>
      </w:r>
    </w:p>
    <w:p>
      <w:pPr>
        <w:pStyle w:val="CaseBody"/>
      </w:pPr>
      <w:r>
        <w:t xml:space="preserve">The pre-eminent generalization that emerges from this Court’s precedents on an indigent’s right to appointed counsel is that such a right has been recognized to exist only where the litigant may lose his physical liberty if he loses the litigation.</w:t>
      </w:r>
      <w:r>
        <w:t xml:space="preserve"> </w:t>
      </w:r>
      <w:r>
        <w:rPr>
          <w:rStyle w:val="Elision"/>
        </w:rPr>
        <w:t xml:space="preserve">[ … ]</w:t>
      </w:r>
    </w:p>
    <w:p>
      <w:pPr>
        <w:pStyle w:val="CaseBody"/>
      </w:pPr>
      <w:r>
        <w:t xml:space="preserve">In sum, the Court’s precedents speak with one voice about what “fundamental fairness” has meant when the Court has considered the right to appointed counsel, and we thus draw from them the presumption that an indigent litigant has a right to appointed counsel only when, if he loses, he may be deprived of his physical liberty. It is against this presumption that all the other elements in the due process decision must be measured.</w:t>
      </w:r>
    </w:p>
    <w:p>
      <w:pPr>
        <w:pStyle w:val="CaseBody"/>
      </w:pPr>
      <w:r>
        <w:t xml:space="preserve">B</w:t>
      </w:r>
    </w:p>
    <w:p>
      <w:pPr>
        <w:pStyle w:val="CaseBody"/>
      </w:pPr>
      <w:r>
        <w:t xml:space="preserve">The case of</w:t>
      </w:r>
      <w:r>
        <w:t xml:space="preserve"> </w:t>
      </w:r>
      <w:r>
        <w:rPr>
          <w:iCs/>
          <w:i/>
        </w:rPr>
        <w:t xml:space="preserve">Mathews</w:t>
      </w:r>
      <w:r>
        <w:t xml:space="preserve"> </w:t>
      </w:r>
      <w:r>
        <w:t xml:space="preserve">v.</w:t>
      </w:r>
      <w:r>
        <w:t xml:space="preserve"> </w:t>
      </w:r>
      <w:r>
        <w:rPr>
          <w:iCs/>
          <w:i/>
        </w:rPr>
        <w:t xml:space="preserve">Eldridge,</w:t>
      </w:r>
      <w:r>
        <w:rPr>
          <w:rStyle w:val="Elision"/>
        </w:rPr>
        <w:t xml:space="preserve">[ … ]</w:t>
      </w:r>
      <w:r>
        <w:t xml:space="preserve">propounds three elements to be evaluated in deciding what due process requires, viz., the private interests at stake, the government’s interest, and the risk that the procedures used will lead to erroneous decisions. We must balance these elements against each other, and then set their net weight in the scales against the presumption that there is a right to appointed counsel only where the indigent, if he is unsuccessful, may lose his personal freedom.</w:t>
      </w:r>
    </w:p>
    <w:p>
      <w:pPr>
        <w:pStyle w:val="CaseBody"/>
      </w:pPr>
      <w:r>
        <w:t xml:space="preserve">This Court’s decisions have by now made plain beyond the need for multiple citation that a parent’s desire for and right to “the companionship, care, custody, and management of his or her children” is an important interest that “undeniably warrants deference and, absent a powerful countervailing interest, protection.”</w:t>
      </w:r>
      <w:r>
        <w:t xml:space="preserve"> </w:t>
      </w:r>
      <w:r>
        <w:rPr>
          <w:rStyle w:val="Elision"/>
        </w:rPr>
        <w:t xml:space="preserve">[ … ]</w:t>
      </w:r>
      <w:r>
        <w:t xml:space="preserve"> </w:t>
      </w:r>
      <w:r>
        <w:t xml:space="preserve">Here the State has sought not simply to infringe upon that interest, but to end it. If the State prevails, it will have worked a unique kind of deprivation.</w:t>
      </w:r>
      <w:r>
        <w:t xml:space="preserve"> </w:t>
      </w:r>
      <w:r>
        <w:rPr>
          <w:rStyle w:val="Elision"/>
        </w:rPr>
        <w:t xml:space="preserve">[ … ]</w:t>
      </w:r>
      <w:r>
        <w:t xml:space="preserve"> </w:t>
      </w:r>
      <w:r>
        <w:t xml:space="preserve">A parent’s interest in the accuracy and justice of the decision to terminate his or her parental status is, therefore, a commanding one.</w:t>
      </w:r>
      <w:hyperlink w:anchor="X5b92e8ca93952a54ebd2ed5d7fc7fa10c056af3">
        <w:r>
          <w:rPr>
            <w:rStyle w:val="Elision"/>
          </w:rPr>
          <w:t xml:space="preserve">[ … ]</w:t>
        </w:r>
      </w:hyperlink>
    </w:p>
    <w:p>
      <w:pPr>
        <w:pStyle w:val="CaseBody"/>
      </w:pPr>
      <w:r>
        <w:t xml:space="preserve">Since the State has an urgent interest in the welfare of the child, it shares the parent’s interest in an accurate and just decision. For this reason, the State may share the indigent parent’s interest in the availability of appointed counsel. If, as our adversary system presupposes, accurate and just results are most likely to be obtained through the equal contest of opposed interests, the State’s interest in the child’s welfare may perhaps best be served by a hearing in which both the parent and the State acting for the child are represented by counsel, without whom the contest of interests may become unwholesomely unequal. North Carolina itself acknowledges as much by providing that where a parent files a written answer to a termination petition, the State must supply a lawyer to represent the child.</w:t>
      </w:r>
      <w:r>
        <w:t xml:space="preserve"> </w:t>
      </w:r>
      <w:r>
        <w:rPr>
          <w:rStyle w:val="Elision"/>
        </w:rPr>
        <w:t xml:space="preserve">[ … ]</w:t>
      </w:r>
    </w:p>
    <w:p>
      <w:pPr>
        <w:pStyle w:val="CaseBody"/>
      </w:pPr>
      <w:r>
        <w:t xml:space="preserve">The State’s interests, however, clearly diverge from the parent’s insofar as the State wishes the termination decision to be made as economically as possible and thus wants to avoid both the expense of appointed counsel and the cost of the lengthened proceedings his presence may cause. But though the State’s pecuniary interest is legitimate, it is hardly significant enough to overcome private interests as important as those here, particularly in light of the concession in the respondent’s brief that the “potential costs of appointed counsel in termination proceedings ... is [sic] admittedly</w:t>
      </w:r>
      <w:r>
        <w:t xml:space="preserve"> </w:t>
      </w:r>
      <w:r>
        <w:rPr>
          <w:iCs/>
          <w:i/>
        </w:rPr>
        <w:t xml:space="preserve">de minimis</w:t>
      </w:r>
      <w:r>
        <w:t xml:space="preserve"> </w:t>
      </w:r>
      <w:r>
        <w:t xml:space="preserve">compared to the costs in all criminal actions.”</w:t>
      </w:r>
    </w:p>
    <w:p>
      <w:pPr>
        <w:pStyle w:val="CaseBody"/>
      </w:pPr>
      <w:r>
        <w:t xml:space="preserve">Finally, consideration must be given to the risk that a parent will be erroneously deprived of his or her child because the parent is not represented by counsel. North Carolina law now seeks to assure accurate decisions by establishing the following procedures: A petition to terminate parental rights may be filed only by a parent seeking the termination of the other parent’s rights, by a county department of social services or licensed child-placing agency with custody of the child, or by a person with whom the child has lived continuously for the two years preceding the petition.</w:t>
      </w:r>
      <w:r>
        <w:t xml:space="preserve"> </w:t>
      </w:r>
      <w:r>
        <w:rPr>
          <w:rStyle w:val="Elision"/>
        </w:rPr>
        <w:t xml:space="preserve">[ … ]</w:t>
      </w:r>
      <w:r>
        <w:t xml:space="preserve">. A petition must describe facts sufficient to warrant a finding that one of the grounds for termination exists,</w:t>
      </w:r>
      <w:r>
        <w:t xml:space="preserve"> </w:t>
      </w:r>
      <w:r>
        <w:rPr>
          <w:rStyle w:val="Elision"/>
        </w:rPr>
        <w:t xml:space="preserve">[ … ]</w:t>
      </w:r>
      <w:r>
        <w:t xml:space="preserve">, and the parent must be notified of the petition and given 30 days in which to file a written answer to it,</w:t>
      </w:r>
      <w:r>
        <w:rPr>
          <w:rStyle w:val="Elision"/>
        </w:rPr>
        <w:t xml:space="preserve">[ … ]</w:t>
      </w:r>
      <w:r>
        <w:t xml:space="preserve">. If that answer denies a material allegation, the court must, as has been noted, appoint a lawyer as the child’s guardian</w:t>
      </w:r>
      <w:r>
        <w:t xml:space="preserve"> </w:t>
      </w:r>
      <w:r>
        <w:rPr>
          <w:iCs/>
          <w:i/>
        </w:rPr>
        <w:t xml:space="preserve">ad litem</w:t>
      </w:r>
      <w:r>
        <w:t xml:space="preserve"> </w:t>
      </w:r>
      <w:r>
        <w:t xml:space="preserve">and must conduct a special hearing to resolve the issues raised by the petition and the answer.</w:t>
      </w:r>
      <w:r>
        <w:t xml:space="preserve"> </w:t>
      </w:r>
      <w:r>
        <w:rPr>
          <w:rStyle w:val="Elision"/>
        </w:rPr>
        <w:t xml:space="preserve">[ … ]</w:t>
      </w:r>
      <w:r>
        <w:t xml:space="preserve">. If the parent files no answer, “the court shall issue an order terminating all parental and custodial rights . . .</w:t>
      </w:r>
      <w:r>
        <w:t xml:space="preserve"> </w:t>
      </w:r>
      <w:r>
        <w:rPr>
          <w:iCs/>
          <w:i/>
        </w:rPr>
        <w:t xml:space="preserve">;</w:t>
      </w:r>
      <w:r>
        <w:t xml:space="preserve"> </w:t>
      </w:r>
      <w:r>
        <w:t xml:space="preserve">provided the court shall order a hearing on the petition and may examine the petitioner or others on the facts alleged in the petition.”</w:t>
      </w:r>
      <w:r>
        <w:t xml:space="preserve"> </w:t>
      </w:r>
      <w:r>
        <w:rPr>
          <w:rStyle w:val="Elision"/>
        </w:rPr>
        <w:t xml:space="preserve">[ … ]</w:t>
      </w:r>
      <w:r>
        <w:t xml:space="preserve">. Findings of fact are made by a court sitting without a jury and must “be based on clear, cogent, and convincing evidence.”</w:t>
      </w:r>
      <w:r>
        <w:t xml:space="preserve"> </w:t>
      </w:r>
      <w:r>
        <w:rPr>
          <w:rStyle w:val="Elision"/>
        </w:rPr>
        <w:t xml:space="preserve">[ … ]</w:t>
      </w:r>
      <w:r>
        <w:t xml:space="preserve">. Any party may appeal who gives notice of appeal within 10 days after the hearing.</w:t>
      </w:r>
      <w:r>
        <w:t xml:space="preserve"> </w:t>
      </w:r>
      <w:r>
        <w:rPr>
          <w:rStyle w:val="Elision"/>
        </w:rPr>
        <w:t xml:space="preserve">[ … ]</w:t>
      </w:r>
    </w:p>
    <w:p>
      <w:pPr>
        <w:pStyle w:val="CaseBody"/>
      </w:pPr>
      <w:r>
        <w:t xml:space="preserve">The respondent argues that the subject of a termination hearing — the parent’s relationship with her child — far from being abstruse, technical, or unfamiliar, is one as to which the parent must be uniquely well informed and to which the parent must have given prolonged thought. The respondent also contends that a termination hearing is not likely to produce difficult points of evidentiary law, or even of substantive law, since the evidentiary problems peculiar to criminal trials are not present and since the standards for termination are not complicated. In fact, the respondent reports, the North Carolina Departments of Social Services are themselves sometimes represented at termination hearings by social workers instead of by lawyers.</w:t>
      </w:r>
      <w:r>
        <w:rPr>
          <w:rStyle w:val="FootnoteReference"/>
        </w:rPr>
        <w:footnoteReference w:customMarkFollows="1" w:id="245"/>
        <w:t xml:space="preserve">5</w:t>
      </w:r>
    </w:p>
    <w:p>
      <w:pPr>
        <w:pStyle w:val="CaseBody"/>
      </w:pPr>
      <w:r>
        <w:t xml:space="preserve">Yet the ultimate issues with which a termination hearing deals are not always simple, however commonplace they may be. Expert medical and psychiatric testimony, which few parents are equipped to understand and fewer still to confute, is sometimes presented. The parents are likely to be people with little education, who have had uncommon difficulty in dealing with life, and who are, at the hearing, thrust into a distressing and disorienting situation. That these factors may combine to overwhelm an uncounseled parent is evident from the findings some courts have made.</w:t>
      </w:r>
      <w:r>
        <w:t xml:space="preserve"> </w:t>
      </w:r>
      <w:r>
        <w:rPr>
          <w:rStyle w:val="Elision"/>
        </w:rPr>
        <w:t xml:space="preserve">[ … ]</w:t>
      </w:r>
      <w:r>
        <w:t xml:space="preserve">Thus, courts have generally held that the State must appoint counsel for indigent parents at termination proceedings.</w:t>
      </w:r>
      <w:r>
        <w:t xml:space="preserve"> </w:t>
      </w:r>
      <w:r>
        <w:rPr>
          <w:rStyle w:val="Elision"/>
        </w:rPr>
        <w:t xml:space="preserve">[ … ]</w:t>
      </w:r>
      <w:r>
        <w:t xml:space="preserve"> </w:t>
      </w:r>
      <w:r>
        <w:t xml:space="preserve">The respondent is able to point to no presently authoritative case, except for the North Carolina judgment now before us, holding that an indigent parent has no due process right to appointed counsel in termination proceedings.</w:t>
      </w:r>
    </w:p>
    <w:p>
      <w:pPr>
        <w:pStyle w:val="CaseBody"/>
      </w:pPr>
      <w:r>
        <w:t xml:space="preserve">C</w:t>
      </w:r>
    </w:p>
    <w:p>
      <w:pPr>
        <w:pStyle w:val="CaseBody"/>
      </w:pPr>
      <w:r>
        <w:t xml:space="preserve">The dispositive question, which must now be addressed, is whether the three</w:t>
      </w:r>
      <w:r>
        <w:t xml:space="preserve"> </w:t>
      </w:r>
      <w:r>
        <w:rPr>
          <w:iCs/>
          <w:i/>
        </w:rPr>
        <w:t xml:space="preserve">Eldridge</w:t>
      </w:r>
      <w:r>
        <w:t xml:space="preserve"> </w:t>
      </w:r>
      <w:r>
        <w:t xml:space="preserve">factors, when weighed against the presumption that there is no right to appointed counsel in the absence of at least a potential deprivation of physical liberty, suffice to rebut that presumption and thus to lead to the conclusion that the Due Process Clause requires the appointment of counsel when a State seeks to terminate an indigent’s parental status. To summarize the above discussion of the</w:t>
      </w:r>
      <w:r>
        <w:t xml:space="preserve"> </w:t>
      </w:r>
      <w:r>
        <w:rPr>
          <w:iCs/>
          <w:i/>
        </w:rPr>
        <w:t xml:space="preserve">Eldridge</w:t>
      </w:r>
      <w:r>
        <w:t xml:space="preserve"> </w:t>
      </w:r>
      <w:r>
        <w:t xml:space="preserve">factors: the parent’s interest is an extremely important one (and may be supplemented by the dangers of criminal liability inherent in some termination proceedings); the State shares with the parent an interest in a correct decision, has a relatively weak pecuniary interest, and, in some but not all cases, has a possibly stronger interest in informal procedures; and the complexity of the proceeding and the incapacity of the uncounseled parent could be, but would not always be, great enough to make the risk of an erroneous deprivation of the parent’s rights insupportably high.</w:t>
      </w:r>
    </w:p>
    <w:p>
      <w:pPr>
        <w:pStyle w:val="CaseBody"/>
      </w:pPr>
      <w:r>
        <w:t xml:space="preserve">If, in a given case, the parent’s interests were at their strongest, the State’s interests were at their weakest, and the risks of error were at their peak, it could not be said that the</w:t>
      </w:r>
      <w:r>
        <w:t xml:space="preserve"> </w:t>
      </w:r>
      <w:r>
        <w:rPr>
          <w:iCs/>
          <w:i/>
        </w:rPr>
        <w:t xml:space="preserve">Eldridge</w:t>
      </w:r>
      <w:r>
        <w:t xml:space="preserve"> </w:t>
      </w:r>
      <w:r>
        <w:t xml:space="preserve">factors did not overcome the presumption against the right to appointed counsel, and that due process did not therefore require the appointment of counsel. But since the</w:t>
      </w:r>
      <w:r>
        <w:t xml:space="preserve"> </w:t>
      </w:r>
      <w:r>
        <w:rPr>
          <w:iCs/>
          <w:i/>
        </w:rPr>
        <w:t xml:space="preserve">Eldridge</w:t>
      </w:r>
      <w:r>
        <w:t xml:space="preserve"> </w:t>
      </w:r>
      <w:r>
        <w:t xml:space="preserve">factors will not always be so distributed, and since “due process is not so rigid as to require that the significant interests in informality, flexibility and economy must always be sacrificed,”</w:t>
      </w:r>
      <w:r>
        <w:t xml:space="preserve"> </w:t>
      </w:r>
      <w:r>
        <w:rPr>
          <w:rStyle w:val="Elision"/>
        </w:rPr>
        <w:t xml:space="preserve">[ … ]</w:t>
      </w:r>
      <w:r>
        <w:t xml:space="preserve"> </w:t>
      </w:r>
      <w:r>
        <w:t xml:space="preserve">neither can we say that the Constitution requires the appointment of counsel in every parental termination proceeding. We therefore</w:t>
      </w:r>
      <w:r>
        <w:t xml:space="preserve"> </w:t>
      </w:r>
      <w:r>
        <w:rPr>
          <w:rStyle w:val="Elision"/>
        </w:rPr>
        <w:t xml:space="preserve">[ … ]</w:t>
      </w:r>
      <w:r>
        <w:t xml:space="preserve"> </w:t>
      </w:r>
      <w:r>
        <w:t xml:space="preserve">leave the decision whether due process calls for the appointment of counsel for indigent parents in termination proceedings to be answered in the first instance by the trial court, subject, of course, to appellate review.</w:t>
      </w:r>
      <w:r>
        <w:rPr>
          <w:rStyle w:val="Elision"/>
        </w:rPr>
        <w:t xml:space="preserve">[ … ]</w:t>
      </w:r>
    </w:p>
    <w:p>
      <w:pPr>
        <w:pStyle w:val="CaseBody"/>
      </w:pPr>
      <w:r>
        <w:t xml:space="preserve">Ill</w:t>
      </w:r>
    </w:p>
    <w:p>
      <w:pPr>
        <w:pStyle w:val="CaseBody"/>
      </w:pPr>
      <w:r>
        <w:t xml:space="preserve">Here,</w:t>
      </w:r>
      <w:r>
        <w:t xml:space="preserve"> </w:t>
      </w:r>
      <w:r>
        <w:rPr>
          <w:rStyle w:val="Elision"/>
        </w:rPr>
        <w:t xml:space="preserve">[ … ]</w:t>
      </w:r>
      <w:r>
        <w:t xml:space="preserve"> </w:t>
      </w:r>
      <w:r>
        <w:t xml:space="preserve"> </w:t>
      </w:r>
      <w:r>
        <w:t xml:space="preserve">“[i]t is neither possible nor prudent to attempt to formulate a precise and detailed set of guidelines to be followed in determining when the providing of counsel is necessary to meet the applicable due process requirements,” since here, as in that case, “[t]he facts and circumstances . . . are susceptible of almost infinite variation . . . .”</w:t>
      </w:r>
      <w:r>
        <w:t xml:space="preserve"> </w:t>
      </w:r>
      <w:r>
        <w:rPr>
          <w:rStyle w:val="Elision"/>
        </w:rPr>
        <w:t xml:space="preserve">[ … ]</w:t>
      </w:r>
      <w:r>
        <w:t xml:space="preserve"> </w:t>
      </w:r>
      <w:r>
        <w:t xml:space="preserve">Nevertheless, because child-custody litigation must be concluded as rapidly as is consistent with fairness,</w:t>
      </w:r>
      <w:r>
        <w:rPr>
          <w:rStyle w:val="FootnoteReference"/>
        </w:rPr>
        <w:footnoteReference w:customMarkFollows="1" w:id="248"/>
        <w:t xml:space="preserve">7</w:t>
      </w:r>
      <w:r>
        <w:t xml:space="preserve"> </w:t>
      </w:r>
      <w:r>
        <w:t xml:space="preserve">we decide today whether the trial judge denied Ms. Lassiter due process of law when he did not appoint counsel for her.</w:t>
      </w:r>
    </w:p>
    <w:p>
      <w:pPr>
        <w:pStyle w:val="CaseBody"/>
      </w:pPr>
      <w:r>
        <w:t xml:space="preserve">The respondent represents that the petition to terminate Ms. Lassiter’s parental rights contained no allegations of neglect or abuse upon which criminal charges could be based, and hence Ms. Lassiter could not well have argued that she required counsel for that reason. The Department of Social Services was represented at the hearing by counsel, but no expert witnesses testified, and the case presented no specially troublesome points of law, either procedural or substantive. While hearsay evidence was no doubt admitted, and while Ms. Lassiter no doubt left incomplete her defense that the Department had not adequately assisted her in rekindling her interest in her son, the weight of the evidence that she had few sparks of such an interest was sufficiently great that the presence of counsel for Ms. Lassiter could not have made a determinative difference. True, a lawyer might have done more with the argument that William should live with Ms. Lassiter’s mother — but that argument was quite ex-plicity made by both Lassiters, and the evidence that the elder Ms. Lassiter had said she could not handle another child, that the social worker’s investigation had led to a similar conclusion, and that the grandmother had displayed scant interest in the child once he had been removed from her daughter’s custody was, though controverted, sufficiently substantial that the absence of counsel’s guidance on this point did not render the proceedings fundamentally unfair.</w:t>
      </w:r>
      <w:r>
        <w:rPr>
          <w:rStyle w:val="FootnoteReference"/>
        </w:rPr>
        <w:footnoteReference w:customMarkFollows="1" w:id="251"/>
        <w:t xml:space="preserve">8</w:t>
      </w:r>
      <w:r>
        <w:t xml:space="preserve"> </w:t>
      </w:r>
      <w:r>
        <w:t xml:space="preserve">Finally, a court deciding whether due process requires the appointment of counsel need not ignore a parent’s plain demonstration that she is not interested in attending a hearing. Here, the trial court had previously found that Ms. Las-siter had expressly declined to appear at the 1975 child custody hearing, Ms. Lassiter had not even bothered to speak to her retained lawyer after being notified of the termination hearing, and the court specifically found that Ms. Lassiter’s failure to make an effort to contest the termination proceeding was without cause. In view of all these circumstances, we hold that the trial court did not err in failing to appoint counsel for Ms. Lassiter.</w:t>
      </w:r>
    </w:p>
    <w:p>
      <w:pPr>
        <w:pStyle w:val="CaseBody"/>
      </w:pPr>
      <w:r>
        <w:t xml:space="preserve">IV</w:t>
      </w:r>
    </w:p>
    <w:p>
      <w:pPr>
        <w:pStyle w:val="CaseBody"/>
      </w:pPr>
      <w:r>
        <w:t xml:space="preserve">In its Fourteenth Amendment, our Constitution imposes on the States the standards necessary to ensure that judicial proceedings are fundamentally fair. A wise public policy, however, may require that higher standards be adopted than those minimally tolerable under the Constitution</w:t>
      </w:r>
      <w:r>
        <w:rPr>
          <w:rStyle w:val="Elision"/>
        </w:rPr>
        <w:t xml:space="preserve">[ … ]</w:t>
      </w:r>
      <w:r>
        <w:t xml:space="preserve"> </w:t>
      </w:r>
      <w:r>
        <w:t xml:space="preserve">33 States and the District of Columbia provide statutorily for the appointment of counsel in termination cases. The Court’s opinion today in no way implies that the standards increasingly urged by informed public opinion and now widely followed by the States are other than enlightened and wise.</w:t>
      </w:r>
    </w:p>
    <w:p>
      <w:pPr>
        <w:pStyle w:val="CaseBody"/>
      </w:pPr>
      <w:r>
        <w:t xml:space="preserve">For the reasons stated in this opinion, the judgment is affirmed.</w:t>
      </w:r>
    </w:p>
    <w:p>
      <w:pPr>
        <w:pStyle w:val="CaseBody"/>
      </w:pPr>
      <w:r>
        <w:rPr>
          <w:iCs/>
          <w:i/>
        </w:rPr>
        <w:t xml:space="preserve">It is so ordered.</w:t>
      </w:r>
    </w:p>
    <w:p>
      <w:pPr>
        <w:pStyle w:val="CaseBody"/>
      </w:pPr>
      <w:r>
        <w:rPr>
          <w:rStyle w:val="Elision"/>
        </w:rPr>
        <w:t xml:space="preserve">[ … ]</w:t>
      </w:r>
    </w:p>
    <w:p>
      <w:pPr>
        <w:pStyle w:val="CaseBody"/>
      </w:pPr>
      <w:r>
        <w:rPr>
          <w:rStyle w:val="ReplacementText"/>
        </w:rPr>
        <w:t xml:space="preserve">[A concurrence by Chief Justice Burger is omitted.]</w:t>
      </w:r>
    </w:p>
    <w:p>
      <w:pPr>
        <w:pStyle w:val="CaseBody"/>
      </w:pPr>
      <w:r>
        <w:t xml:space="preserve">Justice Blackmun,</w:t>
      </w:r>
    </w:p>
    <w:p>
      <w:pPr>
        <w:pStyle w:val="CaseBody"/>
      </w:pPr>
      <w:r>
        <w:t xml:space="preserve">with whom Justice Brennan and Justice Marshall join,</w:t>
      </w:r>
    </w:p>
    <w:p>
      <w:pPr>
        <w:pStyle w:val="CaseBody"/>
      </w:pPr>
      <w:r>
        <w:t xml:space="preserve">dissenting.</w:t>
      </w:r>
    </w:p>
    <w:p>
      <w:pPr>
        <w:pStyle w:val="CaseBody"/>
      </w:pPr>
      <w:r>
        <w:rPr>
          <w:rStyle w:val="Elision"/>
        </w:rPr>
        <w:t xml:space="preserve">[ … ]</w:t>
      </w:r>
      <w:r>
        <w:rPr>
          <w:rStyle w:val="FootnoteReference"/>
        </w:rPr>
        <w:footnoteReference w:customMarkFollows="1" w:id="36"/>
        <w:t xml:space="preserve">*</w:t>
      </w:r>
    </w:p>
    <w:p>
      <w:pPr>
        <w:pStyle w:val="CaseBody"/>
      </w:pPr>
      <w:r>
        <w:t xml:space="preserve">II</w:t>
      </w:r>
    </w:p>
    <w:p>
      <w:pPr>
        <w:pStyle w:val="CaseBody"/>
      </w:pPr>
      <w:r>
        <w:t xml:space="preserve">A</w:t>
      </w:r>
    </w:p>
    <w:p>
      <w:pPr>
        <w:pStyle w:val="CaseBody"/>
      </w:pPr>
      <w:r>
        <w:t xml:space="preserve">The Court’s analysis is markedly similar to mine; it, too, analyzes the three factors listed in</w:t>
      </w:r>
      <w:r>
        <w:t xml:space="preserve"> </w:t>
      </w:r>
      <w:r>
        <w:rPr>
          <w:iCs/>
          <w:i/>
        </w:rPr>
        <w:t xml:space="preserve">Mathews</w:t>
      </w:r>
      <w:r>
        <w:t xml:space="preserve"> </w:t>
      </w:r>
      <w:r>
        <w:t xml:space="preserve">v.</w:t>
      </w:r>
      <w:r>
        <w:t xml:space="preserve"> </w:t>
      </w:r>
      <w:r>
        <w:rPr>
          <w:iCs/>
          <w:i/>
        </w:rPr>
        <w:t xml:space="preserve">Eldridge,</w:t>
      </w:r>
      <w:r>
        <w:t xml:space="preserve"> </w:t>
      </w:r>
      <w:r>
        <w:t xml:space="preserve">and it, too, finds the private interest weighty, the procedure devised by the State fraught with risks of error, and the countervailing governmental interest insubstantial. Yet, rather than follow this balancing process to its logical conclusion, the Court abruptly pulls back and announces that a defendant parent must await a case-by-case determination of his or her need for counsel. Because the three factors “will not</w:t>
      </w:r>
      <w:r>
        <w:t xml:space="preserve"> </w:t>
      </w:r>
      <w:r>
        <w:rPr>
          <w:iCs/>
          <w:i/>
        </w:rPr>
        <w:t xml:space="preserve">always</w:t>
      </w:r>
      <w:r>
        <w:t xml:space="preserve"> </w:t>
      </w:r>
      <w:r>
        <w:t xml:space="preserve">be so distributed,” reasons the Court, the Constitution should not be read to “requir[e] the appointment of counsel in</w:t>
      </w:r>
      <w:r>
        <w:t xml:space="preserve"> </w:t>
      </w:r>
      <w:r>
        <w:rPr>
          <w:iCs/>
          <w:i/>
        </w:rPr>
        <w:t xml:space="preserve">every</w:t>
      </w:r>
      <w:r>
        <w:t xml:space="preserve"> </w:t>
      </w:r>
      <w:r>
        <w:t xml:space="preserve">parental termination proceeding.”</w:t>
      </w:r>
      <w:r>
        <w:t xml:space="preserve"> </w:t>
      </w:r>
      <w:r>
        <w:rPr>
          <w:iCs/>
          <w:i/>
        </w:rPr>
        <w:t xml:space="preserve">Ante,</w:t>
      </w:r>
      <w:r>
        <w:rPr>
          <w:rStyle w:val="Elision"/>
        </w:rPr>
        <w:t xml:space="preserve">[ … ]</w:t>
      </w:r>
      <w:r>
        <w:t xml:space="preserve"> </w:t>
      </w:r>
      <w:r>
        <w:t xml:space="preserve">(emphasis added). This conclusion is not only illogical, but it also marks a sharp departure from the due process analysis consistently applied heretofore. The flexibility of due process, the Court has held, requires case-by-case consideration of different decisionmaking</w:t>
      </w:r>
      <w:r>
        <w:t xml:space="preserve"> </w:t>
      </w:r>
      <w:r>
        <w:rPr>
          <w:iCs/>
          <w:i/>
        </w:rPr>
        <w:t xml:space="preserve">contexts,</w:t>
      </w:r>
      <w:r>
        <w:t xml:space="preserve"> </w:t>
      </w:r>
      <w:r>
        <w:t xml:space="preserve">not of different</w:t>
      </w:r>
      <w:r>
        <w:t xml:space="preserve"> </w:t>
      </w:r>
      <w:r>
        <w:rPr>
          <w:iCs/>
          <w:i/>
        </w:rPr>
        <w:t xml:space="preserve">litigants</w:t>
      </w:r>
      <w:r>
        <w:t xml:space="preserve"> </w:t>
      </w:r>
      <w:r>
        <w:t xml:space="preserve">within a given context. In analyzing the nature of the private and governmental interests at stake, along with the risk of error, the Court in the past has not limited itself to the particular case at hand. Instead, after addressing the three factors as generic elements in the context raised by the particular case, the Court then has formulated a rule that has general application to similarly situated cases.</w:t>
      </w:r>
    </w:p>
    <w:p>
      <w:pPr>
        <w:pStyle w:val="CaseBody"/>
      </w:pPr>
      <w:r>
        <w:t xml:space="preserve">The Court’s own precedents make this clear. In</w:t>
      </w:r>
      <w:r>
        <w:t xml:space="preserve"> </w:t>
      </w:r>
      <w:r>
        <w:rPr>
          <w:iCs/>
          <w:i/>
        </w:rPr>
        <w:t xml:space="preserve">Goldberg</w:t>
      </w:r>
      <w:r>
        <w:t xml:space="preserve"> </w:t>
      </w:r>
      <w:r>
        <w:t xml:space="preserve">v.</w:t>
      </w:r>
      <w:r>
        <w:t xml:space="preserve"> </w:t>
      </w:r>
      <w:r>
        <w:rPr>
          <w:iCs/>
          <w:i/>
        </w:rPr>
        <w:t xml:space="preserve">Kelly,</w:t>
      </w:r>
      <w:r>
        <w:t xml:space="preserve"> </w:t>
      </w:r>
      <w:r>
        <w:t xml:space="preserve">the Court found that the desperate economic conditions experienced by welfare recipients</w:t>
      </w:r>
      <w:r>
        <w:t xml:space="preserve"> </w:t>
      </w:r>
      <w:r>
        <w:rPr>
          <w:iCs/>
          <w:i/>
        </w:rPr>
        <w:t xml:space="preserve">as a class</w:t>
      </w:r>
      <w:r>
        <w:t xml:space="preserve"> </w:t>
      </w:r>
      <w:r>
        <w:t xml:space="preserve">distinguished them from other recipients of governmental benefits.</w:t>
      </w:r>
      <w:r>
        <w:t xml:space="preserve"> </w:t>
      </w:r>
      <w:r>
        <w:rPr>
          <w:rStyle w:val="Elision"/>
        </w:rPr>
        <w:t xml:space="preserve">[ … ]</w:t>
      </w:r>
      <w:r>
        <w:t xml:space="preserve">. In</w:t>
      </w:r>
      <w:r>
        <w:t xml:space="preserve"> </w:t>
      </w:r>
      <w:r>
        <w:rPr>
          <w:iCs/>
          <w:i/>
        </w:rPr>
        <w:t xml:space="preserve">Mathews</w:t>
      </w:r>
      <w:r>
        <w:t xml:space="preserve"> </w:t>
      </w:r>
      <w:r>
        <w:t xml:space="preserve">v.</w:t>
      </w:r>
      <w:r>
        <w:t xml:space="preserve"> </w:t>
      </w:r>
      <w:r>
        <w:rPr>
          <w:iCs/>
          <w:i/>
        </w:rPr>
        <w:t xml:space="preserve">Eldridge,</w:t>
      </w:r>
      <w:r>
        <w:t xml:space="preserve"> </w:t>
      </w:r>
      <w:r>
        <w:t xml:space="preserve">the Court concluded that the needs of Social Security disability recipients were</w:t>
      </w:r>
      <w:r>
        <w:t xml:space="preserve"> </w:t>
      </w:r>
      <w:r>
        <w:rPr>
          <w:iCs/>
          <w:i/>
        </w:rPr>
        <w:t xml:space="preserve">not</w:t>
      </w:r>
      <w:r>
        <w:t xml:space="preserve"> </w:t>
      </w:r>
      <w:r>
        <w:t xml:space="preserve">of comparable urgency, and, moreover, that existing pretermination procedures, based largely on written medical assessments, were likely to be more objective and evenhanded than typical welfare entitlement decisions.</w:t>
      </w:r>
      <w:r>
        <w:t xml:space="preserve"> </w:t>
      </w:r>
      <w:r>
        <w:rPr>
          <w:rStyle w:val="Elision"/>
        </w:rPr>
        <w:t xml:space="preserve">[ … ]</w:t>
      </w:r>
      <w:r>
        <w:t xml:space="preserve">. These cases established rules translating due process in the welfare context as requiring a pretermination hearing but dispensing with that requirement in the disability benefit context. A showing that a particular welfare recipient had access to additional income, or that a disability recipient’s eligibility turned on testimony rather than written medical reports, would not result in an exception from the required procedural norms. The Court reasoned in</w:t>
      </w:r>
      <w:r>
        <w:t xml:space="preserve"> </w:t>
      </w:r>
      <w:r>
        <w:rPr>
          <w:iCs/>
          <w:i/>
        </w:rPr>
        <w:t xml:space="preserve">Eldridge:</w:t>
      </w:r>
    </w:p>
    <w:p>
      <w:pPr>
        <w:pStyle w:val="BlockText"/>
      </w:pPr>
      <w:r>
        <w:t xml:space="preserve">“To be sure, credibility and veracity may be a factor in the ultimate disability assessment in some cases. But procedural due process rules are shaped by the risk of error inherent in the truth-finding process as applied to the generality of cases, not the rare exceptions.”</w:t>
      </w:r>
      <w:r>
        <w:t xml:space="preserve"> </w:t>
      </w:r>
      <w:r>
        <w:rPr>
          <w:iCs/>
          <w:i/>
        </w:rPr>
        <w:t xml:space="preserve">Id.,</w:t>
      </w:r>
      <w:r>
        <w:t xml:space="preserve"> </w:t>
      </w:r>
      <w:r>
        <w:t xml:space="preserve">at 344.</w:t>
      </w:r>
    </w:p>
    <w:p>
      <w:pPr>
        <w:pStyle w:val="CaseBody"/>
      </w:pPr>
      <w:r>
        <w:t xml:space="preserve">There are sound reasons for this. Procedural norms are devised to ensure that justice may be done in every case, and to protect litigants against unpredictable and unchecked adverse governmental action. Through experience with decisions in varied situations over time, lessons emerge that reflect a general understanding as to what is minimally necessary to assure fair play. Such lessons are best expressed to have general application which guarantees the predictability and uniformity that underlie our society’s commitment to the rule of law. By endorsing, instead, a retrospective review of the trial record of each particular defendant parent, the Court today undermines the very rationale on which this concept of general fairness is based.</w:t>
      </w:r>
      <w:hyperlink w:anchor="X4bc3304e3370035c36f281fd6dec863733ecafc">
        <w:r>
          <w:rPr>
            <w:rStyle w:val="Elision"/>
          </w:rPr>
          <w:t xml:space="preserve">[ … ]</w:t>
        </w:r>
      </w:hyperlink>
    </w:p>
    <w:p>
      <w:pPr>
        <w:pStyle w:val="CaseBody"/>
      </w:pPr>
      <w:r>
        <w:t xml:space="preserve">Moreover, the case-by-case approach advanced by the Court itself entails serious dangers for the interests at stake and the general administration of justice. The Court assumes that a review of the record will establish whether a defendant, proceeding without counsel, has suffered an unfair disadvantage. But in the ordinary case, this simply is not so. The pleadings and transcript of an uncounseled termination proceeding at most will show the obvious blunders and omissions of the defendant parent. Determining the difference legal representation would have made becomes possible only through imagination, investigation, and legal research focused on the particular case. Even if the reviewing court can embark on such an enterprise in each case, it might be hard pressed to discern the significance of failures to challenge the State’s evidence or to develop a satisfactory defense. Such failures, however, often cut to the essence of the fairness of the trial, and a court’s inability to compensate for them effectively eviscerates the presumption of innocence. Because a parent acting</w:t>
      </w:r>
      <w:r>
        <w:t xml:space="preserve"> </w:t>
      </w:r>
      <w:r>
        <w:rPr>
          <w:iCs/>
          <w:i/>
        </w:rPr>
        <w:t xml:space="preserve">pro se</w:t>
      </w:r>
      <w:r>
        <w:t xml:space="preserve"> </w:t>
      </w:r>
      <w:r>
        <w:t xml:space="preserve">is even more likely to be unaware of controlling legal standards and practices, and unskilled in garnering relevant facts, it is difficult, if not impossible, to conclude that the typical case has been adequately presented.</w:t>
      </w:r>
      <w:r>
        <w:t xml:space="preserve"> </w:t>
      </w:r>
      <w:r>
        <w:rPr>
          <w:rStyle w:val="Elision"/>
        </w:rPr>
        <w:t xml:space="preserve">[ … ]</w:t>
      </w:r>
      <w:r>
        <w:t xml:space="preserve">.</w:t>
      </w:r>
      <w:hyperlink w:anchor="X5b53907d69aa2b27f1f8975f7bfdf792463b7c8">
        <w:r>
          <w:rPr>
            <w:rStyle w:val="Elision"/>
          </w:rPr>
          <w:t xml:space="preserve">[ … ]</w:t>
        </w:r>
      </w:hyperlink>
    </w:p>
    <w:p>
      <w:pPr>
        <w:pStyle w:val="CaseBody"/>
      </w:pPr>
      <w:r>
        <w:t xml:space="preserve">Assuming that this ad hoc review were adequate to ensure fairness, it is likely to be both cumbersome and costly. And because such review involves constitutional rights implicated by state adjudications, it necessarily will result in increased federal interference in state proceedings.</w:t>
      </w:r>
      <w:r>
        <w:t xml:space="preserve"> </w:t>
      </w:r>
      <w:r>
        <w:rPr>
          <w:rStyle w:val="Elision"/>
        </w:rPr>
        <w:t xml:space="preserve">[ … ]</w:t>
      </w:r>
    </w:p>
    <w:p>
      <w:pPr>
        <w:pStyle w:val="CaseBody"/>
      </w:pPr>
      <w:r>
        <w:t xml:space="preserve">B</w:t>
      </w:r>
    </w:p>
    <w:p>
      <w:pPr>
        <w:pStyle w:val="CaseBody"/>
      </w:pPr>
      <w:r>
        <w:t xml:space="preserve">The problem of inadequate representation is painfully apparent in the present case. Petitioner, Abby Gail Lassiter, is the mother of five children. The State moved to remove the fifth child, William, from petitioner’s care on the grounds of parental neglect. Although petitioner received notice of the removal proceeding, she did not appear at the hearing and was not represented. In May 1975, the State’s District Court adjudicated William to be neglected under North Carolina law and placed him in the custody of the Durham County Department of Social Services. At some point, petitioner evidently arranged for the other four children to reside with and be cared for by her mother, Mrs. Lucille Las-siter. They remain under their grandmother’s care at the present time.</w:t>
      </w:r>
    </w:p>
    <w:p>
      <w:pPr>
        <w:pStyle w:val="CaseBody"/>
      </w:pPr>
      <w:r>
        <w:t xml:space="preserve">As the Court notes,</w:t>
      </w:r>
      <w:r>
        <w:t xml:space="preserve"> </w:t>
      </w:r>
      <w:r>
        <w:rPr>
          <w:iCs/>
          <w:i/>
        </w:rPr>
        <w:t xml:space="preserve">ante,</w:t>
      </w:r>
      <w:r>
        <w:t xml:space="preserve"> </w:t>
      </w:r>
      <w:r>
        <w:t xml:space="preserve">at 22, petitioner did not visit William after July 1976. She was unable to do so, for she was imprisoned as a result of her conviction for second-degree murder. In December 1977, she was visited in prison by a Durham County social worker who advised her that the Department planned to terminate her parental rights with respect to William. Petitioner immediately expressed strong opposition to that plan and indicated a desire to place the child with his grandmother.</w:t>
      </w:r>
      <w:r>
        <w:t xml:space="preserve"> </w:t>
      </w:r>
      <w:r>
        <w:rPr>
          <w:rStyle w:val="Elision"/>
        </w:rPr>
        <w:t xml:space="preserve">[ … ]</w:t>
      </w:r>
      <w:r>
        <w:t xml:space="preserve"> </w:t>
      </w:r>
      <w:r>
        <w:t xml:space="preserve">After receiving a summons, a copy of the State’s termination petition, and notice that a termination hearing would be held in August 1978, petitioner informed her prison guards about the legal proceeding. They took no steps to assist her in obtaining legal representation,</w:t>
      </w:r>
      <w:r>
        <w:t xml:space="preserve"> </w:t>
      </w:r>
      <w:r>
        <w:rPr>
          <w:rStyle w:val="Elision"/>
        </w:rPr>
        <w:t xml:space="preserve">[ … ]</w:t>
      </w:r>
      <w:r>
        <w:t xml:space="preserve">nor was she informed that she had a right to counsel.</w:t>
      </w:r>
      <w:hyperlink w:anchor="X2565d84581232af8c4061308b73da07bc989479">
        <w:r>
          <w:rPr>
            <w:rStyle w:val="Elision"/>
          </w:rPr>
          <w:t xml:space="preserve">[ … ]</w:t>
        </w:r>
      </w:hyperlink>
      <w:r>
        <w:t xml:space="preserve"> </w:t>
      </w:r>
      <w:r>
        <w:t xml:space="preserve">Under these circumstances, it scarcely would be appropriate, or fair, to find that petitioner had knowingly and intelligently waived a right to counsel.</w:t>
      </w:r>
    </w:p>
    <w:p>
      <w:pPr>
        <w:pStyle w:val="CaseBody"/>
      </w:pPr>
      <w:r>
        <w:t xml:space="preserve">At the termination hearing, the State’s sole witness was the county worker who had met petitioner on the one occasion at the prison. This worker had been assigned to William’s case in August 1977, yet much of her testimony concerned events prior to that date; she represented these events as contained in the agency record. Hearing Tr. 10-13. Petitioner failed to uncover this weakness in the worker’s testimony. That is hardly surprising, for there is no indication that an agency record was introduced into evidence or was present in court, or that petitioner or the grandmother ever had an opportunity to review any such record. The social worker also testified about her conversations with members of the community. In this hearsay testimony, the witness reported the opinion of others that the grandmother could not handle the additional responsibility of caring for the fifth child.</w:t>
      </w:r>
      <w:r>
        <w:t xml:space="preserve"> </w:t>
      </w:r>
      <w:r>
        <w:rPr>
          <w:iCs/>
          <w:i/>
        </w:rPr>
        <w:t xml:space="preserve">Id.,</w:t>
      </w:r>
      <w:r>
        <w:t xml:space="preserve"> </w:t>
      </w:r>
      <w:r>
        <w:t xml:space="preserve">at 14-15. There is no indication that these community members were unavailable to testify, and the County Attorney did not justify the admission of the hearsay. Petitioner made no objection to its admission.</w:t>
      </w:r>
    </w:p>
    <w:p>
      <w:pPr>
        <w:pStyle w:val="CaseBody"/>
      </w:pPr>
      <w:r>
        <w:t xml:space="preserve">The court gave petitioner an opportunity to cross-examine the social worker,</w:t>
      </w:r>
      <w:r>
        <w:t xml:space="preserve"> </w:t>
      </w:r>
      <w:r>
        <w:rPr>
          <w:iCs/>
          <w:i/>
        </w:rPr>
        <w:t xml:space="preserve">id.,</w:t>
      </w:r>
      <w:r>
        <w:t xml:space="preserve"> </w:t>
      </w:r>
      <w:r>
        <w:t xml:space="preserve">at 19, but she apparently did not understand that cross-examination required questioning rather than declarative statements.</w:t>
      </w:r>
      <w:r>
        <w:t xml:space="preserve"> </w:t>
      </w:r>
      <w:r>
        <w:t xml:space="preserve">At this point, the judge became noticeably impatient with petitioner.</w:t>
      </w:r>
      <w:r>
        <w:rPr>
          <w:rStyle w:val="FootnoteReference"/>
        </w:rPr>
        <w:footnoteReference w:customMarkFollows="1" w:id="82"/>
        <w:t xml:space="preserve">**</w:t>
      </w:r>
      <w:r>
        <w:rPr>
          <w:rStyle w:val="FootnoteReference"/>
        </w:rPr>
        <w:footnoteReference w:customMarkFollows="1" w:id="238"/>
        <w:t xml:space="preserve">22</w:t>
      </w:r>
      <w:r>
        <w:t xml:space="preserve"> </w:t>
      </w:r>
      <w:r>
        <w:t xml:space="preserve">Petitioner then took the stand, and testified that she wanted William to live with his grandmother and his siblings. The judge questioned her for a brief period, and expressed open disbelief at one of her answers.</w:t>
      </w:r>
      <w:r>
        <w:rPr>
          <w:rStyle w:val="FootnoteReference"/>
        </w:rPr>
        <w:footnoteReference w:customMarkFollows="1" w:id="241"/>
        <w:t xml:space="preserve">23</w:t>
      </w:r>
      <w:r>
        <w:t xml:space="preserve"> </w:t>
      </w:r>
      <w:r>
        <w:t xml:space="preserve">The final witness was the grandmother. Both the judge and the County Attorney questioned her. She denied having expressed unwillingness to take William into her home, and vehemently contradicted the social worker’s statement that she had complained to the Department about her daughter’s neglect of the child.</w:t>
      </w:r>
      <w:r>
        <w:t xml:space="preserve"> </w:t>
      </w:r>
      <w:r>
        <w:t xml:space="preserve">Petitioner was not told that she could question her mother, and did not do so.</w:t>
      </w:r>
      <w:hyperlink w:anchor="X8da1d838ec589eae2c155b1056c801859905760">
        <w:r>
          <w:rPr>
            <w:rStyle w:val="Elision"/>
          </w:rPr>
          <w:t xml:space="preserve">[ … ]</w:t>
        </w:r>
      </w:hyperlink>
      <w:r>
        <w:t xml:space="preserve"> </w:t>
      </w:r>
      <w:r>
        <w:t xml:space="preserve">The County Attorney made a closing argument,</w:t>
      </w:r>
      <w:r>
        <w:t xml:space="preserve"> </w:t>
      </w:r>
      <w:r>
        <w:rPr>
          <w:iCs/>
          <w:i/>
        </w:rPr>
        <w:t xml:space="preserve">id.,</w:t>
      </w:r>
      <w:r>
        <w:t xml:space="preserve"> </w:t>
      </w:r>
      <w:r>
        <w:t xml:space="preserve">at 58-60, and the judge then asked petitioner if she had any final remarks. She responded: “Yes. I don’t think its right.”</w:t>
      </w:r>
      <w:r>
        <w:t xml:space="preserve"> </w:t>
      </w:r>
      <w:r>
        <w:rPr>
          <w:rStyle w:val="Elision"/>
        </w:rPr>
        <w:t xml:space="preserve">[ … ]</w:t>
      </w:r>
    </w:p>
    <w:p>
      <w:pPr>
        <w:pStyle w:val="CaseBody"/>
      </w:pPr>
      <w:r>
        <w:t xml:space="preserve">It is perhaps understandable that the District Court Judge experienced difficulty and exasperation in conducting this hearing. But both the difficulty and the exasperation are attributable in large measure, if not entirely, to the lack of counsel. An experienced attorney might have translated petitioner’s reaction and emotion into several substantive legal arguments. The State charged petitioner with failing to arrange a “constructive plan” for her child’s future or to demonstrate a “positive response” to the Department’s intervention. A defense would have been that petitioner had arranged for the child to be cared for properly by his grandmother, and evidence might have been adduced to demonstrate the adequacy of the grandmother’s care of the other children.</w:t>
      </w:r>
      <w:r>
        <w:t xml:space="preserve"> </w:t>
      </w:r>
      <w:r>
        <w:rPr>
          <w:rStyle w:val="Elision"/>
        </w:rPr>
        <w:t xml:space="preserve">[ … ]</w:t>
      </w:r>
      <w:r>
        <w:t xml:space="preserve"> </w:t>
      </w:r>
      <w:r>
        <w:t xml:space="preserve">The Department’s own “diligence” in promoting the family’s integrity was never put in issue during the hearing, yet it is surely significant in light of petitioner’s incarceration and lack of access to her child.</w:t>
      </w:r>
      <w:r>
        <w:rPr>
          <w:rStyle w:val="Elision"/>
        </w:rPr>
        <w:t xml:space="preserve">[ … ]</w:t>
      </w:r>
      <w:r>
        <w:t xml:space="preserve"> </w:t>
      </w:r>
      <w:r>
        <w:t xml:space="preserve">Finally, the asserted willfulness of petitioner’s lack of concern could obviously have been attacked since she was physically unable to regain custody or perhaps even to receive meaningful visits during 21 of the 24 months preceding the action.</w:t>
      </w:r>
      <w:r>
        <w:t xml:space="preserve"> </w:t>
      </w:r>
      <w:r>
        <w:rPr>
          <w:rStyle w:val="Elision"/>
        </w:rPr>
        <w:t xml:space="preserve">[ … ]</w:t>
      </w:r>
    </w:p>
    <w:p>
      <w:pPr>
        <w:pStyle w:val="CaseBody"/>
      </w:pPr>
      <w:r>
        <w:t xml:space="preserve">III</w:t>
      </w:r>
    </w:p>
    <w:p>
      <w:pPr>
        <w:pStyle w:val="CaseBody"/>
      </w:pPr>
      <w:r>
        <w:t xml:space="preserve">Petitioner plainly has not led the life of the exemplary citizen or model parent. It may well be that if she were accorded competent legal representation, the ultimate result in this particular case would be the same. But the issue before the Court is not petitioner’s character; it is whether she was given a meaningful opportunity to be heard when the State moved to terminate absolutely her parental rights.</w:t>
      </w:r>
      <w:hyperlink w:anchor="X42d88fc86409320a95b0ba0330c84d5ecce1bf6">
        <w:r>
          <w:rPr>
            <w:rStyle w:val="Elision"/>
          </w:rPr>
          <w:t xml:space="preserve">[ … ]</w:t>
        </w:r>
      </w:hyperlink>
      <w:r>
        <w:t xml:space="preserve"> </w:t>
      </w:r>
      <w:r>
        <w:t xml:space="preserve">In light of the unpursued avenues of defense, and of the experience petitioner underwent at the hearing, I find virtually incredible the Court’s conclusion today that her termination proceeding was fundamentally fair. To reach that conclusion, the Court simply ignores the defendant’s obvious inability to speak effectively for herself, a factor the Court has found to be highly significant in past cases.</w:t>
      </w:r>
      <w:r>
        <w:t xml:space="preserve"> </w:t>
      </w:r>
      <w:r>
        <w:rPr>
          <w:rStyle w:val="Elision"/>
        </w:rPr>
        <w:t xml:space="preserve">[ … ]</w:t>
      </w:r>
      <w:r>
        <w:t xml:space="preserve"> </w:t>
      </w:r>
      <w:r>
        <w:t xml:space="preserve">I am unable to ignore that factor; instead, I believe that the record, and the norms of fairness acknowledged by the majority, compel a holding according counsel to petitioner and persons similarly situated.</w:t>
      </w:r>
    </w:p>
    <w:p>
      <w:pPr>
        <w:pStyle w:val="CaseBody"/>
      </w:pPr>
      <w:r>
        <w:rPr>
          <w:rStyle w:val="Elision"/>
        </w:rPr>
        <w:t xml:space="preserve">[ … ]</w:t>
      </w:r>
    </w:p>
    <w:p>
      <w:pPr>
        <w:pStyle w:val="CaseBody"/>
      </w:pPr>
      <w:r>
        <w:t xml:space="preserve">I respectfully dissent.</w:t>
      </w:r>
    </w:p>
    <w:p>
      <w:pPr>
        <w:pStyle w:val="CaseBody"/>
      </w:pPr>
      <w:r>
        <w:rPr>
          <w:rStyle w:val="Elision"/>
        </w:rPr>
        <w:t xml:space="preserve">[ … ]</w:t>
      </w:r>
    </w:p>
    <w:p>
      <w:pPr>
        <w:pStyle w:val="CaseFootnoteText"/>
      </w:pPr>
      <w:r>
        <w:rPr>
          <w:rStyle w:val="FootnoteReference"/>
        </w:rPr>
        <w:t xml:space="preserve">20</w:t>
      </w:r>
      <w:r>
        <w:t xml:space="preserve"> </w:t>
      </w:r>
      <w:r>
        <w:t xml:space="preserve">See,</w:t>
      </w:r>
      <w:r>
        <w:t xml:space="preserve"> </w:t>
      </w:r>
      <w:r>
        <w:rPr>
          <w:iCs/>
          <w:i/>
        </w:rPr>
        <w:t xml:space="preserve">e. g., Quicksall</w:t>
      </w:r>
      <w:r>
        <w:t xml:space="preserve"> </w:t>
      </w:r>
      <w:r>
        <w:t xml:space="preserve">v.</w:t>
      </w:r>
      <w:r>
        <w:t xml:space="preserve"> </w:t>
      </w:r>
      <w:r>
        <w:rPr>
          <w:iCs/>
          <w:i/>
        </w:rPr>
        <w:t xml:space="preserve">Michigan,</w:t>
      </w:r>
      <w:r>
        <w:t xml:space="preserve"> </w:t>
      </w:r>
      <w:r>
        <w:t xml:space="preserve">339 U. S. 660 (1950);</w:t>
      </w:r>
      <w:r>
        <w:t xml:space="preserve"> </w:t>
      </w:r>
      <w:r>
        <w:rPr>
          <w:iCs/>
          <w:i/>
        </w:rPr>
        <w:t xml:space="preserve">Uveges</w:t>
      </w:r>
      <w:r>
        <w:t xml:space="preserve"> </w:t>
      </w:r>
      <w:r>
        <w:t xml:space="preserve">v.</w:t>
      </w:r>
      <w:r>
        <w:t xml:space="preserve"> </w:t>
      </w:r>
      <w:r>
        <w:rPr>
          <w:iCs/>
          <w:i/>
        </w:rPr>
        <w:t xml:space="preserve">Pennsylvania,</w:t>
      </w:r>
      <w:r>
        <w:t xml:space="preserve"> </w:t>
      </w:r>
      <w:r>
        <w:t xml:space="preserve">335 U. S. 437 (1948);</w:t>
      </w:r>
      <w:r>
        <w:t xml:space="preserve"> </w:t>
      </w:r>
      <w:r>
        <w:rPr>
          <w:iCs/>
          <w:i/>
        </w:rPr>
        <w:t xml:space="preserve">Bute</w:t>
      </w:r>
      <w:r>
        <w:t xml:space="preserve"> </w:t>
      </w:r>
      <w:r>
        <w:t xml:space="preserve">v.</w:t>
      </w:r>
      <w:r>
        <w:t xml:space="preserve"> </w:t>
      </w:r>
      <w:r>
        <w:rPr>
          <w:iCs/>
          <w:i/>
        </w:rPr>
        <w:t xml:space="preserve">Illinois,</w:t>
      </w:r>
      <w:r>
        <w:t xml:space="preserve"> </w:t>
      </w:r>
      <w:r>
        <w:t xml:space="preserve">333 U. S. 640 (1948);</w:t>
      </w:r>
      <w:r>
        <w:t xml:space="preserve"> </w:t>
      </w:r>
      <w:r>
        <w:rPr>
          <w:iCs/>
          <w:i/>
        </w:rPr>
        <w:t xml:space="preserve">Marino</w:t>
      </w:r>
      <w:r>
        <w:t xml:space="preserve"> </w:t>
      </w:r>
      <w:r>
        <w:t xml:space="preserve">v.</w:t>
      </w:r>
      <w:r>
        <w:t xml:space="preserve"> </w:t>
      </w:r>
      <w:r>
        <w:rPr>
          <w:iCs/>
          <w:i/>
        </w:rPr>
        <w:t xml:space="preserve">Ragen,</w:t>
      </w:r>
      <w:r>
        <w:t xml:space="preserve"> </w:t>
      </w:r>
      <w:r>
        <w:t xml:space="preserve">332 U. S. 561 (1947);</w:t>
      </w:r>
      <w:r>
        <w:t xml:space="preserve"> </w:t>
      </w:r>
      <w:r>
        <w:rPr>
          <w:iCs/>
          <w:i/>
        </w:rPr>
        <w:t xml:space="preserve">Hawk</w:t>
      </w:r>
      <w:r>
        <w:t xml:space="preserve"> </w:t>
      </w:r>
      <w:r>
        <w:t xml:space="preserve">v.</w:t>
      </w:r>
      <w:r>
        <w:t xml:space="preserve"> </w:t>
      </w:r>
      <w:r>
        <w:rPr>
          <w:iCs/>
          <w:i/>
        </w:rPr>
        <w:t xml:space="preserve">Olson,</w:t>
      </w:r>
      <w:r>
        <w:t xml:space="preserve"> </w:t>
      </w:r>
      <w:r>
        <w:t xml:space="preserve">326 U. S. 271 (1945);</w:t>
      </w:r>
      <w:r>
        <w:t xml:space="preserve"> </w:t>
      </w:r>
      <w:r>
        <w:rPr>
          <w:iCs/>
          <w:i/>
        </w:rPr>
        <w:t xml:space="preserve">Tomkins</w:t>
      </w:r>
      <w:r>
        <w:t xml:space="preserve"> </w:t>
      </w:r>
      <w:r>
        <w:t xml:space="preserve">v.</w:t>
      </w:r>
      <w:r>
        <w:t xml:space="preserve"> </w:t>
      </w:r>
      <w:r>
        <w:rPr>
          <w:iCs/>
          <w:i/>
        </w:rPr>
        <w:t xml:space="preserve">Missouri,</w:t>
      </w:r>
      <w:r>
        <w:t xml:space="preserve"> </w:t>
      </w:r>
      <w:r>
        <w:t xml:space="preserve">323 U. S. 485 (1945). See generally W. Beaney, The Right to Counsel in American Courts 160-198 (1955).</w:t>
      </w:r>
    </w:p>
    <w:p>
      <w:pPr>
        <w:pStyle w:val="CaseFootnoteText"/>
      </w:pPr>
      <w:r>
        <w:rPr>
          <w:rStyle w:val="FootnoteReference"/>
        </w:rPr>
        <w:t xml:space="preserve">21</w:t>
      </w:r>
      <w:r>
        <w:t xml:space="preserve"> </w:t>
      </w:r>
      <w:r>
        <w:t xml:space="preserve">During her imprisonment, petitioner had spoken with an attorney concerning her criminal conviction. She did not discuss the termination proceeding with this lawyer, and he has stated under oath that in view of her indigency he would not have been interested in representing her at that proceeding even had she asked him to do so. App. 10-11,16.</w:t>
      </w:r>
    </w:p>
    <w:p>
      <w:pPr>
        <w:pStyle w:val="CaseFootnoteText"/>
      </w:pPr>
      <w:r>
        <w:rPr>
          <w:rStyle w:val="FootnoteReference"/>
        </w:rPr>
        <w:t xml:space="preserve">22</w:t>
      </w:r>
      <w:r>
        <w:t xml:space="preserve"> </w:t>
      </w:r>
      <w:r>
        <w:t xml:space="preserve">Hearing Tr. 19-20:</w:t>
      </w:r>
    </w:p>
    <w:p>
      <w:pPr>
        <w:pStyle w:val="BlockText"/>
      </w:pPr>
      <w:r>
        <w:t xml:space="preserve">“THE COURT: All right. Do you want to ask her any questions?</w:t>
      </w:r>
    </w:p>
    <w:p>
      <w:pPr>
        <w:pStyle w:val="BlockText"/>
      </w:pPr>
      <w:r>
        <w:t xml:space="preserve">“[PETITIONER]: About what? About what she—</w:t>
      </w:r>
    </w:p>
    <w:p>
      <w:pPr>
        <w:pStyle w:val="BlockText"/>
      </w:pPr>
      <w:r>
        <w:t xml:space="preserve">“THE COURT: About this child.</w:t>
      </w:r>
    </w:p>
    <w:p>
      <w:pPr>
        <w:pStyle w:val="BlockText"/>
      </w:pPr>
      <w:r>
        <w:t xml:space="preserve">“[PETITIONER]: Oh, yes.</w:t>
      </w:r>
    </w:p>
    <w:p>
      <w:pPr>
        <w:pStyle w:val="BlockText"/>
      </w:pPr>
      <w:r>
        <w:t xml:space="preserve">“THE COURT: All right. Go ahead.</w:t>
      </w:r>
    </w:p>
    <w:p>
      <w:pPr>
        <w:pStyle w:val="BlockText"/>
      </w:pPr>
      <w:r>
        <w:t xml:space="preserve">“[PETITIONER]: The only thing I know is that when you say—</w:t>
      </w:r>
    </w:p>
    <w:p>
      <w:pPr>
        <w:pStyle w:val="BlockText"/>
      </w:pPr>
      <w:r>
        <w:t xml:space="preserve">“THE COURT: I don’t want you to testify.</w:t>
      </w:r>
    </w:p>
    <w:p>
      <w:pPr>
        <w:pStyle w:val="BlockText"/>
      </w:pPr>
      <w:r>
        <w:t xml:space="preserve">“[PETITIONER]: Okay.</w:t>
      </w:r>
    </w:p>
    <w:p>
      <w:pPr>
        <w:pStyle w:val="BlockText"/>
      </w:pPr>
      <w:r>
        <w:t xml:space="preserve">“THE COURT: I want to know whether you want to cross-examine her or ask any questions.</w:t>
      </w:r>
    </w:p>
    <w:p>
      <w:pPr>
        <w:pStyle w:val="BlockText"/>
      </w:pPr>
      <w:r>
        <w:t xml:space="preserve">“[PETITIONER]: Yes, I want to. Well, you know, the only thing I know about is my part that I know about it. I know—</w:t>
      </w:r>
    </w:p>
    <w:p>
      <w:pPr>
        <w:pStyle w:val="BlockText"/>
      </w:pPr>
      <w:r>
        <w:t xml:space="preserve">“THE COURT: I am not talking about what you know. I want to know if you want to ask her any questions or not.</w:t>
      </w:r>
    </w:p>
    <w:p>
      <w:pPr>
        <w:pStyle w:val="BlockText"/>
      </w:pPr>
      <w:r>
        <w:t xml:space="preserve">“[PETITIONER]: About that?</w:t>
      </w:r>
    </w:p>
    <w:p>
      <w:pPr>
        <w:pStyle w:val="BlockText"/>
      </w:pPr>
      <w:r>
        <w:t xml:space="preserve">“THE COURT: Yes. Do you understand the nature of this proceeding?</w:t>
      </w:r>
    </w:p>
    <w:p>
      <w:pPr>
        <w:pStyle w:val="BlockText"/>
      </w:pPr>
      <w:r>
        <w:t xml:space="preserve">“[PETITIONER]: Yes.</w:t>
      </w:r>
    </w:p>
    <w:p>
      <w:pPr>
        <w:pStyle w:val="BlockText"/>
      </w:pPr>
      <w:r>
        <w:t xml:space="preserve">“THE COURT: And that is to terminate any rights you have to the child and place it for adoption, if necessary.</w:t>
      </w:r>
    </w:p>
    <w:p>
      <w:pPr>
        <w:pStyle w:val="BlockText"/>
      </w:pPr>
      <w:r>
        <w:t xml:space="preserve">“[PETITIONER]: Yes, I know.</w:t>
      </w:r>
    </w:p>
    <w:p>
      <w:pPr>
        <w:pStyle w:val="BlockText"/>
      </w:pPr>
      <w:r>
        <w:t xml:space="preserve">“THE COURT: Are there any questions you want to ask her about what she has testified to?</w:t>
      </w:r>
    </w:p>
    <w:p>
      <w:pPr>
        <w:pStyle w:val="BlockText"/>
      </w:pPr>
      <w:r>
        <w:t xml:space="preserve">“[PETITIONER]: Yes.</w:t>
      </w:r>
    </w:p>
    <w:p>
      <w:pPr>
        <w:pStyle w:val="BlockText"/>
      </w:pPr>
      <w:r>
        <w:t xml:space="preserve">“THE COURT: AH right. Go ahead.</w:t>
      </w:r>
    </w:p>
    <w:p>
      <w:pPr>
        <w:pStyle w:val="BlockText"/>
      </w:pPr>
      <w:r>
        <w:t xml:space="preserve">“[PETITIONER]: I want to know why you think you are going to turn my child over to a foster home? He knows my mother and he knows all of us. He knows her and he knows all of us.</w:t>
      </w:r>
    </w:p>
    <w:p>
      <w:pPr>
        <w:pStyle w:val="BlockText"/>
      </w:pPr>
      <w:r>
        <w:t xml:space="preserve">“THE COURT: Who is he?</w:t>
      </w:r>
    </w:p>
    <w:p>
      <w:pPr>
        <w:pStyle w:val="BlockText"/>
      </w:pPr>
      <w:r>
        <w:t xml:space="preserve">“[PETITIONER]: My son, William.</w:t>
      </w:r>
    </w:p>
    <w:p>
      <w:pPr>
        <w:pStyle w:val="BlockText"/>
      </w:pPr>
      <w:r>
        <w:t xml:space="preserve">“[SOCIAL WORKER]: Ms. Lassiter, your son has been in foster care since May of 1975 and since that time—</w:t>
      </w:r>
    </w:p>
    <w:p>
      <w:pPr>
        <w:pStyle w:val="BlockText"/>
      </w:pPr>
      <w:r>
        <w:t xml:space="preserve">“[PETITIONER]: Yeah, yeah and I didn’t know anything about it either.”</w:t>
      </w:r>
    </w:p>
    <w:p>
      <w:pPr>
        <w:pStyle w:val="CaseBody"/>
      </w:pPr>
      <w:r>
        <w:rPr>
          <w:rStyle w:val="ReplacementText"/>
        </w:rPr>
        <w:t xml:space="preserve">[An additional dissent by Justice Stevens is omitted.]</w:t>
      </w:r>
    </w:p>
    <w:p>
      <w:pPr>
        <w:pStyle w:val="NodeEnd"/>
      </w:pPr>
      <w:r>
        <w:t xml:space="preserve"> </w:t>
      </w:r>
    </w:p>
    <w:p>
      <w:pPr>
        <w:pStyle w:val="NodeStart"/>
      </w:pPr>
      <w:r>
        <w:t xml:space="preserve"> </w:t>
      </w:r>
    </w:p>
    <w:p>
      <w:pPr>
        <w:pStyle w:val="HeadSeparator"/>
      </w:pPr>
      <w:r>
        <w:t xml:space="preserve"> </w:t>
      </w:r>
    </w:p>
    <w:bookmarkStart w:id="162" w:name="_auto_toc_162"/>
    <w:bookmarkEnd w:id="162"/>
    <w:p>
      <w:pPr>
        <w:pStyle w:val="ResourceNumber"/>
      </w:pPr>
      <w:r>
        <w:t xml:space="preserve">14.2</w:t>
      </w:r>
    </w:p>
    <w:p>
      <w:pPr>
        <w:pStyle w:val="ResourceTitle"/>
      </w:pPr>
      <w:r>
        <w:t xml:space="preserve">Notes following Lassiter</w:t>
      </w:r>
    </w:p>
    <w:p>
      <w:pPr>
        <w:pStyle w:val="HeadEnd"/>
      </w:pPr>
      <w:r>
        <w:t xml:space="preserve"> </w:t>
      </w:r>
    </w:p>
    <w:p>
      <w:pPr>
        <w:numPr>
          <w:ilvl w:val="0"/>
          <w:numId w:val="1150"/>
        </w:numPr>
      </w:pPr>
      <w:r>
        <w:rPr>
          <w:iCs/>
          <w:i/>
        </w:rPr>
        <w:t xml:space="preserve">Application of Mathews.</w:t>
      </w:r>
      <w:r>
        <w:t xml:space="preserve"> </w:t>
      </w:r>
      <w:r>
        <w:t xml:space="preserve">Do you agree with the majority’s application of</w:t>
      </w:r>
      <w:r>
        <w:t xml:space="preserve"> </w:t>
      </w:r>
      <w:r>
        <w:rPr>
          <w:iCs/>
          <w:i/>
        </w:rPr>
        <w:t xml:space="preserve">Mathews</w:t>
      </w:r>
      <w:r>
        <w:t xml:space="preserve">? Or, like the dissent, do you believe that if</w:t>
      </w:r>
      <w:r>
        <w:t xml:space="preserve"> </w:t>
      </w:r>
      <w:r>
        <w:rPr>
          <w:iCs/>
          <w:i/>
        </w:rPr>
        <w:t xml:space="preserve">Mathews</w:t>
      </w:r>
      <w:r>
        <w:t xml:space="preserve"> </w:t>
      </w:r>
      <w:r>
        <w:t xml:space="preserve">had been correctly applied, the court would have concluded that Lassiter and parents facing the termination of parental rights are entitled to the right to counsel? Here are some parts of the majority opinion on which to think more critically:</w:t>
      </w:r>
    </w:p>
    <w:p>
      <w:pPr>
        <w:numPr>
          <w:ilvl w:val="1"/>
          <w:numId w:val="1151"/>
        </w:numPr>
      </w:pPr>
      <w:r>
        <w:rPr>
          <w:iCs/>
          <w:i/>
        </w:rPr>
        <w:t xml:space="preserve">“…the weight of the evidence that she had few sparks of such an interest was sufficiently great that the presence of counsel for Ms. Lassiter could not have made a determinative difference.”</w:t>
      </w:r>
      <w:r>
        <w:t xml:space="preserve"> </w:t>
      </w:r>
      <w:r>
        <w:t xml:space="preserve">Do you sense any circular logic here? Couldn’t it be the case that there was no controverting evidence because she did not have counsel?</w:t>
      </w:r>
    </w:p>
    <w:p>
      <w:pPr>
        <w:numPr>
          <w:ilvl w:val="1"/>
          <w:numId w:val="1151"/>
        </w:numPr>
      </w:pPr>
      <w:r>
        <w:rPr>
          <w:iCs/>
          <w:i/>
        </w:rPr>
        <w:t xml:space="preserve">“…that the grandmother had displayed scant interest in the child once he had been removed from her daughter's custody was, though controverted, sufficiently substantial that the absence of counsel's guidance on this point did not render the proceedings fundamentally unfair</w:t>
      </w:r>
      <w:r>
        <w:t xml:space="preserve">.” Is evidence “sufficiently substantial” if it is “controverted”? Moreover, is the court answering the right question? Is the question whether there was “substantial evidence” to support the trial court’s decision (an easy standard to meet), or whether the addition of a lawyer might have resulted in evidence sufficient to make a different trial court decision plausible or likely? Or is the right question something else altogether?</w:t>
      </w:r>
    </w:p>
    <w:p>
      <w:pPr>
        <w:numPr>
          <w:ilvl w:val="1"/>
          <w:numId w:val="1151"/>
        </w:numPr>
      </w:pPr>
      <w:r>
        <w:rPr>
          <w:iCs/>
          <w:i/>
        </w:rPr>
        <w:t xml:space="preserve">“…a court deciding whether due process requires the appointment of counsel need not ignore a parent's plain demonstration that she is not interested in attending a hearing.”</w:t>
      </w:r>
      <w:r>
        <w:t xml:space="preserve"> </w:t>
      </w:r>
      <w:r>
        <w:t xml:space="preserve">Again, is the Supreme Court asking the right question? What legal question was the trial court supposed to address? Does this question require the trial court to consider a parent’s interest, or lack thereof, at the beginning of its analysis, or was the trial court supposed to consider something else first?</w:t>
      </w:r>
      <w:r>
        <w:t xml:space="preserve"> </w:t>
      </w:r>
    </w:p>
    <w:p>
      <w:pPr>
        <w:numPr>
          <w:ilvl w:val="0"/>
          <w:numId w:val="1150"/>
        </w:numPr>
      </w:pPr>
      <w:r>
        <w:rPr>
          <w:iCs/>
          <w:i/>
        </w:rPr>
        <w:t xml:space="preserve">Case-by-case or category-by-category?</w:t>
      </w:r>
      <w:r>
        <w:t xml:space="preserve"> </w:t>
      </w:r>
      <w:r>
        <w:t xml:space="preserve">The Court says that if “the parent’s interests were at their strongest, the State's interests were at their weakest, and the risks of error were at their peak,” the</w:t>
      </w:r>
      <w:r>
        <w:t xml:space="preserve"> </w:t>
      </w:r>
      <w:r>
        <w:rPr>
          <w:iCs/>
          <w:i/>
        </w:rPr>
        <w:t xml:space="preserve">Mathews</w:t>
      </w:r>
      <w:r>
        <w:t xml:space="preserve"> </w:t>
      </w:r>
      <w:r>
        <w:t xml:space="preserve">factors would likely point to the right to appointed counsel. “But since the [</w:t>
      </w:r>
      <w:r>
        <w:rPr>
          <w:iCs/>
          <w:i/>
        </w:rPr>
        <w:t xml:space="preserve">Mathews</w:t>
      </w:r>
      <w:r>
        <w:t xml:space="preserve">] factors will not always be so distributed,” the Court concludes that due process does not require counsel in “</w:t>
      </w:r>
      <w:r>
        <w:rPr>
          <w:iCs/>
          <w:i/>
        </w:rPr>
        <w:t xml:space="preserve">every</w:t>
      </w:r>
      <w:r>
        <w:t xml:space="preserve"> </w:t>
      </w:r>
      <w:r>
        <w:t xml:space="preserve">parental termination proceeding” (emphasis added).</w:t>
      </w:r>
    </w:p>
    <w:p>
      <w:pPr>
        <w:numPr>
          <w:ilvl w:val="1"/>
          <w:numId w:val="1152"/>
        </w:numPr>
      </w:pPr>
      <w:r>
        <w:t xml:space="preserve">Is the majority saying that unless the</w:t>
      </w:r>
      <w:r>
        <w:t xml:space="preserve"> </w:t>
      </w:r>
      <w:r>
        <w:rPr>
          <w:iCs/>
          <w:i/>
        </w:rPr>
        <w:t xml:space="preserve">Mathews</w:t>
      </w:r>
      <w:r>
        <w:t xml:space="preserve"> </w:t>
      </w:r>
      <w:r>
        <w:t xml:space="preserve">factors</w:t>
      </w:r>
      <w:r>
        <w:t xml:space="preserve"> </w:t>
      </w:r>
      <w:r>
        <w:rPr>
          <w:bCs/>
          <w:b/>
        </w:rPr>
        <w:t xml:space="preserve">always</w:t>
      </w:r>
      <w:r>
        <w:t xml:space="preserve"> </w:t>
      </w:r>
      <w:r>
        <w:t xml:space="preserve">point against the presumption of no-counsel in a certain context (i.e., parental termination hearings), the presumption cannot be overcome?</w:t>
      </w:r>
    </w:p>
    <w:p>
      <w:pPr>
        <w:numPr>
          <w:ilvl w:val="1"/>
          <w:numId w:val="1152"/>
        </w:numPr>
      </w:pPr>
      <w:r>
        <w:t xml:space="preserve">The dissent argues that the majority endorses “a retrospective review of the trial record of each particular defendant parent,” which “undermines the very rationale…of general fairness.” How might case-by-case treatment undermine “general fairness”? Is there a value to predictable uniformity even as it relegates, or essentializes, cases to a certain category?</w:t>
      </w:r>
    </w:p>
    <w:p>
      <w:pPr>
        <w:numPr>
          <w:ilvl w:val="1"/>
          <w:numId w:val="1152"/>
        </w:numPr>
      </w:pPr>
      <w:r>
        <w:t xml:space="preserve">Do you think the majority is saying that when we analyze</w:t>
      </w:r>
      <w:r>
        <w:t xml:space="preserve"> </w:t>
      </w:r>
      <w:r>
        <w:rPr>
          <w:iCs/>
          <w:i/>
        </w:rPr>
        <w:t xml:space="preserve">Mathews’</w:t>
      </w:r>
      <w:r>
        <w:t xml:space="preserve"> </w:t>
      </w:r>
      <w:r>
        <w:t xml:space="preserve">second factor (erroneous deprivation), we should look at whether there would have been a difference in the outcome of this</w:t>
      </w:r>
      <w:r>
        <w:t xml:space="preserve"> </w:t>
      </w:r>
      <w:r>
        <w:rPr>
          <w:iCs/>
          <w:i/>
        </w:rPr>
        <w:t xml:space="preserve">particular case</w:t>
      </w:r>
      <w:r>
        <w:t xml:space="preserve">, or whether we need to look at the</w:t>
      </w:r>
      <w:r>
        <w:t xml:space="preserve"> </w:t>
      </w:r>
      <w:r>
        <w:rPr>
          <w:iCs/>
          <w:i/>
        </w:rPr>
        <w:t xml:space="preserve">category of cases</w:t>
      </w:r>
      <w:r>
        <w:t xml:space="preserve">?</w:t>
      </w:r>
    </w:p>
    <w:p>
      <w:pPr>
        <w:numPr>
          <w:ilvl w:val="0"/>
          <w:numId w:val="1150"/>
        </w:numPr>
      </w:pPr>
      <w:r>
        <w:rPr>
          <w:iCs/>
          <w:i/>
        </w:rPr>
        <w:t xml:space="preserve">Determining erroneous deprivation</w:t>
      </w:r>
      <w:r>
        <w:t xml:space="preserve">. The dissent says that discerning whether legal representation would have made a</w:t>
      </w:r>
      <w:r>
        <w:t xml:space="preserve"> </w:t>
      </w:r>
      <w:r>
        <w:t xml:space="preserve">difference requires “imagination, investigation, and legal research focused on the particular case,” and is particularly difficult with a</w:t>
      </w:r>
      <w:r>
        <w:t xml:space="preserve"> </w:t>
      </w:r>
      <w:r>
        <w:rPr>
          <w:iCs/>
          <w:i/>
        </w:rPr>
        <w:t xml:space="preserve">pro se</w:t>
      </w:r>
      <w:r>
        <w:t xml:space="preserve"> </w:t>
      </w:r>
      <w:r>
        <w:t xml:space="preserve">parent who will likely be unskilled in legal argumentation and practices.</w:t>
      </w:r>
    </w:p>
    <w:p>
      <w:pPr>
        <w:numPr>
          <w:ilvl w:val="1"/>
          <w:numId w:val="1153"/>
        </w:numPr>
      </w:pPr>
      <w:r>
        <w:t xml:space="preserve">Do you agree with the dissent that there is a methodological difficulty in</w:t>
      </w:r>
      <w:r>
        <w:t xml:space="preserve"> </w:t>
      </w:r>
      <w:r>
        <w:rPr>
          <w:iCs/>
          <w:i/>
        </w:rPr>
        <w:t xml:space="preserve">proving</w:t>
      </w:r>
      <w:r>
        <w:t xml:space="preserve"> </w:t>
      </w:r>
      <w:r>
        <w:t xml:space="preserve">the</w:t>
      </w:r>
      <w:r>
        <w:t xml:space="preserve"> </w:t>
      </w:r>
      <w:r>
        <w:rPr>
          <w:iCs/>
          <w:i/>
        </w:rPr>
        <w:t xml:space="preserve">effect</w:t>
      </w:r>
      <w:r>
        <w:t xml:space="preserve"> </w:t>
      </w:r>
      <w:r>
        <w:t xml:space="preserve">of an</w:t>
      </w:r>
      <w:r>
        <w:t xml:space="preserve"> </w:t>
      </w:r>
      <w:r>
        <w:rPr>
          <w:iCs/>
          <w:i/>
        </w:rPr>
        <w:t xml:space="preserve">absence</w:t>
      </w:r>
      <w:r>
        <w:t xml:space="preserve"> </w:t>
      </w:r>
      <w:r>
        <w:t xml:space="preserve">(of a lawyer)?</w:t>
      </w:r>
    </w:p>
    <w:p>
      <w:pPr>
        <w:numPr>
          <w:ilvl w:val="1"/>
          <w:numId w:val="1153"/>
        </w:numPr>
      </w:pPr>
      <w:r>
        <w:t xml:space="preserve">The majority holds that Ms. Lassiter, the mother, was able to present a defense that rendered the trial fundamentally fair. In addition, they suggest that the trial judge was sufficiently unbiased and objective so as to render the trial, again, fundamentally fair. What, if anything, do the transcript excerpts in the dissent say about these two questions?</w:t>
      </w:r>
    </w:p>
    <w:p>
      <w:pPr>
        <w:numPr>
          <w:ilvl w:val="0"/>
          <w:numId w:val="1150"/>
        </w:numPr>
      </w:pPr>
      <w:r>
        <w:rPr>
          <w:iCs/>
          <w:i/>
        </w:rPr>
        <w:t xml:space="preserve">Rights deriving from state statutes vs. SCOTUS case law</w:t>
      </w:r>
      <w:r>
        <w:t xml:space="preserve">. The majority ends its opinion by pointing out that 33 states and D.C. provide counsel through their own statutes.</w:t>
      </w:r>
    </w:p>
    <w:p>
      <w:pPr>
        <w:numPr>
          <w:ilvl w:val="1"/>
          <w:numId w:val="1154"/>
        </w:numPr>
      </w:pPr>
      <w:r>
        <w:t xml:space="preserve">What are the reasons why statutorily provided rights may be preferable to those granted or protected by SCOTUS? Conversely, what might be the benefit of SCOTUS setting forth a federal right?</w:t>
      </w:r>
    </w:p>
    <w:p>
      <w:pPr>
        <w:numPr>
          <w:ilvl w:val="1"/>
          <w:numId w:val="1154"/>
        </w:numPr>
      </w:pPr>
      <w:r>
        <w:t xml:space="preserve">The Court says that its opinion is not</w:t>
      </w:r>
      <w:r>
        <w:t xml:space="preserve"> </w:t>
      </w:r>
      <w:r>
        <w:t xml:space="preserve">trying to cut against “the standards increasingly urged by informed public opinion and now widely followed by the States.” Is this convincing? What about the possibility of a “ripple effect”: that after a SCOTUS ruling, challenges to state law are brought?</w:t>
      </w:r>
    </w:p>
    <w:p>
      <w:pPr>
        <w:pStyle w:val="NodeEnd"/>
      </w:pPr>
      <w:r>
        <w:t xml:space="preserve"> </w:t>
      </w:r>
    </w:p>
    <w:p>
      <w:pPr>
        <w:pStyle w:val="NodeStart"/>
      </w:pPr>
      <w:r>
        <w:t xml:space="preserve"> </w:t>
      </w:r>
    </w:p>
    <w:p>
      <w:pPr>
        <w:pStyle w:val="HeadSeparator"/>
      </w:pPr>
      <w:r>
        <w:t xml:space="preserve"> </w:t>
      </w:r>
    </w:p>
    <w:bookmarkStart w:id="163" w:name="_auto_toc_163"/>
    <w:bookmarkEnd w:id="163"/>
    <w:p>
      <w:pPr>
        <w:pStyle w:val="ResourceNumber"/>
      </w:pPr>
      <w:r>
        <w:t xml:space="preserve">14.3</w:t>
      </w:r>
    </w:p>
    <w:p>
      <w:pPr>
        <w:pStyle w:val="ResourceTitle"/>
      </w:pPr>
      <w:r>
        <w:t xml:space="preserve">Vitek v. Jones</w:t>
      </w:r>
    </w:p>
    <w:p>
      <w:pPr>
        <w:pStyle w:val="HeadFieldSeparator"/>
      </w:pPr>
      <w:r>
        <w:t xml:space="preserve"> </w:t>
      </w:r>
    </w:p>
    <w:p>
      <w:pPr>
        <w:pStyle w:val="ResourceHeadnote"/>
      </w:pPr>
      <w:r>
        <w:t xml:space="preserve">The following case concerns the extent of due process requirements when a government attempts to move an individual in an ordinary prison system to a mental health facility where it might subject them to involuntary treatment.</w:t>
      </w:r>
    </w:p>
    <w:p>
      <w:pPr>
        <w:pStyle w:val="ResourceHeadnote"/>
      </w:pPr>
      <w:r>
        <w:t xml:space="preserve">Note: part of this case concerns whether the individual has a liberty interest that triggers the due process clause. We will not study that question in this class. Look for it in a course on constitutional law.</w:t>
      </w:r>
    </w:p>
    <w:p>
      <w:pPr>
        <w:pStyle w:val="HeadEnd"/>
      </w:pPr>
      <w:r>
        <w:t xml:space="preserve"> </w:t>
      </w:r>
    </w:p>
    <w:p>
      <w:pPr>
        <w:pStyle w:val="CaseHeader"/>
      </w:pPr>
      <w:r>
        <w:t xml:space="preserve">Supreme Court of the United States</w:t>
      </w:r>
    </w:p>
    <w:p>
      <w:pPr>
        <w:pStyle w:val="CaseHeader"/>
      </w:pPr>
      <w:r>
        <w:t xml:space="preserve">445 U.S. 480, 63 L. Ed. 2d 552, 100 S. Ct. 1254, 1980 U.S. LEXIS 31, SCDB 1979-063</w:t>
      </w:r>
    </w:p>
    <w:p>
      <w:pPr>
        <w:pStyle w:val="CaseHeader"/>
      </w:pPr>
      <w:r>
        <w:t xml:space="preserve">No. 78-1155</w:t>
      </w:r>
    </w:p>
    <w:p>
      <w:pPr>
        <w:pStyle w:val="CaseHeader"/>
      </w:pPr>
      <w:r>
        <w:t xml:space="preserve">1980-03-25</w:t>
      </w:r>
    </w:p>
    <w:p>
      <w:pPr>
        <w:pStyle w:val="CaseBody"/>
      </w:pPr>
      <w:r>
        <w:rPr>
          <w:rStyle w:val="Elision"/>
        </w:rPr>
        <w:t xml:space="preserve">[ … ]</w:t>
      </w:r>
    </w:p>
    <w:p>
      <w:pPr>
        <w:pStyle w:val="CaseBody"/>
      </w:pPr>
      <w:r>
        <w:t xml:space="preserve">White, J., announced the Court’s judgment and delivered the opinion of the Court with respect to Parts I, II, III, IV-A, and V, in which Brennan, Marshall, Powell, and Stevens, JJ., joined, and an opinion with respect to Part IV-B , in which Brennan, Marshall, and Stevens, JJ., joined. Powell, J., filed an opinion concurring in part,</w:t>
      </w:r>
      <w:r>
        <w:t xml:space="preserve"> </w:t>
      </w:r>
      <w:r>
        <w:rPr>
          <w:iCs/>
          <w:i/>
        </w:rPr>
        <w:t xml:space="preserve">post,</w:t>
      </w:r>
      <w:r>
        <w:t xml:space="preserve"> </w:t>
      </w:r>
      <w:r>
        <w:t xml:space="preserve">p. 497. Stewart, J., filed a dissenting opinion, in which Burger, C. J., and Rehnquist, J., joined,</w:t>
      </w:r>
      <w:r>
        <w:t xml:space="preserve"> </w:t>
      </w:r>
      <w:r>
        <w:rPr>
          <w:iCs/>
          <w:i/>
        </w:rPr>
        <w:t xml:space="preserve">post,</w:t>
      </w:r>
      <w:r>
        <w:t xml:space="preserve"> </w:t>
      </w:r>
      <w:r>
        <w:t xml:space="preserve">p. 500. Blackmun, J., filed a dissenting opinion,</w:t>
      </w:r>
      <w:r>
        <w:t xml:space="preserve"> </w:t>
      </w:r>
      <w:r>
        <w:rPr>
          <w:iCs/>
          <w:i/>
        </w:rPr>
        <w:t xml:space="preserve">post,</w:t>
      </w:r>
      <w:r>
        <w:t xml:space="preserve"> </w:t>
      </w:r>
      <w:r>
        <w:t xml:space="preserve">p. 501.</w:t>
      </w:r>
    </w:p>
    <w:p>
      <w:pPr>
        <w:pStyle w:val="CaseBody"/>
      </w:pPr>
      <w:r>
        <w:rPr>
          <w:rStyle w:val="Elision"/>
        </w:rPr>
        <w:t xml:space="preserve">[ … ]</w:t>
      </w:r>
    </w:p>
    <w:p>
      <w:pPr>
        <w:pStyle w:val="CaseBody"/>
      </w:pPr>
      <w:r>
        <w:t xml:space="preserve">Mr. Justice White</w:t>
      </w:r>
    </w:p>
    <w:p>
      <w:pPr>
        <w:pStyle w:val="CaseBody"/>
      </w:pPr>
      <w:r>
        <w:t xml:space="preserve">delivered the opinion of the Court, except as to Part IV-B.</w:t>
      </w:r>
    </w:p>
    <w:p>
      <w:pPr>
        <w:pStyle w:val="CaseBody"/>
      </w:pPr>
      <w:r>
        <w:t xml:space="preserve">The question in this case is whether the Due Process Clause of the Fourteenth Amendment entitles a prisoner convicted and incarcerated in the State of Nebraska to certain procedural protections, including notice, an adversary hearing, and provision of counsel, before he is transferred involuntarily to a state mental hospital for treatment of a mental disease or defect.</w:t>
      </w:r>
    </w:p>
    <w:p>
      <w:pPr>
        <w:pStyle w:val="CaseBody"/>
      </w:pPr>
      <w:r>
        <w:t xml:space="preserve">I</w:t>
      </w:r>
    </w:p>
    <w:p>
      <w:pPr>
        <w:pStyle w:val="CaseBody"/>
      </w:pPr>
      <w:r>
        <w:rPr>
          <w:rStyle w:val="ReplacementText"/>
        </w:rPr>
        <w:t xml:space="preserve">[A Nebraska statute]</w:t>
      </w:r>
      <w:r>
        <w:t xml:space="preserve"> </w:t>
      </w:r>
      <w:r>
        <w:t xml:space="preserve">authorizes the Director of Correctional Services to designate any available, suitable, and appropriate residence facility or institution as a place of confinement for any state prisoner and to transfer a prisoner from one place of confinement to another.</w:t>
      </w:r>
      <w:r>
        <w:t xml:space="preserve"> </w:t>
      </w:r>
      <w:r>
        <w:rPr>
          <w:rStyle w:val="ReplacementText"/>
        </w:rPr>
        <w:t xml:space="preserve">[The statute]</w:t>
      </w:r>
      <w:r>
        <w:t xml:space="preserve">, however, provides that when a designated physician or psychologist finds that a prisoner “suffers from a mental disease or defect” and “cannot be given proper treatment in that facility,” the director may transfer him for examination, study, and treatment to another institution within or without the Department of Correctional Services.</w:t>
      </w:r>
      <w:hyperlink w:anchor="Xe66b8b680313872113c167c30771d7a13b41116">
        <w:r>
          <w:rPr>
            <w:rStyle w:val="Elision"/>
          </w:rPr>
          <w:t xml:space="preserve">[ … ]</w:t>
        </w:r>
      </w:hyperlink>
      <w:r>
        <w:t xml:space="preserve">Any prisoner so transferred to a mental hospital is to be returned to the Department if, prior to the expiration of his sentence, treatment is no longer necessary. Upon expiration of sentence, if the State desires to retain the prisoner in a mental hospital, civil commitment proceedings must be promptly commenced.</w:t>
      </w:r>
      <w:r>
        <w:t xml:space="preserve"> </w:t>
      </w:r>
      <w:r>
        <w:rPr>
          <w:rStyle w:val="Elision"/>
        </w:rPr>
        <w:t xml:space="preserve">[ … ]</w:t>
      </w:r>
      <w:r>
        <w:t xml:space="preserve">.</w:t>
      </w:r>
      <w:hyperlink w:anchor="X59c75c2fac40945f6218dd9355966d8cb914d08">
        <w:r>
          <w:rPr>
            <w:rStyle w:val="Elision"/>
          </w:rPr>
          <w:t xml:space="preserve">[ … ]</w:t>
        </w:r>
      </w:hyperlink>
    </w:p>
    <w:p>
      <w:pPr>
        <w:pStyle w:val="CaseBody"/>
      </w:pPr>
      <w:r>
        <w:rPr>
          <w:rStyle w:val="Elision"/>
        </w:rPr>
        <w:t xml:space="preserve">[ … ]</w:t>
      </w:r>
      <w:r>
        <w:t xml:space="preserve">Jones was convicted of robbery and sentenced to a term of three to nine years in state prison. He was transferred to the penitentiary hospital</w:t>
      </w:r>
      <w:r>
        <w:rPr>
          <w:rStyle w:val="Elision"/>
        </w:rPr>
        <w:t xml:space="preserve">[ … ]</w:t>
      </w:r>
      <w:r>
        <w:t xml:space="preserve">. Two days later he was placed in solitary confinement, where he set his mattress on fire, burning himself severely. He was treated in the burn unit of a private hospital. Upon his release and based on findings</w:t>
      </w:r>
      <w:r>
        <w:t xml:space="preserve"> </w:t>
      </w:r>
      <w:r>
        <w:rPr>
          <w:rStyle w:val="Elision"/>
        </w:rPr>
        <w:t xml:space="preserve">[ … ]</w:t>
      </w:r>
      <w:r>
        <w:t xml:space="preserve"> </w:t>
      </w:r>
      <w:r>
        <w:t xml:space="preserve">that he was suffering from a mental illness or defect and could not receive proper treatment in the penal complex, he was transferred to the security unit of</w:t>
      </w:r>
      <w:r>
        <w:t xml:space="preserve"> </w:t>
      </w:r>
      <w:r>
        <w:rPr>
          <w:rStyle w:val="Elision"/>
        </w:rPr>
        <w:t xml:space="preserve">[ … ]</w:t>
      </w:r>
      <w:r>
        <w:t xml:space="preserve"> </w:t>
      </w:r>
      <w:r>
        <w:t xml:space="preserve">a state mental hospital under</w:t>
      </w:r>
      <w:r>
        <w:t xml:space="preserve"> </w:t>
      </w:r>
      <w:r>
        <w:rPr>
          <w:rStyle w:val="Elision"/>
        </w:rPr>
        <w:t xml:space="preserve">[ … ]</w:t>
      </w:r>
      <w:r>
        <w:t xml:space="preserve">.</w:t>
      </w:r>
    </w:p>
    <w:p>
      <w:pPr>
        <w:pStyle w:val="CaseBody"/>
      </w:pPr>
      <w:r>
        <w:t xml:space="preserve">Jones</w:t>
      </w:r>
      <w:r>
        <w:t xml:space="preserve"> </w:t>
      </w:r>
      <w:r>
        <w:rPr>
          <w:rStyle w:val="ReplacementText"/>
        </w:rPr>
        <w:t xml:space="preserve">[challenged]</w:t>
      </w:r>
      <w:r>
        <w:t xml:space="preserve">on procedural due process grounds the adequacy of the procedures by which the Nebraska statutes permit transfers from the prison complex to a mental hospital.</w:t>
      </w:r>
      <w:hyperlink w:anchor="X1fa65c89244c1de18e81c1649502bf08fc3a270">
        <w:r>
          <w:rPr>
            <w:rStyle w:val="Elision"/>
          </w:rPr>
          <w:t xml:space="preserve">[ … ]</w:t>
        </w:r>
      </w:hyperlink>
      <w:r>
        <w:rPr>
          <w:rStyle w:val="ReplacementText"/>
        </w:rPr>
        <w:t xml:space="preserve">A</w:t>
      </w:r>
      <w:r>
        <w:t xml:space="preserve"> </w:t>
      </w:r>
      <w:r>
        <w:t xml:space="preserve">three-judge District Court</w:t>
      </w:r>
      <w:r>
        <w:rPr>
          <w:rStyle w:val="Elision"/>
        </w:rPr>
        <w:t xml:space="preserve">[ … ]</w:t>
      </w:r>
      <w:r>
        <w:t xml:space="preserve">denied the State’s motion for summary judgment and trial ensued.</w:t>
      </w:r>
      <w:r>
        <w:t xml:space="preserve"> </w:t>
      </w:r>
      <w:r>
        <w:rPr>
          <w:rStyle w:val="ReplacementText"/>
        </w:rPr>
        <w:t xml:space="preserve">T</w:t>
      </w:r>
      <w:r>
        <w:t xml:space="preserve">he District Court declared</w:t>
      </w:r>
      <w:r>
        <w:t xml:space="preserve"> </w:t>
      </w:r>
      <w:r>
        <w:rPr>
          <w:rStyle w:val="ReplacementText"/>
        </w:rPr>
        <w:t xml:space="preserve">the state law authorizing the Director to transfer prisoners to designated institutions</w:t>
      </w:r>
      <w:r>
        <w:t xml:space="preserve"> </w:t>
      </w:r>
      <w:r>
        <w:t xml:space="preserve">unconstitutional as applied to Jones, holding that transferring Jones to a mental hospital without adequate notice and opportunity for a hearing deprived him of liberty without due process of law contrary to the Fourteenth Amendment and that such transfers must be accompanied by adequate notice, an adversary hearing before an independent decisionmaker, a written statement by the factfinder of the evidence relied on and the reasons for the decision, and the availability of appointed counsel for indigent prisoners.</w:t>
      </w:r>
      <w:r>
        <w:t xml:space="preserve"> </w:t>
      </w:r>
      <w:r>
        <w:rPr>
          <w:rStyle w:val="Elision"/>
        </w:rPr>
        <w:t xml:space="preserve">[ … ]</w:t>
      </w:r>
    </w:p>
    <w:p>
      <w:pPr>
        <w:pStyle w:val="CaseBody"/>
      </w:pPr>
      <w:r>
        <w:rPr>
          <w:rStyle w:val="Elision"/>
        </w:rPr>
        <w:t xml:space="preserve">[ … ]</w:t>
      </w:r>
      <w:r>
        <w:t xml:space="preserve">The District Court then entered its judgment declaring</w:t>
      </w:r>
      <w:r>
        <w:t xml:space="preserve"> </w:t>
      </w:r>
      <w:r>
        <w:rPr>
          <w:rStyle w:val="ReplacementText"/>
        </w:rPr>
        <w:t xml:space="preserve">[the statute]</w:t>
      </w:r>
      <w:r>
        <w:t xml:space="preserve"> </w:t>
      </w:r>
      <w:r>
        <w:t xml:space="preserve">unconstitutional as applied to Jones and permanently enjoining the State from transferring Jones to</w:t>
      </w:r>
      <w:r>
        <w:t xml:space="preserve"> </w:t>
      </w:r>
      <w:r>
        <w:rPr>
          <w:rStyle w:val="ReplacementText"/>
        </w:rPr>
        <w:t xml:space="preserve">the psychiatric facility</w:t>
      </w:r>
      <w:r>
        <w:t xml:space="preserve"> </w:t>
      </w:r>
      <w:r>
        <w:t xml:space="preserve">without following the procedures prescribed in its judgment.</w:t>
      </w:r>
    </w:p>
    <w:p>
      <w:pPr>
        <w:pStyle w:val="CaseBody"/>
      </w:pPr>
      <w:r>
        <w:rPr>
          <w:iCs/>
          <w:i/>
        </w:rPr>
        <w:t xml:space="preserve">We</w:t>
      </w:r>
      <w:r>
        <w:t xml:space="preserve"> </w:t>
      </w:r>
      <w:r>
        <w:t xml:space="preserve">noted probable jurisdiction</w:t>
      </w:r>
      <w:r>
        <w:t xml:space="preserve"> </w:t>
      </w:r>
      <w:r>
        <w:rPr>
          <w:rStyle w:val="Elision"/>
        </w:rPr>
        <w:t xml:space="preserve">[ … ]</w:t>
      </w:r>
      <w:r>
        <w:t xml:space="preserve"> </w:t>
      </w:r>
      <w:r>
        <w:t xml:space="preserve">Meanwhile, Jones had been paroled, but only on condition that he accept psychiatric treatment at a Veterans’ Administration Hospital.</w:t>
      </w:r>
      <w:r>
        <w:t xml:space="preserve"> </w:t>
      </w:r>
      <w:r>
        <w:rPr>
          <w:rStyle w:val="ReplacementText"/>
        </w:rPr>
        <w:t xml:space="preserve">[Subsequently,]</w:t>
      </w:r>
      <w:r>
        <w:t xml:space="preserve"> </w:t>
      </w:r>
      <w:r>
        <w:t xml:space="preserve">Jones</w:t>
      </w:r>
      <w:r>
        <w:t xml:space="preserve"> </w:t>
      </w:r>
      <w:r>
        <w:rPr>
          <w:rStyle w:val="Elision"/>
        </w:rPr>
        <w:t xml:space="preserve">[ … ]</w:t>
      </w:r>
      <w:r>
        <w:t xml:space="preserve"> </w:t>
      </w:r>
      <w:r>
        <w:t xml:space="preserve">violated his parole, his parole</w:t>
      </w:r>
      <w:r>
        <w:t xml:space="preserve"> </w:t>
      </w:r>
      <w:r>
        <w:rPr>
          <w:rStyle w:val="ReplacementText"/>
        </w:rPr>
        <w:t xml:space="preserve">[was]</w:t>
      </w:r>
      <w:r>
        <w:t xml:space="preserve"> </w:t>
      </w:r>
      <w:r>
        <w:t xml:space="preserve">revoked, and he</w:t>
      </w:r>
      <w:r>
        <w:t xml:space="preserve"> </w:t>
      </w:r>
      <w:r>
        <w:rPr>
          <w:rStyle w:val="ReplacementText"/>
        </w:rPr>
        <w:t xml:space="preserve">[was]</w:t>
      </w:r>
      <w:r>
        <w:t xml:space="preserve"> </w:t>
      </w:r>
      <w:r>
        <w:t xml:space="preserve">reincarcerated in the penal complex.</w:t>
      </w:r>
    </w:p>
    <w:p>
      <w:pPr>
        <w:pStyle w:val="CaseBody"/>
      </w:pPr>
      <w:r>
        <w:t xml:space="preserve">II</w:t>
      </w:r>
    </w:p>
    <w:p>
      <w:pPr>
        <w:pStyle w:val="CaseBody"/>
      </w:pPr>
      <w:r>
        <w:rPr>
          <w:rStyle w:val="ReplacementText"/>
        </w:rPr>
        <w:t xml:space="preserve">[Since Jones had at one point been paroled, the Court considered whether the case was moot. The Court found the case was not moot, and proceeded to the merits.]</w:t>
      </w:r>
    </w:p>
    <w:p>
      <w:pPr>
        <w:pStyle w:val="CaseBody"/>
      </w:pPr>
      <w:r>
        <w:t xml:space="preserve">Ill</w:t>
      </w:r>
    </w:p>
    <w:p>
      <w:pPr>
        <w:pStyle w:val="CaseBody"/>
      </w:pPr>
      <w:r>
        <w:rPr>
          <w:rStyle w:val="ReplacementText"/>
        </w:rPr>
        <w:t xml:space="preserve">[T]</w:t>
      </w:r>
      <w:r>
        <w:t xml:space="preserve">he threshold question in this case is whether the involuntary transfer of a Nebraska state prisoner to a mental hospital implicates a liberty interest that is protected by the Due Process Clause. The District Court held that it did and offered two related reasons for its conclusion. The District Court first identified a liberty interest rooted in</w:t>
      </w:r>
      <w:r>
        <w:t xml:space="preserve"> </w:t>
      </w:r>
      <w:r>
        <w:rPr>
          <w:rStyle w:val="ReplacementText"/>
        </w:rPr>
        <w:t xml:space="preserve">[the Nebraska statute itself]</w:t>
      </w:r>
      <w:r>
        <w:t xml:space="preserve">, under which a prisoner could reasonably expect that he would not be transferred to a mental hospital without a finding that he was suffering from a mental illness for which he could not secure adequate treatment in the correctional facility. Second, the District Court was convinced that characterizing Jones as a mentally ill patient and transferring him to the Lincoln ^Regional Center had “some stigmatizing” consequences which, together with the mandatory behavior modification treatment to which Jones would be subject at the Lincoln Center, constituted a major change in the conditions of confinement amounting to a “grievous loss” that should not be imposed without the opportunity for notice and an adequate hearing.</w:t>
      </w:r>
      <w:r>
        <w:t xml:space="preserve"> </w:t>
      </w:r>
      <w:r>
        <w:t xml:space="preserve">We agree with the District Court in both respects.</w:t>
      </w:r>
      <w:r>
        <w:rPr>
          <w:rStyle w:val="FootnoteReference"/>
        </w:rPr>
        <w:footnoteReference w:customMarkFollows="1" w:id="37"/>
        <w:t xml:space="preserve">*</w:t>
      </w:r>
    </w:p>
    <w:p>
      <w:pPr>
        <w:pStyle w:val="CaseBody"/>
      </w:pPr>
      <w:r>
        <w:t xml:space="preserve">A</w:t>
      </w:r>
    </w:p>
    <w:p>
      <w:pPr>
        <w:pStyle w:val="CaseBody"/>
      </w:pPr>
      <w:r>
        <w:t xml:space="preserve">We have repeatedly held that state statutes may create liberty interests that are entitled to the procedural protections of the Due Process Clause of the Fourteenth Amendment. There is no “constitutional or inherent right” to parole,</w:t>
      </w:r>
      <w:r>
        <w:t xml:space="preserve"> </w:t>
      </w:r>
      <w:r>
        <w:rPr>
          <w:iCs/>
          <w:i/>
        </w:rPr>
        <w:t xml:space="preserve">Greenholtz</w:t>
      </w:r>
      <w:r>
        <w:t xml:space="preserve"> </w:t>
      </w:r>
      <w:r>
        <w:t xml:space="preserve">v.</w:t>
      </w:r>
      <w:r>
        <w:t xml:space="preserve"> </w:t>
      </w:r>
      <w:r>
        <w:rPr>
          <w:iCs/>
          <w:i/>
        </w:rPr>
        <w:t xml:space="preserve">Nebraska Penal Inmates,</w:t>
      </w:r>
      <w:r>
        <w:rPr>
          <w:rStyle w:val="Elision"/>
        </w:rPr>
        <w:t xml:space="preserve">[ … ]</w:t>
      </w:r>
      <w:r>
        <w:t xml:space="preserve"> </w:t>
      </w:r>
      <w:r>
        <w:t xml:space="preserve">but once a State grants a prisoner the conditional liberty properly dependent on the observance of special parole restrictions, due process protections attach to the decision to revoke parole.</w:t>
      </w:r>
      <w:r>
        <w:t xml:space="preserve"> </w:t>
      </w:r>
      <w:r>
        <w:rPr>
          <w:iCs/>
          <w:i/>
        </w:rPr>
        <w:t xml:space="preserve">Morrissey</w:t>
      </w:r>
      <w:r>
        <w:t xml:space="preserve"> </w:t>
      </w:r>
      <w:r>
        <w:t xml:space="preserve">v.</w:t>
      </w:r>
      <w:r>
        <w:t xml:space="preserve"> </w:t>
      </w:r>
      <w:r>
        <w:rPr>
          <w:iCs/>
          <w:i/>
        </w:rPr>
        <w:t xml:space="preserve">Brewer</w:t>
      </w:r>
      <w:r>
        <w:rPr>
          <w:rStyle w:val="Elision"/>
        </w:rPr>
        <w:t xml:space="preserve">[ … ]</w:t>
      </w:r>
      <w:r>
        <w:t xml:space="preserve">. The same is true of the revocation of probation.</w:t>
      </w:r>
      <w:r>
        <w:t xml:space="preserve"> </w:t>
      </w:r>
      <w:r>
        <w:rPr>
          <w:iCs/>
          <w:i/>
        </w:rPr>
        <w:t xml:space="preserve">Gagnon</w:t>
      </w:r>
      <w:r>
        <w:t xml:space="preserve"> </w:t>
      </w:r>
      <w:r>
        <w:t xml:space="preserve">v.</w:t>
      </w:r>
      <w:r>
        <w:t xml:space="preserve"> </w:t>
      </w:r>
      <w:r>
        <w:rPr>
          <w:iCs/>
          <w:i/>
        </w:rPr>
        <w:t xml:space="preserve">Scarpelli</w:t>
      </w:r>
      <w:r>
        <w:rPr>
          <w:rStyle w:val="Elision"/>
        </w:rPr>
        <w:t xml:space="preserve">[ … ]</w:t>
      </w:r>
      <w:r>
        <w:t xml:space="preserve">. In</w:t>
      </w:r>
      <w:r>
        <w:t xml:space="preserve"> </w:t>
      </w:r>
      <w:r>
        <w:rPr>
          <w:iCs/>
          <w:i/>
        </w:rPr>
        <w:t xml:space="preserve">Wolff</w:t>
      </w:r>
      <w:r>
        <w:t xml:space="preserve"> </w:t>
      </w:r>
      <w:r>
        <w:t xml:space="preserve">v.</w:t>
      </w:r>
      <w:r>
        <w:t xml:space="preserve"> </w:t>
      </w:r>
      <w:r>
        <w:rPr>
          <w:iCs/>
          <w:i/>
        </w:rPr>
        <w:t xml:space="preserve">McDonnell,</w:t>
      </w:r>
      <w:r>
        <w:t xml:space="preserve"> </w:t>
      </w:r>
      <w:r>
        <w:rPr>
          <w:rStyle w:val="Elision"/>
        </w:rPr>
        <w:t xml:space="preserve">[ … ]</w:t>
      </w:r>
      <w:r>
        <w:t xml:space="preserve">, we held that a state-created right to good-time credits, which could be forfeited only for serious misbehavior, constituted a liberty interest protected by the Due Process Clause. We also noted that the same reasoning could justify extension of due process protections to a decision to impose “solitary” confinement because “[it] represents a major change in the conditions of confinement and is normally imposed only when it is claimed and proved that there has been a major act of misconduct.”</w:t>
      </w:r>
    </w:p>
    <w:p>
      <w:pPr>
        <w:pStyle w:val="CaseBody"/>
      </w:pPr>
      <w:r>
        <w:rPr>
          <w:rStyle w:val="Elision"/>
        </w:rPr>
        <w:t xml:space="preserve">[ … ]</w:t>
      </w:r>
      <w:r>
        <w:t xml:space="preserve">Once a State has granted prisoners a liberty interest, we held that due process protections are necessary “to insure that the state-created right is not arbitrarily abrogated.”</w:t>
      </w:r>
    </w:p>
    <w:p>
      <w:pPr>
        <w:pStyle w:val="CaseBody"/>
      </w:pPr>
      <w:r>
        <w:rPr>
          <w:rStyle w:val="Elision"/>
        </w:rPr>
        <w:t xml:space="preserve">[ … ]</w:t>
      </w:r>
    </w:p>
    <w:p>
      <w:pPr>
        <w:pStyle w:val="CaseBody"/>
      </w:pPr>
      <w:r>
        <w:t xml:space="preserve">In</w:t>
      </w:r>
      <w:r>
        <w:t xml:space="preserve"> </w:t>
      </w:r>
      <w:r>
        <w:rPr>
          <w:iCs/>
          <w:i/>
        </w:rPr>
        <w:t xml:space="preserve">Meachum</w:t>
      </w:r>
      <w:r>
        <w:t xml:space="preserve"> </w:t>
      </w:r>
      <w:r>
        <w:t xml:space="preserve">v.</w:t>
      </w:r>
      <w:r>
        <w:t xml:space="preserve"> </w:t>
      </w:r>
      <w:r>
        <w:rPr>
          <w:iCs/>
          <w:i/>
        </w:rPr>
        <w:t xml:space="preserve">Fano</w:t>
      </w:r>
      <w:r>
        <w:rPr>
          <w:rStyle w:val="Elision"/>
        </w:rPr>
        <w:t xml:space="preserve">[ … ]</w:t>
      </w:r>
      <w:r>
        <w:t xml:space="preserve">, and</w:t>
      </w:r>
      <w:r>
        <w:t xml:space="preserve"> </w:t>
      </w:r>
      <w:r>
        <w:rPr>
          <w:iCs/>
          <w:i/>
        </w:rPr>
        <w:t xml:space="preserve">Montanye</w:t>
      </w:r>
      <w:r>
        <w:t xml:space="preserve"> </w:t>
      </w:r>
      <w:r>
        <w:t xml:space="preserve">v.</w:t>
      </w:r>
      <w:r>
        <w:t xml:space="preserve"> </w:t>
      </w:r>
      <w:r>
        <w:rPr>
          <w:iCs/>
          <w:i/>
        </w:rPr>
        <w:t xml:space="preserve">Haymes</w:t>
      </w:r>
      <w:r>
        <w:rPr>
          <w:rStyle w:val="Elision"/>
        </w:rPr>
        <w:t xml:space="preserve">[ … ]</w:t>
      </w:r>
      <w:r>
        <w:t xml:space="preserve">, we held that the transfer of a prisoner from one prison to another does not infringe a protected liberty interest. But in those cases transfers were discretionary with the prison authorities, and in neither case did the prisoner possess any right or justifiable expectation that he would not be transferred except for misbehavior or upon the occurrence of other specified events. Hence, “the predicate for invoking the protection of the Fourteenth Amendment as construed and applied in</w:t>
      </w:r>
      <w:r>
        <w:t xml:space="preserve"> </w:t>
      </w:r>
      <w:r>
        <w:rPr>
          <w:iCs/>
          <w:i/>
        </w:rPr>
        <w:t xml:space="preserve">Wolff</w:t>
      </w:r>
      <w:r>
        <w:t xml:space="preserve"> </w:t>
      </w:r>
      <w:r>
        <w:t xml:space="preserve">v.</w:t>
      </w:r>
      <w:r>
        <w:t xml:space="preserve"> </w:t>
      </w:r>
      <w:r>
        <w:rPr>
          <w:iCs/>
          <w:i/>
        </w:rPr>
        <w:t xml:space="preserve">McDonnell</w:t>
      </w:r>
      <w:r>
        <w:t xml:space="preserve"> </w:t>
      </w:r>
      <w:r>
        <w:t xml:space="preserve">[was] totally nonexistent.”</w:t>
      </w:r>
      <w:r>
        <w:t xml:space="preserve"> </w:t>
      </w:r>
      <w:r>
        <w:rPr>
          <w:iCs/>
          <w:i/>
        </w:rPr>
        <w:t xml:space="preserve">Meachum</w:t>
      </w:r>
      <w:r>
        <w:t xml:space="preserve"> </w:t>
      </w:r>
      <w:r>
        <w:t xml:space="preserve">v.</w:t>
      </w:r>
      <w:r>
        <w:t xml:space="preserve"> </w:t>
      </w:r>
      <w:r>
        <w:rPr>
          <w:iCs/>
          <w:i/>
        </w:rPr>
        <w:t xml:space="preserve">Fano</w:t>
      </w:r>
      <w:r>
        <w:rPr>
          <w:rStyle w:val="Elision"/>
        </w:rPr>
        <w:t xml:space="preserve">[ … ]</w:t>
      </w:r>
      <w:r>
        <w:t xml:space="preserve">.</w:t>
      </w:r>
    </w:p>
    <w:p>
      <w:pPr>
        <w:pStyle w:val="CaseBody"/>
      </w:pPr>
      <w:r>
        <w:t xml:space="preserve">Following</w:t>
      </w:r>
      <w:r>
        <w:t xml:space="preserve"> </w:t>
      </w:r>
      <w:r>
        <w:rPr>
          <w:iCs/>
          <w:i/>
        </w:rPr>
        <w:t xml:space="preserve">Meachum</w:t>
      </w:r>
      <w:r>
        <w:t xml:space="preserve"> </w:t>
      </w:r>
      <w:r>
        <w:t xml:space="preserve">v.</w:t>
      </w:r>
      <w:r>
        <w:t xml:space="preserve"> </w:t>
      </w:r>
      <w:r>
        <w:rPr>
          <w:iCs/>
          <w:i/>
        </w:rPr>
        <w:t xml:space="preserve">Fano</w:t>
      </w:r>
      <w:r>
        <w:t xml:space="preserve"> </w:t>
      </w:r>
      <w:r>
        <w:t xml:space="preserve">and</w:t>
      </w:r>
      <w:r>
        <w:t xml:space="preserve"> </w:t>
      </w:r>
      <w:r>
        <w:rPr>
          <w:iCs/>
          <w:i/>
        </w:rPr>
        <w:t xml:space="preserve">Montanye</w:t>
      </w:r>
      <w:r>
        <w:t xml:space="preserve"> </w:t>
      </w:r>
      <w:r>
        <w:t xml:space="preserve">v.</w:t>
      </w:r>
      <w:r>
        <w:t xml:space="preserve"> </w:t>
      </w:r>
      <w:r>
        <w:rPr>
          <w:iCs/>
          <w:i/>
        </w:rPr>
        <w:t xml:space="preserve">Haymes,</w:t>
      </w:r>
      <w:r>
        <w:t xml:space="preserve"> </w:t>
      </w:r>
      <w:r>
        <w:t xml:space="preserve">we continued to recognize that state statutes may grant prisoners liberty interests that invoke due process protections when prisoners are transferred to solitary confinement for disciplinary or administrative reasons.</w:t>
      </w:r>
      <w:r>
        <w:t xml:space="preserve"> </w:t>
      </w:r>
      <w:r>
        <w:rPr>
          <w:iCs/>
          <w:i/>
        </w:rPr>
        <w:t xml:space="preserve">Enomoto</w:t>
      </w:r>
      <w:r>
        <w:t xml:space="preserve"> </w:t>
      </w:r>
      <w:r>
        <w:t xml:space="preserve">v.</w:t>
      </w:r>
      <w:r>
        <w:t xml:space="preserve"> </w:t>
      </w:r>
      <w:r>
        <w:rPr>
          <w:iCs/>
          <w:i/>
        </w:rPr>
        <w:t xml:space="preserve">Wright</w:t>
      </w:r>
      <w:r>
        <w:rPr>
          <w:rStyle w:val="Elision"/>
        </w:rPr>
        <w:t xml:space="preserve">[ … ]</w:t>
      </w:r>
      <w:r>
        <w:t xml:space="preserve">. Similarly, in</w:t>
      </w:r>
      <w:r>
        <w:t xml:space="preserve"> </w:t>
      </w:r>
      <w:r>
        <w:rPr>
          <w:iCs/>
          <w:i/>
        </w:rPr>
        <w:t xml:space="preserve">Greenholtz</w:t>
      </w:r>
      <w:r>
        <w:t xml:space="preserve"> </w:t>
      </w:r>
      <w:r>
        <w:t xml:space="preserve">v.</w:t>
      </w:r>
      <w:r>
        <w:t xml:space="preserve"> </w:t>
      </w:r>
      <w:r>
        <w:rPr>
          <w:iCs/>
          <w:i/>
        </w:rPr>
        <w:t xml:space="preserve">Nebraska Penal Inmates</w:t>
      </w:r>
      <w:r>
        <w:rPr>
          <w:rStyle w:val="Elision"/>
        </w:rPr>
        <w:t xml:space="preserve">[ … ]</w:t>
      </w:r>
      <w:r>
        <w:t xml:space="preserve"> </w:t>
      </w:r>
      <w:r>
        <w:t xml:space="preserve"> </w:t>
      </w:r>
      <w:r>
        <w:t xml:space="preserve">we held that state law granted petitioners a sufficient expectancy of parole to entitle them to some measure of constitutional protection with respect to parole decisions.</w:t>
      </w:r>
    </w:p>
    <w:p>
      <w:pPr>
        <w:pStyle w:val="CaseBody"/>
      </w:pPr>
      <w:r>
        <w:t xml:space="preserve">We think the District Court properly understood and applied these decisions. Section 83-180 (1) provides that if a designated physician finds that a prisoner “suffers from a mental disease or defect” that “cannot be given proper treatment” in prison, the Director of Correctional Services may transfer a prisoner to a mental hospital. The District Court also found that in practice prisoners are transferred to a mental hospital only if it is determined that they suffer from a mental disease or defect that cannot adequately be treated within the penal complex. This “objective expectation, firmly fixed in state law and official Penal Complex practice,” that a prisoner would not be transferred unless he suffered from a mental disease or defect that could not be adequately treated in the prison, gave Jones a liberty interest that entitled him to the benefits of appropriate procedures in connection with determining the conditions that warranted his transfer to a mental hospital. Under our cases, this conclusion of the District Court is unexceptionable.</w:t>
      </w:r>
    </w:p>
    <w:p>
      <w:pPr>
        <w:pStyle w:val="CaseBody"/>
      </w:pPr>
      <w:r>
        <w:t xml:space="preserve">Appellants maintain that any state-created liberty interest that Jones had was completely satisfied once a physician or psychologist designated by the director made the findings required by</w:t>
      </w:r>
      <w:r>
        <w:t xml:space="preserve"> </w:t>
      </w:r>
      <w:r>
        <w:rPr>
          <w:rStyle w:val="ReplacementText"/>
        </w:rPr>
        <w:t xml:space="preserve">[the statute]</w:t>
      </w:r>
      <w:r>
        <w:t xml:space="preserve"> </w:t>
      </w:r>
      <w:r>
        <w:t xml:space="preserve">and that Jones was not entitled to any procedural protections.</w:t>
      </w:r>
      <w:hyperlink w:anchor="X5f88188eaa1161dc14eb98db98e36f25605272a">
        <w:r>
          <w:rPr>
            <w:rStyle w:val="Elision"/>
          </w:rPr>
          <w:t xml:space="preserve">[ … ]</w:t>
        </w:r>
      </w:hyperlink>
      <w:r>
        <w:t xml:space="preserve"> </w:t>
      </w:r>
      <w:r>
        <w:t xml:space="preserve">But if the State grants a prisoner a right or expectation that adverse action will not be taken against him except upon the- occurrence of specified behavior, “the determination of whether such behavior has occurred becomes critical, and the minimum requirements of procedural due process appropriate for the circumstances must be observed.”</w:t>
      </w:r>
      <w:r>
        <w:t xml:space="preserve"> </w:t>
      </w:r>
      <w:r>
        <w:rPr>
          <w:iCs/>
          <w:i/>
        </w:rPr>
        <w:t xml:space="preserve">Wolff</w:t>
      </w:r>
      <w:r>
        <w:t xml:space="preserve"> </w:t>
      </w:r>
      <w:r>
        <w:t xml:space="preserve">v.</w:t>
      </w:r>
      <w:r>
        <w:t xml:space="preserve"> </w:t>
      </w:r>
      <w:r>
        <w:rPr>
          <w:iCs/>
          <w:i/>
        </w:rPr>
        <w:t xml:space="preserve">McDonnell</w:t>
      </w:r>
      <w:r>
        <w:rPr>
          <w:rStyle w:val="Elision"/>
        </w:rPr>
        <w:t xml:space="preserve">[ … ]</w:t>
      </w:r>
      <w:r>
        <w:t xml:space="preserve">. These minimum requirements being a matter of federal law, they are not diminished by the fact that the State may have specified its own procedures that it may deem adequate for determining the preconditions to adverse official action. In</w:t>
      </w:r>
      <w:r>
        <w:t xml:space="preserve"> </w:t>
      </w:r>
      <w:r>
        <w:rPr>
          <w:iCs/>
          <w:i/>
        </w:rPr>
        <w:t xml:space="preserve">Morrissey, Gagnon,</w:t>
      </w:r>
      <w:r>
        <w:t xml:space="preserve"> </w:t>
      </w:r>
      <w:r>
        <w:t xml:space="preserve">and</w:t>
      </w:r>
      <w:r>
        <w:t xml:space="preserve"> </w:t>
      </w:r>
      <w:r>
        <w:rPr>
          <w:iCs/>
          <w:i/>
        </w:rPr>
        <w:t xml:space="preserve">Wolff,</w:t>
      </w:r>
      <w:r>
        <w:t xml:space="preserve"> </w:t>
      </w:r>
      <w:r>
        <w:t xml:space="preserve">the States had adopted their own procedures for determining whether conditions warranting revocation of parole, probation, or good-time credits had occurred; yet we held that those procedures were constitutionally inadequate. In like manner, Nebraska’s reliance on the opinion of a designated physician or psychologist for determining whether the conditions warranting a transfer exist neither removes the prisoner’s interest from due process protection nor answers the question of what process is due under the Constitution.</w:t>
      </w:r>
    </w:p>
    <w:p>
      <w:pPr>
        <w:pStyle w:val="BlockText"/>
      </w:pPr>
      <w:r>
        <w:rPr>
          <w:rStyle w:val="Elision"/>
        </w:rPr>
        <w:t xml:space="preserve">[ … ]</w:t>
      </w:r>
    </w:p>
    <w:p>
      <w:pPr>
        <w:pStyle w:val="CaseBody"/>
      </w:pPr>
      <w:r>
        <w:t xml:space="preserve">B</w:t>
      </w:r>
    </w:p>
    <w:p>
      <w:pPr>
        <w:pStyle w:val="CaseBody"/>
      </w:pPr>
      <w:r>
        <w:t xml:space="preserve">The District Court was also correct in holding that independently of</w:t>
      </w:r>
      <w:r>
        <w:t xml:space="preserve"> </w:t>
      </w:r>
      <w:r>
        <w:rPr>
          <w:rStyle w:val="ReplacementText"/>
        </w:rPr>
        <w:t xml:space="preserve">[the statute]</w:t>
      </w:r>
      <w:r>
        <w:t xml:space="preserve"> </w:t>
      </w:r>
      <w:r>
        <w:t xml:space="preserve">the transfer of a prisoner from a prison to a mental hospital must be accompanied by appropriate procedural protections. The issue is whether after a conviction for robbery, Jones retained a residuum of liberty that would be infringed by a transfer to a mental hospital without complying with minimum requirements of due process.</w:t>
      </w:r>
    </w:p>
    <w:p>
      <w:pPr>
        <w:pStyle w:val="CaseBody"/>
      </w:pPr>
      <w:r>
        <w:t xml:space="preserve">We have recognized that for the ordinary citizen, commitment to a mental hospital produces “a massive curtailment of liberty,”</w:t>
      </w:r>
      <w:r>
        <w:t xml:space="preserve"> </w:t>
      </w:r>
      <w:r>
        <w:rPr>
          <w:rStyle w:val="Elision"/>
        </w:rPr>
        <w:t xml:space="preserve">[ … ]</w:t>
      </w:r>
      <w:r>
        <w:t xml:space="preserve">, and in consequence “requires due process protection.”</w:t>
      </w:r>
      <w:r>
        <w:t xml:space="preserve"> </w:t>
      </w:r>
      <w:r>
        <w:rPr>
          <w:rStyle w:val="Elision"/>
        </w:rPr>
        <w:t xml:space="preserve">[ … ]</w:t>
      </w:r>
      <w:r>
        <w:t xml:space="preserve">. The loss of liberty produced by an involuntary commitment is more than a loss of freedom from confinement. It is indisputable that commitment to a mental hospital “can engender adverse social consequences to the individual” and that “[w]hether we label this phenomena 'stigma’ or choose to call it something else ... we recognize that it can occur and that it can have a very significant impact on the individual.”</w:t>
      </w:r>
      <w:r>
        <w:t xml:space="preserve"> </w:t>
      </w:r>
      <w:r>
        <w:rPr>
          <w:rStyle w:val="Elision"/>
        </w:rPr>
        <w:t xml:space="preserve">[ … ]</w:t>
      </w:r>
      <w:r>
        <w:t xml:space="preserve">. Also, “[a]mong the historic liberties” protected by the Due Process Clause is the “right to be free from, and to obtain judicial relief for, unjustified intrusions on personal security.”</w:t>
      </w:r>
      <w:r>
        <w:t xml:space="preserve"> </w:t>
      </w:r>
      <w:r>
        <w:rPr>
          <w:rStyle w:val="Elision"/>
        </w:rPr>
        <w:t xml:space="preserve">[ … ]</w:t>
      </w:r>
      <w:r>
        <w:t xml:space="preserve"> </w:t>
      </w:r>
      <w:r>
        <w:t xml:space="preserve">Compelled treatment in the form of mandatory behavior modification programs, to which the District Court found Jones was exposed in this case, was a proper factor to be weighed by the District Court.</w:t>
      </w:r>
      <w:r>
        <w:t xml:space="preserve"> </w:t>
      </w:r>
      <w:r>
        <w:rPr>
          <w:rStyle w:val="Elision"/>
        </w:rPr>
        <w:t xml:space="preserve">[ … ]</w:t>
      </w:r>
    </w:p>
    <w:p>
      <w:pPr>
        <w:pStyle w:val="BlockText"/>
      </w:pPr>
      <w:r>
        <w:rPr>
          <w:rStyle w:val="Elision"/>
        </w:rPr>
        <w:t xml:space="preserve">[ … ]</w:t>
      </w:r>
    </w:p>
    <w:p>
      <w:pPr>
        <w:pStyle w:val="CaseBody"/>
      </w:pPr>
      <w:r>
        <w:t xml:space="preserve">The District Court, in its findings, was sensitive to these concerns:</w:t>
      </w:r>
    </w:p>
    <w:p>
      <w:pPr>
        <w:pStyle w:val="BlockText"/>
      </w:pPr>
      <w:r>
        <w:t xml:space="preserve">“[T]he fact of greater limitations on freedom of action at the Lincoln Regional Center, the fact that a transfer to the Lincoln Regional Center has some stigmatizing consequences, and the fact that additional mandatory behavior modification systems are used at the Lincoln Regional Center combine to make the transfer a 'major change in the conditions of confinement’ amounting to a 'grievous loss’ to the inmate.”</w:t>
      </w:r>
      <w:r>
        <w:rPr>
          <w:rStyle w:val="Elision"/>
        </w:rPr>
        <w:t xml:space="preserve">[ … ]</w:t>
      </w:r>
    </w:p>
    <w:p>
      <w:pPr>
        <w:pStyle w:val="CaseBody"/>
      </w:pPr>
      <w:r>
        <w:t xml:space="preserve">Were an ordinary citizen to be subjected involuntarily to these consequences, it is undeniable that protected liberty interests would be unconstitutionally infringed absent compliance with the procedures required by the Due Process Clause. We conclude that a convicted felon also is entitled to the benefit of procedures appropriate in the circumstances before he is found to have a mental disease and transferred to a mental hospital.</w:t>
      </w:r>
    </w:p>
    <w:p>
      <w:pPr>
        <w:pStyle w:val="CaseBody"/>
      </w:pPr>
      <w:r>
        <w:t xml:space="preserve">Undoubtedly, a valid criminal conviction and prison sentence extinguish a defendant’s right to freedom from confinement.</w:t>
      </w:r>
      <w:r>
        <w:t xml:space="preserve"> </w:t>
      </w:r>
      <w:r>
        <w:rPr>
          <w:rStyle w:val="Elision"/>
        </w:rPr>
        <w:t xml:space="preserve">[ … ]</w:t>
      </w:r>
      <w:r>
        <w:t xml:space="preserve"> </w:t>
      </w:r>
      <w:r>
        <w:t xml:space="preserve">Such a conviction and sentence sufficiently extinguish a defendant’s liberty “to empower the State to confine him in any of its prisons.”</w:t>
      </w:r>
      <w:r>
        <w:t xml:space="preserve"> </w:t>
      </w:r>
      <w:r>
        <w:rPr>
          <w:rStyle w:val="Elision"/>
        </w:rPr>
        <w:t xml:space="preserve">[ … ]</w:t>
      </w:r>
      <w:r>
        <w:t xml:space="preserve"> </w:t>
      </w:r>
      <w:r>
        <w:t xml:space="preserve">It is also true that changes in the conditions of confinement having a substantial adverse impact on the prisoner are not alone sufficient to invoke the protections of the Due Process Clause “[a]s long as the conditions or degree of confinement to which the prisoner is subjected is within the sentence imposed upon him.”</w:t>
      </w:r>
      <w:r>
        <w:t xml:space="preserve"> </w:t>
      </w:r>
      <w:r>
        <w:rPr>
          <w:rStyle w:val="Elision"/>
        </w:rPr>
        <w:t xml:space="preserve">[ … ]</w:t>
      </w:r>
    </w:p>
    <w:p>
      <w:pPr>
        <w:pStyle w:val="CaseBody"/>
      </w:pPr>
      <w:r>
        <w:t xml:space="preserve">Appellants maintain that the transfer of a prisoner to a mental hospital is within the range of confinement justified by imposition of a prison sentence, at least after certification by a qualified person that a prisoner suffers from a mental disease or defect. We cannot agree. None of our decisions holds that conviction for a crime entitles a State not only to confine the convicted person but also to determine that he has a mental illness and to subject him involuntarily to institutional care in a mental hospital. Such consequences visited on the prisoner are qualitatively different from the punishment characteristically suffered by a person convicted of crime. Our cases recognize as much and reflect an understanding that involuntary commitment to a mental hospital is not within the range of conditions of confinement to which a prison sentence subjects an individual.</w:t>
      </w:r>
      <w:r>
        <w:t xml:space="preserve"> </w:t>
      </w:r>
      <w:r>
        <w:rPr>
          <w:rStyle w:val="Elision"/>
        </w:rPr>
        <w:t xml:space="preserve">[ … ]</w:t>
      </w:r>
      <w:r>
        <w:t xml:space="preserve">A criminal conviction and sentence of imprisonment extinguish an individual’s right to freedom from confinement for the term of his sentence, but they do not authorize the State to classify him as mentally ill and to subject him to involuntary psychiatric treatment without affording him additional due process protections.</w:t>
      </w:r>
    </w:p>
    <w:p>
      <w:pPr>
        <w:pStyle w:val="CaseBody"/>
      </w:pPr>
      <w:r>
        <w:t xml:space="preserve">In light of the findings made by the District Court, Jones’ involuntary transfer to the Lincoln Regional Center pursuant to</w:t>
      </w:r>
      <w:r>
        <w:t xml:space="preserve"> </w:t>
      </w:r>
      <w:r>
        <w:rPr>
          <w:rStyle w:val="ReplacementText"/>
        </w:rPr>
        <w:t xml:space="preserve">[the statute]</w:t>
      </w:r>
      <w:r>
        <w:t xml:space="preserve">, for the purpose of psychiatric treatment, implicated a liberty interest protected by the Due Process Clause. Many of the restrictions on the prisoner’s freedom of action at the Lincoln Regional Center by themselves might not constitute the deprivation of a liberty interest retained by a prisoner,</w:t>
      </w:r>
      <w:r>
        <w:rPr>
          <w:rStyle w:val="Elision"/>
        </w:rPr>
        <w:t xml:space="preserve">[ … ]</w:t>
      </w:r>
      <w:r>
        <w:t xml:space="preserve">But here, the stigmatizing consequences of a transfer to a mental hospital for involuntary psychiatric treatment, coupled with the subjection of the prisoner to mandatory behavior modification as a treatment for mental illness, constitute the kind of deprivations of liberty that requires procedural protections.</w:t>
      </w:r>
    </w:p>
    <w:p>
      <w:pPr>
        <w:pStyle w:val="CaseBody"/>
      </w:pPr>
      <w:r>
        <w:t xml:space="preserve">IV</w:t>
      </w:r>
    </w:p>
    <w:p>
      <w:pPr>
        <w:pStyle w:val="CaseBody"/>
      </w:pPr>
      <w:r>
        <w:t xml:space="preserve">The District Court held that to afford sufficient protection to the liberty interest it had identified, the State was required to observe</w:t>
      </w:r>
      <w:r>
        <w:t xml:space="preserve"> </w:t>
      </w:r>
      <w:r>
        <w:rPr>
          <w:rStyle w:val="FootnoteReference"/>
        </w:rPr>
        <w:footnoteReference w:customMarkFollows="1" w:id="83"/>
        <w:t xml:space="preserve">**</w:t>
      </w:r>
      <w:r>
        <w:t xml:space="preserve">the following minimum procedures before transferring a prisoner to a mental hospital:</w:t>
      </w:r>
    </w:p>
    <w:p>
      <w:pPr>
        <w:pStyle w:val="BlockText"/>
      </w:pPr>
      <w:r>
        <w:t xml:space="preserve">“A. Written notice to the prisoner that a transfer to a mental hospital is being considered;</w:t>
      </w:r>
    </w:p>
    <w:p>
      <w:pPr>
        <w:pStyle w:val="BlockText"/>
      </w:pPr>
      <w:r>
        <w:t xml:space="preserve">“B. A hearing, sufficiently after the notice to permit the prisoner to prepare, at which disclosure to the prisoner is made of the evidence being relied upon for the transfer and at which an opportunity to be heard in person and to present documentary evidence is given;</w:t>
      </w:r>
    </w:p>
    <w:p>
      <w:pPr>
        <w:pStyle w:val="BlockText"/>
      </w:pPr>
      <w:r>
        <w:t xml:space="preserve">“C. An opportunity at the hearing to present testimony of witnesses by the defense and to confront and cross-examine witnesses called by the state, except upon a finding, not arbitrarily made, of good cause for not permitting such presentation, confrontation, or cross-examination;</w:t>
      </w:r>
    </w:p>
    <w:p>
      <w:pPr>
        <w:pStyle w:val="BlockText"/>
      </w:pPr>
      <w:r>
        <w:t xml:space="preserve">“D. An independent decisionmaker;</w:t>
      </w:r>
    </w:p>
    <w:p>
      <w:pPr>
        <w:pStyle w:val="BlockText"/>
      </w:pPr>
      <w:r>
        <w:t xml:space="preserve">“E. A written statement by the factfinder as to the evidence relied on and the reasons for transferring the inmate;</w:t>
      </w:r>
    </w:p>
    <w:p>
      <w:pPr>
        <w:pStyle w:val="BlockText"/>
      </w:pPr>
      <w:r>
        <w:t xml:space="preserve">“F. Availability of legal counsel, furnished by the state, if the inmate is financially unable to furnish his own; and</w:t>
      </w:r>
    </w:p>
    <w:p>
      <w:pPr>
        <w:pStyle w:val="BlockText"/>
      </w:pPr>
      <w:r>
        <w:t xml:space="preserve">“G. Effective and timely notice of all the foregoing rights.”</w:t>
      </w:r>
      <w:r>
        <w:t xml:space="preserve"> </w:t>
      </w:r>
      <w:r>
        <w:rPr>
          <w:rStyle w:val="Elision"/>
        </w:rPr>
        <w:t xml:space="preserve">[ … ]</w:t>
      </w:r>
    </w:p>
    <w:p>
      <w:pPr>
        <w:pStyle w:val="CaseBody"/>
      </w:pPr>
      <w:r>
        <w:t xml:space="preserve">A</w:t>
      </w:r>
    </w:p>
    <w:p>
      <w:pPr>
        <w:pStyle w:val="CaseBody"/>
      </w:pPr>
      <w:r>
        <w:t xml:space="preserve">We think the District Court properly identified and weighed the relevant factors in arriving at its judgment. Concededly the interest of the State in segregating and treating mentally ill patients is strong. The interest of the prisoner in not being arbitrarily classified as mentally ill and subjected to unwelcome treatment is also powerful, however; and as the District Court found, the risk of error in making the determinations required by</w:t>
      </w:r>
      <w:r>
        <w:t xml:space="preserve"> </w:t>
      </w:r>
      <w:r>
        <w:rPr>
          <w:rStyle w:val="ReplacementText"/>
        </w:rPr>
        <w:t xml:space="preserve">[the Nebraska statute]</w:t>
      </w:r>
      <w:r>
        <w:t xml:space="preserve"> </w:t>
      </w:r>
      <w:r>
        <w:t xml:space="preserve">is substantial enough to warrant appropriate procedural safeguards against error.</w:t>
      </w:r>
    </w:p>
    <w:p>
      <w:pPr>
        <w:pStyle w:val="CaseBody"/>
      </w:pPr>
      <w:r>
        <w:t xml:space="preserve">We recognize that the inquiry involved in determining whether or not to transfer an inmate to a mental hospital for treatment involves a question that is essentially medical. The question whether an individual is mentally ill and cannot be treated in prison “turns on the meaning of the facts which must be interpreted by expert psychiatrists and psychologists.”</w:t>
      </w:r>
      <w:r>
        <w:t xml:space="preserve"> </w:t>
      </w:r>
      <w:r>
        <w:rPr>
          <w:rStyle w:val="Elision"/>
        </w:rPr>
        <w:t xml:space="preserve">[ … ]</w:t>
      </w:r>
      <w:r>
        <w:t xml:space="preserve"> </w:t>
      </w:r>
      <w:r>
        <w:t xml:space="preserve">The medical nature of the inquiry, however, does not justify dispensing with due process requirements. It is precisely “[t]he subtleties and nuances of psychiatric diagnoses” that justify the requirement of adversary hearings.</w:t>
      </w:r>
    </w:p>
    <w:p>
      <w:pPr>
        <w:pStyle w:val="CaseBody"/>
      </w:pPr>
      <w:r>
        <w:rPr>
          <w:rStyle w:val="Elision"/>
        </w:rPr>
        <w:t xml:space="preserve">[ … ]</w:t>
      </w:r>
    </w:p>
    <w:p>
      <w:pPr>
        <w:pStyle w:val="CaseBody"/>
      </w:pPr>
      <w:r>
        <w:rPr>
          <w:rStyle w:val="Elision"/>
        </w:rPr>
        <w:t xml:space="preserve">[ … ]</w:t>
      </w:r>
    </w:p>
    <w:p>
      <w:pPr>
        <w:pStyle w:val="CaseBody"/>
      </w:pPr>
      <w:r>
        <w:t xml:space="preserve">The notice requirement imposed by the District Court no more than recognizes that notice is essential to afford the prisoner an opportunity to challenge the contemplated action and to understand the nature of what is happening to him.</w:t>
      </w:r>
      <w:r>
        <w:t xml:space="preserve"> </w:t>
      </w:r>
      <w:r>
        <w:rPr>
          <w:rStyle w:val="Elision"/>
        </w:rPr>
        <w:t xml:space="preserve">[ … ]</w:t>
      </w:r>
      <w:r>
        <w:t xml:space="preserve"> </w:t>
      </w:r>
      <w:r>
        <w:t xml:space="preserve">Furthermore, in view of the nature of the determinations that must accompany the transfer to a mental hospital, we think each of the elements of the hearing specified by the District Court was appropriate. The interests of the State in avoiding disruption was recognized by limiting in appropriate circumstances the prisoner’s right to call witnesses, to confront and cross examine. The District Court also avoided unnecessary intrusion into either medical or correctional judgments by providing that the independent decisionmaker conducting the transfer hearing need not come from outside the prison or hospital administration.</w:t>
      </w:r>
      <w:r>
        <w:t xml:space="preserve"> </w:t>
      </w:r>
      <w:r>
        <w:rPr>
          <w:rStyle w:val="Elision"/>
        </w:rPr>
        <w:t xml:space="preserve">[ … ]</w:t>
      </w:r>
    </w:p>
    <w:p>
      <w:pPr>
        <w:pStyle w:val="CaseBody"/>
      </w:pPr>
      <w:r>
        <w:t xml:space="preserve">B</w:t>
      </w:r>
      <w:r>
        <w:rPr>
          <w:rStyle w:val="FootnoteReference"/>
        </w:rPr>
        <w:footnoteReference w:customMarkFollows="1" w:id="256"/>
        <w:t xml:space="preserve">*</w:t>
      </w:r>
    </w:p>
    <w:p>
      <w:pPr>
        <w:pStyle w:val="CaseBody"/>
      </w:pPr>
      <w:r>
        <w:t xml:space="preserve">The District Court did go beyond the requirements imposed by prior cases by holding that counsel must be made available to inmates facing transfer hearings if they are financially unable to furnish their own. We have not required the automatic appointment of counsel for indigent prisoners facing other deprivations of liberty,</w:t>
      </w:r>
      <w:r>
        <w:t xml:space="preserve"> </w:t>
      </w:r>
      <w:r>
        <w:rPr>
          <w:rStyle w:val="Elision"/>
        </w:rPr>
        <w:t xml:space="preserve">[ … ]</w:t>
      </w:r>
      <w:r>
        <w:t xml:space="preserve"> </w:t>
      </w:r>
      <w:r>
        <w:t xml:space="preserve">but we have recognized that prisoners who are illiterate and uneducated have a greater need for assistance in exercising their rights.</w:t>
      </w:r>
      <w:r>
        <w:t xml:space="preserve"> </w:t>
      </w:r>
      <w:r>
        <w:rPr>
          <w:rStyle w:val="Elision"/>
        </w:rPr>
        <w:t xml:space="preserve">[ … ]</w:t>
      </w:r>
      <w:r>
        <w:t xml:space="preserve">A prisoner thought to be suffering from a mental disease or defect requiring involuntary treatment probably has an even greater need for legal assistance, for such a prisoner is more likely to be unable to understand or exercise his rights. In these circumstances, it is appropriate that counsel be provided to indigent prisoners whom the State seeks to treat as mentally ill.</w:t>
      </w:r>
    </w:p>
    <w:p>
      <w:pPr>
        <w:pStyle w:val="CaseBody"/>
      </w:pPr>
      <w:r>
        <w:t xml:space="preserve">V</w:t>
      </w:r>
    </w:p>
    <w:p>
      <w:pPr>
        <w:pStyle w:val="CaseBody"/>
      </w:pPr>
      <w:r>
        <w:t xml:space="preserve">Because Mr. Justice Powell, while believing that Jones was entitled to competent help at the hearing, would not require the State to furnish a licensed attorney to aid him, the judgment below is affirmed as modified to conform with the separate opinion filed by Mr. Justice Powell.</w:t>
      </w:r>
    </w:p>
    <w:p>
      <w:pPr>
        <w:pStyle w:val="CaseBody"/>
      </w:pPr>
      <w:r>
        <w:rPr>
          <w:iCs/>
          <w:i/>
        </w:rPr>
        <w:t xml:space="preserve">So ordered.</w:t>
      </w:r>
    </w:p>
    <w:p>
      <w:pPr>
        <w:pStyle w:val="CaseBody"/>
      </w:pPr>
      <w:r>
        <w:rPr>
          <w:rStyle w:val="Elision"/>
        </w:rPr>
        <w:t xml:space="preserve">[ … ]</w:t>
      </w:r>
    </w:p>
    <w:p>
      <w:pPr>
        <w:pStyle w:val="CaseBody"/>
      </w:pPr>
      <w:r>
        <w:t xml:space="preserve">Mr. Justice Powell,</w:t>
      </w:r>
    </w:p>
    <w:p>
      <w:pPr>
        <w:pStyle w:val="CaseBody"/>
      </w:pPr>
      <w:r>
        <w:t xml:space="preserve">concurring in part.</w:t>
      </w:r>
      <w:r>
        <w:rPr>
          <w:rStyle w:val="FootnoteReference"/>
        </w:rPr>
        <w:footnoteReference w:customMarkFollows="1" w:id="128"/>
        <w:t xml:space="preserve">****</w:t>
      </w:r>
    </w:p>
    <w:p>
      <w:pPr>
        <w:pStyle w:val="CaseBody"/>
      </w:pPr>
      <w:r>
        <w:t xml:space="preserve">I join the opinion of the Court except for Part IV-B. I agree with Part IV-B insofar as the Court holds that qualified and independent assistance must be provided to an inmate who is threatened with involuntary transfer to a state mental hospital. I do not agree, however, that the requirement of independent assistance demands that a licensed attorney be provided.</w:t>
      </w:r>
      <w:r>
        <w:rPr>
          <w:rStyle w:val="FootnoteReference"/>
        </w:rPr>
        <w:footnoteReference w:customMarkFollows="1" w:id="170"/>
        <w:t xml:space="preserve">1</w:t>
      </w:r>
    </w:p>
    <w:p>
      <w:pPr>
        <w:pStyle w:val="CaseBody"/>
      </w:pPr>
      <w:r>
        <w:t xml:space="preserve">I</w:t>
      </w:r>
    </w:p>
    <w:p>
      <w:pPr>
        <w:pStyle w:val="CaseBody"/>
      </w:pPr>
      <w:r>
        <w:t xml:space="preserve">In</w:t>
      </w:r>
      <w:r>
        <w:t xml:space="preserve"> </w:t>
      </w:r>
      <w:r>
        <w:rPr>
          <w:iCs/>
          <w:i/>
        </w:rPr>
        <w:t xml:space="preserve">Gagnon</w:t>
      </w:r>
      <w:r>
        <w:t xml:space="preserve"> </w:t>
      </w:r>
      <w:r>
        <w:t xml:space="preserve">v.</w:t>
      </w:r>
      <w:r>
        <w:t xml:space="preserve"> </w:t>
      </w:r>
      <w:r>
        <w:rPr>
          <w:iCs/>
          <w:i/>
        </w:rPr>
        <w:t xml:space="preserve">Scarpelli</w:t>
      </w:r>
      <w:r>
        <w:rPr>
          <w:rStyle w:val="Elision"/>
        </w:rPr>
        <w:t xml:space="preserve">[ … ]</w:t>
      </w:r>
      <w:r>
        <w:t xml:space="preserve">, my opinion for the Court held that counsel is not necessarily required at a probation revocation hearing. In reaching this decision the Court recognized both the effects of providing counsel to each probationer and the likely benefits to be derived from the assistance of counsel. “The introduction of counsel into a revocation proceeding [would] alter significantly the nature of the proceeding,”</w:t>
      </w:r>
    </w:p>
    <w:p>
      <w:pPr>
        <w:pStyle w:val="CaseBody"/>
      </w:pPr>
      <w:r>
        <w:rPr>
          <w:rStyle w:val="Elision"/>
        </w:rPr>
        <w:t xml:space="preserve">[ … ]</w:t>
      </w:r>
      <w:r>
        <w:t xml:space="preserve"> </w:t>
      </w:r>
      <w:r>
        <w:t xml:space="preserve">because the hearing would inevitably become more adversary. We noted that probationers would not always need counsel because in most hearings the essential facts are undisputed. In lieu of a</w:t>
      </w:r>
      <w:r>
        <w:t xml:space="preserve"> </w:t>
      </w:r>
      <w:r>
        <w:rPr>
          <w:iCs/>
          <w:i/>
        </w:rPr>
        <w:t xml:space="preserve">per se</w:t>
      </w:r>
      <w:r>
        <w:t xml:space="preserve"> </w:t>
      </w:r>
      <w:r>
        <w:t xml:space="preserve">rule we held that the necessity of providing counsel should be determined on a case-by-case basis. In particular, we stressed that factors governing the decision to provide counsel include (i) the existence of factual disputes or issues which are “complex or otherwise difficult to develop or present,” and (ii) “whether the probationer appears to be capable of speaking effectively for himself.”</w:t>
      </w:r>
      <w:r>
        <w:rPr>
          <w:rStyle w:val="Elision"/>
        </w:rPr>
        <w:t xml:space="preserve">[ … ]</w:t>
      </w:r>
    </w:p>
    <w:p>
      <w:pPr>
        <w:pStyle w:val="CaseBody"/>
      </w:pPr>
      <w:r>
        <w:t xml:space="preserve">Consideration of these factors, and particularly the capability of the inmate, persuades me that the Court is correct that independent assistance must be provided to an inmate before he may be transferred involuntarily to a mental hospital. The essence of the issue in an involuntary commitment proceeding will be the mental health of the inmate. The resolution of factual disputes will be less important than the ability to understand and analyze expert psychiatric testimony that is often expressed in language relatively incomprehensible to laymen. It is unlikely that an inmate threatened with involuntary transfer to mental hospitals will possess the competence or training to protect adequately his own interest in these state-initiated proceedings. And the circumstances of being imprisoned without normal access to others who may assist him places an additional handicap upon an inmate’s ability to represent himself. I therefore agree that due process requires the provision of assistance to an inmate threatened with involuntary transfer to a mental hospital.</w:t>
      </w:r>
    </w:p>
    <w:p>
      <w:pPr>
        <w:pStyle w:val="CaseBody"/>
      </w:pPr>
      <w:r>
        <w:t xml:space="preserve">II</w:t>
      </w:r>
    </w:p>
    <w:p>
      <w:pPr>
        <w:pStyle w:val="CaseBody"/>
      </w:pPr>
      <w:r>
        <w:t xml:space="preserve">I do not believe, however, that an inmate must always be supplied with a licensed attorney. “[D]ue Process is flexible and calls for such procedural protections as the particular situation demands.”</w:t>
      </w:r>
      <w:r>
        <w:t xml:space="preserve"> </w:t>
      </w:r>
      <w:r>
        <w:rPr>
          <w:rStyle w:val="Elision"/>
        </w:rPr>
        <w:t xml:space="preserve">[ … ]</w:t>
      </w:r>
      <w:r>
        <w:t xml:space="preserve"> </w:t>
      </w:r>
      <w:r>
        <w:t xml:space="preserve">Our decisions defining the necessary qualifications for an impartial decisionmaker demonstrate that the requirements of due process turn on the nature of the determination which must be made. “Due Process has never been thought to require that the neutral and detached trier of fact be law trained or a judicial or administrative officer.”</w:t>
      </w:r>
      <w:r>
        <w:t xml:space="preserve"> </w:t>
      </w:r>
      <w:r>
        <w:rPr>
          <w:iCs/>
          <w:i/>
        </w:rPr>
        <w:t xml:space="preserve">Parham</w:t>
      </w:r>
      <w:r>
        <w:t xml:space="preserve"> </w:t>
      </w:r>
      <w:r>
        <w:t xml:space="preserve">v.</w:t>
      </w:r>
      <w:r>
        <w:t xml:space="preserve"> </w:t>
      </w:r>
      <w:r>
        <w:rPr>
          <w:iCs/>
          <w:i/>
        </w:rPr>
        <w:t xml:space="preserve">J. R.,</w:t>
      </w:r>
      <w:r>
        <w:t xml:space="preserve"> </w:t>
      </w:r>
      <w:r>
        <w:t xml:space="preserve">442 U. S. 584</w:t>
      </w:r>
      <w:r>
        <w:t xml:space="preserve">, 607 (1979). In that case, we held that due process is satisfied when a staff physician determines whether a child may be voluntarily committed to a state mental institution by his parents. That holding was based upon recognition that the issues of civil commitment “are essentially medical in nature,” and that “ ‘neither judges nor administrative hearing officers are better qualified than psychiatrists to render psychiatric judgments.’ ”</w:t>
      </w:r>
    </w:p>
    <w:p>
      <w:pPr>
        <w:pStyle w:val="CaseBody"/>
      </w:pPr>
      <w:r>
        <w:rPr>
          <w:rStyle w:val="Elision"/>
        </w:rPr>
        <w:t xml:space="preserve">[ … ]</w:t>
      </w:r>
    </w:p>
    <w:p>
      <w:pPr>
        <w:pStyle w:val="CaseBody"/>
      </w:pPr>
      <w:r>
        <w:t xml:space="preserve">In my view, the principle that due process does not always require a law-trained decisionmaker supports the ancillary conclusion that due process may be satisfied by the provision of a qualified and independent adviser who is not a lawyer.</w:t>
      </w:r>
      <w:r>
        <w:t xml:space="preserve"> </w:t>
      </w:r>
      <w:r>
        <w:rPr>
          <w:rStyle w:val="ReplacementText"/>
        </w:rPr>
        <w:t xml:space="preserve">T</w:t>
      </w:r>
      <w:r>
        <w:t xml:space="preserve">he issue here is essentially medical. Under state law, a prisoner may be transferred only if he “suffers from a mental disease or defect” and “cannot be given proper treatment” in the prison complex.</w:t>
      </w:r>
      <w:r>
        <w:t xml:space="preserve"> </w:t>
      </w:r>
      <w:r>
        <w:rPr>
          <w:rStyle w:val="Elision"/>
        </w:rPr>
        <w:t xml:space="preserve">[ … ]</w:t>
      </w:r>
      <w:r>
        <w:t xml:space="preserve">The opinion of the Court allows a nonlawyer to act as the impartial decisionmaker in the transfer proceeding.</w:t>
      </w:r>
      <w:r>
        <w:rPr>
          <w:rStyle w:val="Elision"/>
        </w:rPr>
        <w:t xml:space="preserve">[ … ]</w:t>
      </w:r>
    </w:p>
    <w:p>
      <w:pPr>
        <w:pStyle w:val="CaseBody"/>
      </w:pPr>
      <w:r>
        <w:t xml:space="preserve">The essence of procedural due process is a fair hearing. I do not think that the fairness of an informal hearing designed to determine a medical issue requires participation by lawyers. Due process merely requires that, the State provide an inmate with qualified and independent assistance. Such assistance may be provided by a licensed psychiatrist or other, mental health professional. Indeed, in view of the nature of the issue involved in the transfer hearing, a person possessing such professional qualifications normally would be preferred. As the Court notes, “[t]he question whether an individual is mentally ill and cannot be treated in prison ‘turns on the meaning of the facts which must be interpreted by expert psychiatrists and psychologists.’ ”</w:t>
      </w:r>
      <w:r>
        <w:rPr>
          <w:rStyle w:val="Elision"/>
        </w:rPr>
        <w:t xml:space="preserve">[ … ]</w:t>
      </w:r>
      <w:r>
        <w:t xml:space="preserve">. I would not exclude, however, the possibility that the required assistance may be rendered by competent laymen in some cases. The essential requirements are that the person provided by the State be competent and independent; and that he be free to act solely in the inmate’s best interest.</w:t>
      </w:r>
    </w:p>
    <w:p>
      <w:pPr>
        <w:pStyle w:val="CaseBody"/>
      </w:pPr>
      <w:r>
        <w:t xml:space="preserve">In sum, although the State is free to appoint a licensed attorney to represent an inmate, it is not constitutionally required to do so. Due process will be satisfied so long as an inmate facing involuntary transfer to a mental hospital is provided qualified and independent assistance.</w:t>
      </w:r>
    </w:p>
    <w:p>
      <w:pPr>
        <w:pStyle w:val="CaseBody"/>
      </w:pPr>
      <w:r>
        <w:rPr>
          <w:rStyle w:val="ReplacementText"/>
        </w:rPr>
        <w:t xml:space="preserve">[Dissents by Justices Stewart and Blackmun, which do not address the merits, are omitted.]</w:t>
      </w:r>
    </w:p>
    <w:p>
      <w:pPr>
        <w:pStyle w:val="NodeEnd"/>
      </w:pPr>
      <w:r>
        <w:t xml:space="preserve"> </w:t>
      </w:r>
    </w:p>
    <w:p>
      <w:pPr>
        <w:pStyle w:val="NodeStart"/>
      </w:pPr>
      <w:r>
        <w:t xml:space="preserve"> </w:t>
      </w:r>
    </w:p>
    <w:p>
      <w:pPr>
        <w:pStyle w:val="HeadSeparator"/>
      </w:pPr>
      <w:r>
        <w:t xml:space="preserve"> </w:t>
      </w:r>
    </w:p>
    <w:bookmarkStart w:id="164" w:name="_auto_toc_164"/>
    <w:bookmarkEnd w:id="164"/>
    <w:p>
      <w:pPr>
        <w:pStyle w:val="ResourceNumber"/>
      </w:pPr>
      <w:r>
        <w:t xml:space="preserve">14.4</w:t>
      </w:r>
    </w:p>
    <w:p>
      <w:pPr>
        <w:pStyle w:val="ResourceTitle"/>
      </w:pPr>
      <w:r>
        <w:t xml:space="preserve">Notes following Vitek</w:t>
      </w:r>
    </w:p>
    <w:p>
      <w:pPr>
        <w:pStyle w:val="HeadEnd"/>
      </w:pPr>
      <w:r>
        <w:t xml:space="preserve"> </w:t>
      </w:r>
    </w:p>
    <w:p>
      <w:pPr>
        <w:numPr>
          <w:ilvl w:val="0"/>
          <w:numId w:val="1155"/>
        </w:numPr>
      </w:pPr>
      <w:r>
        <w:rPr>
          <w:iCs/>
          <w:i/>
        </w:rPr>
        <w:t xml:space="preserve">Minimum procedures</w:t>
      </w:r>
      <w:r>
        <w:t xml:space="preserve">. The district court in this case listed</w:t>
      </w:r>
      <w:r>
        <w:t xml:space="preserve"> </w:t>
      </w:r>
      <w:r>
        <w:t xml:space="preserve">certain procedural factors as the “minimum” baseline for what is required under due process when transferring a prisoner to a mental hospital. Think of the cases you have read so far on procedural due process. Which factors do you think are appropriate? Which are missing?</w:t>
      </w:r>
      <w:r>
        <w:t xml:space="preserve"> </w:t>
      </w:r>
      <w:r>
        <w:t xml:space="preserve">Now consider the various procedural devices we have discussed thus far in our class.</w:t>
      </w:r>
      <w:r>
        <w:t xml:space="preserve"> </w:t>
      </w:r>
      <w:r>
        <w:t xml:space="preserve"> </w:t>
      </w:r>
      <w:r>
        <w:t xml:space="preserve">Which are missing from the</w:t>
      </w:r>
      <w:r>
        <w:t xml:space="preserve"> </w:t>
      </w:r>
      <w:r>
        <w:rPr>
          <w:iCs/>
          <w:i/>
        </w:rPr>
        <w:t xml:space="preserve">Vitek</w:t>
      </w:r>
      <w:r>
        <w:t xml:space="preserve"> </w:t>
      </w:r>
      <w:r>
        <w:t xml:space="preserve">list?</w:t>
      </w:r>
    </w:p>
    <w:p>
      <w:pPr>
        <w:numPr>
          <w:ilvl w:val="0"/>
          <w:numId w:val="1155"/>
        </w:numPr>
      </w:pPr>
      <w:r>
        <w:rPr>
          <w:iCs/>
          <w:i/>
        </w:rPr>
        <w:t xml:space="preserve">Powell’s concurrence</w:t>
      </w:r>
      <w:r>
        <w:t xml:space="preserve">. What do you think about Powell’s proposition that someone other than a licensed attorney might sometimes be a better representative in a due process hearing? When might the adversary system itself be less useful?</w:t>
      </w:r>
    </w:p>
    <w:p>
      <w:pPr>
        <w:pStyle w:val="NodeEnd"/>
      </w:pPr>
      <w:r>
        <w:t xml:space="preserve"> </w:t>
      </w:r>
    </w:p>
    <w:p>
      <w:pPr>
        <w:pStyle w:val="NodeStart"/>
      </w:pPr>
      <w:r>
        <w:t xml:space="preserve"> </w:t>
      </w:r>
    </w:p>
    <w:p>
      <w:pPr>
        <w:pStyle w:val="HeadSeparator"/>
      </w:pPr>
      <w:r>
        <w:t xml:space="preserve"> </w:t>
      </w:r>
    </w:p>
    <w:bookmarkStart w:id="165" w:name="_auto_toc_165"/>
    <w:bookmarkEnd w:id="165"/>
    <w:p>
      <w:pPr>
        <w:pStyle w:val="ResourceNumber"/>
      </w:pPr>
      <w:r>
        <w:t xml:space="preserve">14.5</w:t>
      </w:r>
    </w:p>
    <w:p>
      <w:pPr>
        <w:pStyle w:val="ResourceTitle"/>
      </w:pPr>
      <w:r>
        <w:t xml:space="preserve">Videos on Matthews, Vitek, Bonds, and Counterbonds</w:t>
      </w:r>
    </w:p>
    <w:p>
      <w:pPr>
        <w:pStyle w:val="HeadEnd"/>
      </w:pPr>
      <w:r>
        <w:t xml:space="preserve"> </w:t>
      </w:r>
    </w:p>
    <w:p>
      <w:pPr>
        <w:pStyle w:val="BodyText"/>
      </w:pPr>
      <w:r>
        <w:t xml:space="preserve">As a reminder, the following folder includes two optional study aids to understanding the Matthews "test," the Vitek factors, bonds, and counterbonds: (1) a written document on bonds and counterbonds from former TA Irene Loewenson, and (2) a series of videos from former TA Thomas Neilson on all of these topics. I recommend them if you have any questions on these issues. https://drive.google.com/drive/folders/1MA1MgwdJ7H88yg7SC3gJ4uBrl2EZzz02?usp=drive_link . </w:t>
      </w:r>
    </w:p>
    <w:p>
      <w:pPr>
        <w:pStyle w:val="NodeEnd"/>
      </w:pPr>
      <w:r>
        <w:t xml:space="preserve"> </w:t>
      </w:r>
    </w:p>
    <w:p>
      <w:pPr>
        <w:pStyle w:val="NodeStart"/>
      </w:pPr>
      <w:r>
        <w:t xml:space="preserve"> </w:t>
      </w:r>
    </w:p>
    <w:p>
      <w:pPr>
        <w:pStyle w:val="HeadSeparator"/>
      </w:pPr>
      <w:r>
        <w:t xml:space="preserve"> </w:t>
      </w:r>
    </w:p>
    <w:bookmarkStart w:id="166" w:name="_auto_toc_166"/>
    <w:bookmarkEnd w:id="166"/>
    <w:p>
      <w:pPr>
        <w:pStyle w:val="ResourceNumber"/>
      </w:pPr>
      <w:r>
        <w:t xml:space="preserve">14.6</w:t>
      </w:r>
    </w:p>
    <w:p>
      <w:pPr>
        <w:pStyle w:val="ResourceTitle"/>
      </w:pPr>
      <w:r>
        <w:t xml:space="preserve">Rules</w:t>
      </w:r>
    </w:p>
    <w:p>
      <w:pPr>
        <w:pStyle w:val="HeadFieldSeparator"/>
      </w:pPr>
      <w:r>
        <w:t xml:space="preserve"> </w:t>
      </w:r>
    </w:p>
    <w:p>
      <w:pPr>
        <w:pStyle w:val="ResourceHeadnote"/>
      </w:pPr>
      <w:r>
        <w:t xml:space="preserve">Read the following Federal Rules of Civil Procedure. You can access them via the internet or the supplemental handout provided on Canvas. It will be helpful to read them in the order in which they are listed below; this order tracks the progress of a garden variety civil case.</w:t>
      </w:r>
    </w:p>
    <w:p>
      <w:pPr>
        <w:pStyle w:val="HeadEnd"/>
      </w:pPr>
      <w:r>
        <w:t xml:space="preserve"> </w:t>
      </w:r>
    </w:p>
    <w:p>
      <w:pPr>
        <w:numPr>
          <w:ilvl w:val="0"/>
          <w:numId w:val="1156"/>
        </w:numPr>
      </w:pPr>
      <w:r>
        <w:t xml:space="preserve">Fed. R. Civ. P. 26(f) (meet and confer)</w:t>
      </w:r>
    </w:p>
    <w:p>
      <w:pPr>
        <w:numPr>
          <w:ilvl w:val="0"/>
          <w:numId w:val="1156"/>
        </w:numPr>
      </w:pPr>
      <w:r>
        <w:t xml:space="preserve">Fed. R. Civ. P. 16(b-d) (initial scheduling conference)</w:t>
      </w:r>
    </w:p>
    <w:p>
      <w:pPr>
        <w:numPr>
          <w:ilvl w:val="0"/>
          <w:numId w:val="1156"/>
        </w:numPr>
      </w:pPr>
      <w:r>
        <w:t xml:space="preserve">Fed. R. Civ. P. 26(a)(1)(A) (initial disclosures)</w:t>
      </w:r>
    </w:p>
    <w:p>
      <w:pPr>
        <w:numPr>
          <w:ilvl w:val="0"/>
          <w:numId w:val="1156"/>
        </w:numPr>
      </w:pPr>
      <w:r>
        <w:t xml:space="preserve">Fed. R. Civ. P. 26(b)(1-2) (scope and limits on frequency/extent of discovery)</w:t>
      </w:r>
    </w:p>
    <w:p>
      <w:pPr>
        <w:numPr>
          <w:ilvl w:val="0"/>
          <w:numId w:val="1156"/>
        </w:numPr>
      </w:pPr>
      <w:r>
        <w:t xml:space="preserve">Fed. R. Civ. P. 26(c) (protective orders)</w:t>
      </w:r>
    </w:p>
    <w:p>
      <w:pPr>
        <w:numPr>
          <w:ilvl w:val="0"/>
          <w:numId w:val="1156"/>
        </w:numPr>
      </w:pPr>
      <w:r>
        <w:t xml:space="preserve">Fed. R. Civ. P. 34 (requests for production)</w:t>
      </w:r>
    </w:p>
    <w:p>
      <w:pPr>
        <w:numPr>
          <w:ilvl w:val="0"/>
          <w:numId w:val="1156"/>
        </w:numPr>
      </w:pPr>
      <w:r>
        <w:t xml:space="preserve">Fed. R. Civ. P. 33 (interrogatories)</w:t>
      </w:r>
    </w:p>
    <w:p>
      <w:pPr>
        <w:numPr>
          <w:ilvl w:val="0"/>
          <w:numId w:val="1156"/>
        </w:numPr>
      </w:pPr>
      <w:r>
        <w:t xml:space="preserve">Fed. R. Civ. P. 30(a), 30(b)(6), 30(c-d) (depositions)</w:t>
      </w:r>
    </w:p>
    <w:p>
      <w:pPr>
        <w:numPr>
          <w:ilvl w:val="0"/>
          <w:numId w:val="1156"/>
        </w:numPr>
      </w:pPr>
      <w:r>
        <w:t xml:space="preserve">Fed. R. Civ. P. 29 (party alterations to discovery limits)</w:t>
      </w:r>
    </w:p>
    <w:p>
      <w:pPr>
        <w:numPr>
          <w:ilvl w:val="0"/>
          <w:numId w:val="1156"/>
        </w:numPr>
      </w:pPr>
      <w:r>
        <w:t xml:space="preserve">Fed. R. Civ. P. 36 (requests for admission)</w:t>
      </w:r>
    </w:p>
    <w:p>
      <w:pPr>
        <w:numPr>
          <w:ilvl w:val="0"/>
          <w:numId w:val="1156"/>
        </w:numPr>
      </w:pPr>
      <w:r>
        <w:t xml:space="preserve">Fed. R. Civ. P. 37(a) (motions to compel)</w:t>
      </w:r>
    </w:p>
    <w:p>
      <w:pPr>
        <w:numPr>
          <w:ilvl w:val="0"/>
          <w:numId w:val="1156"/>
        </w:numPr>
      </w:pPr>
      <w:r>
        <w:t xml:space="preserve">Fed. R. Civ. P. 26(e) (duty to Supplement or Internet and correct)</w:t>
      </w:r>
      <w:r>
        <w:t xml:space="preserve"> </w:t>
      </w:r>
    </w:p>
    <w:p>
      <w:pPr>
        <w:numPr>
          <w:ilvl w:val="0"/>
          <w:numId w:val="1156"/>
        </w:numPr>
      </w:pPr>
      <w:r>
        <w:t xml:space="preserve">Fed. R. Civ. P. 26(a)(3) (pretrial disclosures)</w:t>
      </w:r>
    </w:p>
    <w:p>
      <w:pPr>
        <w:numPr>
          <w:ilvl w:val="0"/>
          <w:numId w:val="1156"/>
        </w:numPr>
      </w:pPr>
      <w:r>
        <w:t xml:space="preserve">(optional) Fed. R. Civ. P. 26(b)(3-4) (experts)</w:t>
      </w:r>
    </w:p>
    <w:p>
      <w:pPr>
        <w:numPr>
          <w:ilvl w:val="0"/>
          <w:numId w:val="1156"/>
        </w:numPr>
      </w:pPr>
      <w:r>
        <w:t xml:space="preserve">Fed. R. Civ. P. 16(e) (final pretrial order)</w:t>
      </w:r>
      <w:r>
        <w:br/>
      </w:r>
    </w:p>
    <w:p>
      <w:pPr>
        <w:pStyle w:val="NodeEnd"/>
      </w:pPr>
      <w:r>
        <w:t xml:space="preserve"> </w:t>
      </w:r>
    </w:p>
    <w:p>
      <w:pPr>
        <w:pStyle w:val="NodeStart"/>
      </w:pPr>
      <w:r>
        <w:t xml:space="preserve"> </w:t>
      </w:r>
    </w:p>
    <w:p>
      <w:pPr>
        <w:pStyle w:val="HeadSeparator"/>
      </w:pPr>
      <w:r>
        <w:t xml:space="preserve"> </w:t>
      </w:r>
    </w:p>
    <w:bookmarkStart w:id="167" w:name="_auto_toc_167"/>
    <w:bookmarkEnd w:id="167"/>
    <w:p>
      <w:pPr>
        <w:pStyle w:val="ResourceNumber"/>
      </w:pPr>
      <w:r>
        <w:t xml:space="preserve">14.7</w:t>
      </w:r>
    </w:p>
    <w:p>
      <w:pPr>
        <w:pStyle w:val="ResourceTitle"/>
      </w:pPr>
      <w:r>
        <w:t xml:space="preserve">Pretrial Devices for Obtaining Information</w:t>
      </w:r>
    </w:p>
    <w:p>
      <w:pPr>
        <w:pStyle w:val="HeadEnd"/>
      </w:pPr>
      <w:r>
        <w:t xml:space="preserve"> </w:t>
      </w:r>
    </w:p>
    <w:p>
      <w:pPr>
        <w:pStyle w:val="BodyText"/>
      </w:pPr>
      <w:r>
        <w:t xml:space="preserve">Please read the handout found</w:t>
      </w:r>
      <w:r>
        <w:t xml:space="preserve"> </w:t>
      </w:r>
      <w:hyperlink r:id="rId223">
        <w:r>
          <w:rPr>
            <w:rStyle w:val="Hyperlink"/>
          </w:rPr>
          <w:t xml:space="preserve">here</w:t>
        </w:r>
      </w:hyperlink>
      <w:r>
        <w:t xml:space="preserve"> (pdf). </w:t>
      </w:r>
    </w:p>
    <w:p>
      <w:pPr>
        <w:pStyle w:val="NodeEnd"/>
      </w:pPr>
      <w:r>
        <w:t xml:space="preserve"> </w:t>
      </w:r>
    </w:p>
    <w:p>
      <w:pPr>
        <w:pStyle w:val="NodeStart"/>
      </w:pPr>
      <w:r>
        <w:t xml:space="preserve"> </w:t>
      </w:r>
    </w:p>
    <w:p>
      <w:pPr>
        <w:pStyle w:val="HeadSeparator"/>
      </w:pPr>
      <w:r>
        <w:t xml:space="preserve"> </w:t>
      </w:r>
    </w:p>
    <w:bookmarkStart w:id="168" w:name="_auto_toc_168"/>
    <w:bookmarkEnd w:id="168"/>
    <w:p>
      <w:pPr>
        <w:pStyle w:val="ResourceNumber"/>
      </w:pPr>
      <w:r>
        <w:t xml:space="preserve">14.8</w:t>
      </w:r>
    </w:p>
    <w:p>
      <w:pPr>
        <w:pStyle w:val="ResourceTitle"/>
      </w:pPr>
      <w:r>
        <w:t xml:space="preserve">PAYNE V. S. S. NABOB United States Court of Appeals, Third Circuit, 1962. 302 F.2d 803.</w:t>
      </w:r>
    </w:p>
    <w:p>
      <w:pPr>
        <w:pStyle w:val="HeadFieldSeparator"/>
      </w:pPr>
      <w:r>
        <w:t xml:space="preserve"> </w:t>
      </w:r>
    </w:p>
    <w:p>
      <w:pPr>
        <w:pStyle w:val="ResourceHeadnote"/>
      </w:pPr>
      <w:r>
        <w:t xml:space="preserve">This case concerns the importance of a pretrial order.</w:t>
      </w:r>
    </w:p>
    <w:p>
      <w:pPr>
        <w:pStyle w:val="ResourceHeadnote"/>
      </w:pPr>
      <w:r>
        <w:t xml:space="preserve">If issues remain to be tried after summary judgment motions (if there were any such motions), the district court assigns a trial date. At that point, standard practice is to require the parties to meet to propose a pretrial order listing the claims, defenses and issues to be tried, the witnesses the parties anticipate calling, the documents and other exhibits they will introduce, the length of time the trial will require (or that the district court will allow it to occupy), and other such issues.</w:t>
      </w:r>
    </w:p>
    <w:p>
      <w:pPr>
        <w:pStyle w:val="ResourceHeadnote"/>
      </w:pPr>
      <w:r>
        <w:t xml:space="preserve">This case concerns what happens when a party attempts at trial to depart from the provisions of the pretrial order.</w:t>
      </w:r>
    </w:p>
    <w:p>
      <w:pPr>
        <w:pStyle w:val="HeadEnd"/>
      </w:pPr>
      <w:r>
        <w:t xml:space="preserve"> </w:t>
      </w:r>
    </w:p>
    <w:p>
      <w:pPr>
        <w:pStyle w:val="BodyText"/>
      </w:pPr>
      <w:r>
        <w:t xml:space="preserve">Opinion</w:t>
      </w:r>
    </w:p>
    <w:p>
      <w:pPr>
        <w:pStyle w:val="BodyText"/>
      </w:pPr>
      <w:r>
        <w:t xml:space="preserve">McLaughlin, Circuit Judge</w:t>
      </w:r>
    </w:p>
    <w:p>
      <w:pPr>
        <w:pStyle w:val="BodyText"/>
      </w:pPr>
      <w:r>
        <w:t xml:space="preserve">In this personal injury admiralty action</w:t>
      </w:r>
      <w:r>
        <w:t xml:space="preserve"> </w:t>
      </w:r>
      <w:r>
        <w:t xml:space="preserve">libellant</w:t>
      </w:r>
      <w:r>
        <w:t xml:space="preserve"> </w:t>
      </w:r>
      <w:r>
        <w:rPr>
          <w:rStyle w:val="FootnoteReference"/>
        </w:rPr>
        <w:footnoteReference w:customMarkFollows="1" w:id="38"/>
        <w:t xml:space="preserve">*</w:t>
      </w:r>
      <w:r>
        <w:t xml:space="preserve">filed a pretrial memorandum stating that he was relying upon the condition of a winch to prove his cause of action. The judge's pretrial report noted that. Sometime later the suit went to trial. Libellant's attorney included in his opening the fact that the loading had been handled improperly as an important element of his proof of unseaworthiness. The impleaded stevedore employer objected as it was outside the scope of the pretrial memorandum and report. The trial court sustained the objection. Two witnesses on behalf of the libellant, not listed in his pretrial memorandum, were not allowed to testify. Libellant's attorney moved for a continuance and this was denied.</w:t>
      </w:r>
    </w:p>
    <w:p>
      <w:pPr>
        <w:pStyle w:val="BodyText"/>
      </w:pPr>
      <w:r>
        <w:t xml:space="preserve">***</w:t>
      </w:r>
    </w:p>
    <w:p>
      <w:pPr>
        <w:pStyle w:val="BodyText"/>
      </w:pPr>
      <w:r>
        <w:t xml:space="preserve">Appellant then would have it that the Standing Order did not furnish any ground for the court's barring of the unseaworthy allegation and of the witnesses not mentioned in the appellant's pretrial memorandum or the court's pretrial report. This seems to be founded on the thought that a pretrial memorandum is merely preparatory to the conference and that the court's pretrial order is the sole proof of the results of the pretrial procedure. In this instance, goes the contention, the function of appellant's memorandum was exhausted at the conference and since no pretrial ‘order’ was made there were no binding results of the pretrial steps. The Padovani opinion 1 is cited for this, where it states:</w:t>
      </w:r>
    </w:p>
    <w:p>
      <w:pPr>
        <w:pStyle w:val="BodyText"/>
      </w:pPr>
      <w:r>
        <w:t xml:space="preserve">‘Nothing in the rule (16) affords basis for clubbing the parties into admissions they do not willingly make; but it is a way of advancing</w:t>
      </w:r>
      <w:r>
        <w:t xml:space="preserve"> </w:t>
      </w:r>
      <w:r>
        <w:rPr>
          <w:rStyle w:val="Elision"/>
        </w:rPr>
        <w:t xml:space="preserve">[ … ]</w:t>
      </w:r>
      <w:r>
        <w:t xml:space="preserve">the trial ultimately to be had by setting forth points on which the parties are agreed after a conference directed by a trained judge.'</w:t>
      </w:r>
    </w:p>
    <w:p>
      <w:pPr>
        <w:pStyle w:val="BodyText"/>
      </w:pPr>
      <w:r>
        <w:t xml:space="preserve"> </w:t>
      </w:r>
    </w:p>
    <w:p>
      <w:pPr>
        <w:pStyle w:val="BodyText"/>
      </w:pPr>
      <w:r>
        <w:t xml:space="preserve">Appellant was not clubbed into admissions he did not willingly make. It was his own voluntary statement of the basis of his claim that was included in the pretrial report of the judge. The report was never objected to as incorrectly outlining appellant's pretrial statement.</w:t>
      </w:r>
    </w:p>
    <w:p>
      <w:pPr>
        <w:pStyle w:val="BodyText"/>
      </w:pPr>
      <w:r>
        <w:t xml:space="preserve"> </w:t>
      </w:r>
    </w:p>
    <w:p>
      <w:pPr>
        <w:pStyle w:val="BodyText"/>
      </w:pPr>
      <w:r>
        <w:t xml:space="preserve">The position now taken that the pretrial report of the trial judge because it is not titled as an ‘order’ does not comply with Rule 16 is without merit. Appellant's pretrial memorandum was filed. In accordance with the Standing Order it contained a ‘brief summary statement of both the facts of this case and counsel's contention as to the liability of defendant.’ It also contained ‘The names and addresses of all witnesses (except rebuttal) whom the plaintiff expects to call to testify at the time of trial.’ The pretrial conference was held in due course and attended by the attorneys for the parties. Based on the pretrial memoranda and the conference, the district judge drew and filed his</w:t>
      </w:r>
      <w:r>
        <w:t xml:space="preserve"> </w:t>
      </w:r>
      <w:r>
        <w:t xml:space="preserve">report</w:t>
      </w:r>
      <w:r>
        <w:rPr>
          <w:rStyle w:val="FootnoteReference"/>
        </w:rPr>
        <w:footnoteReference w:customMarkFollows="1" w:id="84"/>
        <w:t xml:space="preserve">**</w:t>
      </w:r>
      <w:r>
        <w:t xml:space="preserve">. There was no complaint concerning it or any part of it down to and including the trial until libellant's attorney was stopped in his opening as he went beyond his pretrial outline of alleged liability. The pretrial ‘report’</w:t>
      </w:r>
      <w:r>
        <w:t xml:space="preserve"> </w:t>
      </w:r>
      <w:r>
        <w:rPr>
          <w:rStyle w:val="Elision"/>
        </w:rPr>
        <w:t xml:space="preserve">[ … ]</w:t>
      </w:r>
      <w:r>
        <w:t xml:space="preserve"> </w:t>
      </w:r>
      <w:r>
        <w:t xml:space="preserve">drawn, signed and filed by the pretrial judge properly and fully (having the particular litigation and its requirements in mind) complies with the requirements of Rule 16.</w:t>
      </w:r>
      <w:r>
        <w:rPr>
          <w:rStyle w:val="Elision"/>
        </w:rPr>
        <w:t xml:space="preserve">[ … ]</w:t>
      </w:r>
      <w:r>
        <w:t xml:space="preserve"> </w:t>
      </w:r>
      <w:r>
        <w:t xml:space="preserve">It, including its references to the pretrial memoranda, succinctly fulfilled the letter and spirit of pretrial. It reduced the action to essentials, eliminated surplusage, enabled the parties and the court to prepare for a trial of stated issues, named witnesses and contained no hidden charms. The argument to the contrary, depending as it does on a quibble over the word ‘report’, is rootless.</w:t>
      </w:r>
    </w:p>
    <w:p>
      <w:pPr>
        <w:pStyle w:val="BodyText"/>
      </w:pPr>
      <w:r>
        <w:t xml:space="preserve"> </w:t>
      </w:r>
    </w:p>
    <w:p>
      <w:pPr>
        <w:pStyle w:val="BodyText"/>
      </w:pPr>
      <w:r>
        <w:t xml:space="preserve">It is asserted on behalf of the appellant that the Standing Order can only be construed as a request to stipulate, that counsel had no intention of stipulating and that no warning or notice</w:t>
      </w:r>
      <w:r>
        <w:t xml:space="preserve"> </w:t>
      </w:r>
      <w:r>
        <w:rPr>
          <w:rStyle w:val="Elision"/>
        </w:rPr>
        <w:t xml:space="preserve">[ … ]</w:t>
      </w:r>
      <w:r>
        <w:t xml:space="preserve"> </w:t>
      </w:r>
      <w:r>
        <w:t xml:space="preserve">was given by the Standing Order that failure to list the requirements ordered would constitute a stipulation or a waiver of all other theories. Rule 16 gives as the first purpose of pretrial ‘The simplification of issues'. Under the Standing Order counsel were asked to furnish ‘A brief summary of both the facts of the case and counsel's contentions as to the liability of the defendant.’ That was done. Libellant's contentions as to the liability of the defendant were inserted into the Court's Report with the note ‘See pre-trial memo’. The Report was filed September 28, 1959. The trial did not commence until March 14, 1960, a five and a half months interval during which no effort was made to change the signed and filed contentions of the libellant regarding the liability of the defendant or to add names of witnesses. The facts that the situation was plain on its face and that the practice was well settled by then, (the Standing Order having been in effect since October 23, 1958), set the tone for this contention on behalf of appellant. Krieger v. Ownership Corporation, 270 F.2d 265 (3 Cir. 1959), relied upon by appellant is inapposite. We there held that disputed issues of fact actually raised at the pretrial stage could not be resolved by the trial court on motion for summary judgment. It has long been the law that attorneys at the pretrial stage ‘owe a duty to the court and opposing counsel to make a full and fair disclosure of their views as to what the real issues at the trial will be.’</w:t>
      </w:r>
      <w:r>
        <w:t xml:space="preserve"> </w:t>
      </w:r>
      <w:r>
        <w:rPr>
          <w:rStyle w:val="Elision"/>
        </w:rPr>
        <w:t xml:space="preserve">[ … ]</w:t>
      </w:r>
      <w:r>
        <w:t xml:space="preserve"> </w:t>
      </w:r>
      <w:r>
        <w:t xml:space="preserve">It is through such disclosure at pretrial that trial prejudice can be avoided. The awareness of appellant's attorney to the trial situation is apparent in his request for a continuance when he told the court ‘I think under the circumstances I would move for a continuance of the case to give the other side ample time, because actually this is a question of surprise.’ (Emphasis supplied).</w:t>
      </w:r>
    </w:p>
    <w:p>
      <w:pPr>
        <w:pStyle w:val="BodyText"/>
      </w:pPr>
      <w:r>
        <w:t xml:space="preserve"> </w:t>
      </w:r>
    </w:p>
    <w:p>
      <w:pPr>
        <w:pStyle w:val="BodyText"/>
      </w:pPr>
      <w:r>
        <w:t xml:space="preserve">It is argued also that the court abused its discretion by refusing to permit amendment of the pretrial memorandum. This was not an easy decision for the trial judge. His inclination clearly, as is habitual with judges, was to help. And help he would have if, in his opinion, he could have done so fairly. But he was confronted with the realization that if he granted the request or allowed a continuance of the trial he was repudiating the whole pretrial theory and system as understood and followed in the Eastern District at a crucial period of its existence. Pretrial was finally on a firm foundation there. The judges had all given it generous and complete attention.</w:t>
      </w:r>
    </w:p>
    <w:p>
      <w:pPr>
        <w:pStyle w:val="BodyText"/>
      </w:pPr>
      <w:r>
        <w:t xml:space="preserve"> </w:t>
      </w:r>
    </w:p>
    <w:p>
      <w:pPr>
        <w:pStyle w:val="BodyText"/>
      </w:pPr>
      <w:r>
        <w:t xml:space="preserve">This, with the gradual realization of the bar that pretrial was here to stay as a vital element of litigation practice and its resultant full cooperation, had made pretrial procedure routine in the Eastern District. One consequence was that directly and indirectly enormous relief was given the badly clogged trial list. It was admittedly vitally important to make sure that pretrial procedure would continue to function properly. One necessary phase of attaining that objective was, as expressed by the trial judge, ‘We have come to the point of enforcing it very strictly.’ In the circumstances he considered himself obliged to deny the motions to amend the pretrial memorandum with respect to liability allegations and witnesses. The refusal of appellant's motion for a continuance is in the same category.</w:t>
      </w:r>
    </w:p>
    <w:p>
      <w:pPr>
        <w:pStyle w:val="BodyText"/>
      </w:pPr>
      <w:r>
        <w:t xml:space="preserve"> </w:t>
      </w:r>
    </w:p>
    <w:p>
      <w:pPr>
        <w:pStyle w:val="BodyText"/>
      </w:pPr>
      <w:r>
        <w:t xml:space="preserve">Beyond all doubt the judge acted entirely within his discretion. It was difficult for him, it took courage but it was what this sound, experienced judge had to do as he saw it, in accordance with his judicial obligation.</w:t>
      </w:r>
    </w:p>
    <w:p>
      <w:pPr>
        <w:pStyle w:val="BodyText"/>
      </w:pPr>
      <w:r>
        <w:t xml:space="preserve"> </w:t>
      </w:r>
    </w:p>
    <w:p>
      <w:pPr>
        <w:pStyle w:val="BodyText"/>
      </w:pPr>
      <w:r>
        <w:t xml:space="preserve">The decree of the district court will be affirmed.</w:t>
      </w:r>
    </w:p>
    <w:p>
      <w:pPr>
        <w:pStyle w:val="NodeEnd"/>
      </w:pPr>
      <w:r>
        <w:t xml:space="preserve"> </w:t>
      </w:r>
    </w:p>
    <w:p>
      <w:pPr>
        <w:pStyle w:val="NodeStart"/>
      </w:pPr>
      <w:r>
        <w:t xml:space="preserve"> </w:t>
      </w:r>
    </w:p>
    <w:p>
      <w:pPr>
        <w:pStyle w:val="HeadSeparator"/>
      </w:pPr>
      <w:r>
        <w:t xml:space="preserve"> </w:t>
      </w:r>
    </w:p>
    <w:bookmarkStart w:id="169" w:name="_auto_toc_169"/>
    <w:bookmarkEnd w:id="169"/>
    <w:p>
      <w:pPr>
        <w:pStyle w:val="ResourceNumber"/>
      </w:pPr>
      <w:r>
        <w:t xml:space="preserve">14.9</w:t>
      </w:r>
    </w:p>
    <w:p>
      <w:pPr>
        <w:pStyle w:val="ResourceTitle"/>
      </w:pPr>
      <w:r>
        <w:t xml:space="preserve">Note following Payne</w:t>
      </w:r>
    </w:p>
    <w:p>
      <w:pPr>
        <w:pStyle w:val="HeadEnd"/>
      </w:pPr>
      <w:r>
        <w:t xml:space="preserve"> </w:t>
      </w:r>
    </w:p>
    <w:p>
      <w:pPr>
        <w:pStyle w:val="BodyText"/>
      </w:pPr>
      <w:r>
        <w:rPr>
          <w:iCs/>
          <w:i/>
        </w:rPr>
        <w:t xml:space="preserve">Payne</w:t>
      </w:r>
      <w:r>
        <w:t xml:space="preserve"> </w:t>
      </w:r>
      <w:r>
        <w:t xml:space="preserve">demonstrates that the pretrial order is vital. Issues not raised in the pretrial order cannot be raised afterward. Further, subsequent cases have held that issues appearing in the pretrial order can be litigated at trial even if they are not raised in the initial pleadings.  See Howard v. Kerr Glass, Mfg. Co., 699 F.2d 330 (6th Cir. 1983).</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170" w:name="_auto_toc_170"/>
    <w:bookmarkEnd w:id="170"/>
    <w:p>
      <w:pPr>
        <w:pStyle w:val="ChapterNumber"/>
      </w:pPr>
      <w:r>
        <w:t xml:space="preserve">15</w:t>
      </w:r>
    </w:p>
    <w:p>
      <w:pPr>
        <w:pStyle w:val="ChapterTitle"/>
      </w:pPr>
      <w:r>
        <w:t xml:space="preserve">Day 15</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171" w:name="_auto_toc_171"/>
    <w:bookmarkEnd w:id="171"/>
    <w:p>
      <w:pPr>
        <w:pStyle w:val="ResourceNumber"/>
      </w:pPr>
      <w:r>
        <w:t xml:space="preserve">15.1</w:t>
      </w:r>
    </w:p>
    <w:p>
      <w:pPr>
        <w:pStyle w:val="ResourceTitle"/>
      </w:pPr>
      <w:r>
        <w:t xml:space="preserve">Hunter Readings</w:t>
      </w:r>
    </w:p>
    <w:p>
      <w:pPr>
        <w:pStyle w:val="HeadFieldSeparator"/>
      </w:pPr>
      <w:r>
        <w:t xml:space="preserve"> </w:t>
      </w:r>
    </w:p>
    <w:p>
      <w:pPr>
        <w:pStyle w:val="ResourceHeadnote"/>
      </w:pPr>
      <w:r>
        <w:t xml:space="preserve">Read the following pages of</w:t>
      </w:r>
      <w:r>
        <w:t xml:space="preserve"> </w:t>
      </w:r>
      <w:r>
        <w:t xml:space="preserve">The Power of Procedure</w:t>
      </w:r>
      <w:r>
        <w:t xml:space="preserve"> </w:t>
      </w:r>
      <w:r>
        <w:t xml:space="preserve">by Nan D. Hunter.</w:t>
      </w:r>
    </w:p>
    <w:p>
      <w:pPr>
        <w:pStyle w:val="HeadEnd"/>
      </w:pPr>
      <w:r>
        <w:t xml:space="preserve"> </w:t>
      </w:r>
    </w:p>
    <w:p>
      <w:pPr>
        <w:pStyle w:val="BodyText"/>
      </w:pPr>
      <w:r>
        <w:t xml:space="preserve">Read pages:</w:t>
      </w:r>
    </w:p>
    <w:p>
      <w:pPr>
        <w:numPr>
          <w:ilvl w:val="0"/>
          <w:numId w:val="1157"/>
        </w:numPr>
      </w:pPr>
      <w:r>
        <w:t xml:space="preserve">75-89</w:t>
      </w:r>
    </w:p>
    <w:p>
      <w:pPr>
        <w:numPr>
          <w:ilvl w:val="0"/>
          <w:numId w:val="1157"/>
        </w:numPr>
      </w:pPr>
      <w:r>
        <w:t xml:space="preserve">101-117</w:t>
      </w:r>
    </w:p>
    <w:p>
      <w:pPr>
        <w:pStyle w:val="FirstParagraph"/>
      </w:pPr>
      <w:r>
        <w:t xml:space="preserve">These pages contain the discovery tools as they were used in </w:t>
      </w:r>
      <w:r>
        <w:rPr>
          <w:iCs/>
          <w:i/>
        </w:rPr>
        <w:t xml:space="preserve">Jones v. Clinton</w:t>
      </w:r>
      <w:r>
        <w:t xml:space="preserve">.</w:t>
      </w:r>
    </w:p>
    <w:p>
      <w:pPr>
        <w:pStyle w:val="NodeEnd"/>
      </w:pPr>
      <w:r>
        <w:t xml:space="preserve"> </w:t>
      </w:r>
    </w:p>
    <w:p>
      <w:pPr>
        <w:pStyle w:val="NodeStart"/>
      </w:pPr>
      <w:r>
        <w:t xml:space="preserve"> </w:t>
      </w:r>
    </w:p>
    <w:p>
      <w:pPr>
        <w:pStyle w:val="HeadSeparator"/>
      </w:pPr>
      <w:r>
        <w:t xml:space="preserve"> </w:t>
      </w:r>
    </w:p>
    <w:bookmarkStart w:id="172" w:name="_auto_toc_172"/>
    <w:bookmarkEnd w:id="172"/>
    <w:p>
      <w:pPr>
        <w:pStyle w:val="ResourceNumber"/>
      </w:pPr>
      <w:r>
        <w:t xml:space="preserve">15.2</w:t>
      </w:r>
    </w:p>
    <w:p>
      <w:pPr>
        <w:pStyle w:val="ResourceTitle"/>
      </w:pPr>
      <w:r>
        <w:t xml:space="preserve">Rules</w:t>
      </w:r>
    </w:p>
    <w:p>
      <w:pPr>
        <w:pStyle w:val="HeadFieldSeparator"/>
      </w:pPr>
      <w:r>
        <w:t xml:space="preserve"> </w:t>
      </w:r>
    </w:p>
    <w:p>
      <w:pPr>
        <w:pStyle w:val="ResourceHeadnote"/>
      </w:pPr>
      <w:r>
        <w:t xml:space="preserve">Read the following Federal Rules of Civil Procedure. You can access them via the internet or the supplemental handout provided on Canvas.</w:t>
      </w:r>
    </w:p>
    <w:p>
      <w:pPr>
        <w:pStyle w:val="HeadEnd"/>
      </w:pPr>
      <w:r>
        <w:t xml:space="preserve"> </w:t>
      </w:r>
    </w:p>
    <w:p>
      <w:pPr>
        <w:numPr>
          <w:ilvl w:val="0"/>
          <w:numId w:val="1158"/>
        </w:numPr>
      </w:pPr>
      <w:r>
        <w:t xml:space="preserve">Fed. R. Civ. P. 56</w:t>
      </w:r>
    </w:p>
    <w:p>
      <w:pPr>
        <w:pStyle w:val="NodeEnd"/>
      </w:pPr>
      <w:r>
        <w:t xml:space="preserve"> </w:t>
      </w:r>
    </w:p>
    <w:p>
      <w:pPr>
        <w:pStyle w:val="NodeStart"/>
      </w:pPr>
      <w:r>
        <w:t xml:space="preserve"> </w:t>
      </w:r>
    </w:p>
    <w:p>
      <w:pPr>
        <w:pStyle w:val="HeadSeparator"/>
      </w:pPr>
      <w:r>
        <w:t xml:space="preserve"> </w:t>
      </w:r>
    </w:p>
    <w:bookmarkStart w:id="173" w:name="_auto_toc_173"/>
    <w:bookmarkEnd w:id="173"/>
    <w:p>
      <w:pPr>
        <w:pStyle w:val="ResourceNumber"/>
      </w:pPr>
      <w:r>
        <w:t xml:space="preserve">15.3</w:t>
      </w:r>
    </w:p>
    <w:p>
      <w:pPr>
        <w:pStyle w:val="ResourceTitle"/>
      </w:pPr>
      <w:r>
        <w:t xml:space="preserve">Background on Rule 56, Summary Judgment, and Burdens</w:t>
      </w:r>
    </w:p>
    <w:p>
      <w:pPr>
        <w:pStyle w:val="HeadEnd"/>
      </w:pPr>
      <w:r>
        <w:t xml:space="preserve"> </w:t>
      </w:r>
    </w:p>
    <w:p>
      <w:pPr>
        <w:pStyle w:val="BodyText"/>
      </w:pPr>
      <w:r>
        <w:t xml:space="preserve">Rule 56 stipulates that judges may provide summary judgment - ruling for a party as a matter of law. This is permitted when the case presents no genuine issues of material fact, the presence of which would warrant a trial.</w:t>
      </w:r>
    </w:p>
    <w:p>
      <w:pPr>
        <w:pStyle w:val="BodyText"/>
      </w:pPr>
      <w:r>
        <w:t xml:space="preserve">The Rule has its supporters and critics. Supporters of a wider use of summary judgment usually base their opinions on efficiency considerations, arguing that its use is necessary to avoid wasteful and unnecessary trials. They contend that limiting the use of Rule 56 (or, at least, limiting its use too much) might encourage trials aimed at harassing opposing parties or at forcing unfair settlements to avoid such trials.</w:t>
      </w:r>
    </w:p>
    <w:p>
      <w:pPr>
        <w:pStyle w:val="BodyText"/>
      </w:pPr>
      <w:r>
        <w:t xml:space="preserve">Critics respond that cabining use of summary judgment is necessary to protect the right to a jury trial, which would be compromised in a world where judges play jurors to decide a broader range of cases on summary judgment. For such critics, efficiency does not overcome this broad principle of providing litigants with their day in court.</w:t>
      </w:r>
    </w:p>
    <w:p>
      <w:pPr>
        <w:pStyle w:val="BodyText"/>
      </w:pPr>
      <w:r>
        <w:t xml:space="preserve">For a time, the Supreme Court supported a more limited use of summary judgment in line with this latter view. However, in the mid-late 1980s, the Supreme Court pivoted, deciding three cases that appeared to encourage a broadened use of summary judgment. One of those was</w:t>
      </w:r>
      <w:r>
        <w:t xml:space="preserve"> </w:t>
      </w:r>
      <w:r>
        <w:rPr>
          <w:iCs/>
          <w:i/>
        </w:rPr>
        <w:t xml:space="preserve">Celotex v. Catrett</w:t>
      </w:r>
      <w:r>
        <w:t xml:space="preserve">, 477 U.S. 317, 106 S.Ct. 2548, 91 L.Ed.2d 265, which you will read shortly.</w:t>
      </w:r>
    </w:p>
    <w:p>
      <w:pPr>
        <w:pStyle w:val="BodyText"/>
      </w:pPr>
      <w:r>
        <w:t xml:space="preserve">Before you do so, keep in mind what summary judgment tracks! In short, summary judgment tracks two different burdens: the burden of production and the burden of persuasion.</w:t>
      </w:r>
    </w:p>
    <w:p>
      <w:pPr>
        <w:pStyle w:val="BodyText"/>
      </w:pPr>
      <w:r>
        <w:t xml:space="preserve">A burden of production asks: who bears the burden of producing sufficient evidence such that, if unrebutted, that evidence would allow a reasonable jury to decide in its favor, with respect to issue X? Usually, a plaintiff bears the burden of production on each element of a theory of relief, and a defendant bears the burden of production only if the plaintiff has met its burden.  Burdens of production can shift.  Sometimes that shift depends on whether the opposing party has met its burden of production.  Sometimes, the burden of production depends on who has filed a motion (for, say, summary judgment).</w:t>
      </w:r>
    </w:p>
    <w:p>
      <w:pPr>
        <w:pStyle w:val="BodyText"/>
      </w:pPr>
      <w:r>
        <w:t xml:space="preserve">A burden of persuasion asks: who loses if the evidence is in equipoise (is equal) on some issue? For instance, if there is no evidence for a specific issue, the party who bore the burden of persuasion on that issue would lose. The law assigns burdens of persuasion categorically, and they never move. For example, a plaintiff bears the burden of persuasion on each element of a cause of action that the plaintiff is asserting. For a negligence claim, they would bear the burden of persuasion for each of duty, breach, causation, and damages. If they fail to meet the burden of persuasion with respect to any of those elements, the claimant would lose on the negligence claim. Likewise, the defendant would bear the burden of persuasion with respect to affirmative defenses, such as contributory or comparative negligence.</w:t>
      </w:r>
    </w:p>
    <w:p>
      <w:pPr>
        <w:pStyle w:val="BodyText"/>
      </w:pPr>
      <w:r>
        <w:t xml:space="preserve">As you read Justice Brennan’s dissent in</w:t>
      </w:r>
      <w:r>
        <w:t xml:space="preserve"> </w:t>
      </w:r>
      <w:r>
        <w:rPr>
          <w:iCs/>
          <w:i/>
        </w:rPr>
        <w:t xml:space="preserve">Celotex,</w:t>
      </w:r>
      <w:r>
        <w:t xml:space="preserve"> </w:t>
      </w:r>
      <w:r>
        <w:t xml:space="preserve">pay attention to their explanation of how summary judgment tracks these burdens.</w:t>
      </w:r>
    </w:p>
    <w:p>
      <w:pPr>
        <w:pStyle w:val="NodeEnd"/>
      </w:pPr>
      <w:r>
        <w:t xml:space="preserve"> </w:t>
      </w:r>
    </w:p>
    <w:p>
      <w:pPr>
        <w:pStyle w:val="NodeStart"/>
      </w:pPr>
      <w:r>
        <w:t xml:space="preserve"> </w:t>
      </w:r>
    </w:p>
    <w:p>
      <w:pPr>
        <w:pStyle w:val="HeadSeparator"/>
      </w:pPr>
      <w:r>
        <w:t xml:space="preserve"> </w:t>
      </w:r>
    </w:p>
    <w:bookmarkStart w:id="174" w:name="_auto_toc_174"/>
    <w:bookmarkEnd w:id="174"/>
    <w:p>
      <w:pPr>
        <w:pStyle w:val="ResourceNumber"/>
      </w:pPr>
      <w:r>
        <w:t xml:space="preserve">15.4</w:t>
      </w:r>
    </w:p>
    <w:p>
      <w:pPr>
        <w:pStyle w:val="ResourceTitle"/>
      </w:pPr>
      <w:r>
        <w:t xml:space="preserve">Celotex Corp. v. Catrett</w:t>
      </w:r>
    </w:p>
    <w:p>
      <w:pPr>
        <w:pStyle w:val="HeadFieldSeparator"/>
      </w:pPr>
      <w:r>
        <w:t xml:space="preserve"> </w:t>
      </w:r>
    </w:p>
    <w:p>
      <w:pPr>
        <w:pStyle w:val="ResourceHeadnote"/>
      </w:pPr>
      <w:r>
        <w:t xml:space="preserve">Pay particularly close attention to Justice Brennan's dissent.</w:t>
      </w:r>
    </w:p>
    <w:p>
      <w:pPr>
        <w:pStyle w:val="HeadEnd"/>
      </w:pPr>
      <w:r>
        <w:t xml:space="preserve"> </w:t>
      </w:r>
    </w:p>
    <w:p>
      <w:pPr>
        <w:pStyle w:val="CaseHeader"/>
      </w:pPr>
      <w:r>
        <w:t xml:space="preserve">Supreme Court of the United States</w:t>
      </w:r>
    </w:p>
    <w:p>
      <w:pPr>
        <w:pStyle w:val="CaseHeader"/>
      </w:pPr>
      <w:r>
        <w:t xml:space="preserve">477 U.S. 317, 91 L. Ed. 2d 265, 106 S. Ct. 2548, 1986 U.S. LEXIS 118, SCDB 1985-128</w:t>
      </w:r>
    </w:p>
    <w:p>
      <w:pPr>
        <w:pStyle w:val="CaseHeader"/>
      </w:pPr>
      <w:r>
        <w:t xml:space="preserve">No. 85-198</w:t>
      </w:r>
    </w:p>
    <w:p>
      <w:pPr>
        <w:pStyle w:val="CaseHeader"/>
      </w:pPr>
      <w:r>
        <w:t xml:space="preserve">1986-06-25</w:t>
      </w:r>
    </w:p>
    <w:p>
      <w:pPr>
        <w:pStyle w:val="CaseBody"/>
      </w:pPr>
      <w:r>
        <w:rPr>
          <w:rStyle w:val="Elision"/>
        </w:rPr>
        <w:t xml:space="preserve">[ … ]</w:t>
      </w:r>
    </w:p>
    <w:p>
      <w:pPr>
        <w:pStyle w:val="CaseHeader"/>
      </w:pPr>
      <w:r>
        <w:t xml:space="preserve">CELOTEX CORP.</w:t>
      </w:r>
      <w:r>
        <w:br/>
      </w:r>
      <w:r>
        <w:t xml:space="preserve">v.</w:t>
      </w:r>
      <w:r>
        <w:br/>
      </w:r>
      <w:r>
        <w:t xml:space="preserve">CATRETT, ADMINISTRATRIX OF THE ESTATE OF CATRETT</w:t>
      </w:r>
    </w:p>
    <w:p>
      <w:pPr>
        <w:pStyle w:val="CaseBody"/>
      </w:pPr>
      <w:r>
        <w:rPr>
          <w:rStyle w:val="Elision"/>
        </w:rPr>
        <w:t xml:space="preserve">[ … ]</w:t>
      </w:r>
    </w:p>
    <w:p>
      <w:pPr>
        <w:pStyle w:val="CaseBody"/>
      </w:pPr>
      <w:r>
        <w:t xml:space="preserve">CERTIORARI TO THE UNITED STATES COURT OF APPEALS FOR THE DISTRICT OF COLUMBIA CIRCUIT</w:t>
      </w:r>
    </w:p>
    <w:p>
      <w:pPr>
        <w:pStyle w:val="CaseBody"/>
      </w:pPr>
      <w:r>
        <w:rPr>
          <w:rStyle w:val="Elision"/>
        </w:rPr>
        <w:t xml:space="preserve">[ … ]</w:t>
      </w:r>
    </w:p>
    <w:p>
      <w:pPr>
        <w:pStyle w:val="CaseBody"/>
      </w:pPr>
      <w:r>
        <w:rPr>
          <w:rStyle w:val="Elision"/>
        </w:rPr>
        <w:t xml:space="preserve">[ … ]</w:t>
      </w:r>
      <w:r>
        <w:t xml:space="preserve"> </w:t>
      </w:r>
      <w:r>
        <w:t xml:space="preserve">JUSTICE REHNQUIST delivered the opinion of the Court.</w:t>
      </w:r>
    </w:p>
    <w:p>
      <w:pPr>
        <w:pStyle w:val="CaseBody"/>
      </w:pPr>
      <w:r>
        <w:t xml:space="preserve">The United States District Court for the District of Columbia granted the motion of petitioner Celotex Corporation for summary judgment against respondent Catrett because the latter was unable to produce evidence in support of her allegation in her wrongful-death complaint that the decedent had been exposed to petitioner's asbestos products. A divided panel of the Court of Appeals for the District of Columbia Circuit reversed, however, holding that petitioner's failure to support its motion with evidence tending to</w:t>
      </w:r>
      <w:r>
        <w:t xml:space="preserve"> </w:t>
      </w:r>
      <w:r>
        <w:rPr>
          <w:iCs/>
          <w:i/>
        </w:rPr>
        <w:t xml:space="preserve">negate</w:t>
      </w:r>
      <w:r>
        <w:t xml:space="preserve"> </w:t>
      </w:r>
      <w:r>
        <w:t xml:space="preserve">such exposure precluded the entry of summary judgment in its favor.</w:t>
      </w:r>
      <w:r>
        <w:t xml:space="preserve"> </w:t>
      </w:r>
      <w:r>
        <w:rPr>
          <w:rStyle w:val="Elision"/>
        </w:rPr>
        <w:t xml:space="preserve">[ … ]</w:t>
      </w:r>
      <w:r>
        <w:t xml:space="preserve">We granted certiorari to resolve the conflict,</w:t>
      </w:r>
      <w:r>
        <w:t xml:space="preserve"> </w:t>
      </w:r>
      <w:r>
        <w:rPr>
          <w:rStyle w:val="Elision"/>
        </w:rPr>
        <w:t xml:space="preserve">[ … ]</w:t>
      </w:r>
      <w:r>
        <w:t xml:space="preserve">and now reverse the decision of the District of Columbia Circuit.</w:t>
      </w:r>
    </w:p>
    <w:p>
      <w:pPr>
        <w:pStyle w:val="CaseBody"/>
      </w:pPr>
      <w:r>
        <w:t xml:space="preserve">Respondent commenced this lawsuit in September 1980, alleging that the death in 1979 of her husband, Louis H. Catrett, resulted from his exposure to products containing asbestos manufactured or distributed by 15 named corporations. Respondent's complaint sounded in negligence, breach of warranty, and strict liability.</w:t>
      </w:r>
      <w:r>
        <w:t xml:space="preserve"> </w:t>
      </w:r>
      <w:r>
        <w:rPr>
          <w:rStyle w:val="Elision"/>
        </w:rPr>
        <w:t xml:space="preserve">[ … ]</w:t>
      </w:r>
      <w:r>
        <w:t xml:space="preserve"> </w:t>
      </w:r>
      <w:r>
        <w:rPr>
          <w:rStyle w:val="ReplacementText"/>
        </w:rPr>
        <w:t xml:space="preserve">[In] September 1981</w:t>
      </w:r>
      <w:r>
        <w:t xml:space="preserve">,</w:t>
      </w:r>
      <w:r>
        <w:t xml:space="preserve"> </w:t>
      </w:r>
      <w:r>
        <w:rPr>
          <w:rStyle w:val="ReplacementText"/>
        </w:rPr>
        <w:t xml:space="preserve">[Celotex] argued</w:t>
      </w:r>
      <w:r>
        <w:t xml:space="preserve"> </w:t>
      </w:r>
      <w:r>
        <w:t xml:space="preserve">that summary judgment was proper because respondent had "failed to produce evidence that any [Celotex] product . . . was the proximate cause of the injuries alleged within the jurisdictional</w:t>
      </w:r>
      <w:r>
        <w:t xml:space="preserve"> </w:t>
      </w:r>
      <w:r>
        <w:rPr>
          <w:rStyle w:val="Elision"/>
        </w:rPr>
        <w:t xml:space="preserve">[ … ]</w:t>
      </w:r>
      <w:r>
        <w:t xml:space="preserve"> </w:t>
      </w:r>
      <w:r>
        <w:t xml:space="preserve">limits of [the District] Court." In particular, petitioner noted that respondent had failed to identify, in answering interrogatories specifically requesting such information, any witnesses who could testify about the decedent's exposure to petitioner's asbestos products. In response to petitioner's summary judgment motion, respondent then produced three documents which she claimed "demonstrate that there is a genuine material factual dispute" as to whether the decedent had ever been exposed to petitioner's asbestos products. The three documents included a transcript of a deposition of the decedent, a letter from an official of one of the decedent's former employers whom petitioner planned to call as a trial witness, and a letter from an insurance company to respondent's attorney, all tending to establish that the decedent had been exposed to petitioner's asbestos products in Chicago during 1970-1971. Petitioner, in turn, argued that the three documents were inadmissible hearsay and thus could not be considered in opposition to the summary judgment motion.</w:t>
      </w:r>
    </w:p>
    <w:p>
      <w:pPr>
        <w:pStyle w:val="CaseBody"/>
      </w:pPr>
      <w:r>
        <w:t xml:space="preserve">In July 1982, almost two years after the commencement of the lawsuit, the District Court granted</w:t>
      </w:r>
      <w:r>
        <w:t xml:space="preserve"> </w:t>
      </w:r>
      <w:r>
        <w:rPr>
          <w:rStyle w:val="ReplacementText"/>
        </w:rPr>
        <w:t xml:space="preserve">[summary judgment to Celotex].</w:t>
      </w:r>
      <w:r>
        <w:rPr>
          <w:rStyle w:val="ReplacementText"/>
        </w:rPr>
        <w:t xml:space="preserve">[summary judgment to Celotex].</w:t>
      </w:r>
      <w:r>
        <w:t xml:space="preserve"> </w:t>
      </w:r>
      <w:r>
        <w:t xml:space="preserve">The court explained that it was granting</w:t>
      </w:r>
      <w:r>
        <w:t xml:space="preserve"> </w:t>
      </w:r>
      <w:r>
        <w:rPr>
          <w:rStyle w:val="ReplacementText"/>
        </w:rPr>
        <w:t xml:space="preserve">[Celotex's]</w:t>
      </w:r>
      <w:r>
        <w:t xml:space="preserve"> </w:t>
      </w:r>
      <w:r>
        <w:t xml:space="preserve">summary judgment motion because "there [was] no showing that the plaintiff was exposed to the defendant Celotex's product in the District of Columbia or elsewhere within the statutory period." App. 217.</w:t>
      </w:r>
      <w:hyperlink w:anchor="X0b26e7dfb2eba9c8276540c37cf92209f1c1d1d">
        <w:r>
          <w:rPr>
            <w:rStyle w:val="Elision"/>
            <w:vertAlign w:val="superscript"/>
          </w:rPr>
          <w:t xml:space="preserve">[ … ]</w:t>
        </w:r>
      </w:hyperlink>
      <w:r>
        <w:t xml:space="preserve">Respondent</w:t>
      </w:r>
      <w:r>
        <w:t xml:space="preserve"> </w:t>
      </w:r>
      <w:r>
        <w:rPr>
          <w:rStyle w:val="Elision"/>
        </w:rPr>
        <w:t xml:space="preserve">[ … ]</w:t>
      </w:r>
      <w:r>
        <w:t xml:space="preserve"> </w:t>
      </w:r>
      <w:r>
        <w:t xml:space="preserve">appealed only the grant of summary judgment in favor of petitioner, and a divided panel of the District of Columbia Circuit reversed. The majority of the Court of Appeals held that petitioner's summary judgment motion was rendered "fatally defective" by the fact that petitioner "made no effort to adduce</w:t>
      </w:r>
      <w:r>
        <w:t xml:space="preserve"> </w:t>
      </w:r>
      <w:r>
        <w:rPr>
          <w:iCs/>
          <w:i/>
        </w:rPr>
        <w:t xml:space="preserve">any</w:t>
      </w:r>
      <w:r>
        <w:t xml:space="preserve"> </w:t>
      </w:r>
      <w:r>
        <w:t xml:space="preserve">evidence, in the form of affidavits or otherwise, to support its motion."</w:t>
      </w:r>
      <w:r>
        <w:t xml:space="preserve"> </w:t>
      </w:r>
      <w:r>
        <w:rPr>
          <w:rStyle w:val="Elision"/>
        </w:rPr>
        <w:t xml:space="preserve">[ … ]</w:t>
      </w:r>
      <w:r>
        <w:t xml:space="preserve">. According to the majority, Rule 56(e) of the Federal Rules of Civil Procedure,</w:t>
      </w:r>
      <w:hyperlink w:anchor="X0544975eb60c909499cb261e8cc9e7c8e39b8e2">
        <w:r>
          <w:rPr>
            <w:rStyle w:val="Elision"/>
            <w:vertAlign w:val="superscript"/>
          </w:rPr>
          <w:t xml:space="preserve">[ … ]</w:t>
        </w:r>
      </w:hyperlink>
      <w:r>
        <w:t xml:space="preserve"> </w:t>
      </w:r>
      <w:r>
        <w:t xml:space="preserve">and this Court's decision in</w:t>
      </w:r>
      <w:r>
        <w:t xml:space="preserve"> </w:t>
      </w:r>
      <w:r>
        <w:rPr>
          <w:iCs/>
          <w:i/>
        </w:rPr>
        <w:t xml:space="preserve">Adickes</w:t>
      </w:r>
      <w:r>
        <w:t xml:space="preserve"> </w:t>
      </w:r>
      <w:r>
        <w:t xml:space="preserve">v.</w:t>
      </w:r>
      <w:r>
        <w:t xml:space="preserve"> </w:t>
      </w:r>
      <w:r>
        <w:rPr>
          <w:iCs/>
          <w:i/>
        </w:rPr>
        <w:t xml:space="preserve">S. H. Kress &amp; Co.</w:t>
      </w:r>
      <w:r>
        <w:rPr>
          <w:rStyle w:val="Elision"/>
        </w:rPr>
        <w:t xml:space="preserve">[ … ]</w:t>
      </w:r>
      <w:r>
        <w:t xml:space="preserve"> </w:t>
      </w:r>
      <w:r>
        <w:t xml:space="preserve">establish that "the party opposing the motion for summary judgment bears the burden of responding</w:t>
      </w:r>
      <w:r>
        <w:t xml:space="preserve"> </w:t>
      </w:r>
      <w:r>
        <w:rPr>
          <w:iCs/>
          <w:i/>
        </w:rPr>
        <w:t xml:space="preserve">only after</w:t>
      </w:r>
      <w:r>
        <w:t xml:space="preserve"> </w:t>
      </w:r>
      <w:r>
        <w:t xml:space="preserve">the moving party has met its burden of coming forward with proof of the absence of any genuine issues of material fact."</w:t>
      </w:r>
      <w:r>
        <w:t xml:space="preserve"> </w:t>
      </w:r>
      <w:r>
        <w:rPr>
          <w:rStyle w:val="Elision"/>
        </w:rPr>
        <w:t xml:space="preserve">[ … ]</w:t>
      </w:r>
      <w:r>
        <w:t xml:space="preserve"> </w:t>
      </w:r>
      <w:r>
        <w:t xml:space="preserve">The majority therefore declined to consider</w:t>
      </w:r>
      <w:r>
        <w:t xml:space="preserve"> </w:t>
      </w:r>
      <w:r>
        <w:rPr>
          <w:rStyle w:val="ReplacementText"/>
        </w:rPr>
        <w:t xml:space="preserve">[Celotex's]</w:t>
      </w:r>
      <w:r>
        <w:t xml:space="preserve"> </w:t>
      </w:r>
      <w:r>
        <w:t xml:space="preserve">argument that none of the evidence produced by respondent in opposition to the motion for summary judgment would have been admissible at trial.</w:t>
      </w:r>
      <w:r>
        <w:t xml:space="preserve"> </w:t>
      </w:r>
      <w:r>
        <w:rPr>
          <w:rStyle w:val="Elision"/>
        </w:rPr>
        <w:t xml:space="preserve">[ … ]</w:t>
      </w:r>
    </w:p>
    <w:p>
      <w:pPr>
        <w:pStyle w:val="CaseBody"/>
      </w:pPr>
      <w:r>
        <w:t xml:space="preserve">We think that the position taken by the majority of the Court of Appeals is inconsistent with the standard for summary judgment set forth in Rule 56</w:t>
      </w:r>
      <w:r>
        <w:rPr>
          <w:rStyle w:val="Elision"/>
        </w:rPr>
        <w:t xml:space="preserve">[ … ]</w:t>
      </w:r>
      <w:r>
        <w:t xml:space="preserve"> </w:t>
      </w:r>
      <w:r>
        <w:t xml:space="preserve">of the Federal Rules of Civil Procedure.</w:t>
      </w:r>
      <w:hyperlink w:anchor="X0297e5dc3549d589225d164f834e30eb166b506">
        <w:r>
          <w:rPr>
            <w:rStyle w:val="Elision"/>
            <w:vertAlign w:val="superscript"/>
          </w:rPr>
          <w:t xml:space="preserve">[ … ]</w:t>
        </w:r>
      </w:hyperlink>
      <w:r>
        <w:t xml:space="preserve"> </w:t>
      </w:r>
      <w:r>
        <w:t xml:space="preserve">Under Rule 56(c), summary judgment is proper "if the pleadings, depositions, answers to interrogatories, and admissions on file, together with the affidavits, if any, show that there is no genuine issue as to any material fact and that the moving party is entitled to a judgment as a matter of law."</w:t>
      </w:r>
      <w:r>
        <w:rPr>
          <w:rStyle w:val="FootnoteReference"/>
        </w:rPr>
        <w:footnoteReference w:customMarkFollows="1" w:id="39"/>
        <w:t xml:space="preserve">*</w:t>
      </w:r>
      <w:r>
        <w:t xml:space="preserve"> </w:t>
      </w:r>
      <w:r>
        <w:t xml:space="preserve">In our view, the plain language of Rule 56</w:t>
      </w:r>
      <w:r>
        <w:rPr>
          <w:rStyle w:val="Elision"/>
        </w:rPr>
        <w:t xml:space="preserve">[ … ]</w:t>
      </w:r>
      <w:r>
        <w:t xml:space="preserve"> </w:t>
      </w:r>
      <w:r>
        <w:t xml:space="preserve">mandates the entry of summary judgment, after adequate time for discovery and upon motion, against a party who fails to make a showing sufficient to establish the existence of an element essential to that party's case, and on which that party will bear the burden of proof at trial. In such a situation,</w:t>
      </w:r>
      <w:r>
        <w:t xml:space="preserve"> </w:t>
      </w:r>
      <w:r>
        <w:rPr>
          <w:rStyle w:val="Elision"/>
        </w:rPr>
        <w:t xml:space="preserve">[ … ]</w:t>
      </w:r>
      <w:r>
        <w:t xml:space="preserve">there can be "no genuine issue as to any material fact," since a complete failure of proof concerning an essential element of the nonmoving party's case necessarily renders all other facts immaterial. The moving party is "entitled to a judgment as a matter of law" because the nonmoving party has failed to make a sufficient showing on an essential element of her case with respect to which she has the burden of proof.</w:t>
      </w:r>
      <w:r>
        <w:t xml:space="preserve"> </w:t>
      </w:r>
      <w:r>
        <w:rPr>
          <w:rStyle w:val="Elision"/>
        </w:rPr>
        <w:t xml:space="preserve">[ … ]</w:t>
      </w:r>
    </w:p>
    <w:p>
      <w:pPr>
        <w:pStyle w:val="CaseBody"/>
      </w:pPr>
      <w:r>
        <w:t xml:space="preserve">Of course, a party seeking summary judgment always bears the initial responsibility of informing the district court of the basis for its motion, and identifying those portions of "the pleadings, depositions, answers to interrogatories, and admissions on file, together with the affidavits, if any," which it believes demonstrate the absence of a genuine issue of material fact. But unlike the Court of Appeals, we find no express or implied requirement in Rule 56 that the moving party support its motion with affidavits or other similar materials</w:t>
      </w:r>
      <w:r>
        <w:t xml:space="preserve"> </w:t>
      </w:r>
      <w:r>
        <w:rPr>
          <w:iCs/>
          <w:i/>
        </w:rPr>
        <w:t xml:space="preserve">negating</w:t>
      </w:r>
      <w:r>
        <w:t xml:space="preserve"> </w:t>
      </w:r>
      <w:r>
        <w:t xml:space="preserve">the opponent's claim. On the contrary, Rule 56(c), which refers to "the affidavits,</w:t>
      </w:r>
      <w:r>
        <w:t xml:space="preserve"> </w:t>
      </w:r>
      <w:r>
        <w:rPr>
          <w:iCs/>
          <w:i/>
        </w:rPr>
        <w:t xml:space="preserve">if any</w:t>
      </w:r>
      <w:r>
        <w:t xml:space="preserve">" (emphasis added), suggests the absence of such a requirement.</w:t>
      </w:r>
      <w:r>
        <w:t xml:space="preserve"> </w:t>
      </w:r>
      <w:r>
        <w:rPr>
          <w:rStyle w:val="Elision"/>
        </w:rPr>
        <w:t xml:space="preserve">[ … ]</w:t>
      </w:r>
      <w:r>
        <w:rPr>
          <w:rStyle w:val="ReplacementText"/>
        </w:rPr>
        <w:t xml:space="preserve">[Thus], regardless</w:t>
      </w:r>
      <w:r>
        <w:t xml:space="preserve"> </w:t>
      </w:r>
      <w:r>
        <w:t xml:space="preserve">of whether the moving party accompanies its summary judgment motion with affidavits, the motion may, and should, be granted so long as whatever is before the district court demonstrates that the standard for the entry of summary judgment, as set forth in Rule 56(c), is satisfied. One of the principal purposes of the summary judgment rule is to isolate and dispose of factually unsupported</w:t>
      </w:r>
      <w:r>
        <w:t xml:space="preserve"> </w:t>
      </w:r>
      <w:r>
        <w:rPr>
          <w:rStyle w:val="Elision"/>
        </w:rPr>
        <w:t xml:space="preserve">[ … ]</w:t>
      </w:r>
      <w:r>
        <w:t xml:space="preserve"> </w:t>
      </w:r>
      <w:r>
        <w:t xml:space="preserve">claims or defenses, and we think it should be interpreted in a way that allows it to accomplish this purpose.</w:t>
      </w:r>
      <w:hyperlink w:anchor="X2f797231b56e930d13565d2c24af17d028a6cb5">
        <w:r>
          <w:rPr>
            <w:rStyle w:val="Elision"/>
            <w:vertAlign w:val="superscript"/>
          </w:rPr>
          <w:t xml:space="preserve">[ … ]</w:t>
        </w:r>
      </w:hyperlink>
    </w:p>
    <w:p>
      <w:pPr>
        <w:pStyle w:val="CaseBody"/>
      </w:pPr>
      <w:r>
        <w:rPr>
          <w:rStyle w:val="Elision"/>
        </w:rPr>
        <w:t xml:space="preserve">[ … ]</w:t>
      </w:r>
    </w:p>
    <w:p>
      <w:pPr>
        <w:pStyle w:val="CaseBody"/>
      </w:pPr>
      <w:r>
        <w:rPr>
          <w:rStyle w:val="Elision"/>
        </w:rPr>
        <w:t xml:space="preserve">[ … ]</w:t>
      </w:r>
    </w:p>
    <w:p>
      <w:pPr>
        <w:pStyle w:val="CaseBody"/>
      </w:pPr>
      <w:r>
        <w:rPr>
          <w:rStyle w:val="ReplacementText"/>
        </w:rPr>
        <w:t xml:space="preserve">W</w:t>
      </w:r>
      <w:r>
        <w:t xml:space="preserve">e do not think</w:t>
      </w:r>
      <w:r>
        <w:t xml:space="preserve"> </w:t>
      </w:r>
      <w:r>
        <w:rPr>
          <w:rStyle w:val="ReplacementText"/>
        </w:rPr>
        <w:t xml:space="preserve">Rule 56 or prior case law</w:t>
      </w:r>
      <w:r>
        <w:t xml:space="preserve"> </w:t>
      </w:r>
      <w:r>
        <w:t xml:space="preserve">should be construed to mean that the burden is on the party moving for summary judgment to produce evidence showing the absence of a genuine issue of material fact, even with respect to an issue on which the nonmoving party bears the burden of proof. Instead, as we have explained, the burden on the moving party may be discharged by "showing" — that is, pointing out to the district court — that there is an absence of evidence to support the nonmoving party's case.</w:t>
      </w:r>
    </w:p>
    <w:p>
      <w:pPr>
        <w:pStyle w:val="CaseBody"/>
      </w:pPr>
      <w:r>
        <w:rPr>
          <w:rStyle w:val="Elision"/>
        </w:rPr>
        <w:t xml:space="preserve">[ … ]</w:t>
      </w:r>
    </w:p>
    <w:p>
      <w:pPr>
        <w:pStyle w:val="CaseBody"/>
      </w:pPr>
      <w:r>
        <w:rPr>
          <w:rStyle w:val="Elision"/>
        </w:rPr>
        <w:t xml:space="preserve">[ … ]</w:t>
      </w:r>
    </w:p>
    <w:p>
      <w:pPr>
        <w:pStyle w:val="CaseBody"/>
      </w:pPr>
      <w:r>
        <w:t xml:space="preserve">In this Court, respondent's brief and oral argument have been devoted as much to the proposition that an adequate showing of exposure to petitioner's asbestos products was</w:t>
      </w:r>
      <w:r>
        <w:rPr>
          <w:rStyle w:val="Elision"/>
        </w:rPr>
        <w:t xml:space="preserve">[ … ]</w:t>
      </w:r>
      <w:r>
        <w:t xml:space="preserve">made as to the proposition that no such showing should have been required. But the Court of Appeals declined to address either the adequacy of the showing made by respondent in opposition to</w:t>
      </w:r>
      <w:r>
        <w:t xml:space="preserve"> </w:t>
      </w:r>
      <w:r>
        <w:rPr>
          <w:rStyle w:val="ReplacementText"/>
        </w:rPr>
        <w:t xml:space="preserve">[Celotex's]</w:t>
      </w:r>
      <w:r>
        <w:t xml:space="preserve"> </w:t>
      </w:r>
      <w:r>
        <w:t xml:space="preserve">motion for summary judgment, or the question whether such a showing, if reduced to admissible evidence, would be sufficient to carry respondent's burden of proof at trial. We think the Court of Appeals with its superior knowledge of local law is better suited than we are to make these determinations in the first instance.</w:t>
      </w:r>
    </w:p>
    <w:p>
      <w:pPr>
        <w:pStyle w:val="CaseBody"/>
      </w:pPr>
      <w:r>
        <w:t xml:space="preserve">The Federal Rules of Civil Procedure have for almost 50 years authorized motions for summary judgment upon proper showings of the lack of a genuine, triable issue of material fact. Summary judgment procedure is properly regarded not as a disfavored procedural shortcut, but rather as an integral part of the Federal Rules as a whole, which are designed "to secure the just, speedy and inexpensive determination of every action."</w:t>
      </w:r>
      <w:r>
        <w:t xml:space="preserve"> </w:t>
      </w:r>
      <w:r>
        <w:rPr>
          <w:rStyle w:val="Elision"/>
        </w:rPr>
        <w:t xml:space="preserve">[ … ]</w:t>
      </w:r>
      <w:r>
        <w:rPr>
          <w:rStyle w:val="Elision"/>
        </w:rPr>
        <w:t xml:space="preserve">[ … ]</w:t>
      </w:r>
      <w:r>
        <w:t xml:space="preserve"> </w:t>
      </w:r>
      <w:r>
        <w:t xml:space="preserve">Rule 56 must be construed with due regard not only for the rights of persons asserting claims and defenses that are adequately based in fact to have those claims and defenses tried to a jury, but also for the rights of persons opposing such claims and defenses to demonstrate in the manner provided by the Rule, prior to trial, that the claims and defenses have no factual basis.</w:t>
      </w:r>
    </w:p>
    <w:p>
      <w:pPr>
        <w:pStyle w:val="CaseBody"/>
      </w:pPr>
      <w:r>
        <w:rPr>
          <w:rStyle w:val="Elision"/>
        </w:rPr>
        <w:t xml:space="preserve">[ … ]</w:t>
      </w:r>
      <w:r>
        <w:t xml:space="preserve"> </w:t>
      </w:r>
      <w:r>
        <w:t xml:space="preserve">The judgment of the Court of Appeals is accordingly reversed, and the case is remanded for further proceedings consistent with this opinion.</w:t>
      </w:r>
    </w:p>
    <w:p>
      <w:pPr>
        <w:pStyle w:val="CaseBody"/>
      </w:pPr>
      <w:r>
        <w:rPr>
          <w:iCs/>
          <w:i/>
        </w:rPr>
        <w:t xml:space="preserve">It is so ordered.</w:t>
      </w:r>
    </w:p>
    <w:p>
      <w:pPr>
        <w:pStyle w:val="CaseBody"/>
      </w:pPr>
      <w:r>
        <w:rPr>
          <w:rStyle w:val="Elision"/>
        </w:rPr>
        <w:t xml:space="preserve">[ … ]</w:t>
      </w:r>
    </w:p>
    <w:p>
      <w:pPr>
        <w:pStyle w:val="CaseBody"/>
      </w:pPr>
      <w:r>
        <w:t xml:space="preserve">JUSTICE BRENNAN, with whom THE CHIEF JUSTICE and JUSTICE BLACKMUN join, dissenting.</w:t>
      </w:r>
      <w:r>
        <w:rPr>
          <w:rStyle w:val="FootnoteReference"/>
        </w:rPr>
        <w:footnoteReference w:customMarkFollows="1" w:id="85"/>
        <w:t xml:space="preserve">**</w:t>
      </w:r>
    </w:p>
    <w:p>
      <w:pPr>
        <w:pStyle w:val="CaseBody"/>
      </w:pPr>
      <w:r>
        <w:t xml:space="preserve">This case requires the Court to determine whether Celotex satisfied its initial burden of production in moving for summary judgment on the ground that the plaintiff lacked evidence to establish an essential element of her case at trial. I do not disagree with the Court's legal analysis. The Court clearly rejects the ruling of the Court of Appeals that the defendant must provide affirmative evidence disproving the plaintiff's case. Beyond this, however, the Court has not clearly explained what is required of a moving party seeking summary judgment on the ground that the nonmoving party cannot prove its case.</w:t>
      </w:r>
      <w:hyperlink w:anchor="X02a165e3024e424f570f426ac0cf99d76eff547">
        <w:r>
          <w:rPr>
            <w:rStyle w:val="Elision"/>
            <w:vertAlign w:val="superscript"/>
          </w:rPr>
          <w:t xml:space="preserve">[ … ]</w:t>
        </w:r>
      </w:hyperlink>
      <w:r>
        <w:t xml:space="preserve"> </w:t>
      </w:r>
      <w:r>
        <w:t xml:space="preserve">This lack of clarity is unfortunate: district courts must routinely decide summary judgment motions, and the Court's opinion will very likely create confusion. For this reason, even if I agreed with the Court's result, I would have written separately to explain more clearly the law in this area. However, because I believe that Celotex did not meet its burden of production under Federal Rule of Civil Procedure 56, I respectfully dissent from the Court's judgment.</w:t>
      </w:r>
    </w:p>
    <w:bookmarkStart w:id="224" w:name="i-11"/>
    <w:p>
      <w:pPr>
        <w:pStyle w:val="Heading2"/>
      </w:pPr>
      <w:r>
        <w:rPr>
          <w:rStyle w:val="Elision"/>
        </w:rPr>
        <w:t xml:space="preserve">[ … ]</w:t>
      </w:r>
      <w:r>
        <w:t xml:space="preserve">I</w:t>
      </w:r>
    </w:p>
    <w:p>
      <w:pPr>
        <w:pStyle w:val="CaseBody"/>
      </w:pPr>
      <w:r>
        <w:t xml:space="preserve">Summary judgment is appropriate where the court is satisfied "that there is no genuine issue as to any material fact and that the moving party is entitled to a judgment as a matter of law." Fed. Rule Civ. Proc. 56(c). The burden of establishing the nonexistence of a "genuine issue" is on the party moving for summary judgment.</w:t>
      </w:r>
      <w:r>
        <w:t xml:space="preserve"> </w:t>
      </w:r>
      <w:r>
        <w:rPr>
          <w:rStyle w:val="Elision"/>
        </w:rPr>
        <w:t xml:space="preserve">[ … ]</w:t>
      </w:r>
      <w:r>
        <w:t xml:space="preserve"> </w:t>
      </w:r>
      <w:r>
        <w:t xml:space="preserve">This burden has two distinct components: an initial burden of production, which shifts to the nonmoving party if satisfied by the moving party; and an ultim</w:t>
      </w:r>
      <w:r>
        <w:t xml:space="preserve">ate burden of persuasion, which always remains on the moving party.</w:t>
      </w:r>
      <w:r>
        <w:rPr>
          <w:rStyle w:val="FootnoteReference"/>
        </w:rPr>
        <w:footnoteReference w:customMarkFollows="1" w:id="112"/>
        <w:t xml:space="preserve">***</w:t>
      </w:r>
      <w:r>
        <w:t xml:space="preserve"> </w:t>
      </w:r>
      <w:r>
        <w:rPr>
          <w:rStyle w:val="Elision"/>
        </w:rPr>
        <w:t xml:space="preserve">[ … ]</w:t>
      </w:r>
      <w:r>
        <w:t xml:space="preserve">The court need not decide whether the moving party has satisfied its ultimate burden of persuasion</w:t>
      </w:r>
      <w:hyperlink w:anchor="Xb54ed0892cab416189a7543f6d2ac63e5f5f017">
        <w:r>
          <w:rPr>
            <w:rStyle w:val="Elision"/>
            <w:vertAlign w:val="superscript"/>
          </w:rPr>
          <w:t xml:space="preserve">[ … ]</w:t>
        </w:r>
      </w:hyperlink>
      <w:r>
        <w:t xml:space="preserve">unless and until the court finds that the moving party has discharged its initial</w:t>
      </w:r>
      <w:r>
        <w:t xml:space="preserve"> </w:t>
      </w:r>
      <w:r>
        <w:rPr>
          <w:rStyle w:val="Elision"/>
        </w:rPr>
        <w:t xml:space="preserve">[ … ]</w:t>
      </w:r>
      <w:r>
        <w:t xml:space="preserve"> </w:t>
      </w:r>
      <w:r>
        <w:t xml:space="preserve">burden of production.</w:t>
      </w:r>
      <w:r>
        <w:t xml:space="preserve"> </w:t>
      </w:r>
      <w:r>
        <w:rPr>
          <w:rStyle w:val="Elision"/>
        </w:rPr>
        <w:t xml:space="preserve">[ … ]</w:t>
      </w:r>
    </w:p>
    <w:p>
      <w:pPr>
        <w:pStyle w:val="CaseBody"/>
      </w:pPr>
      <w:r>
        <w:t xml:space="preserve">The burden of production imposed by Rule 56 requires the moving party to make a prima facie showing that it is entitled to summary judgment.</w:t>
      </w:r>
      <w:r>
        <w:t xml:space="preserve"> </w:t>
      </w:r>
      <w:r>
        <w:rPr>
          <w:rStyle w:val="Elision"/>
        </w:rPr>
        <w:t xml:space="preserve">[ … ]</w:t>
      </w:r>
      <w:r>
        <w:t xml:space="preserve"> </w:t>
      </w:r>
      <w:r>
        <w:t xml:space="preserve">The manner in which this showing can be made depends upon which party will bear the burden of persuasion on the challenged claim at trial. If the</w:t>
      </w:r>
      <w:r>
        <w:t xml:space="preserve"> </w:t>
      </w:r>
      <w:r>
        <w:rPr>
          <w:iCs/>
          <w:i/>
        </w:rPr>
        <w:t xml:space="preserve">moving</w:t>
      </w:r>
      <w:r>
        <w:t xml:space="preserve"> </w:t>
      </w:r>
      <w:r>
        <w:t xml:space="preserve">party will bear the burden of persuasion at trial, that party must support its motion with credible evidence — using any of the materials specified in Rule 56(c) — that would entitle it to a directed verdict if not controverted at trial.</w:t>
      </w:r>
      <w:r>
        <w:t xml:space="preserve"> </w:t>
      </w:r>
      <w:r>
        <w:rPr>
          <w:iCs/>
          <w:i/>
        </w:rPr>
        <w:t xml:space="preserve">Ibid.</w:t>
      </w:r>
      <w:r>
        <w:t xml:space="preserve"> </w:t>
      </w:r>
      <w:r>
        <w:t xml:space="preserve">Such an affirmative showing shifts the burden of production to the party opposing the motion and requires that party either to produce evidentiary materials that demonstrate the existence of a "genuine issue" for trial or to submit an affidavit requesting additional time for discovery.</w:t>
      </w:r>
      <w:r>
        <w:t xml:space="preserve"> </w:t>
      </w:r>
      <w:r>
        <w:rPr>
          <w:iCs/>
          <w:i/>
        </w:rPr>
        <w:t xml:space="preserve">Ibid.;</w:t>
      </w:r>
      <w:r>
        <w:t xml:space="preserve"> </w:t>
      </w:r>
      <w:r>
        <w:t xml:space="preserve">Fed. Rules Civ. Proc. 56(e), (f).</w:t>
      </w:r>
    </w:p>
    <w:p>
      <w:pPr>
        <w:pStyle w:val="CaseBody"/>
      </w:pPr>
      <w:r>
        <w:t xml:space="preserve">If the burden of persuasion at trial would be on the</w:t>
      </w:r>
      <w:r>
        <w:t xml:space="preserve"> </w:t>
      </w:r>
      <w:r>
        <w:rPr>
          <w:iCs/>
          <w:i/>
        </w:rPr>
        <w:t xml:space="preserve">nonmoving</w:t>
      </w:r>
      <w:r>
        <w:t xml:space="preserve"> </w:t>
      </w:r>
      <w:r>
        <w:t xml:space="preserve">party, the party moving for summary judgment may satisfy Rule 56's burden of production in either of two ways. First, the moving party may submit affirmative evidence that negates an essential element of the nonmoving party's claim. Second, the moving party may demonstrate to the court that the nonmoving party's evidence is insufficient to establish an essential element of the nonmoving party's claim.</w:t>
      </w:r>
      <w:r>
        <w:t xml:space="preserve"> </w:t>
      </w:r>
      <w:r>
        <w:rPr>
          <w:rStyle w:val="Elision"/>
        </w:rPr>
        <w:t xml:space="preserve">[ … ]</w:t>
      </w:r>
      <w:r>
        <w:t xml:space="preserve">If the nonmoving party cannot muster sufficient evidence to make out its claim, a trial would be useless and the moving party is entitled to summary judgment as a matter of law.</w:t>
      </w:r>
      <w:r>
        <w:t xml:space="preserve"> </w:t>
      </w:r>
      <w:r>
        <w:rPr>
          <w:rStyle w:val="Elision"/>
        </w:rPr>
        <w:t xml:space="preserve">[ … ]</w:t>
      </w:r>
    </w:p>
    <w:p>
      <w:pPr>
        <w:pStyle w:val="CaseBody"/>
      </w:pPr>
      <w:r>
        <w:t xml:space="preserve">Where the moving party adopts this second option and seeks summary judgment on the ground that the nonmoving party — who will bear the burden of persuasion at trial — has</w:t>
      </w:r>
      <w:r>
        <w:rPr>
          <w:rStyle w:val="Elision"/>
        </w:rPr>
        <w:t xml:space="preserve">[ … ]</w:t>
      </w:r>
      <w:r>
        <w:t xml:space="preserve"> </w:t>
      </w:r>
      <w:r>
        <w:t xml:space="preserve">no evidence, the mechanics of discharging Rule 56's burden of production are somewhat trickier. Plainly, a conclusory assertion that the nonmoving party has no evidence is insufficient.</w:t>
      </w:r>
      <w:r>
        <w:rPr>
          <w:rStyle w:val="Elision"/>
        </w:rPr>
        <w:t xml:space="preserve">[ … ]</w:t>
      </w:r>
      <w:r>
        <w:t xml:space="preserve">Such a "burden" of production is no burden at all and would simply permit summary judgment procedure to be converted into a tool for harassment.</w:t>
      </w:r>
      <w:r>
        <w:t xml:space="preserve"> </w:t>
      </w:r>
      <w:r>
        <w:rPr>
          <w:rStyle w:val="Elision"/>
        </w:rPr>
        <w:t xml:space="preserve">[ … ]</w:t>
      </w:r>
      <w:r>
        <w:t xml:space="preserve">. Rather, as the Court confirms, a party who moves for summary judgment on the ground that the nonmoving party has no evidence must affirmatively show the absence of evidence in the record.</w:t>
      </w:r>
      <w:r>
        <w:t xml:space="preserve"> </w:t>
      </w:r>
      <w:r>
        <w:rPr>
          <w:rStyle w:val="Elision"/>
        </w:rPr>
        <w:t xml:space="preserve">[ … ]</w:t>
      </w:r>
      <w:r>
        <w:t xml:space="preserve"> </w:t>
      </w:r>
      <w:r>
        <w:t xml:space="preserve">This may require the moving party to depose the nonmoving party's witnesses or to establish the inadequacy of documentary evidence. If there is literally no evidence in the record, the moving party may demonstrate this by reviewing for the court the admissions, interrogatories, and other exchanges between the parties that are in the record. Either way, however, the moving party must affirmatively demonstrate that there is no evidence in the record to support a judgment for the nonmoving party.</w:t>
      </w:r>
    </w:p>
    <w:p>
      <w:pPr>
        <w:pStyle w:val="CaseBody"/>
      </w:pPr>
      <w:r>
        <w:t xml:space="preserve">If the moving party has not fully discharged this initial burden of production, its motion for summary judgment must be denied, and the court need not consider whether the moving party has met its ultimate burden of persuasion. Accordingly, the nonmoving party may defeat a motion for summary judgment that asserts that the nonmoving party has no evidence by calling the court's attention to supporting evidence already in the record that was overlooked or ignored by the moving party. In that event, the moving party must respond by making an attempt to demonstrate the inadequacy of this evidence, for it is only by attacking all the record evidence allegedly supporting the nonmoving party that a party seeking summary judgment satisfies Rule 56's burden of production</w:t>
      </w:r>
      <w:r>
        <w:rPr>
          <w:rStyle w:val="Elision"/>
        </w:rPr>
        <w:t xml:space="preserve">[ … ]</w:t>
      </w:r>
      <w:hyperlink w:anchor="Xb43b4f81c8ee001b8e8bc1f00653849a498758e">
        <w:r>
          <w:rPr>
            <w:rStyle w:val="Hyperlink"/>
            <w:vertAlign w:val="superscript"/>
          </w:rPr>
          <w:t xml:space="preserve">]</w:t>
        </w:r>
      </w:hyperlink>
      <w:r>
        <w:t xml:space="preserve"> </w:t>
      </w:r>
      <w:r>
        <w:rPr>
          <w:rStyle w:val="Elision"/>
        </w:rPr>
        <w:t xml:space="preserve">[ … ]</w:t>
      </w:r>
    </w:p>
    <w:p>
      <w:pPr>
        <w:pStyle w:val="CaseBody"/>
      </w:pPr>
      <w:r>
        <w:rPr>
          <w:rStyle w:val="Elision"/>
        </w:rPr>
        <w:t xml:space="preserve">[ … ]</w:t>
      </w:r>
    </w:p>
    <w:p>
      <w:pPr>
        <w:pStyle w:val="CaseBody"/>
      </w:pPr>
      <w:r>
        <w:t xml:space="preserve">On these facts, there is simply no question that Celotex failed to discharge its initial burden of production. Having chosen to base its motion on the argument that there was no evidence in the record to support plaintiff's claim, Celotex was not free to ignore supporting evidence that the record clearly contained. Rather, Celotex was required, as an initial matter, to attack the adequacy of this evidence. Celotex' failure to fulfill this simple requirement constituted a failure to discharge its initial burden of production under Rule 56, and thereby rendered summary judgment improper.</w:t>
      </w:r>
      <w:hyperlink w:anchor="X93422e23909f4f50a0bdd564ff9ed83328fadc0">
        <w:r>
          <w:rPr>
            <w:rStyle w:val="Elision"/>
            <w:vertAlign w:val="superscript"/>
          </w:rPr>
          <w:t xml:space="preserve">[ … ]</w:t>
        </w:r>
      </w:hyperlink>
    </w:p>
    <w:p>
      <w:pPr>
        <w:pStyle w:val="CaseBody"/>
      </w:pPr>
      <w:r>
        <w:rPr>
          <w:rStyle w:val="Elision"/>
        </w:rPr>
        <w:t xml:space="preserve">[ … ]</w:t>
      </w:r>
      <w:r>
        <w:t xml:space="preserve">Consequently,</w:t>
      </w:r>
      <w:r>
        <w:rPr>
          <w:rStyle w:val="Elision"/>
        </w:rPr>
        <w:t xml:space="preserve">[ … ]</w:t>
      </w:r>
      <w:r>
        <w:t xml:space="preserve">summary judgment should be denied on the ground that the moving party failed to satisfy its initial burden of production.</w:t>
      </w:r>
      <w:hyperlink w:anchor="Xe737048487853de990c5649e4c41ce6cbd8febc">
        <w:r>
          <w:rPr>
            <w:rStyle w:val="Hyperlink"/>
            <w:vertAlign w:val="superscript"/>
          </w:rPr>
          <w:t xml:space="preserve">[</w:t>
        </w:r>
        <w:r>
          <w:rPr>
            <w:rStyle w:val="Elision"/>
            <w:vertAlign w:val="superscript"/>
          </w:rPr>
          <w:t xml:space="preserve">[ … ]</w:t>
        </w:r>
      </w:hyperlink>
    </w:p>
    <w:p>
      <w:pPr>
        <w:pStyle w:val="CaseBody"/>
      </w:pPr>
      <w:r>
        <w:rPr>
          <w:rStyle w:val="Elision"/>
        </w:rPr>
        <w:t xml:space="preserve">[ … ]</w:t>
      </w:r>
    </w:p>
    <w:bookmarkEnd w:id="224"/>
    <w:p>
      <w:pPr>
        <w:pStyle w:val="NodeEnd"/>
      </w:pPr>
      <w:r>
        <w:t xml:space="preserve"> </w:t>
      </w:r>
    </w:p>
    <w:p>
      <w:pPr>
        <w:pStyle w:val="NodeStart"/>
      </w:pPr>
      <w:r>
        <w:t xml:space="preserve"> </w:t>
      </w:r>
    </w:p>
    <w:p>
      <w:pPr>
        <w:pStyle w:val="HeadSeparator"/>
      </w:pPr>
      <w:r>
        <w:t xml:space="preserve"> </w:t>
      </w:r>
    </w:p>
    <w:bookmarkStart w:id="175" w:name="_auto_toc_175"/>
    <w:bookmarkEnd w:id="175"/>
    <w:p>
      <w:pPr>
        <w:pStyle w:val="ResourceNumber"/>
      </w:pPr>
      <w:r>
        <w:t xml:space="preserve">15.5</w:t>
      </w:r>
    </w:p>
    <w:p>
      <w:pPr>
        <w:pStyle w:val="ResourceTitle"/>
      </w:pPr>
      <w:r>
        <w:t xml:space="preserve">Catrett v. Johns-Manville Sales Corp.</w:t>
      </w:r>
    </w:p>
    <w:p>
      <w:pPr>
        <w:pStyle w:val="HeadFieldSeparator"/>
      </w:pPr>
      <w:r>
        <w:t xml:space="preserve"> </w:t>
      </w:r>
    </w:p>
    <w:p>
      <w:pPr>
        <w:pStyle w:val="ResourceSubtitle"/>
      </w:pPr>
      <w:r>
        <w:t xml:space="preserve">Celotex on remand</w:t>
      </w:r>
    </w:p>
    <w:p>
      <w:pPr>
        <w:pStyle w:val="HeadFieldSeparator"/>
      </w:pPr>
      <w:r>
        <w:t xml:space="preserve"> </w:t>
      </w:r>
    </w:p>
    <w:p>
      <w:pPr>
        <w:pStyle w:val="ResourceHeadnote"/>
      </w:pPr>
      <w:r>
        <w:t xml:space="preserve">The Supreme Court majority opinion remanded the</w:t>
      </w:r>
      <w:r>
        <w:t xml:space="preserve"> </w:t>
      </w:r>
      <w:r>
        <w:rPr>
          <w:iCs/>
          <w:i/>
        </w:rPr>
        <w:t xml:space="preserve">Celotex</w:t>
      </w:r>
      <w:r>
        <w:t xml:space="preserve"> </w:t>
      </w:r>
      <w:r>
        <w:t xml:space="preserve">litigation to the D.C. Circuit. Small pieces of the opinions from the D.C. Circuit's resulting opinion appear below. The panel found that, assuming that the movant (Celotex) had discharged its burden to produce an argument that there was an absence of evidence that the decedent had been exposed to Celotex's asbestos products, the non-moving party (plaintiff) had produced enough evidence of exposure to demonstrate a genuine issue of material fact, and so ruled against summary judgment. The majority reviewed the three documents upon which the plaintiff (Catrett) had based her case: a transcript of testimony in a worker's compensation claim detailing exposure, a letter from the the corporation to an insurance agent detailing the worker's employment, and a letter from the insurance agent (named Hoff) to the plaintiff's counsel. The panel majority agreed with Catrett that, if it ended up being admissible, this evidence could allow a rational jury to infer exposure to Celotex asbestos (specifically, a product called Firebar). Celotex had argued that the documents were inadmissible hearsay, and thus should not have been considered in the Rule 56 motion. The panel majority thought the issue of admissibility was unclear and would thus have to be resolved at trial. In addition, the panel majority suggested that Celotex had failed to raise the issue of the admissibility of the documents in the trial court, and thus should not be heard to argue that point on appeal.</w:t>
      </w:r>
    </w:p>
    <w:p>
      <w:pPr>
        <w:pStyle w:val="HeadEnd"/>
      </w:pPr>
      <w:r>
        <w:t xml:space="preserve"> </w:t>
      </w:r>
    </w:p>
    <w:p>
      <w:pPr>
        <w:pStyle w:val="CaseHeader"/>
      </w:pPr>
      <w:r>
        <w:t xml:space="preserve">United States Court of Appeals for the District of Columbia Circuit</w:t>
      </w:r>
    </w:p>
    <w:p>
      <w:pPr>
        <w:pStyle w:val="CaseHeader"/>
      </w:pPr>
      <w:r>
        <w:t xml:space="preserve">826 F.2d 33</w:t>
      </w:r>
    </w:p>
    <w:p>
      <w:pPr>
        <w:pStyle w:val="CaseHeader"/>
      </w:pPr>
      <w:r>
        <w:t xml:space="preserve">No. 83-1694</w:t>
      </w:r>
    </w:p>
    <w:p>
      <w:pPr>
        <w:pStyle w:val="CaseHeader"/>
      </w:pPr>
      <w:r>
        <w:t xml:space="preserve">1987-08-07</w:t>
      </w:r>
    </w:p>
    <w:p>
      <w:pPr>
        <w:pStyle w:val="CaseBody"/>
      </w:pPr>
      <w:r>
        <w:rPr>
          <w:rStyle w:val="Elision"/>
        </w:rPr>
        <w:t xml:space="preserve">[ … ]</w:t>
      </w:r>
    </w:p>
    <w:p>
      <w:pPr>
        <w:pStyle w:val="CaseBody"/>
      </w:pPr>
      <w:r>
        <w:t xml:space="preserve">STARR, Circuit Judge:</w:t>
      </w:r>
    </w:p>
    <w:p>
      <w:pPr>
        <w:pStyle w:val="CaseBody"/>
      </w:pPr>
      <w:r>
        <w:t xml:space="preserve">This case is before us on remand from the Supreme Court. The sole question is whether the District Court properly granted summary judgment in favor of an asbestos manufacturer in a suit brought by the survivor of a victim of asbestosis.</w:t>
      </w:r>
      <w:r>
        <w:rPr>
          <w:rStyle w:val="Elision"/>
        </w:rPr>
        <w:t xml:space="preserve">[ … ]</w:t>
      </w:r>
      <w:r>
        <w:rPr>
          <w:rStyle w:val="Elision"/>
        </w:rPr>
        <w:t xml:space="preserve">[ … ]</w:t>
      </w:r>
    </w:p>
    <w:p>
      <w:pPr>
        <w:pStyle w:val="CaseBody"/>
      </w:pPr>
      <w:r>
        <w:t xml:space="preserve">In the circumstances of this case, we believe that the Hoff letter should be considered. The inadmissibility of the letter, despite Celotex’s contention to the contrary, is by no means obvious (although we need not and do not pass judgment on its admissibility). Mrs. Catrett argues that the letter is admissible</w:t>
      </w:r>
      <w:r>
        <w:rPr>
          <w:rStyle w:val="Elision"/>
        </w:rPr>
        <w:t xml:space="preserve">[ … ]</w:t>
      </w:r>
      <w:r>
        <w:t xml:space="preserve"> </w:t>
      </w:r>
      <w:r>
        <w:t xml:space="preserve">asserting that the Hoff letter is admissible as falling within the business records exception to the hearsay rule.</w:t>
      </w:r>
      <w:r>
        <w:t xml:space="preserve"> </w:t>
      </w:r>
      <w:r>
        <w:rPr>
          <w:rStyle w:val="Elision"/>
        </w:rPr>
        <w:t xml:space="preserve">[ … ]</w:t>
      </w:r>
      <w:r>
        <w:t xml:space="preserve"> </w:t>
      </w:r>
      <w:r>
        <w:rPr>
          <w:iCs/>
          <w:i/>
        </w:rPr>
        <w:t xml:space="preserve">More importantly, Celotex never objected to the District Court’s consideration of the Hoff letter.</w:t>
      </w:r>
      <w:r>
        <w:t xml:space="preserve"> </w:t>
      </w:r>
      <w:r>
        <w:t xml:space="preserve">To the contrary, in the hearing on Celotex’s two motions, counsel for Celotex discussed in detail the substance of the Hoff letter, and at one point the letter was handed in open court to the District Judge (at his request) for his examination.</w:t>
      </w:r>
      <w:r>
        <w:t xml:space="preserve"> </w:t>
      </w:r>
      <w:r>
        <w:rPr>
          <w:rStyle w:val="Elision"/>
        </w:rPr>
        <w:t xml:space="preserve">[ … ]</w:t>
      </w:r>
    </w:p>
    <w:p>
      <w:pPr>
        <w:pStyle w:val="CaseBody"/>
      </w:pPr>
      <w:r>
        <w:t xml:space="preserve">In this situation, it could scarcely be clearer that the letter was before the District Court; what is more, in the absence of even a hint to the contrary from the trial court (much less a ruling), we can only presume that the document was duly considered by the court in reaching its ruling. After all, the District Judge specifically asked to see the document and was, as we just recounted, furnished a copy moments before handing down his ruling from the bench. Since it is well established that “inadmissible documents may be considered by the court if not challenged,”</w:t>
      </w:r>
      <w:r>
        <w:t xml:space="preserve"> </w:t>
      </w:r>
      <w:r>
        <w:rPr>
          <w:rStyle w:val="Elision"/>
        </w:rPr>
        <w:t xml:space="preserve">[ … ]</w:t>
      </w:r>
      <w:r>
        <w:t xml:space="preserve"> </w:t>
      </w:r>
      <w:r>
        <w:t xml:space="preserve">we are satisfied that the Hoff letter is properly (at this stage) to be considered in assessing whether a genuine issue of fact exists.</w:t>
      </w:r>
    </w:p>
    <w:p>
      <w:pPr>
        <w:pStyle w:val="CaseBody"/>
      </w:pPr>
      <w:r>
        <w:t xml:space="preserve">The second item also relates to Mr. Hoff. In her supplemental interrogatory responses, Mrs. Catrett listed Hoff as a witness. There can, of course, be no doubt that this response is properly considered in ruling on a summary judgment motion.</w:t>
      </w:r>
      <w:r>
        <w:t xml:space="preserve"> </w:t>
      </w:r>
      <w:r>
        <w:rPr>
          <w:iCs/>
          <w:i/>
        </w:rPr>
        <w:t xml:space="preserve">See</w:t>
      </w:r>
      <w:r>
        <w:t xml:space="preserve"> </w:t>
      </w:r>
      <w:r>
        <w:t xml:space="preserve">Fed.R. Civ.P. 56(c) (specifically listing “answers to interrogatories” as items that may be considered). Taking this response together with the Hoff letter, the record, dispassionately viewed, reflects the existence of a witness who can testify with respect to Mr. Catrett’s exposure to Firebar.</w:t>
      </w:r>
      <w:hyperlink w:anchor="X25d0485bf5bc6698a6cd5e5da87bb8b5e3f8ec4">
        <w:r>
          <w:rPr>
            <w:rStyle w:val="Elision"/>
          </w:rPr>
          <w:t xml:space="preserve">[ … ]</w:t>
        </w:r>
      </w:hyperlink>
      <w:r>
        <w:t xml:space="preserve"> </w:t>
      </w:r>
      <w:r>
        <w:t xml:space="preserve">Thus, even if the Hoff letter itself would not be admissible at trial, Mrs. Catrett has gone on to indicate that the substance of the letter is reducible to admissible evidence in the form of trial testimony.</w:t>
      </w:r>
      <w:r>
        <w:t xml:space="preserve"> </w:t>
      </w:r>
      <w:r>
        <w:rPr>
          <w:iCs/>
          <w:i/>
        </w:rPr>
        <w:t xml:space="preserve">See Celotex Corp. v. Catrett,</w:t>
      </w:r>
      <w:r>
        <w:t xml:space="preserve"> </w:t>
      </w:r>
      <w:r>
        <w:t xml:space="preserve">106 S.Ct. at 2553</w:t>
      </w:r>
      <w:r>
        <w:t xml:space="preserve"> </w:t>
      </w:r>
      <w:r>
        <w:t xml:space="preserve">(“We do not mean that the nonmoving party must produce evidence in a form that would be admissible at trial in order to avoid summary judgment.”).</w:t>
      </w:r>
      <w:hyperlink w:anchor="X2a3d9a7ff9aa21a75b795878d1430bce26cef04">
        <w:r>
          <w:rPr>
            <w:rStyle w:val="Elision"/>
          </w:rPr>
          <w:t xml:space="preserve">[ … ]</w:t>
        </w:r>
      </w:hyperlink>
    </w:p>
    <w:p>
      <w:pPr>
        <w:pStyle w:val="CaseBody"/>
      </w:pPr>
      <w:r>
        <w:t xml:space="preserve">Third, as we recounted above, the record contains several documents,</w:t>
      </w:r>
      <w:r>
        <w:t xml:space="preserve"> </w:t>
      </w:r>
      <w:r>
        <w:rPr>
          <w:iCs/>
          <w:i/>
        </w:rPr>
        <w:t xml:space="preserve">submitted by Celotex,</w:t>
      </w:r>
      <w:r>
        <w:t xml:space="preserve"> </w:t>
      </w:r>
      <w:r>
        <w:t xml:space="preserve">recording the sale of Firebar to Anning-Johnson during the period when Mr. Catrett worked there.</w:t>
      </w:r>
      <w:r>
        <w:t xml:space="preserve"> </w:t>
      </w:r>
      <w:r>
        <w:rPr>
          <w:rStyle w:val="Elision"/>
        </w:rPr>
        <w:t xml:space="preserve">[ … ]</w:t>
      </w:r>
      <w:r>
        <w:t xml:space="preserve"> </w:t>
      </w:r>
      <w:r>
        <w:t xml:space="preserve">These documents operate to put Firebar and Mr. Catrett in the same place at the same time. Since Mrs. Catrett’s interrogatory responses make it abundantly clear that Mr. Catrett’s particular vocation was the application of fireproofing, these documents go a long way toward creating a genuine issue with respect to Mr. Catrett’s exposure to Firebar.</w:t>
      </w:r>
    </w:p>
    <w:p>
      <w:pPr>
        <w:pStyle w:val="CaseBody"/>
      </w:pPr>
      <w:r>
        <w:t xml:space="preserve">Fourth, the record reflects a direct link among the three corporate entities or divisions of relevance, namely Carey-Canadian Asbestos, Panacon Corporation, and Celotex. Carey-Canadian is identified in the sales records furnished by Celotex as the entity selling Firebar to Anning-Johnson, Mr. Catrett’s employer. Those sales records describe Carey-Canadian as “A Division of Panacon Corporation.” D.E. 129 Exhibit D. Celotex’s interrogatory responses, in turn, relate that Panacon was merged into Celotex in 1972 (thus corroborating the more general statements as to corporate ownership found in the Hoff letter). The responses stated, in addition, that “[tjhis merger was ... statutory, and The Celotex Corporation assumed the assets and ordinary liabilities of Panacon Corporation.” D.E. 80 Exhibit A. Thus, notwithstanding Celotex’s protestations to the contrary,</w:t>
      </w:r>
      <w:r>
        <w:rPr>
          <w:rStyle w:val="Elision"/>
        </w:rPr>
        <w:t xml:space="preserve">[ … ]</w:t>
      </w:r>
      <w:r>
        <w:t xml:space="preserve">the record before the District Court evinces a clear link between Carey-Canadian and Celotex, and thus between Celotex and Firebar.</w:t>
      </w:r>
    </w:p>
    <w:p>
      <w:pPr>
        <w:pStyle w:val="CaseBody"/>
      </w:pPr>
      <w:r>
        <w:t xml:space="preserve">If Celotex desires to press its contention that it is not liable for any injury or death caused by the use of Firebar, it is obviously at liberty to do so. We need not and do not pass judgment on the merits of any such contention. Our conclusion in this respect is much narrower; we are satisfied that the record before the District Court when it granted summary judgment admits of only one conclusion — Celotex is responsible for the ordinary liabilities of Carey-Canadian.</w:t>
      </w:r>
    </w:p>
    <w:p>
      <w:pPr>
        <w:pStyle w:val="CaseBody"/>
      </w:pPr>
      <w:r>
        <w:rPr>
          <w:rStyle w:val="Elision"/>
        </w:rPr>
        <w:t xml:space="preserve">[ … ]</w:t>
      </w:r>
    </w:p>
    <w:p>
      <w:pPr>
        <w:pStyle w:val="CaseBody"/>
      </w:pPr>
      <w:r>
        <w:rPr>
          <w:rStyle w:val="Elision"/>
        </w:rPr>
        <w:t xml:space="preserve">[ … ]</w:t>
      </w:r>
    </w:p>
    <w:p>
      <w:pPr>
        <w:pStyle w:val="CaseBody"/>
      </w:pPr>
      <w:r>
        <w:rPr>
          <w:iCs/>
          <w:i/>
        </w:rPr>
        <w:t xml:space="preserve">It is so ordered.</w:t>
      </w:r>
    </w:p>
    <w:p>
      <w:pPr>
        <w:pStyle w:val="CaseBody"/>
      </w:pPr>
      <w:r>
        <w:t xml:space="preserve">BORK, Circuit Judge,</w:t>
      </w:r>
    </w:p>
    <w:p>
      <w:pPr>
        <w:pStyle w:val="CaseBody"/>
      </w:pPr>
      <w:r>
        <w:t xml:space="preserve">dissenting:</w:t>
      </w:r>
    </w:p>
    <w:p>
      <w:pPr>
        <w:pStyle w:val="CaseBody"/>
      </w:pPr>
      <w:r>
        <w:rPr>
          <w:rStyle w:val="Elision"/>
        </w:rPr>
        <w:t xml:space="preserve">[ … ]</w:t>
      </w:r>
      <w:r>
        <w:rPr>
          <w:rStyle w:val="Elision"/>
        </w:rPr>
        <w:t xml:space="preserve">[ … ]</w:t>
      </w:r>
      <w:r>
        <w:rPr>
          <w:rStyle w:val="FootnoteReference"/>
        </w:rPr>
        <w:footnoteReference w:customMarkFollows="1" w:id="40"/>
        <w:t xml:space="preserve">*</w:t>
      </w:r>
    </w:p>
    <w:p>
      <w:pPr>
        <w:pStyle w:val="CaseBody"/>
      </w:pPr>
      <w:r>
        <w:t xml:space="preserve">The central issue here on motion for summary judgment is causation. Defendant alleges that plaintiff has made no showing that anyone can offer personal knowledge that any exposure to asbestos occurred in this case. I agree that plaintiff has not identified “specific facts” that would indicate such exposure occurred</w:t>
      </w:r>
      <w:r>
        <w:rPr>
          <w:rStyle w:val="Elision"/>
        </w:rPr>
        <w:t xml:space="preserve">[ … ]</w:t>
      </w:r>
      <w:r>
        <w:t xml:space="preserve">. I would therefore grant defendant’s motion for summary judgment.</w:t>
      </w:r>
    </w:p>
    <w:p>
      <w:pPr>
        <w:pStyle w:val="CaseBody"/>
      </w:pPr>
      <w:r>
        <w:t xml:space="preserve">Plaintiff has identified two items that may bear on whether anyone has personal knowledge of exposure to asbestos in this case. One is plaintiff’s listing of T.R. Hoff, assistant secretary at a company where plaintiff’s husband had been employed for one year, as a potential witness in the case. The other is a letter from Hoff to his company’s insurer, which states from the company records the dates plaintiff’s husband had been employed, his general duties, and the names of the manufacturers of asbestos products used by the company during that period. Together, these items are thought to provide sufficient “specific facts” to defeat a summary judgment motion on the issue of causation.</w:t>
      </w:r>
    </w:p>
    <w:p>
      <w:pPr>
        <w:pStyle w:val="CaseBody"/>
      </w:pPr>
      <w:r>
        <w:t xml:space="preserve">It would seem apparent that the mere listing of a potential witness, without more, does not constitute setting forth specific facts. Here plaintiff has never claimed that Mr. Hoff has any personal knowledge that her husband was exposed to asbestos during his year of work at this company, and indeed did not specify the grounds of his possible testimony at all, except to say that he would be able to testify about “facts relevant to the subject matter of this lawsuit.”</w:t>
      </w:r>
      <w:r>
        <w:t xml:space="preserve"> </w:t>
      </w:r>
      <w:r>
        <w:rPr>
          <w:rStyle w:val="Elision"/>
        </w:rPr>
        <w:t xml:space="preserve">[ … ]</w:t>
      </w:r>
      <w:r>
        <w:t xml:space="preserve"> </w:t>
      </w:r>
      <w:r>
        <w:rPr>
          <w:rStyle w:val="Elision"/>
        </w:rPr>
        <w:t xml:space="preserve">[ … ]</w:t>
      </w:r>
      <w:r>
        <w:rPr>
          <w:rStyle w:val="Elision"/>
        </w:rPr>
        <w:t xml:space="preserve">[ … ]</w:t>
      </w:r>
    </w:p>
    <w:p>
      <w:pPr>
        <w:pStyle w:val="CaseBody"/>
      </w:pPr>
      <w:r>
        <w:t xml:space="preserve">The majority concludes, however, that we should interpret plaintiff’s listing of Mr. Hoff as a witness in light of his letter to the insurance company, thereby finding enough evidence to stave off the equivalent of a motion for directed verdict on causation. This conclusion is incorrect for two reasons. First, the sum total of all this “evidence” falls far short of showing, or even suggesting, that anyone has been identified who can testify from personal knowledge about any asbestos exposure. That lack alone requires that defendant’s motion for summary judgment be granted.</w:t>
      </w:r>
    </w:p>
    <w:p>
      <w:pPr>
        <w:pStyle w:val="CaseBody"/>
      </w:pPr>
      <w:r>
        <w:t xml:space="preserve">In addition, and also dispositive, the letter itself is inadmissible as evidence and thus cannot be considered by this court in evaluating the summary judgment motion.</w:t>
      </w:r>
      <w:r>
        <w:t xml:space="preserve"> </w:t>
      </w:r>
      <w:r>
        <w:rPr>
          <w:rStyle w:val="Elision"/>
        </w:rPr>
        <w:t xml:space="preserve">[ … ]</w:t>
      </w:r>
      <w:r>
        <w:t xml:space="preserve"> </w:t>
      </w:r>
      <w:r>
        <w:rPr>
          <w:rStyle w:val="Elision"/>
        </w:rPr>
        <w:t xml:space="preserve">[ … ]</w:t>
      </w:r>
    </w:p>
    <w:p>
      <w:pPr>
        <w:pStyle w:val="CaseBody"/>
      </w:pPr>
      <w:r>
        <w:t xml:space="preserve">For these reasons, I think plaintiff has not carried her burden in resisting summary judgment.</w:t>
      </w:r>
      <w:r>
        <w:t xml:space="preserve"> </w:t>
      </w:r>
      <w:r>
        <w:rPr>
          <w:rStyle w:val="Elision"/>
        </w:rPr>
        <w:t xml:space="preserve">[ … ]</w:t>
      </w:r>
      <w:r>
        <w:rPr>
          <w:rStyle w:val="Elision"/>
        </w:rPr>
        <w:t xml:space="preserve">[ … ]</w:t>
      </w:r>
      <w:r>
        <w:t xml:space="preserve">I respectfully dissent.</w:t>
      </w:r>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176" w:name="_auto_toc_176"/>
    <w:bookmarkEnd w:id="176"/>
    <w:p>
      <w:pPr>
        <w:pStyle w:val="ResourceNumber"/>
      </w:pPr>
      <w:r>
        <w:t xml:space="preserve">15.6</w:t>
      </w:r>
    </w:p>
    <w:p>
      <w:pPr>
        <w:pStyle w:val="ResourceTitle"/>
      </w:pPr>
      <w:r>
        <w:t xml:space="preserve">Handout on Summary Judgment</w:t>
      </w:r>
    </w:p>
    <w:p>
      <w:pPr>
        <w:pStyle w:val="HeadFieldSeparator"/>
      </w:pPr>
      <w:r>
        <w:t xml:space="preserve"> </w:t>
      </w:r>
    </w:p>
    <w:p>
      <w:pPr>
        <w:pStyle w:val="ResourceHeadnote"/>
      </w:pPr>
      <w:r>
        <w:t xml:space="preserve">Below is a link to a study guide outline of the summary judgment schematic in Justice Brennan's</w:t>
      </w:r>
      <w:r>
        <w:t xml:space="preserve"> </w:t>
      </w:r>
      <w:r>
        <w:rPr>
          <w:iCs/>
          <w:i/>
        </w:rPr>
        <w:t xml:space="preserve">Celotex</w:t>
      </w:r>
      <w:r>
        <w:t xml:space="preserve"> </w:t>
      </w:r>
      <w:r>
        <w:t xml:space="preserve">dissent that a former TA created a few years ago. It is optional. Feel free to disregard this document and make your own outline if you prefer.</w:t>
      </w:r>
    </w:p>
    <w:p>
      <w:pPr>
        <w:pStyle w:val="HeadEnd"/>
      </w:pPr>
      <w:r>
        <w:t xml:space="preserve"> </w:t>
      </w:r>
    </w:p>
    <w:p>
      <w:pPr>
        <w:pStyle w:val="BodyText"/>
      </w:pPr>
      <w:r>
        <w:t xml:space="preserve">Find the handout</w:t>
      </w:r>
      <w:r>
        <w:t xml:space="preserve"> </w:t>
      </w:r>
      <w:hyperlink r:id="rId225">
        <w:r>
          <w:rPr>
            <w:rStyle w:val="Hyperlink"/>
          </w:rPr>
          <w:t xml:space="preserve">here</w:t>
        </w:r>
      </w:hyperlink>
      <w:r>
        <w:t xml:space="preserve"> (Word doc).</w:t>
      </w:r>
    </w:p>
    <w:p>
      <w:pPr>
        <w:pStyle w:val="NodeEnd"/>
      </w:pPr>
      <w:r>
        <w:t xml:space="preserve"> </w:t>
      </w:r>
    </w:p>
    <w:p>
      <w:pPr>
        <w:pStyle w:val="NodeStart"/>
      </w:pPr>
      <w:r>
        <w:t xml:space="preserve"> </w:t>
      </w:r>
    </w:p>
    <w:p>
      <w:pPr>
        <w:pStyle w:val="HeadSeparator"/>
      </w:pPr>
      <w:r>
        <w:t xml:space="preserve"> </w:t>
      </w:r>
    </w:p>
    <w:bookmarkStart w:id="177" w:name="_auto_toc_177"/>
    <w:bookmarkEnd w:id="177"/>
    <w:p>
      <w:pPr>
        <w:pStyle w:val="ResourceNumber"/>
      </w:pPr>
      <w:r>
        <w:t xml:space="preserve">15.7</w:t>
      </w:r>
    </w:p>
    <w:p>
      <w:pPr>
        <w:pStyle w:val="ResourceTitle"/>
      </w:pPr>
      <w:r>
        <w:t xml:space="preserve">Scott v. Harris</w:t>
      </w:r>
    </w:p>
    <w:p>
      <w:pPr>
        <w:pStyle w:val="HeadFieldSeparator"/>
      </w:pPr>
      <w:r>
        <w:t xml:space="preserve"> </w:t>
      </w:r>
    </w:p>
    <w:p>
      <w:pPr>
        <w:pStyle w:val="ResourceHeadnote"/>
      </w:pPr>
      <w:r>
        <w:t xml:space="preserve">After</w:t>
      </w:r>
      <w:r>
        <w:t xml:space="preserve"> </w:t>
      </w:r>
      <w:r>
        <w:rPr>
          <w:iCs/>
          <w:i/>
        </w:rPr>
        <w:t xml:space="preserve">Celotex</w:t>
      </w:r>
      <w:r>
        <w:t xml:space="preserve"> </w:t>
      </w:r>
      <w:r>
        <w:t xml:space="preserve">(and the cases decided in that same term), district courts began to make greater use of summary judgment to dispose of cases prior to trial. One issue that arose with some frequency (including in my own six years in practice): when a solid amount of discovery evidence supports one side, but there is, say, a scintilla in opposition, does Rule 56 allow summary judgment? What is sufficient to create a genuine issue of material fact?</w:t>
      </w:r>
    </w:p>
    <w:p>
      <w:pPr>
        <w:pStyle w:val="ResourceHeadnote"/>
      </w:pPr>
      <w:r>
        <w:t xml:space="preserve">What about the case, for example, in which purportedly objective evidence (query how objective) supports one side, but the opposing litigant swears under oath to a different version of events? The Supreme Court addresses such a situation in the next opinion.</w:t>
      </w:r>
    </w:p>
    <w:p>
      <w:pPr>
        <w:pStyle w:val="HeadEnd"/>
      </w:pPr>
      <w:r>
        <w:t xml:space="preserve"> </w:t>
      </w:r>
    </w:p>
    <w:p>
      <w:pPr>
        <w:pStyle w:val="CaseHeader"/>
      </w:pPr>
      <w:r>
        <w:t xml:space="preserve">Supreme Court of the United States</w:t>
      </w:r>
    </w:p>
    <w:p>
      <w:pPr>
        <w:pStyle w:val="CaseHeader"/>
      </w:pPr>
      <w:r>
        <w:t xml:space="preserve">550 U.S. 372, 167 L. Ed. 2d 686, 127 S. Ct. 1769, SCDB 2006-037, 2007 U.S. LEXIS 4748</w:t>
      </w:r>
    </w:p>
    <w:p>
      <w:pPr>
        <w:pStyle w:val="CaseHeader"/>
      </w:pPr>
      <w:r>
        <w:t xml:space="preserve">No. 05-1631</w:t>
      </w:r>
    </w:p>
    <w:p>
      <w:pPr>
        <w:pStyle w:val="CaseHeader"/>
      </w:pPr>
      <w:r>
        <w:t xml:space="preserve">2007-04-30</w:t>
      </w:r>
    </w:p>
    <w:p>
      <w:pPr>
        <w:pStyle w:val="CaseBody"/>
      </w:pPr>
      <w:r>
        <w:rPr>
          <w:rStyle w:val="Elision"/>
        </w:rPr>
        <w:t xml:space="preserve">[ … ]</w:t>
      </w:r>
    </w:p>
    <w:p>
      <w:pPr>
        <w:pStyle w:val="CaseBody"/>
      </w:pPr>
      <w:r>
        <w:t xml:space="preserve">Justice Scalia</w:t>
      </w:r>
    </w:p>
    <w:p>
      <w:pPr>
        <w:pStyle w:val="CaseBody"/>
      </w:pPr>
      <w:r>
        <w:t xml:space="preserve">delivered the opinion of the Court.</w:t>
      </w:r>
    </w:p>
    <w:p>
      <w:pPr>
        <w:pStyle w:val="CaseBody"/>
      </w:pPr>
      <w:r>
        <w:rPr>
          <w:rStyle w:val="Elision"/>
        </w:rPr>
        <w:t xml:space="preserve">[ … ]</w:t>
      </w:r>
    </w:p>
    <w:p>
      <w:pPr>
        <w:pStyle w:val="CaseBody"/>
      </w:pPr>
      <w:r>
        <w:t xml:space="preserve">I</w:t>
      </w:r>
    </w:p>
    <w:p>
      <w:pPr>
        <w:pStyle w:val="CaseBody"/>
      </w:pPr>
      <w:r>
        <w:t xml:space="preserve">In March 2001, a Georgia county deputy clocked respondent’s vehicle traveling at 73 miles per hour on a road with a 55-mile-per-hour speed limit. The deputy activated his blue flashing lights indicating that respondent should pull over. Instead, respondent sped away, initiating a chase down what is in most portions a two-lane road, at speeds exceeding 85 miles per hour. The deputy radioed his dispatch to report that he was pursuing a fleeing vehicle, and broadcast its license plate number. Petitioner, Deputy Timothy Scott, heard the radio communication and joined the pursuit along with other officers. In the midst of the chase, respondent pulled into the parking lot of a shopping center and was nearly boxed in by the various police vehicles. Respondent evaded the trap by making a sharp turn, colliding with Scott’s police car, exiting the parking lot, and speeding off once again down a two-lane highway.</w:t>
      </w:r>
    </w:p>
    <w:p>
      <w:pPr>
        <w:pStyle w:val="CaseBody"/>
      </w:pPr>
      <w:r>
        <w:t xml:space="preserve">Following respondent’s shopping center maneuvering, which resulted in slight damage to Scott’s police car, Scott took over as the lead pursuit vehicle. Six minutes and nearly 10 miles after the chase had begun, Scott decided to attempt to terminate the episode by employing a “Precision Intervention Technique (‘PIT’) maneuver, which causes the fleeing vehicle to spin to a stop.” Brief for Petitioner 4. Having radioed his supervisor for permission, Scott was told to “‘[g]o ahead and take him out.’”</w:t>
      </w:r>
      <w:r>
        <w:rPr>
          <w:rStyle w:val="Elision"/>
        </w:rPr>
        <w:t xml:space="preserve">[ … ]</w:t>
      </w:r>
      <w:r>
        <w:t xml:space="preserve"> </w:t>
      </w:r>
      <w:r>
        <w:t xml:space="preserve">Instead, Scott applied his push bumper to the rear of respondent’s vehicle.</w:t>
      </w:r>
      <w:hyperlink w:anchor="Xc24a7d25d71757721f8c9e5001c18ac37ff8188">
        <w:r>
          <w:rPr>
            <w:rStyle w:val="Elision"/>
          </w:rPr>
          <w:t xml:space="preserve">[ … ]</w:t>
        </w:r>
      </w:hyperlink>
      <w:r>
        <w:t xml:space="preserve">As a result, respondent lost control of his vehicle, which left the roadway, ran down an embankment, overturned, and crashed. Respondent was badly injured and was rendered a quadriplegic.</w:t>
      </w:r>
    </w:p>
    <w:p>
      <w:pPr>
        <w:pStyle w:val="CaseBody"/>
      </w:pPr>
      <w:r>
        <w:t xml:space="preserve">Respondent filed suit against Deputy Scott and others under</w:t>
      </w:r>
      <w:r>
        <w:t xml:space="preserve"> </w:t>
      </w:r>
      <w:r>
        <w:rPr>
          <w:rStyle w:val="Elision"/>
        </w:rPr>
        <w:t xml:space="preserve">[ … ]</w:t>
      </w:r>
      <w:r>
        <w:t xml:space="preserve"> </w:t>
      </w:r>
      <w:r>
        <w:t xml:space="preserve">42 U. S. C. § 1983, alleging,</w:t>
      </w:r>
      <w:r>
        <w:t xml:space="preserve"> </w:t>
      </w:r>
      <w:r>
        <w:rPr>
          <w:iCs/>
          <w:i/>
        </w:rPr>
        <w:t xml:space="preserve">inter alia,</w:t>
      </w:r>
      <w:r>
        <w:t xml:space="preserve"> </w:t>
      </w:r>
      <w:r>
        <w:t xml:space="preserve">a violation of his federal constitutional rights, viz. use of excessive force resulting in an unreasonable seizure under the Fourth Amendment. I</w:t>
      </w:r>
      <w:r>
        <w:t xml:space="preserve">n response, Scott filed a motion for summary judgment based on an assertion of qualified immunity. The District Court denied the motion, finding that “there are material issues of fact on which the issue of qualified immunity turns which present sufficient disagreement to require submission to a jury.”</w:t>
      </w:r>
      <w:r>
        <w:t xml:space="preserve"> </w:t>
      </w:r>
    </w:p>
    <w:p>
      <w:pPr>
        <w:pStyle w:val="CaseBody"/>
      </w:pPr>
      <w:r>
        <w:rPr>
          <w:rStyle w:val="Elision"/>
        </w:rPr>
        <w:t xml:space="preserve">[ … ]</w:t>
      </w:r>
      <w:r>
        <w:t xml:space="preserve"> </w:t>
      </w:r>
      <w:r>
        <w:t xml:space="preserve">On interlocutory appeal,</w:t>
      </w:r>
      <w:hyperlink w:anchor="X2f8ea96776f9ba8158ce510ad037d924992380f">
        <w:r>
          <w:rPr>
            <w:rStyle w:val="Elision"/>
          </w:rPr>
          <w:t xml:space="preserve">[ … ]</w:t>
        </w:r>
      </w:hyperlink>
      <w:r>
        <w:t xml:space="preserve">the United States Court of Appeals for the Eleventh Circuit affirmed the District Court’s decision to allow respondent’s Fourth Amendment claim against Scott to proceed to trial</w:t>
      </w:r>
      <w:r>
        <w:rPr>
          <w:rStyle w:val="Elision"/>
        </w:rPr>
        <w:t xml:space="preserve">[ … ]</w:t>
      </w:r>
      <w:r>
        <w:rPr>
          <w:rStyle w:val="Elision"/>
        </w:rPr>
        <w:t xml:space="preserve">[ … ]</w:t>
      </w:r>
      <w:r>
        <w:rPr>
          <w:rStyle w:val="FootnoteReference"/>
        </w:rPr>
        <w:footnoteReference w:customMarkFollows="1" w:id="41"/>
        <w:t xml:space="preserve">*</w:t>
      </w:r>
    </w:p>
    <w:p>
      <w:pPr>
        <w:pStyle w:val="CaseBody"/>
      </w:pPr>
      <w:r>
        <w:rPr>
          <w:rStyle w:val="Elision"/>
        </w:rPr>
        <w:t xml:space="preserve">[ … ]</w:t>
      </w:r>
    </w:p>
    <w:p>
      <w:pPr>
        <w:pStyle w:val="CaseBody"/>
      </w:pPr>
      <w:r>
        <w:t xml:space="preserve">Ill</w:t>
      </w:r>
    </w:p>
    <w:p>
      <w:pPr>
        <w:pStyle w:val="CaseBody"/>
      </w:pPr>
      <w:r>
        <w:t xml:space="preserve">A</w:t>
      </w:r>
    </w:p>
    <w:p>
      <w:pPr>
        <w:pStyle w:val="CaseBody"/>
      </w:pPr>
      <w:r>
        <w:t xml:space="preserve">The first step in assessing the constitutionality of Scott’s actions is to determine the relevant facts. As this case was decided on summary judgment, there have not yet been factual findings by a judge or jury, and respondent’s version of events (unsurprisingly) differs substantially from Scott’s version. When things are in such a posture, courts are required to view the facts and draw reasonable inferences “in the light most favorable to the party opposing the [summary judgment] motion.”</w:t>
      </w:r>
      <w:r>
        <w:t xml:space="preserve"> </w:t>
      </w:r>
      <w:r>
        <w:rPr>
          <w:rStyle w:val="Elision"/>
        </w:rPr>
        <w:t xml:space="preserve">[ … ]</w:t>
      </w:r>
      <w:r>
        <w:t xml:space="preserve"> </w:t>
      </w:r>
      <w:r>
        <w:t xml:space="preserve">In qualified immunity cases, this usually means adopting</w:t>
      </w:r>
      <w:r>
        <w:t xml:space="preserve"> </w:t>
      </w:r>
      <w:r>
        <w:rPr>
          <w:rStyle w:val="Elision"/>
        </w:rPr>
        <w:t xml:space="preserve">[ … ]</w:t>
      </w:r>
      <w:r>
        <w:t xml:space="preserve">the plaintiff’s version of the facts.</w:t>
      </w:r>
    </w:p>
    <w:p>
      <w:pPr>
        <w:pStyle w:val="CaseBody"/>
      </w:pPr>
      <w:r>
        <w:t xml:space="preserve">There is, however, an added wrinkle in this case: existence in the record of a videotape capturing the events in question. There are no allegations or indications that this videotape was doctored or altered in any way, nor any contention that what it depicts differs from what actually happened. The videotape quite clearly contradicts the version of the story told by</w:t>
      </w:r>
      <w:r>
        <w:t xml:space="preserve"> </w:t>
      </w:r>
      <w:r>
        <w:rPr>
          <w:rStyle w:val="ReplacementText"/>
        </w:rPr>
        <w:t xml:space="preserve">the plaintiff.</w:t>
      </w:r>
      <w:hyperlink w:anchor="X5bb3e2c4a56d413a5451c33e92599f0d5bb7338">
        <w:r>
          <w:rPr>
            <w:rStyle w:val="Elision"/>
          </w:rPr>
          <w:t xml:space="preserve">[ … ]</w:t>
        </w:r>
      </w:hyperlink>
      <w:r>
        <w:t xml:space="preserve">For example, the</w:t>
      </w:r>
      <w:r>
        <w:rPr>
          <w:rStyle w:val="ReplacementText"/>
        </w:rPr>
        <w:t xml:space="preserve">plaintiff asserted</w:t>
      </w:r>
      <w:r>
        <w:t xml:space="preserve"> </w:t>
      </w:r>
      <w:r>
        <w:t xml:space="preserve">that, during the chase, “there was little, if any, actual threat to pedestrians or other motorists, as the roads were mostly empty and [respondent] remained in control of his vehicle.” 433 F. 3d, at 815. Indeed,</w:t>
      </w:r>
      <w:r>
        <w:t xml:space="preserve"> </w:t>
      </w:r>
      <w:r>
        <w:rPr>
          <w:rStyle w:val="ReplacementText"/>
        </w:rPr>
        <w:t xml:space="preserve">under the plaintiff's version of events,</w:t>
      </w:r>
      <w:r>
        <w:t xml:space="preserve">one gets the impression that</w:t>
      </w:r>
      <w:r>
        <w:t xml:space="preserve"> </w:t>
      </w:r>
      <w:r>
        <w:rPr>
          <w:rStyle w:val="ReplacementText"/>
        </w:rPr>
        <w:t xml:space="preserve">the plaintiff</w:t>
      </w:r>
      <w:r>
        <w:t xml:space="preserve">, rather than fleeing from police, was attempting to pass his driving test:</w:t>
      </w:r>
    </w:p>
    <w:p>
      <w:pPr>
        <w:pStyle w:val="BlockText"/>
      </w:pPr>
      <w:r>
        <w:rPr>
          <w:rStyle w:val="Elision"/>
        </w:rPr>
        <w:t xml:space="preserve">[ … ]</w:t>
      </w:r>
    </w:p>
    <w:p>
      <w:pPr>
        <w:pStyle w:val="CaseBody"/>
      </w:pPr>
      <w:r>
        <w:t xml:space="preserve">The videotape tells quite a different story. There we see respondent’s vehicle racing down narrow, two-lane roads in the dead of night at speeds that are shockingly fast. We see it swerve around more than a dozen other cars, cross the double-yellow line, and force cars traveling in both directions to their respective shoulders to avoid being hit.</w:t>
      </w:r>
      <w:hyperlink w:anchor="X5b4709d0fc4a169e00bf7a771dae802ea8d9387">
        <w:r>
          <w:rPr>
            <w:rStyle w:val="Elision"/>
          </w:rPr>
          <w:t xml:space="preserve">[ … ]</w:t>
        </w:r>
      </w:hyperlink>
      <w:r>
        <w:t xml:space="preserve">We see it run multiple red lights and travel for considerable periods of time in the occasional center left-turn-only lane, chased by numerous police cars forced to engage in the same hazardous maneuvers just to keep up. Far from being the cautious and controlled driver the lower court depicts, what we see on the video more closely resembles a Hollywood-style car chase of the most frightening sort, placing police officers and innocent bystanders alike at great risk of serious injury.</w:t>
      </w:r>
      <w:hyperlink w:anchor="X76da06b04d0d72d11ba388314bfe11f968c2a00">
        <w:r>
          <w:rPr>
            <w:rStyle w:val="Elision"/>
          </w:rPr>
          <w:t xml:space="preserve">[ … ]</w:t>
        </w:r>
      </w:hyperlink>
    </w:p>
    <w:p>
      <w:pPr>
        <w:pStyle w:val="CaseBody"/>
      </w:pPr>
      <w:r>
        <w:t xml:space="preserve">At the summary judgment stage, facts must be viewed in the light most favorable to the nonmoving party only if there is a “genuine” dispute as to those facts.</w:t>
      </w:r>
      <w:r>
        <w:t xml:space="preserve"> </w:t>
      </w:r>
      <w:r>
        <w:rPr>
          <w:rStyle w:val="Elision"/>
        </w:rPr>
        <w:t xml:space="preserve">[ … ]</w:t>
      </w:r>
      <w:r>
        <w:t xml:space="preserve">When opposing parties tell two different stories, one of which is blatantly contradicted by the record, so that no reasonable jury could believe it, a court should not adopt that version of the facts for purposes of ruling on a motion for summary judgment.</w:t>
      </w:r>
    </w:p>
    <w:p>
      <w:pPr>
        <w:pStyle w:val="CaseBody"/>
      </w:pPr>
      <w:r>
        <w:t xml:space="preserve">That was the case here with regard to the factual issue whether respondent was driving in such fashion as to endanger human life. Respondent’s version of events is so utterly discredited by the record that no reasonable jury could have believed him. The Court of Appeals should not have relied on such visible fiction; it should have viewed the facts in the light depicted by the videotape.</w:t>
      </w:r>
    </w:p>
    <w:p>
      <w:pPr>
        <w:pStyle w:val="CaseBody"/>
      </w:pPr>
      <w:r>
        <w:t xml:space="preserve">B</w:t>
      </w:r>
    </w:p>
    <w:p>
      <w:pPr>
        <w:pStyle w:val="CaseBody"/>
      </w:pPr>
      <w:r>
        <w:t xml:space="preserve">Judging the matter on that basis, we think it is quite clear that Deputy Scott did not violate the Fourth Amendment.</w:t>
      </w:r>
      <w:r>
        <w:t xml:space="preserve"> </w:t>
      </w:r>
      <w:r>
        <w:rPr>
          <w:rStyle w:val="Elision"/>
        </w:rPr>
        <w:t xml:space="preserve">[ … ]</w:t>
      </w:r>
    </w:p>
    <w:p>
      <w:pPr>
        <w:pStyle w:val="CaseBody"/>
      </w:pPr>
      <w:r>
        <w:t xml:space="preserve">* * *</w:t>
      </w:r>
    </w:p>
    <w:p>
      <w:pPr>
        <w:pStyle w:val="CaseBody"/>
      </w:pPr>
      <w:r>
        <w:t xml:space="preserve">The car chase that respondent initiated in this case posed a substantial and immediate risk of serious physical injury to others; no reasonable jury could conclude otherwise. Scott's attempt to terminate the chase by forcing respondent off the road was reasonable, and Scott is entitled to summary judgment. The Court of Appeals’ judgment to the contrary is reversed.</w:t>
      </w:r>
    </w:p>
    <w:p>
      <w:pPr>
        <w:pStyle w:val="CaseBody"/>
      </w:pPr>
      <w:r>
        <w:rPr>
          <w:rStyle w:val="Elision"/>
        </w:rPr>
        <w:t xml:space="preserve">[ … ]</w:t>
      </w:r>
    </w:p>
    <w:p>
      <w:pPr>
        <w:pStyle w:val="CaseBody"/>
      </w:pPr>
      <w:r>
        <w:t xml:space="preserve">Justice Stevens,</w:t>
      </w:r>
    </w:p>
    <w:p>
      <w:pPr>
        <w:pStyle w:val="CaseBody"/>
      </w:pPr>
      <w:r>
        <w:t xml:space="preserve">dissenting.</w:t>
      </w:r>
      <w:r>
        <w:rPr>
          <w:rStyle w:val="FootnoteReference"/>
        </w:rPr>
        <w:footnoteReference w:customMarkFollows="1" w:id="86"/>
        <w:t xml:space="preserve">**</w:t>
      </w:r>
    </w:p>
    <w:p>
      <w:pPr>
        <w:pStyle w:val="CaseBody"/>
      </w:pPr>
      <w:r>
        <w:t xml:space="preserve">Today, the Court asks whether an officer may “take actions that place a fleeing motorist at risk of serious injury or death in order to stop the motorist’s flight from endangering the lives of innocent bystanders.”</w:t>
      </w:r>
      <w:r>
        <w:t xml:space="preserve"> </w:t>
      </w:r>
      <w:r>
        <w:rPr>
          <w:iCs/>
          <w:i/>
        </w:rPr>
        <w:t xml:space="preserve">Ante,</w:t>
      </w:r>
      <w:r>
        <w:t xml:space="preserve"> </w:t>
      </w:r>
      <w:r>
        <w:t xml:space="preserve">at 374. Depending on the circumstances, the answer may be an obvious “yes,” an obvious “no,” or sufficiently doubtful that the question of the reasonableness of the officer’s actions should be decided by a jury, after a review of the degree of danger and the alternatives available to the officer.</w:t>
      </w:r>
      <w:r>
        <w:t xml:space="preserve"> </w:t>
      </w: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178" w:name="_auto_toc_178"/>
    <w:bookmarkEnd w:id="178"/>
    <w:p>
      <w:pPr>
        <w:pStyle w:val="ResourceNumber"/>
      </w:pPr>
      <w:r>
        <w:t xml:space="preserve">15.8</w:t>
      </w:r>
    </w:p>
    <w:p>
      <w:pPr>
        <w:pStyle w:val="ResourceTitle"/>
      </w:pPr>
      <w:r>
        <w:t xml:space="preserve">Notes following Scott</w:t>
      </w:r>
    </w:p>
    <w:p>
      <w:pPr>
        <w:pStyle w:val="HeadEnd"/>
      </w:pPr>
      <w:r>
        <w:t xml:space="preserve"> </w:t>
      </w:r>
    </w:p>
    <w:p>
      <w:pPr>
        <w:pStyle w:val="BodyText"/>
      </w:pPr>
      <w:r>
        <w:t xml:space="preserve">1) You can have a look at the video at issue in the above case at:</w:t>
      </w:r>
      <w:r>
        <w:t xml:space="preserve"> </w:t>
      </w:r>
      <w:hyperlink r:id="rId226">
        <w:r>
          <w:rPr>
            <w:rStyle w:val="Hyperlink"/>
          </w:rPr>
          <w:t xml:space="preserve">http://www.supremecourt.gov/media/media.aspx/</w:t>
        </w:r>
      </w:hyperlink>
      <w:r>
        <w:t xml:space="preserve"> </w:t>
      </w:r>
      <w:r>
        <w:t xml:space="preserve">(look for the 2006 term).  What are your thoughts? Do you agree that a reasonable jury could only have found that the plaintiff's driving in this case posed a danger to the public?</w:t>
      </w:r>
    </w:p>
    <w:p>
      <w:pPr>
        <w:pStyle w:val="BodyText"/>
      </w:pPr>
      <w:r>
        <w:t xml:space="preserve"> </w:t>
      </w:r>
    </w:p>
    <w:p>
      <w:pPr>
        <w:pStyle w:val="BodyText"/>
      </w:pPr>
      <w:r>
        <w:t xml:space="preserve">2) In a study, 1000+ people were asked their views on the</w:t>
      </w:r>
      <w:r>
        <w:t xml:space="preserve"> </w:t>
      </w:r>
      <w:r>
        <w:rPr>
          <w:iCs/>
          <w:i/>
        </w:rPr>
        <w:t xml:space="preserve">Scott</w:t>
      </w:r>
      <w:r>
        <w:t xml:space="preserve"> </w:t>
      </w:r>
      <w:r>
        <w:t xml:space="preserve">video. While a majority of viewers saw the clip in the same way as the Court, there was also a significant minority that did not. This minority group tended to consist disproportionally of Black Americans, low-income Americans, North-easterners, and also Americans who self-identified as Democrats. These groups tended generally to view evidence more favorably to the plaintiff.  See</w:t>
      </w:r>
      <w:r>
        <w:t xml:space="preserve"> </w:t>
      </w:r>
      <w:hyperlink r:id="rId227">
        <w:r>
          <w:rPr>
            <w:rStyle w:val="Hyperlink"/>
          </w:rPr>
          <w:t xml:space="preserve">Whose Eyes are you Going to Believe? Scott v. Harris and the Perils of Cognitive Illiberalism - Harvard Law Review</w:t>
        </w:r>
      </w:hyperlink>
      <w:r>
        <w:t xml:space="preserve">.</w:t>
      </w:r>
    </w:p>
    <w:p>
      <w:pPr>
        <w:pStyle w:val="BodyText"/>
      </w:pPr>
      <w:r>
        <w:t xml:space="preserve">Given this, how do you feel about the fact that</w:t>
      </w:r>
      <w:r>
        <w:t xml:space="preserve"> </w:t>
      </w:r>
      <w:r>
        <w:rPr>
          <w:iCs/>
          <w:i/>
        </w:rPr>
        <w:t xml:space="preserve">Scott</w:t>
      </w:r>
      <w:r>
        <w:t xml:space="preserve"> </w:t>
      </w:r>
      <w:r>
        <w:t xml:space="preserve">was decided on summary judgment? Should the plaintiff here have received a chance to have his day in front of a (potentially) more diverse jury than the Supreme Court justices?</w:t>
      </w:r>
    </w:p>
    <w:p>
      <w:pPr>
        <w:pStyle w:val="NodeEnd"/>
      </w:pPr>
      <w:r>
        <w:t xml:space="preserve"> </w:t>
      </w:r>
    </w:p>
    <w:p>
      <w:pPr>
        <w:pStyle w:val="NodeStart"/>
      </w:pPr>
      <w:r>
        <w:t xml:space="preserve"> </w:t>
      </w:r>
    </w:p>
    <w:p>
      <w:pPr>
        <w:pStyle w:val="HeadSeparator"/>
      </w:pPr>
      <w:r>
        <w:t xml:space="preserve"> </w:t>
      </w:r>
    </w:p>
    <w:bookmarkStart w:id="179" w:name="_auto_toc_179"/>
    <w:bookmarkEnd w:id="179"/>
    <w:p>
      <w:pPr>
        <w:pStyle w:val="ResourceNumber"/>
      </w:pPr>
      <w:r>
        <w:t xml:space="preserve">15.9</w:t>
      </w:r>
    </w:p>
    <w:p>
      <w:pPr>
        <w:pStyle w:val="ResourceTitle"/>
      </w:pPr>
      <w:r>
        <w:t xml:space="preserve">Excerpts from the Deposition of Paula Jones</w:t>
      </w:r>
    </w:p>
    <w:p>
      <w:pPr>
        <w:pStyle w:val="HeadFieldSeparator"/>
      </w:pPr>
      <w:r>
        <w:t xml:space="preserve"> </w:t>
      </w:r>
    </w:p>
    <w:p>
      <w:pPr>
        <w:pStyle w:val="ResourceHeadnote"/>
      </w:pPr>
      <w:r>
        <w:t xml:space="preserve">The following deposition is from Paula Corbin Jones in the</w:t>
      </w:r>
      <w:r>
        <w:t xml:space="preserve"> </w:t>
      </w:r>
      <w:r>
        <w:rPr>
          <w:iCs/>
          <w:i/>
        </w:rPr>
        <w:t xml:space="preserve">Jones v. Clinton</w:t>
      </w:r>
      <w:r>
        <w:t xml:space="preserve"> </w:t>
      </w:r>
      <w:r>
        <w:t xml:space="preserve">litigation. It is a critical supplement to the materials in The Power of Procedure.</w:t>
      </w:r>
    </w:p>
    <w:p>
      <w:pPr>
        <w:pStyle w:val="ResourceHeadnote"/>
      </w:pPr>
      <w:r>
        <w:t xml:space="preserve">We will use the discovery materials in The Power of Procedure, as well as this deposition, to discuss arguments that one party or the other might make in an appeal from Judge Wright's grant of summary judgment in the case. You will consult with classmates who sit near you to discuss such arguments. So, be prepared to make an argument for one side or the other, using specific facts from the available materials. For the purposes of these arguments, we will assume that Plaintiff Jones is pursuing a cause of action with the following three elements:</w:t>
      </w:r>
    </w:p>
    <w:p>
      <w:pPr>
        <w:pStyle w:val="ResourceHeadnote"/>
      </w:pPr>
      <w:r>
        <w:t xml:space="preserve">1) She refused a "request" (I would use a different word) from President Clinton to engage in a sexual relationship on a particular day in the Excelsior Hotel;</w:t>
      </w:r>
    </w:p>
    <w:p>
      <w:pPr>
        <w:pStyle w:val="ResourceHeadnote"/>
      </w:pPr>
      <w:r>
        <w:t xml:space="preserve">2) Her refusal caused . . .</w:t>
      </w:r>
    </w:p>
    <w:p>
      <w:pPr>
        <w:pStyle w:val="ResourceHeadnote"/>
      </w:pPr>
      <w:r>
        <w:t xml:space="preserve">3) Employment harm in the form of lost promotions, discouragement from seeking promotions or better jobs, or lost wages or benefits.</w:t>
      </w:r>
    </w:p>
    <w:p>
      <w:pPr>
        <w:pStyle w:val="ResourceHeadnote"/>
      </w:pPr>
      <w:r>
        <w:t xml:space="preserve">Optional: For those interested,</w:t>
      </w:r>
      <w:r>
        <w:t xml:space="preserve"> </w:t>
      </w:r>
      <w:hyperlink r:id="rId228">
        <w:r>
          <w:rPr>
            <w:rStyle w:val="Hyperlink"/>
          </w:rPr>
          <w:t xml:space="preserve">this</w:t>
        </w:r>
      </w:hyperlink>
      <w:r>
        <w:t xml:space="preserve"> </w:t>
      </w:r>
      <w:r>
        <w:t xml:space="preserve">is a statement regarding why I teach</w:t>
      </w:r>
      <w:r>
        <w:t xml:space="preserve"> </w:t>
      </w:r>
      <w:r>
        <w:rPr>
          <w:iCs/>
          <w:i/>
        </w:rPr>
        <w:t xml:space="preserve">Jones v. Clinton</w:t>
      </w:r>
      <w:r>
        <w:t xml:space="preserve">.</w:t>
      </w:r>
    </w:p>
    <w:p>
      <w:pPr>
        <w:pStyle w:val="ResourceHeadnote"/>
      </w:pPr>
      <w:r>
        <w:t xml:space="preserve">Optional: For those interested,</w:t>
      </w:r>
      <w:r>
        <w:t xml:space="preserve"> </w:t>
      </w:r>
      <w:hyperlink r:id="rId229">
        <w:r>
          <w:rPr>
            <w:rStyle w:val="Hyperlink"/>
          </w:rPr>
          <w:t xml:space="preserve">this</w:t>
        </w:r>
      </w:hyperlink>
      <w:r>
        <w:t xml:space="preserve"> </w:t>
      </w:r>
      <w:r>
        <w:t xml:space="preserve">is a statement on the case from one of your TAs, Nora Van Horn.</w:t>
      </w:r>
    </w:p>
    <w:p>
      <w:pPr>
        <w:pStyle w:val="ResourceHeadnote"/>
      </w:pPr>
      <w:r>
        <w:t xml:space="preserve">These links are also available on your syllabus.</w:t>
      </w:r>
    </w:p>
    <w:p>
      <w:pPr>
        <w:pStyle w:val="HeadEnd"/>
      </w:pPr>
      <w:r>
        <w:t xml:space="preserve"> </w:t>
      </w:r>
    </w:p>
    <w:p>
      <w:pPr>
        <w:pStyle w:val="BodyText"/>
      </w:pPr>
      <w:r>
        <w:t xml:space="preserve">BY MR. BENNETT:</w:t>
      </w:r>
    </w:p>
    <w:p>
      <w:pPr>
        <w:pStyle w:val="BodyText"/>
      </w:pPr>
      <w:r>
        <w:t xml:space="preserve">Q. I'm sorry. If I forgot to ask you that question. I don't have as good a memory as your counsel. But who was your supervisor there?</w:t>
      </w:r>
    </w:p>
    <w:p>
      <w:pPr>
        <w:pStyle w:val="BodyText"/>
      </w:pPr>
      <w:r>
        <w:t xml:space="preserve">A. I'm trying to think. I don't remember who she was.</w:t>
      </w:r>
    </w:p>
    <w:p>
      <w:pPr>
        <w:pStyle w:val="BodyText"/>
      </w:pPr>
      <w:r>
        <w:t xml:space="preserve">Q. Do you remember what year you worked there?</w:t>
      </w:r>
    </w:p>
    <w:p>
      <w:pPr>
        <w:pStyle w:val="BodyText"/>
      </w:pPr>
      <w:r>
        <w:t xml:space="preserve">A. Probably 1988.</w:t>
      </w:r>
    </w:p>
    <w:p>
      <w:pPr>
        <w:pStyle w:val="BodyText"/>
      </w:pPr>
      <w:r>
        <w:t xml:space="preserve">Q. And you were fired from that job as well, weren't you?</w:t>
      </w:r>
    </w:p>
    <w:p>
      <w:pPr>
        <w:pStyle w:val="BodyText"/>
      </w:pPr>
      <w:r>
        <w:t xml:space="preserve">A. Well, it was actually a mutual thing, but yes. On the paperwork I believe it was that I was fired.</w:t>
      </w:r>
    </w:p>
    <w:p>
      <w:pPr>
        <w:pStyle w:val="BodyText"/>
      </w:pPr>
      <w:r>
        <w:t xml:space="preserve">Q. And the reason they gave you for firing you?</w:t>
      </w:r>
    </w:p>
    <w:p>
      <w:pPr>
        <w:pStyle w:val="BodyText"/>
      </w:pPr>
      <w:r>
        <w:t xml:space="preserve">A. For being late.</w:t>
      </w:r>
    </w:p>
    <w:p>
      <w:pPr>
        <w:pStyle w:val="BodyText"/>
      </w:pPr>
      <w:r>
        <w:t xml:space="preserve">Q. And you were late a lot, weren't you?</w:t>
      </w:r>
    </w:p>
    <w:p>
      <w:pPr>
        <w:pStyle w:val="BodyText"/>
      </w:pPr>
      <w:r>
        <w:t xml:space="preserve">A. Yes.</w:t>
      </w:r>
    </w:p>
    <w:p>
      <w:pPr>
        <w:pStyle w:val="BodyText"/>
      </w:pPr>
      <w:r>
        <w:t xml:space="preserve">Q. All right. After you worked at Dillard's, where did you work?</w:t>
      </w:r>
    </w:p>
    <w:p>
      <w:pPr>
        <w:pStyle w:val="BodyText"/>
      </w:pPr>
      <w:r>
        <w:t xml:space="preserve">A. Hertz car rental.</w:t>
      </w:r>
    </w:p>
    <w:p>
      <w:pPr>
        <w:pStyle w:val="BodyText"/>
      </w:pPr>
      <w:r>
        <w:t xml:space="preserve">Q. And where was that?</w:t>
      </w:r>
    </w:p>
    <w:p>
      <w:pPr>
        <w:pStyle w:val="BodyText"/>
      </w:pPr>
      <w:r>
        <w:t xml:space="preserve">A. At the Little Rock airport.</w:t>
      </w:r>
    </w:p>
    <w:p>
      <w:pPr>
        <w:pStyle w:val="BodyText"/>
      </w:pPr>
      <w:r>
        <w:t xml:space="preserve">Q. And how long were you employed there? Do you remember?</w:t>
      </w:r>
    </w:p>
    <w:p>
      <w:pPr>
        <w:pStyle w:val="BodyText"/>
      </w:pPr>
      <w:r>
        <w:t xml:space="preserve">A. About four months.</w:t>
      </w:r>
    </w:p>
    <w:p>
      <w:pPr>
        <w:pStyle w:val="BodyText"/>
      </w:pPr>
      <w:r>
        <w:t xml:space="preserve">Q. And what did you do there?</w:t>
      </w:r>
    </w:p>
    <w:p>
      <w:pPr>
        <w:pStyle w:val="BodyText"/>
      </w:pPr>
      <w:r>
        <w:t xml:space="preserve">A. I rented cars.</w:t>
      </w:r>
    </w:p>
    <w:p>
      <w:pPr>
        <w:pStyle w:val="BodyText"/>
      </w:pPr>
      <w:r>
        <w:t xml:space="preserve">Q. Okay. And you were fired from that job too; is that right?</w:t>
      </w:r>
    </w:p>
    <w:p>
      <w:pPr>
        <w:pStyle w:val="BodyText"/>
      </w:pPr>
      <w:r>
        <w:t xml:space="preserve">(Pages 25 to 32 are missing)</w:t>
      </w:r>
    </w:p>
    <w:p>
      <w:pPr>
        <w:pStyle w:val="BodyText"/>
      </w:pPr>
      <w:r>
        <w:t xml:space="preserve">... the state gives to all employees before they hire them.</w:t>
      </w:r>
    </w:p>
    <w:p>
      <w:pPr>
        <w:pStyle w:val="BodyText"/>
      </w:pPr>
      <w:r>
        <w:t xml:space="preserve">Q. And have you had an opportunity since you answered the interrogatories to review your employment records at AIDC?</w:t>
      </w:r>
    </w:p>
    <w:p>
      <w:pPr>
        <w:pStyle w:val="BodyText"/>
      </w:pPr>
      <w:r>
        <w:t xml:space="preserve">A. No.</w:t>
      </w:r>
    </w:p>
    <w:p>
      <w:pPr>
        <w:pStyle w:val="BodyText"/>
      </w:pPr>
      <w:r>
        <w:t xml:space="preserve">Q. You knew I'd be asking you questions today about your employment history at AIDC, didn't you?</w:t>
      </w:r>
    </w:p>
    <w:p>
      <w:pPr>
        <w:pStyle w:val="BodyText"/>
      </w:pPr>
      <w:r>
        <w:t xml:space="preserve">MR. CAMPBELL: Objection. Assumes facts not in evidence and –</w:t>
      </w:r>
    </w:p>
    <w:p>
      <w:pPr>
        <w:pStyle w:val="BodyText"/>
      </w:pPr>
      <w:r>
        <w:t xml:space="preserve">BY MR. BENNETT:</w:t>
      </w:r>
    </w:p>
    <w:p>
      <w:pPr>
        <w:pStyle w:val="BodyText"/>
      </w:pPr>
      <w:r>
        <w:t xml:space="preserve">Q. Did you?</w:t>
      </w:r>
    </w:p>
    <w:p>
      <w:pPr>
        <w:pStyle w:val="BodyText"/>
      </w:pPr>
      <w:r>
        <w:t xml:space="preserve">MR. CAMPBELL: – asks for speculation and conjecture as to what might be in the mind of another.</w:t>
      </w:r>
    </w:p>
    <w:p>
      <w:pPr>
        <w:pStyle w:val="BodyText"/>
      </w:pPr>
      <w:r>
        <w:t xml:space="preserve">BY MR. BENNETT:</w:t>
      </w:r>
    </w:p>
    <w:p>
      <w:pPr>
        <w:pStyle w:val="BodyText"/>
      </w:pPr>
      <w:r>
        <w:t xml:space="preserve">Q. I'm asking you what was in your mind?</w:t>
      </w:r>
    </w:p>
    <w:p>
      <w:pPr>
        <w:pStyle w:val="BodyText"/>
      </w:pPr>
      <w:r>
        <w:t xml:space="preserve">A. No.</w:t>
      </w:r>
    </w:p>
    <w:p>
      <w:pPr>
        <w:pStyle w:val="BodyText"/>
      </w:pPr>
      <w:r>
        <w:t xml:space="preserve">Q. You didn't think I would be asking you about your employment?</w:t>
      </w:r>
    </w:p>
    <w:p>
      <w:pPr>
        <w:pStyle w:val="BodyText"/>
      </w:pPr>
      <w:r>
        <w:t xml:space="preserve">A. I didn't really think about what you would be asking me.</w:t>
      </w:r>
    </w:p>
    <w:p>
      <w:pPr>
        <w:pStyle w:val="BodyText"/>
      </w:pPr>
      <w:r>
        <w:t xml:space="preserve">Q. Okay. Who did you first talk to about getting a job at AIDC?</w:t>
      </w:r>
    </w:p>
    <w:p>
      <w:pPr>
        <w:pStyle w:val="BodyText"/>
      </w:pPr>
      <w:r>
        <w:t xml:space="preserve">A. I believe it was Pam Blackard.</w:t>
      </w:r>
    </w:p>
    <w:p>
      <w:pPr>
        <w:pStyle w:val="BodyText"/>
      </w:pPr>
      <w:r>
        <w:t xml:space="preserve">Q. And is Pam the lady whose deposition was taken in these offices a short while ago?</w:t>
      </w:r>
    </w:p>
    <w:p>
      <w:pPr>
        <w:pStyle w:val="BodyText"/>
      </w:pPr>
      <w:r>
        <w:t xml:space="preserve">A. Yes.</w:t>
      </w:r>
    </w:p>
    <w:p>
      <w:pPr>
        <w:pStyle w:val="BodyText"/>
      </w:pPr>
      <w:r>
        <w:t xml:space="preserve">Q. And she's one of your best friends; is that right?</w:t>
      </w:r>
    </w:p>
    <w:p>
      <w:pPr>
        <w:pStyle w:val="BodyText"/>
      </w:pPr>
      <w:r>
        <w:t xml:space="preserve">(Page 34 is missing)</w:t>
      </w:r>
    </w:p>
    <w:p>
      <w:pPr>
        <w:pStyle w:val="BodyText"/>
      </w:pPr>
      <w:r>
        <w:t xml:space="preserve">A. I have no idea.</w:t>
      </w:r>
    </w:p>
    <w:p>
      <w:pPr>
        <w:pStyle w:val="BodyText"/>
      </w:pPr>
      <w:r>
        <w:t xml:space="preserve">Q. All right. When did you start work at AIDC?</w:t>
      </w:r>
    </w:p>
    <w:p>
      <w:pPr>
        <w:pStyle w:val="BodyText"/>
      </w:pPr>
      <w:r>
        <w:t xml:space="preserve">A. I think it was March of '90.</w:t>
      </w:r>
    </w:p>
    <w:p>
      <w:pPr>
        <w:pStyle w:val="BodyText"/>
      </w:pPr>
      <w:r>
        <w:t xml:space="preserve">Q. March of '90?</w:t>
      </w:r>
    </w:p>
    <w:p>
      <w:pPr>
        <w:pStyle w:val="BodyText"/>
      </w:pPr>
      <w:r>
        <w:t xml:space="preserve">A. I'm not sure, actually. I'm really not.</w:t>
      </w:r>
    </w:p>
    <w:p>
      <w:pPr>
        <w:pStyle w:val="BodyText"/>
      </w:pPr>
      <w:r>
        <w:t xml:space="preserve">Q. Okay. Do you know how long you worked there?</w:t>
      </w:r>
    </w:p>
    <w:p>
      <w:pPr>
        <w:pStyle w:val="BodyText"/>
      </w:pPr>
      <w:r>
        <w:t xml:space="preserve">A. Two years.</w:t>
      </w:r>
    </w:p>
    <w:p>
      <w:pPr>
        <w:pStyle w:val="BodyText"/>
      </w:pPr>
      <w:r>
        <w:t xml:space="preserve">Q. And were you fired from there?</w:t>
      </w:r>
    </w:p>
    <w:p>
      <w:pPr>
        <w:pStyle w:val="BodyText"/>
      </w:pPr>
      <w:r>
        <w:t xml:space="preserve">A. No.</w:t>
      </w:r>
    </w:p>
    <w:p>
      <w:pPr>
        <w:pStyle w:val="BodyText"/>
      </w:pPr>
      <w:r>
        <w:t xml:space="preserve">Q. Did they force you out?</w:t>
      </w:r>
    </w:p>
    <w:p>
      <w:pPr>
        <w:pStyle w:val="BodyText"/>
      </w:pPr>
      <w:r>
        <w:t xml:space="preserve">A. In a way.</w:t>
      </w:r>
    </w:p>
    <w:p>
      <w:pPr>
        <w:pStyle w:val="BodyText"/>
      </w:pPr>
      <w:r>
        <w:t xml:space="preserve">Q. How?</w:t>
      </w:r>
    </w:p>
    <w:p>
      <w:pPr>
        <w:pStyle w:val="BodyText"/>
      </w:pPr>
      <w:r>
        <w:t xml:space="preserve">A. I could tell that there was – I had applied for different other jobs within the agency and my supervisor would always try to discourage me, try to keep me over on that corner saying that I could grow and make something of myself if I stay over there and let her train me. And I never went anywhere. There was a lot of hostility it seemed between Cherry Duckett and I. She never would speak to me. I'd try to – I'd talk to anybody, you know, very outgoing. I would try to talk to her. There's several things that – I'm not a hyper – one of those schizophrenics that thinks that's something's wrong all the time. And you can tell when there's a lot of static in an office place when you go there every day for two years.</w:t>
      </w:r>
    </w:p>
    <w:p>
      <w:pPr>
        <w:pStyle w:val="BodyText"/>
      </w:pPr>
      <w:r>
        <w:t xml:space="preserve">Q. Are there any other things you haven't just testified about? Tell me everything that causes you to think that they wanted you to leave. Is that what you are saying? They wanted you to leave?</w:t>
      </w:r>
    </w:p>
    <w:p>
      <w:pPr>
        <w:pStyle w:val="BodyText"/>
      </w:pPr>
      <w:r>
        <w:t xml:space="preserve">MR. CAMPBELL: Objection. Multifarious.</w:t>
      </w:r>
    </w:p>
    <w:p>
      <w:pPr>
        <w:pStyle w:val="BodyText"/>
      </w:pPr>
      <w:r>
        <w:t xml:space="preserve">BY MR. BENNETT:</w:t>
      </w:r>
    </w:p>
    <w:p>
      <w:pPr>
        <w:pStyle w:val="BodyText"/>
      </w:pPr>
      <w:r>
        <w:t xml:space="preserve">Q. Is that what you're saying? Are you saying that they wanted you to leave?</w:t>
      </w:r>
    </w:p>
    <w:p>
      <w:pPr>
        <w:pStyle w:val="BodyText"/>
      </w:pPr>
      <w:r>
        <w:t xml:space="preserve">A. I feel that they wanted to keep me in that area so I wouldn't get outside their little wing to where they could control me and make sure that I stayed right there and couldn't upgrade myself at all. Absolutely.</w:t>
      </w:r>
    </w:p>
    <w:p>
      <w:pPr>
        <w:pStyle w:val="BodyText"/>
      </w:pPr>
      <w:r>
        <w:t xml:space="preserve">Q. All right. Now who do you think wanted to control you?</w:t>
      </w:r>
    </w:p>
    <w:p>
      <w:pPr>
        <w:pStyle w:val="BodyText"/>
      </w:pPr>
      <w:r>
        <w:t xml:space="preserve">A. Either Dave Herrington or Cherry Duckett.</w:t>
      </w:r>
    </w:p>
    <w:p>
      <w:pPr>
        <w:pStyle w:val="BodyText"/>
      </w:pPr>
      <w:r>
        <w:t xml:space="preserve">Q. Did you ever talk to Dave Herrington?</w:t>
      </w:r>
    </w:p>
    <w:p>
      <w:pPr>
        <w:pStyle w:val="BodyText"/>
      </w:pPr>
      <w:r>
        <w:t xml:space="preserve">A. Very seldom.</w:t>
      </w:r>
    </w:p>
    <w:p>
      <w:pPr>
        <w:pStyle w:val="BodyText"/>
      </w:pPr>
      <w:r>
        <w:t xml:space="preserve">Q. Did Dave Herrington ever say anything to you to suggest that he wanted to control you?</w:t>
      </w:r>
    </w:p>
    <w:p>
      <w:pPr>
        <w:pStyle w:val="BodyText"/>
      </w:pPr>
      <w:r>
        <w:t xml:space="preserve">A. We never talked at length. It was just "hi" or something like that. That was it. Never had any conversations.</w:t>
      </w:r>
    </w:p>
    <w:p>
      <w:pPr>
        <w:pStyle w:val="BodyText"/>
      </w:pPr>
      <w:r>
        <w:t xml:space="preserve">Q. Okay. Well now, who else do you think tried to control you.</w:t>
      </w:r>
    </w:p>
    <w:p>
      <w:pPr>
        <w:pStyle w:val="BodyText"/>
      </w:pPr>
      <w:r>
        <w:t xml:space="preserve">A. Clydine Pennington.</w:t>
      </w:r>
    </w:p>
    <w:p>
      <w:pPr>
        <w:pStyle w:val="BodyText"/>
      </w:pPr>
      <w:r>
        <w:t xml:space="preserve">Q. And was she your supervisor for the whole two years you were there?</w:t>
      </w:r>
    </w:p>
    <w:p>
      <w:pPr>
        <w:pStyle w:val="BodyText"/>
      </w:pPr>
      <w:r>
        <w:t xml:space="preserve">A. Yes.</w:t>
      </w:r>
    </w:p>
    <w:p>
      <w:pPr>
        <w:pStyle w:val="BodyText"/>
      </w:pPr>
      <w:r>
        <w:t xml:space="preserve">Q. Why did Clydine Pennington want to control you, do you know?</w:t>
      </w:r>
    </w:p>
    <w:p>
      <w:pPr>
        <w:pStyle w:val="BodyText"/>
      </w:pPr>
      <w:r>
        <w:t xml:space="preserve">A. I don't know.</w:t>
      </w:r>
    </w:p>
    <w:p>
      <w:pPr>
        <w:pStyle w:val="BodyText"/>
      </w:pPr>
      <w:r>
        <w:t xml:space="preserve">Q. What specific job did you apply for?</w:t>
      </w:r>
    </w:p>
    <w:p>
      <w:pPr>
        <w:pStyle w:val="BodyText"/>
      </w:pPr>
      <w:r>
        <w:t xml:space="preserve">A. I applied for document examiner, document examiner, that was my initial thing that I had applied for.</w:t>
      </w:r>
    </w:p>
    <w:p>
      <w:pPr>
        <w:pStyle w:val="BodyText"/>
      </w:pPr>
      <w:r>
        <w:t xml:space="preserve">Q. And you got that job?</w:t>
      </w:r>
    </w:p>
    <w:p>
      <w:pPr>
        <w:pStyle w:val="BodyText"/>
      </w:pPr>
      <w:r>
        <w:t xml:space="preserve">A. Yes.</w:t>
      </w:r>
    </w:p>
    <w:p>
      <w:pPr>
        <w:pStyle w:val="BodyText"/>
      </w:pPr>
      <w:r>
        <w:t xml:space="preserve">Q. But you have indicated in your answer – previous answers to me that in a way they wanted you out because you couldn't get certain positions you wanted. Did I understand you correctly?</w:t>
      </w:r>
    </w:p>
    <w:p>
      <w:pPr>
        <w:pStyle w:val="BodyText"/>
      </w:pPr>
      <w:r>
        <w:t xml:space="preserve">A. Correct.</w:t>
      </w:r>
    </w:p>
    <w:p>
      <w:pPr>
        <w:pStyle w:val="BodyText"/>
      </w:pPr>
      <w:r>
        <w:t xml:space="preserve">Q. And I'm asking you what those other positions were that you applied for that you didn't get. Would you give me specifics?</w:t>
      </w:r>
    </w:p>
    <w:p>
      <w:pPr>
        <w:pStyle w:val="BodyText"/>
      </w:pPr>
      <w:r>
        <w:t xml:space="preserve">A. It was a grade higher, that I could make more pay. It was something that I know that maybe could broaden my skills and help me grow and I would try to apply for them because document examiner was at the very low entry level and I wanted to try to grow. And each time I would try to do that, I would talk to my supervisor about it and she would always discourage me and make me believe that I could grow within the administrative services, which in fact I didn't. I got degrade – downgraded.</w:t>
      </w:r>
    </w:p>
    <w:p>
      <w:pPr>
        <w:pStyle w:val="BodyText"/>
      </w:pPr>
      <w:r>
        <w:t xml:space="preserve">Q. All right. Now what higher grade were you trying to get to?</w:t>
      </w:r>
    </w:p>
    <w:p>
      <w:pPr>
        <w:pStyle w:val="BodyText"/>
      </w:pPr>
      <w:r>
        <w:t xml:space="preserve">A. Just the next grade. You know, there's always a pay level difference when you go to another step and another grade and that's want I was wanting.</w:t>
      </w:r>
    </w:p>
    <w:p>
      <w:pPr>
        <w:pStyle w:val="BodyText"/>
      </w:pPr>
      <w:r>
        <w:t xml:space="preserve">Q. What was that grade?</w:t>
      </w:r>
    </w:p>
    <w:p>
      <w:pPr>
        <w:pStyle w:val="BodyText"/>
      </w:pPr>
      <w:r>
        <w:t xml:space="preserve">A. I really don't know. It was higher than the grade that I was at and I don't remember what grade level I was at when I was hired.</w:t>
      </w:r>
    </w:p>
    <w:p>
      <w:pPr>
        <w:pStyle w:val="BodyText"/>
      </w:pPr>
      <w:r>
        <w:t xml:space="preserve">Q. Do you know what grade level you were at?</w:t>
      </w:r>
    </w:p>
    <w:p>
      <w:pPr>
        <w:pStyle w:val="BodyText"/>
      </w:pPr>
      <w:r>
        <w:t xml:space="preserve">A. No.</w:t>
      </w:r>
    </w:p>
    <w:p>
      <w:pPr>
        <w:pStyle w:val="BodyText"/>
      </w:pPr>
      <w:r>
        <w:t xml:space="preserve">Q. And you don't know what the higher grade level was?</w:t>
      </w:r>
    </w:p>
    <w:p>
      <w:pPr>
        <w:pStyle w:val="BodyText"/>
      </w:pPr>
      <w:r>
        <w:t xml:space="preserve">A. No. Ten or 11 maybe. Ten or – I don't recall exactly how it went now.</w:t>
      </w:r>
    </w:p>
    <w:p>
      <w:pPr>
        <w:pStyle w:val="BodyText"/>
      </w:pPr>
      <w:r>
        <w:t xml:space="preserve">Q. Do you know what the qualifications were for the next higher grade?</w:t>
      </w:r>
    </w:p>
    <w:p>
      <w:pPr>
        <w:pStyle w:val="BodyText"/>
      </w:pPr>
      <w:r>
        <w:t xml:space="preserve">A. Yes.</w:t>
      </w:r>
    </w:p>
    <w:p>
      <w:pPr>
        <w:pStyle w:val="BodyText"/>
      </w:pPr>
      <w:r>
        <w:t xml:space="preserve">Q. What were they?</w:t>
      </w:r>
    </w:p>
    <w:p>
      <w:pPr>
        <w:pStyle w:val="BodyText"/>
      </w:pPr>
      <w:r>
        <w:t xml:space="preserve">A. Well, it was the qualifications that I knew that I could – that I was qualified for. It was for typing and different things. It just had a higher grade level. There might not have been much of a job difference or in your job duties, but it would have a higher grade level. According to which position of the building, you know, an area that it was in.</w:t>
      </w:r>
    </w:p>
    <w:p>
      <w:pPr>
        <w:pStyle w:val="BodyText"/>
      </w:pPr>
      <w:r>
        <w:t xml:space="preserve">Q. Did you ever write a letter or a request to any or your supervisors asking that you be permitted to apply for a higher grade?</w:t>
      </w:r>
    </w:p>
    <w:p>
      <w:pPr>
        <w:pStyle w:val="BodyText"/>
      </w:pPr>
      <w:r>
        <w:t xml:space="preserve">A. I don't know if I put it in writing to Clydine Pennington, but I know I did two different times orally went into her office and asked her and told her what I would like to do, would it be okay with her, because I felt that I wanted to tell her instead of just leaving out of the department without her knowing. I was trying to be nice to her. And she would always discourage me. "No, you stay over here. We want to keep you over here. We like you. We want you to stay over here. You will grow with us. You stay over here and we'll teach you everything." That's how she would get me to stay. But then when I stayed, nothing ever happened.</w:t>
      </w:r>
    </w:p>
    <w:p>
      <w:pPr>
        <w:pStyle w:val="BodyText"/>
      </w:pPr>
      <w:r>
        <w:t xml:space="preserve">Q. All right. Now when was the first conversation you had with Ms. Pennington, do you remember?</w:t>
      </w:r>
    </w:p>
    <w:p>
      <w:pPr>
        <w:pStyle w:val="BodyText"/>
      </w:pPr>
      <w:r>
        <w:t xml:space="preserve">A. No.</w:t>
      </w:r>
    </w:p>
    <w:p>
      <w:pPr>
        <w:pStyle w:val="BodyText"/>
      </w:pPr>
      <w:r>
        <w:t xml:space="preserve">Q. Do you remember when the second one was?</w:t>
      </w:r>
    </w:p>
    <w:p>
      <w:pPr>
        <w:pStyle w:val="BodyText"/>
      </w:pPr>
      <w:r>
        <w:t xml:space="preserve">A. No.</w:t>
      </w:r>
    </w:p>
    <w:p>
      <w:pPr>
        <w:pStyle w:val="BodyText"/>
      </w:pPr>
      <w:r>
        <w:t xml:space="preserve">Q. Do you remember exactly what you said to Ms. Pennington on either of those occasions?</w:t>
      </w:r>
    </w:p>
    <w:p>
      <w:pPr>
        <w:pStyle w:val="BodyText"/>
      </w:pPr>
      <w:r>
        <w:t xml:space="preserve">A. What I repeated just a minute ago.</w:t>
      </w:r>
    </w:p>
    <w:p>
      <w:pPr>
        <w:pStyle w:val="BodyText"/>
      </w:pPr>
      <w:r>
        <w:t xml:space="preserve">Q. Do you remember exactly what she said to you?</w:t>
      </w:r>
    </w:p>
    <w:p>
      <w:pPr>
        <w:pStyle w:val="BodyText"/>
      </w:pPr>
      <w:r>
        <w:t xml:space="preserve">A. Yeah. She would tell me, "We like you over here. We want to keep you over here. We want to – if you stay over here, Paula, we can train you and help you grow with the company and we want to keep you over here." She would put it that way.</w:t>
      </w:r>
    </w:p>
    <w:p>
      <w:pPr>
        <w:pStyle w:val="BodyText"/>
      </w:pPr>
      <w:r>
        <w:t xml:space="preserve">Q. Now on July 1st, 1991, you received a cost-of-living increase, didn't you?</w:t>
      </w:r>
    </w:p>
    <w:p>
      <w:pPr>
        <w:pStyle w:val="BodyText"/>
      </w:pPr>
      <w:r>
        <w:t xml:space="preserve">A. Probably. I don't know what date it was. But I know I received what everybody else got each year.</w:t>
      </w:r>
    </w:p>
    <w:p>
      <w:pPr>
        <w:pStyle w:val="BodyText"/>
      </w:pPr>
      <w:r>
        <w:t xml:space="preserve">Q. Now also on July 1st, 1991, you were upgraded from a Grade 9 to a Grade 11, the very grade you mentioned, weren't you?</w:t>
      </w:r>
    </w:p>
    <w:p>
      <w:pPr>
        <w:pStyle w:val="BodyText"/>
      </w:pPr>
      <w:r>
        <w:t xml:space="preserve">A. I don't recall.</w:t>
      </w:r>
    </w:p>
    <w:p>
      <w:pPr>
        <w:pStyle w:val="BodyText"/>
      </w:pPr>
      <w:r>
        <w:t xml:space="preserve">Q. Well, do you dispute that that's what the record show?</w:t>
      </w:r>
    </w:p>
    <w:p>
      <w:pPr>
        <w:pStyle w:val="BodyText"/>
      </w:pPr>
      <w:r>
        <w:t xml:space="preserve">MR CAMPBELL: Objection. No foundation. No evidence in the record.</w:t>
      </w:r>
    </w:p>
    <w:p>
      <w:pPr>
        <w:pStyle w:val="BodyText"/>
      </w:pPr>
      <w:r>
        <w:t xml:space="preserve">BY MR. BENNETT:</w:t>
      </w:r>
    </w:p>
    <w:p>
      <w:pPr>
        <w:pStyle w:val="BodyText"/>
      </w:pPr>
      <w:r>
        <w:t xml:space="preserve">Q. Do you dispute – you can answer.</w:t>
      </w:r>
    </w:p>
    <w:p>
      <w:pPr>
        <w:pStyle w:val="BodyText"/>
      </w:pPr>
      <w:r>
        <w:t xml:space="preserve">A. No.</w:t>
      </w:r>
    </w:p>
    <w:p>
      <w:pPr>
        <w:pStyle w:val="BodyText"/>
      </w:pPr>
      <w:r>
        <w:t xml:space="preserve">Q. So you did get a Grade 11, didn't you?</w:t>
      </w:r>
    </w:p>
    <w:p>
      <w:pPr>
        <w:pStyle w:val="BodyText"/>
      </w:pPr>
      <w:r>
        <w:t xml:space="preserve">A. That's what I'm saying. I don't really know how the grades went. I don't know how the grades went. I don't know what I came in as and I don't know what I left as. So I don't know.</w:t>
      </w:r>
    </w:p>
    <w:p>
      <w:pPr>
        <w:pStyle w:val="BodyText"/>
      </w:pPr>
      <w:r>
        <w:t xml:space="preserve">Q. Well, you went from, on July 1, 1991, according to the records, you went from a Grade 9 to a Grade 11. Did you ever apply for a grade 12 or 13 or 14?</w:t>
      </w:r>
    </w:p>
    <w:p>
      <w:pPr>
        <w:pStyle w:val="BodyText"/>
      </w:pPr>
      <w:r>
        <w:t xml:space="preserve">MR CAMPBELL: Objection. No foundation. No evidence in the record.</w:t>
      </w:r>
    </w:p>
    <w:p>
      <w:pPr>
        <w:pStyle w:val="BodyText"/>
      </w:pPr>
      <w:r>
        <w:t xml:space="preserve">BY MR. BENNETT:</w:t>
      </w:r>
    </w:p>
    <w:p>
      <w:pPr>
        <w:pStyle w:val="BodyText"/>
      </w:pPr>
      <w:r>
        <w:t xml:space="preserve">Q. Did you ever apply for a grade higher than 11?</w:t>
      </w:r>
    </w:p>
    <w:p>
      <w:pPr>
        <w:pStyle w:val="BodyText"/>
      </w:pPr>
      <w:r>
        <w:t xml:space="preserve">A. Yes. I believe I did.</w:t>
      </w:r>
    </w:p>
    <w:p>
      <w:pPr>
        <w:pStyle w:val="BodyText"/>
      </w:pPr>
      <w:r>
        <w:t xml:space="preserve">Q. When?</w:t>
      </w:r>
    </w:p>
    <w:p>
      <w:pPr>
        <w:pStyle w:val="BodyText"/>
      </w:pPr>
      <w:r>
        <w:t xml:space="preserve">A. I don't know. I just – those few times when I would talk to Clydine and she would say that, I would go ahead and fill out an application maybe or something.</w:t>
      </w:r>
    </w:p>
    <w:p>
      <w:pPr>
        <w:pStyle w:val="BodyText"/>
      </w:pPr>
      <w:r>
        <w:t xml:space="preserve">Q. All right. And on March 11th, 1992, you received a merit increase?</w:t>
      </w:r>
    </w:p>
    <w:p>
      <w:pPr>
        <w:pStyle w:val="BodyText"/>
      </w:pPr>
      <w:r>
        <w:t xml:space="preserve">A. Um-huh.</w:t>
      </w:r>
    </w:p>
    <w:p>
      <w:pPr>
        <w:pStyle w:val="BodyText"/>
      </w:pPr>
      <w:r>
        <w:t xml:space="preserve">Q. Didn't you?</w:t>
      </w:r>
    </w:p>
    <w:p>
      <w:pPr>
        <w:pStyle w:val="BodyText"/>
      </w:pPr>
      <w:r>
        <w:t xml:space="preserve">A. Probably. That's what everybody else received too.</w:t>
      </w:r>
    </w:p>
    <w:p>
      <w:pPr>
        <w:pStyle w:val="BodyText"/>
      </w:pPr>
      <w:r>
        <w:t xml:space="preserve">Q. And on –</w:t>
      </w:r>
    </w:p>
    <w:p>
      <w:pPr>
        <w:pStyle w:val="BodyText"/>
      </w:pPr>
      <w:r>
        <w:t xml:space="preserve">A. Cost-of-living-raise.</w:t>
      </w:r>
    </w:p>
    <w:p>
      <w:pPr>
        <w:pStyle w:val="BodyText"/>
      </w:pPr>
      <w:r>
        <w:t xml:space="preserve">Q. And on July – no. I said merit increase.</w:t>
      </w:r>
    </w:p>
    <w:p>
      <w:pPr>
        <w:pStyle w:val="BodyText"/>
      </w:pPr>
      <w:r>
        <w:t xml:space="preserve">A. Oh, I don't what that is.</w:t>
      </w:r>
    </w:p>
    <w:p>
      <w:pPr>
        <w:pStyle w:val="BodyText"/>
      </w:pPr>
      <w:r>
        <w:t xml:space="preserve">Q. You know there's a difference between a merit increase and a cost-of-living increase, you know that?</w:t>
      </w:r>
    </w:p>
    <w:p>
      <w:pPr>
        <w:pStyle w:val="BodyText"/>
      </w:pPr>
      <w:r>
        <w:t xml:space="preserve">A. No.</w:t>
      </w:r>
    </w:p>
    <w:p>
      <w:pPr>
        <w:pStyle w:val="BodyText"/>
      </w:pPr>
      <w:r>
        <w:t xml:space="preserve">Q. You don't know that you got both cost-of-living increases and merit increases when you worked at AIDC?</w:t>
      </w:r>
    </w:p>
    <w:p>
      <w:pPr>
        <w:pStyle w:val="BodyText"/>
      </w:pPr>
      <w:r>
        <w:t xml:space="preserve">A. I don't know if I did or not.</w:t>
      </w:r>
    </w:p>
    <w:p>
      <w:pPr>
        <w:pStyle w:val="BodyText"/>
      </w:pPr>
      <w:r>
        <w:t xml:space="preserve">Q. You resigned on February 2nd, 1993; is that correct?</w:t>
      </w:r>
    </w:p>
    <w:p>
      <w:pPr>
        <w:pStyle w:val="BodyText"/>
      </w:pPr>
      <w:r>
        <w:t xml:space="preserve">A. Yes.</w:t>
      </w:r>
    </w:p>
    <w:p>
      <w:pPr>
        <w:pStyle w:val="BodyText"/>
      </w:pPr>
      <w:r>
        <w:t xml:space="preserve">Q. You weren't fired, were you?</w:t>
      </w:r>
    </w:p>
    <w:p>
      <w:pPr>
        <w:pStyle w:val="BodyText"/>
      </w:pPr>
      <w:r>
        <w:t xml:space="preserve">A. No.</w:t>
      </w:r>
    </w:p>
    <w:p>
      <w:pPr>
        <w:pStyle w:val="BodyText"/>
      </w:pPr>
      <w:r>
        <w:t xml:space="preserve">Q. You weren't terminated, were you?</w:t>
      </w:r>
    </w:p>
    <w:p>
      <w:pPr>
        <w:pStyle w:val="BodyText"/>
      </w:pPr>
      <w:r>
        <w:t xml:space="preserve">A. No.</w:t>
      </w:r>
    </w:p>
    <w:p>
      <w:pPr>
        <w:pStyle w:val="BodyText"/>
      </w:pPr>
      <w:r>
        <w:t xml:space="preserve">Q. At no time that you worked for AIDC did you ever get demoted in pay, did you?</w:t>
      </w:r>
    </w:p>
    <w:p>
      <w:pPr>
        <w:pStyle w:val="BodyText"/>
      </w:pPr>
      <w:r>
        <w:t xml:space="preserve">A. I'm not sure actually. I don't think so.</w:t>
      </w:r>
    </w:p>
    <w:p>
      <w:pPr>
        <w:pStyle w:val="BodyText"/>
      </w:pPr>
      <w:r>
        <w:t xml:space="preserve">Q. Did they ever decrease your grade at any time at AIDC?</w:t>
      </w:r>
    </w:p>
    <w:p>
      <w:pPr>
        <w:pStyle w:val="BodyText"/>
      </w:pPr>
      <w:r>
        <w:t xml:space="preserve">A. I think they did.</w:t>
      </w:r>
    </w:p>
    <w:p>
      <w:pPr>
        <w:pStyle w:val="BodyText"/>
      </w:pPr>
      <w:r>
        <w:t xml:space="preserve">Q. When?</w:t>
      </w:r>
    </w:p>
    <w:p>
      <w:pPr>
        <w:pStyle w:val="BodyText"/>
      </w:pPr>
      <w:r>
        <w:t xml:space="preserve">A. When I came back from maternity leave.</w:t>
      </w:r>
    </w:p>
    <w:p>
      <w:pPr>
        <w:pStyle w:val="BodyText"/>
      </w:pPr>
      <w:r>
        <w:t xml:space="preserve">Q. All right. You think you went down in grade?</w:t>
      </w:r>
    </w:p>
    <w:p>
      <w:pPr>
        <w:pStyle w:val="BodyText"/>
      </w:pPr>
      <w:r>
        <w:t xml:space="preserve">A. I was thinking I did, yes.</w:t>
      </w:r>
    </w:p>
    <w:p>
      <w:pPr>
        <w:pStyle w:val="BodyText"/>
      </w:pPr>
      <w:r>
        <w:t xml:space="preserve">Q. What grade did you go down to?</w:t>
      </w:r>
    </w:p>
    <w:p>
      <w:pPr>
        <w:pStyle w:val="BodyText"/>
      </w:pPr>
      <w:r>
        <w:t xml:space="preserve">A. To like a 9 or 10 or something like that, it seemed like.</w:t>
      </w:r>
    </w:p>
    <w:p>
      <w:pPr>
        <w:pStyle w:val="BodyText"/>
      </w:pPr>
      <w:r>
        <w:t xml:space="preserve">Q. If I were to tell you that the records show that you didn't go down a grade, would you dispute that?</w:t>
      </w:r>
    </w:p>
    <w:p>
      <w:pPr>
        <w:pStyle w:val="BodyText"/>
      </w:pPr>
      <w:r>
        <w:t xml:space="preserve">MR. CAMPBELL: Objection. Assumes facts not in evidence. No foundation.</w:t>
      </w:r>
    </w:p>
    <w:p>
      <w:pPr>
        <w:pStyle w:val="BodyText"/>
      </w:pPr>
      <w:r>
        <w:t xml:space="preserve">THE WITNESS: Yeah.</w:t>
      </w:r>
    </w:p>
    <w:p>
      <w:pPr>
        <w:pStyle w:val="BodyText"/>
      </w:pPr>
      <w:r>
        <w:t xml:space="preserve">BY MR BENNETT:</w:t>
      </w:r>
    </w:p>
    <w:p>
      <w:pPr>
        <w:pStyle w:val="BodyText"/>
      </w:pPr>
      <w:r>
        <w:t xml:space="preserve">Q. You would dispute that?</w:t>
      </w:r>
    </w:p>
    <w:p>
      <w:pPr>
        <w:pStyle w:val="BodyText"/>
      </w:pPr>
      <w:r>
        <w:t xml:space="preserve">A. Yes, I would.</w:t>
      </w:r>
    </w:p>
    <w:p>
      <w:pPr>
        <w:pStyle w:val="BodyText"/>
      </w:pPr>
      <w:r>
        <w:t xml:space="preserve">Q. Do you know how much money you made before you went on maternity leave?</w:t>
      </w:r>
    </w:p>
    <w:p>
      <w:pPr>
        <w:pStyle w:val="BodyText"/>
      </w:pPr>
      <w:r>
        <w:t xml:space="preserve">A. No, I don't.</w:t>
      </w:r>
    </w:p>
    <w:p>
      <w:pPr>
        <w:pStyle w:val="BodyText"/>
      </w:pPr>
      <w:r>
        <w:t xml:space="preserve">Q. Do you know how much money you made after you came back from maternity leave?</w:t>
      </w:r>
    </w:p>
    <w:p>
      <w:pPr>
        <w:pStyle w:val="BodyText"/>
      </w:pPr>
      <w:r>
        <w:t xml:space="preserve">A. No, I don't.</w:t>
      </w:r>
    </w:p>
    <w:p>
      <w:pPr>
        <w:pStyle w:val="BodyText"/>
      </w:pPr>
      <w:r>
        <w:t xml:space="preserve">Q. At any time during the period you worked at AIDC, did anybody at AIDC ever mention to you the alleged incident with Governor Clinton?</w:t>
      </w:r>
    </w:p>
    <w:p>
      <w:pPr>
        <w:pStyle w:val="BodyText"/>
      </w:pPr>
      <w:r>
        <w:t xml:space="preserve">MR. CAMPBELL: Objection. Ambiguous, vague, global. There's a number of alleged incidents with Governor Clinton.</w:t>
      </w:r>
    </w:p>
    <w:p>
      <w:pPr>
        <w:pStyle w:val="BodyText"/>
      </w:pPr>
      <w:r>
        <w:t xml:space="preserve">BY MR. BENNETT:</w:t>
      </w:r>
    </w:p>
    <w:p>
      <w:pPr>
        <w:pStyle w:val="BodyText"/>
      </w:pPr>
      <w:r>
        <w:t xml:space="preserve">Q. On the incident – the incident which allegedly occurred at the Excelsior Hotel on May 8th, 1991, did anybody at AIDC ever mention to you at any point in time while you worked there?</w:t>
      </w:r>
    </w:p>
    <w:p>
      <w:pPr>
        <w:pStyle w:val="BodyText"/>
      </w:pPr>
      <w:r>
        <w:t xml:space="preserve">A. Pam Blackard.</w:t>
      </w:r>
    </w:p>
    <w:p>
      <w:pPr>
        <w:pStyle w:val="BodyText"/>
      </w:pPr>
      <w:r>
        <w:t xml:space="preserve">Q. How did Pam Blackard know about it?</w:t>
      </w:r>
    </w:p>
    <w:p>
      <w:pPr>
        <w:pStyle w:val="BodyText"/>
      </w:pPr>
      <w:r>
        <w:t xml:space="preserve">A. Because she was there.</w:t>
      </w:r>
    </w:p>
    <w:p>
      <w:pPr>
        <w:pStyle w:val="BodyText"/>
      </w:pPr>
      <w:r>
        <w:t xml:space="preserve">Q. She wasn't in the room, was she?</w:t>
      </w:r>
    </w:p>
    <w:p>
      <w:pPr>
        <w:pStyle w:val="BodyText"/>
      </w:pPr>
      <w:r>
        <w:t xml:space="preserve">A. No. But she was at the conference and knew what had took place that day.</w:t>
      </w:r>
    </w:p>
    <w:p>
      <w:pPr>
        <w:pStyle w:val="BodyText"/>
      </w:pPr>
      <w:r>
        <w:t xml:space="preserve">Q. But you told Pam Blackard, didn't you?</w:t>
      </w:r>
    </w:p>
    <w:p>
      <w:pPr>
        <w:pStyle w:val="BodyText"/>
      </w:pPr>
      <w:r>
        <w:t xml:space="preserve">A. What went on in the room?</w:t>
      </w:r>
    </w:p>
    <w:p>
      <w:pPr>
        <w:pStyle w:val="BodyText"/>
      </w:pPr>
      <w:r>
        <w:t xml:space="preserve">Q. Yes.</w:t>
      </w:r>
    </w:p>
    <w:p>
      <w:pPr>
        <w:pStyle w:val="BodyText"/>
      </w:pPr>
      <w:r>
        <w:t xml:space="preserve">A. Yes.</w:t>
      </w:r>
    </w:p>
    <w:p>
      <w:pPr>
        <w:pStyle w:val="BodyText"/>
      </w:pPr>
      <w:r>
        <w:t xml:space="preserve">Q. You didn't tell her everything that went on in the room, though, did you?</w:t>
      </w:r>
    </w:p>
    <w:p>
      <w:pPr>
        <w:pStyle w:val="BodyText"/>
      </w:pPr>
      <w:r>
        <w:t xml:space="preserve">A. Yes. Eventually. Yes, I did.</w:t>
      </w:r>
    </w:p>
    <w:p>
      <w:pPr>
        <w:pStyle w:val="BodyText"/>
      </w:pPr>
      <w:r>
        <w:t xml:space="preserve">Q. At the time?</w:t>
      </w:r>
    </w:p>
    <w:p>
      <w:pPr>
        <w:pStyle w:val="BodyText"/>
      </w:pPr>
      <w:r>
        <w:t xml:space="preserve">A. Oh, no, not at the time.</w:t>
      </w:r>
    </w:p>
    <w:p>
      <w:pPr>
        <w:pStyle w:val="BodyText"/>
      </w:pPr>
      <w:r>
        <w:t xml:space="preserve">Q. All right. Now you were here for Pam Blackard's deposition, weren't you?</w:t>
      </w:r>
    </w:p>
    <w:p>
      <w:pPr>
        <w:pStyle w:val="BodyText"/>
      </w:pPr>
      <w:r>
        <w:t xml:space="preserve">A. Yes.</w:t>
      </w:r>
    </w:p>
    <w:p>
      <w:pPr>
        <w:pStyle w:val="BodyText"/>
      </w:pPr>
      <w:r>
        <w:t xml:space="preserve">Q. And did you hear Pam Blackard testify that she never told anybody at AIDC, that to swore her to secrecy, or words to that effect?</w:t>
      </w:r>
    </w:p>
    <w:p>
      <w:pPr>
        <w:pStyle w:val="BodyText"/>
      </w:pPr>
      <w:r>
        <w:t xml:space="preserve">A. Yes.</w:t>
      </w:r>
    </w:p>
    <w:p>
      <w:pPr>
        <w:pStyle w:val="BodyText"/>
      </w:pPr>
      <w:r>
        <w:t xml:space="preserve">Q. Do you believe Pam Blackard wouldn't have told anybody?</w:t>
      </w:r>
    </w:p>
    <w:p>
      <w:pPr>
        <w:pStyle w:val="BodyText"/>
      </w:pPr>
      <w:r>
        <w:t xml:space="preserve">A. Yes. I believe that.</w:t>
      </w:r>
    </w:p>
    <w:p>
      <w:pPr>
        <w:pStyle w:val="BodyText"/>
      </w:pPr>
      <w:r>
        <w:t xml:space="preserve">Q. Other than Pam Blackard, did you tell anybody at AIDC?</w:t>
      </w:r>
    </w:p>
    <w:p>
      <w:pPr>
        <w:pStyle w:val="BodyText"/>
      </w:pPr>
      <w:r>
        <w:t xml:space="preserve">A. No, I did not.</w:t>
      </w:r>
    </w:p>
    <w:p>
      <w:pPr>
        <w:pStyle w:val="BodyText"/>
      </w:pPr>
      <w:r>
        <w:t xml:space="preserve">Q. All right. Now my question to you is, during the period of time that you worked at AIDC, did any of your supervisors or anyone else mention to you that they were aware of the incident which allegedly occurred in the room at the Excelsior Hotel?</w:t>
      </w:r>
    </w:p>
    <w:p>
      <w:pPr>
        <w:pStyle w:val="BodyText"/>
      </w:pPr>
      <w:r>
        <w:t xml:space="preserve">A. No.</w:t>
      </w:r>
    </w:p>
    <w:p>
      <w:pPr>
        <w:pStyle w:val="BodyText"/>
      </w:pPr>
      <w:r>
        <w:t xml:space="preserve">Q. Did anybody say to you that you weren't getting a promotion because you wouldn't give sex to Governor Clinton?</w:t>
      </w:r>
    </w:p>
    <w:p>
      <w:pPr>
        <w:pStyle w:val="BodyText"/>
      </w:pPr>
      <w:r>
        <w:t xml:space="preserve">A. No.</w:t>
      </w:r>
    </w:p>
    <w:p>
      <w:pPr>
        <w:pStyle w:val="BodyText"/>
      </w:pPr>
      <w:r>
        <w:t xml:space="preserve">Q. Did anyone ever say to you that if you gave sex to Governor Clinton that you would get promoted or get a raise or get a better job?</w:t>
      </w:r>
    </w:p>
    <w:p>
      <w:pPr>
        <w:pStyle w:val="BodyText"/>
      </w:pPr>
      <w:r>
        <w:t xml:space="preserve">A. No. But I'm sure they would never say that if they did know about it.</w:t>
      </w:r>
    </w:p>
    <w:p>
      <w:pPr>
        <w:pStyle w:val="BodyText"/>
      </w:pPr>
      <w:r>
        <w:t xml:space="preserve">MR. BRISTOW: Objection. It's not responsive.</w:t>
      </w:r>
    </w:p>
    <w:p>
      <w:pPr>
        <w:pStyle w:val="BodyText"/>
      </w:pPr>
      <w:r>
        <w:t xml:space="preserve">BY MR. BENNETT:</w:t>
      </w:r>
    </w:p>
    <w:p>
      <w:pPr>
        <w:pStyle w:val="BodyText"/>
      </w:pPr>
      <w:r>
        <w:t xml:space="preserve">Q. Do you know of anybody at AIDC who knew about this incident other – let me finish – other than Pam Blackard?</w:t>
      </w:r>
    </w:p>
    <w:p>
      <w:pPr>
        <w:pStyle w:val="BodyText"/>
      </w:pPr>
      <w:r>
        <w:t xml:space="preserve">A. Not to my knowledge. Personally, nobody mentioned it to me. That doesn't mean they didn't know.</w:t>
      </w:r>
    </w:p>
    <w:p>
      <w:pPr>
        <w:pStyle w:val="BodyText"/>
      </w:pPr>
      <w:r>
        <w:t xml:space="preserve">Q. You don't know of anybody, though, do you?</w:t>
      </w:r>
    </w:p>
    <w:p>
      <w:pPr>
        <w:pStyle w:val="BodyText"/>
      </w:pPr>
      <w:r>
        <w:t xml:space="preserve">A. Un-uh.</w:t>
      </w:r>
    </w:p>
    <w:p>
      <w:pPr>
        <w:pStyle w:val="BodyText"/>
      </w:pPr>
      <w:r>
        <w:t xml:space="preserve">Q. How did you and Ms. Pennington get along during the two years?</w:t>
      </w:r>
    </w:p>
    <w:p>
      <w:pPr>
        <w:pStyle w:val="BodyText"/>
      </w:pPr>
      <w:r>
        <w:t xml:space="preserve">A. At first we were – I really liked her at first. She was really nice and everything. But it seemed like after a few months, it started changing. She was more – not as friendly as she used to have been. She liked to talk too, you know. She had to go around to everybody's desk and chat and talk and stuff.</w:t>
      </w:r>
    </w:p>
    <w:p>
      <w:pPr>
        <w:pStyle w:val="BodyText"/>
      </w:pPr>
      <w:r>
        <w:t xml:space="preserve">Q. Did Ms. Pennington interview you for your job?</w:t>
      </w:r>
    </w:p>
    <w:p>
      <w:pPr>
        <w:pStyle w:val="BodyText"/>
      </w:pPr>
      <w:r>
        <w:t xml:space="preserve">A. Yes.</w:t>
      </w:r>
    </w:p>
    <w:p>
      <w:pPr>
        <w:pStyle w:val="BodyText"/>
      </w:pPr>
      <w:r>
        <w:t xml:space="preserve">Q. Did you tell Ms. Pennington at the time of your interview that you had been fired from these several jobs?</w:t>
      </w:r>
    </w:p>
    <w:p>
      <w:pPr>
        <w:pStyle w:val="BodyText"/>
      </w:pPr>
      <w:r>
        <w:t xml:space="preserve">A. If she asked me, yes, I did.</w:t>
      </w:r>
    </w:p>
    <w:p>
      <w:pPr>
        <w:pStyle w:val="BodyText"/>
      </w:pPr>
      <w:r>
        <w:t xml:space="preserve">Q. On the application there is a line asking you the reasons for leaving, wasn't there?</w:t>
      </w:r>
    </w:p>
    <w:p>
      <w:pPr>
        <w:pStyle w:val="BodyText"/>
      </w:pPr>
      <w:r>
        <w:t xml:space="preserve">MR. CAMPBELL: Objection. Objection. No foundation. Assumes facts not in evidence.</w:t>
      </w:r>
    </w:p>
    <w:p>
      <w:pPr>
        <w:pStyle w:val="BodyText"/>
      </w:pPr>
      <w:r>
        <w:t xml:space="preserve">BY MR. BENNETT:</w:t>
      </w:r>
    </w:p>
    <w:p>
      <w:pPr>
        <w:pStyle w:val="BodyText"/>
      </w:pPr>
      <w:r>
        <w:t xml:space="preserve">Q. Do you know if the application had a line where you were supposed to say why you left your prior employment?</w:t>
      </w:r>
    </w:p>
    <w:p>
      <w:pPr>
        <w:pStyle w:val="BodyText"/>
      </w:pPr>
      <w:r>
        <w:t xml:space="preserve">A. No, I don't know.</w:t>
      </w:r>
    </w:p>
    <w:p>
      <w:pPr>
        <w:pStyle w:val="BodyText"/>
      </w:pPr>
      <w:r>
        <w:t xml:space="preserve">Q. You didn't fill that out, did you?</w:t>
      </w:r>
    </w:p>
    <w:p>
      <w:pPr>
        <w:pStyle w:val="BodyText"/>
      </w:pPr>
      <w:r>
        <w:t xml:space="preserve">A. I don't know if I did or not.</w:t>
      </w:r>
    </w:p>
    <w:p>
      <w:pPr>
        <w:pStyle w:val="BodyText"/>
      </w:pPr>
      <w:r>
        <w:t xml:space="preserve">Q. Is it your testimony that if – that you – if Clydine Pennington asked you why you left those other jobs, you would have told her you were fired from some of them; is that correct?</w:t>
      </w:r>
    </w:p>
    <w:p>
      <w:pPr>
        <w:pStyle w:val="BodyText"/>
      </w:pPr>
      <w:r>
        <w:t xml:space="preserve">A. I would have told her, yes, if she asked me.</w:t>
      </w:r>
    </w:p>
    <w:p>
      <w:pPr>
        <w:pStyle w:val="BodyText"/>
      </w:pPr>
      <w:r>
        <w:t xml:space="preserve">Q. Did you tell Ms. Pennington that your experience in your other jobs was such that older women didn't like you?</w:t>
      </w:r>
    </w:p>
    <w:p>
      <w:pPr>
        <w:pStyle w:val="BodyText"/>
      </w:pPr>
      <w:r>
        <w:t xml:space="preserve">A. What are you referring to?</w:t>
      </w:r>
    </w:p>
    <w:p>
      <w:pPr>
        <w:pStyle w:val="BodyText"/>
      </w:pPr>
      <w:r>
        <w:t xml:space="preserve">Q. When you were interviewed by Ms. Pennington –</w:t>
      </w:r>
    </w:p>
    <w:p>
      <w:pPr>
        <w:pStyle w:val="BodyText"/>
      </w:pPr>
      <w:r>
        <w:t xml:space="preserve">A. What older women?</w:t>
      </w:r>
    </w:p>
    <w:p>
      <w:pPr>
        <w:pStyle w:val="BodyText"/>
      </w:pPr>
      <w:r>
        <w:t xml:space="preserve">Q. Well, I don't know. I'm asking you. Did you ever tell Ms. Pennington that in your other jobs you had difficulty with other older women?</w:t>
      </w:r>
    </w:p>
    <w:p>
      <w:pPr>
        <w:pStyle w:val="BodyText"/>
      </w:pPr>
      <w:r>
        <w:t xml:space="preserve">A. In one job.</w:t>
      </w:r>
    </w:p>
    <w:p>
      <w:pPr>
        <w:pStyle w:val="BodyText"/>
      </w:pPr>
      <w:r>
        <w:t xml:space="preserve">Q. Which job was that?</w:t>
      </w:r>
    </w:p>
    <w:p>
      <w:pPr>
        <w:pStyle w:val="BodyText"/>
      </w:pPr>
      <w:r>
        <w:t xml:space="preserve">A. Hertz.</w:t>
      </w:r>
    </w:p>
    <w:p>
      <w:pPr>
        <w:pStyle w:val="BodyText"/>
      </w:pPr>
      <w:r>
        <w:t xml:space="preserve">Q. And what did you tell Ms. Pennington?</w:t>
      </w:r>
    </w:p>
    <w:p>
      <w:pPr>
        <w:pStyle w:val="BodyText"/>
      </w:pPr>
      <w:r>
        <w:t xml:space="preserve">A. I don't recall telling her anything actually.</w:t>
      </w:r>
    </w:p>
    <w:p>
      <w:pPr>
        <w:pStyle w:val="BodyText"/>
      </w:pPr>
      <w:r>
        <w:t xml:space="preserve">Q. Now when you left, do you remember – AIDC – do you remember the month and the year you left?</w:t>
      </w:r>
    </w:p>
    <w:p>
      <w:pPr>
        <w:pStyle w:val="BodyText"/>
      </w:pPr>
      <w:r>
        <w:t xml:space="preserve">A. AIDC?</w:t>
      </w:r>
    </w:p>
    <w:p>
      <w:pPr>
        <w:pStyle w:val="BodyText"/>
      </w:pPr>
      <w:r>
        <w:t xml:space="preserve">Q. Um-huh.</w:t>
      </w:r>
    </w:p>
    <w:p>
      <w:pPr>
        <w:pStyle w:val="BodyText"/>
      </w:pPr>
      <w:r>
        <w:t xml:space="preserve">A. I left in '93, probably February of '93.</w:t>
      </w:r>
    </w:p>
    <w:p>
      <w:pPr>
        <w:pStyle w:val="BodyText"/>
      </w:pPr>
      <w:r>
        <w:t xml:space="preserve">Q. You left right before your second anniversary; is that right?</w:t>
      </w:r>
    </w:p>
    <w:p>
      <w:pPr>
        <w:pStyle w:val="BodyText"/>
      </w:pPr>
      <w:r>
        <w:t xml:space="preserve">A. No.</w:t>
      </w:r>
    </w:p>
    <w:p>
      <w:pPr>
        <w:pStyle w:val="BodyText"/>
      </w:pPr>
      <w:r>
        <w:t xml:space="preserve">MR. CAMPBELL: Objection. Misstates the evidence in the record.</w:t>
      </w:r>
    </w:p>
    <w:p>
      <w:pPr>
        <w:pStyle w:val="BodyText"/>
      </w:pPr>
      <w:r>
        <w:t xml:space="preserve">BY MR. BENNETT:</w:t>
      </w:r>
    </w:p>
    <w:p>
      <w:pPr>
        <w:pStyle w:val="BodyText"/>
      </w:pPr>
      <w:r>
        <w:t xml:space="preserve">Q. You may answer the question.</w:t>
      </w:r>
    </w:p>
    <w:p>
      <w:pPr>
        <w:pStyle w:val="BodyText"/>
      </w:pPr>
      <w:r>
        <w:t xml:space="preserve">A. What anniversary are you talking about?</w:t>
      </w:r>
    </w:p>
    <w:p>
      <w:pPr>
        <w:pStyle w:val="BodyText"/>
      </w:pPr>
      <w:r>
        <w:t xml:space="preserve">Q. When did you start at AIDC?</w:t>
      </w:r>
    </w:p>
    <w:p>
      <w:pPr>
        <w:pStyle w:val="BodyText"/>
      </w:pPr>
      <w:r>
        <w:t xml:space="preserve">A. In March, I believe.</w:t>
      </w:r>
    </w:p>
    <w:p>
      <w:pPr>
        <w:pStyle w:val="BodyText"/>
      </w:pPr>
      <w:r>
        <w:t xml:space="preserve">Q. Of what year?</w:t>
      </w:r>
    </w:p>
    <w:p>
      <w:pPr>
        <w:pStyle w:val="BodyText"/>
      </w:pPr>
      <w:r>
        <w:t xml:space="preserve">A. Of '90?</w:t>
      </w:r>
    </w:p>
    <w:p>
      <w:pPr>
        <w:pStyle w:val="BodyText"/>
      </w:pPr>
      <w:r>
        <w:t xml:space="preserve">Q. '91.</w:t>
      </w:r>
    </w:p>
    <w:p>
      <w:pPr>
        <w:pStyle w:val="BodyText"/>
      </w:pPr>
      <w:r>
        <w:t xml:space="preserve">A. '91, something like that.</w:t>
      </w:r>
    </w:p>
    <w:p>
      <w:pPr>
        <w:pStyle w:val="BodyText"/>
      </w:pPr>
      <w:r>
        <w:t xml:space="preserve">Q. And you left when? In February of '93; is that right?</w:t>
      </w:r>
    </w:p>
    <w:p>
      <w:pPr>
        <w:pStyle w:val="BodyText"/>
      </w:pPr>
      <w:r>
        <w:t xml:space="preserve">A. I believe that's correct.</w:t>
      </w:r>
    </w:p>
    <w:p>
      <w:pPr>
        <w:pStyle w:val="BodyText"/>
      </w:pPr>
      <w:r>
        <w:t xml:space="preserve">Q. So had you stayed another month, it would have been two years there. That's what I meant by anniversary. Is that right?</w:t>
      </w:r>
    </w:p>
    <w:p>
      <w:pPr>
        <w:pStyle w:val="BodyText"/>
      </w:pPr>
      <w:r>
        <w:t xml:space="preserve">A. Yes. Yes. You're right.</w:t>
      </w:r>
    </w:p>
    <w:p>
      <w:pPr>
        <w:pStyle w:val="BodyText"/>
      </w:pPr>
      <w:r>
        <w:t xml:space="preserve">Q. And you indicated to people at AIDC that you were looking for federal employment; is that correct, when you left?</w:t>
      </w:r>
    </w:p>
    <w:p>
      <w:pPr>
        <w:pStyle w:val="BodyText"/>
      </w:pPr>
      <w:r>
        <w:t xml:space="preserve">A. No.</w:t>
      </w:r>
    </w:p>
    <w:p>
      <w:pPr>
        <w:pStyle w:val="BodyText"/>
      </w:pPr>
      <w:r>
        <w:t xml:space="preserve">Q. You never told anybody that?</w:t>
      </w:r>
    </w:p>
    <w:p>
      <w:pPr>
        <w:pStyle w:val="BodyText"/>
      </w:pPr>
      <w:r>
        <w:t xml:space="preserve">A. I never said that.</w:t>
      </w:r>
    </w:p>
    <w:p>
      <w:pPr>
        <w:pStyle w:val="BodyText"/>
      </w:pPr>
      <w:r>
        <w:t xml:space="preserve">Q. Did you tell people that you were moving because your husband's job had changed?</w:t>
      </w:r>
    </w:p>
    <w:p>
      <w:pPr>
        <w:pStyle w:val="BodyText"/>
      </w:pPr>
      <w:r>
        <w:t xml:space="preserve">A. Yes.</w:t>
      </w:r>
    </w:p>
    <w:p>
      <w:pPr>
        <w:pStyle w:val="BodyText"/>
      </w:pPr>
      <w:r>
        <w:t xml:space="preserve">Q. And who did you tell that to?</w:t>
      </w:r>
    </w:p>
    <w:p>
      <w:pPr>
        <w:pStyle w:val="BodyText"/>
      </w:pPr>
      <w:r>
        <w:t xml:space="preserve">A. I don't know. Just my friends and stuff probably and probably told my supervisor that I was going to quit.</w:t>
      </w:r>
    </w:p>
    <w:p>
      <w:pPr>
        <w:pStyle w:val="BodyText"/>
      </w:pPr>
      <w:r>
        <w:t xml:space="preserve">Q. And what reasons did you give them for quitting?</w:t>
      </w:r>
    </w:p>
    <w:p>
      <w:pPr>
        <w:pStyle w:val="BodyText"/>
      </w:pPr>
      <w:r>
        <w:t xml:space="preserve">A. Because my husband got transferred and we were moving to California.</w:t>
      </w:r>
    </w:p>
    <w:p>
      <w:pPr>
        <w:pStyle w:val="BodyText"/>
      </w:pPr>
      <w:r>
        <w:t xml:space="preserve">Q. Was that true?</w:t>
      </w:r>
    </w:p>
    <w:p>
      <w:pPr>
        <w:pStyle w:val="BodyText"/>
      </w:pPr>
      <w:r>
        <w:t xml:space="preserve">A. Absolutely.</w:t>
      </w:r>
    </w:p>
    <w:p>
      <w:pPr>
        <w:pStyle w:val="BodyText"/>
      </w:pPr>
      <w:r>
        <w:t xml:space="preserve">Q. Now in the last few days at AIDC, you got in a big argument with Ms. Pennington about taking leave without pay; is that correct?</w:t>
      </w:r>
    </w:p>
    <w:p>
      <w:pPr>
        <w:pStyle w:val="BodyText"/>
      </w:pPr>
      <w:r>
        <w:t xml:space="preserve">A. No. I don't recall that.</w:t>
      </w:r>
    </w:p>
    <w:p>
      <w:pPr>
        <w:pStyle w:val="BodyText"/>
      </w:pPr>
      <w:r>
        <w:t xml:space="preserve">Q. Do you remember having an argument with anybody about your taking leave without pay?</w:t>
      </w:r>
    </w:p>
    <w:p>
      <w:pPr>
        <w:pStyle w:val="BodyText"/>
      </w:pPr>
      <w:r>
        <w:t xml:space="preserve">A. No. I don't recall that.</w:t>
      </w:r>
    </w:p>
    <w:p>
      <w:pPr>
        <w:pStyle w:val="BodyText"/>
      </w:pPr>
      <w:r>
        <w:t xml:space="preserve">Q. Do you remember calling Ms. Pennington a bitch?</w:t>
      </w:r>
    </w:p>
    <w:p>
      <w:pPr>
        <w:pStyle w:val="BodyText"/>
      </w:pPr>
      <w:r>
        <w:t xml:space="preserve">A. I've never called her that.</w:t>
      </w:r>
    </w:p>
    <w:p>
      <w:pPr>
        <w:pStyle w:val="BodyText"/>
      </w:pPr>
      <w:r>
        <w:t xml:space="preserve">Q. Do you remember yelling at her and telling her that she and AIDC, you'd get even with them?</w:t>
      </w:r>
    </w:p>
    <w:p>
      <w:pPr>
        <w:pStyle w:val="BodyText"/>
      </w:pPr>
      <w:r>
        <w:t xml:space="preserve">A. No. Are you talking about this while I was still working with her?</w:t>
      </w:r>
    </w:p>
    <w:p>
      <w:pPr>
        <w:pStyle w:val="BodyText"/>
      </w:pPr>
      <w:r>
        <w:t xml:space="preserve">Q. Right at the end, yeah.</w:t>
      </w:r>
    </w:p>
    <w:p>
      <w:pPr>
        <w:pStyle w:val="BodyText"/>
      </w:pPr>
      <w:r>
        <w:t xml:space="preserve">A. No. This is after I quit.</w:t>
      </w:r>
    </w:p>
    <w:p>
      <w:pPr>
        <w:pStyle w:val="BodyText"/>
      </w:pPr>
      <w:r>
        <w:t xml:space="preserve">Q. Oh. tell me about that.</w:t>
      </w:r>
    </w:p>
    <w:p>
      <w:pPr>
        <w:pStyle w:val="BodyText"/>
      </w:pPr>
      <w:r>
        <w:t xml:space="preserve">A. This incident took place after I quit.</w:t>
      </w:r>
    </w:p>
    <w:p>
      <w:pPr>
        <w:pStyle w:val="BodyText"/>
      </w:pPr>
      <w:r>
        <w:t xml:space="preserve">Q. Okay. Tell me what happened.</w:t>
      </w:r>
    </w:p>
    <w:p>
      <w:pPr>
        <w:pStyle w:val="BodyText"/>
      </w:pPr>
      <w:r>
        <w:t xml:space="preserve">A. This is when I went back to clean out my desk after I had done quit AIDC. I had a confrontation with Dave Herrington and Clydine Pennington. I brought them both together so I could express the feelings that I had encountered while I was working there of how I felt that I was being treated, mistreated. And that's where that incident took place.</w:t>
      </w:r>
    </w:p>
    <w:p>
      <w:pPr>
        <w:pStyle w:val="BodyText"/>
      </w:pPr>
      <w:r>
        <w:t xml:space="preserve">Q. Tell me, where did this take place?</w:t>
      </w:r>
    </w:p>
    <w:p>
      <w:pPr>
        <w:pStyle w:val="BodyText"/>
      </w:pPr>
      <w:r>
        <w:t xml:space="preserve">A. Out in the – kind of like a hall area. There was a whole bunch of like dividers and stuff. It wasn't like office rooms. And I just did it right out there.</w:t>
      </w:r>
    </w:p>
    <w:p>
      <w:pPr>
        <w:pStyle w:val="BodyText"/>
      </w:pPr>
      <w:r>
        <w:t xml:space="preserve">Q. And what did you say to Mr. Herrington and Ms. Pennington?</w:t>
      </w:r>
    </w:p>
    <w:p>
      <w:pPr>
        <w:pStyle w:val="BodyText"/>
      </w:pPr>
      <w:r>
        <w:t xml:space="preserve">A. I explained to Mr. Herrington, whether he was aware of it or not, how Ms. Pennington treated me and that she was – I always tried to get jobs. I brought that up. And nobody would let me try to get another job and better myself. And I just spewed on them really. Because I was just very upset from how I had been treated up there by trying to better myself.</w:t>
      </w:r>
    </w:p>
    <w:p>
      <w:pPr>
        <w:pStyle w:val="BodyText"/>
      </w:pPr>
      <w:r>
        <w:t xml:space="preserve">Q. What do you mean you "spewed on them"?</w:t>
      </w:r>
    </w:p>
    <w:p>
      <w:pPr>
        <w:pStyle w:val="BodyText"/>
      </w:pPr>
      <w:r>
        <w:t xml:space="preserve">A. Well, just – I was upset and I was telling them and I wanted Mr. Herrington to know how Ms. Pennington was and I didn't feel that Ms. Pennington was a very good supervisor and I was just telling – I don't recall everything that was said. I just know that I wanted Mr. Herrington to know what Clydine Pennington, how I felt about the way I had been treated over in that section, whether he was aware of it or not, I wanted him to know that before I left the building.</w:t>
      </w:r>
    </w:p>
    <w:p>
      <w:pPr>
        <w:pStyle w:val="BodyText"/>
      </w:pPr>
      <w:r>
        <w:t xml:space="preserve">Q. And did you yell in Ms. Pennington's presence?</w:t>
      </w:r>
    </w:p>
    <w:p>
      <w:pPr>
        <w:pStyle w:val="BodyText"/>
      </w:pPr>
      <w:r>
        <w:t xml:space="preserve">A. Oh, I'm sure I did raise my voice probably.</w:t>
      </w:r>
    </w:p>
    <w:p>
      <w:pPr>
        <w:pStyle w:val="BodyText"/>
      </w:pPr>
      <w:r>
        <w:t xml:space="preserve">Q. Did you use profanity?</w:t>
      </w:r>
    </w:p>
    <w:p>
      <w:pPr>
        <w:pStyle w:val="BodyText"/>
      </w:pPr>
      <w:r>
        <w:t xml:space="preserve">A. I don't recall if I ever used any curse words.</w:t>
      </w:r>
    </w:p>
    <w:p>
      <w:pPr>
        <w:pStyle w:val="BodyText"/>
      </w:pPr>
      <w:r>
        <w:t xml:space="preserve">Q. What did Ms. Pennington say when you spewed on her?</w:t>
      </w:r>
    </w:p>
    <w:p>
      <w:pPr>
        <w:pStyle w:val="BodyText"/>
      </w:pPr>
      <w:r>
        <w:t xml:space="preserve">A. She – I think she tried to talk right back and defend herself and she got loud too as well. I think Mr. Herrington just kind of was shocked and surprised and was listening to both sides of it and everything.</w:t>
      </w:r>
    </w:p>
    <w:p>
      <w:pPr>
        <w:pStyle w:val="BodyText"/>
      </w:pPr>
      <w:r>
        <w:t xml:space="preserve">Q. What did Mr. Herrington say?</w:t>
      </w:r>
    </w:p>
    <w:p>
      <w:pPr>
        <w:pStyle w:val="BodyText"/>
      </w:pPr>
      <w:r>
        <w:t xml:space="preserve">A. I don't recall. I just know that he wished me well and that he was sorry that it turned out the way it did. That's what he had said. Something to that effect.</w:t>
      </w:r>
    </w:p>
    <w:p>
      <w:pPr>
        <w:pStyle w:val="BodyText"/>
      </w:pPr>
      <w:r>
        <w:t xml:space="preserve">Q. You had quit some days before; is that right?</w:t>
      </w:r>
    </w:p>
    <w:p>
      <w:pPr>
        <w:pStyle w:val="BodyText"/>
      </w:pPr>
      <w:r>
        <w:t xml:space="preserve">A. Yes.</w:t>
      </w:r>
    </w:p>
    <w:p>
      <w:pPr>
        <w:pStyle w:val="BodyText"/>
      </w:pPr>
      <w:r>
        <w:t xml:space="preserve">Q. Do you remember how long before?</w:t>
      </w:r>
    </w:p>
    <w:p>
      <w:pPr>
        <w:pStyle w:val="BodyText"/>
      </w:pPr>
      <w:r>
        <w:t xml:space="preserve">A. Maybe a few days or so before.</w:t>
      </w:r>
    </w:p>
    <w:p>
      <w:pPr>
        <w:pStyle w:val="BodyText"/>
      </w:pPr>
      <w:r>
        <w:t xml:space="preserve">Q. Had you given them notice that you were going to quit because of you husband's transfer to California?</w:t>
      </w:r>
    </w:p>
    <w:p>
      <w:pPr>
        <w:pStyle w:val="BodyText"/>
      </w:pPr>
      <w:r>
        <w:t xml:space="preserve">A. If I recall, it seems like they gave me a going away party thing. Yeah. They have it in a conference room and people in the thing, they had cake or whatever to wish me well or whatever.</w:t>
      </w:r>
    </w:p>
    <w:p>
      <w:pPr>
        <w:pStyle w:val="BodyText"/>
      </w:pPr>
      <w:r>
        <w:t xml:space="preserve">Q. So you had told somebody that you were quitting and leaving?</w:t>
      </w:r>
    </w:p>
    <w:p>
      <w:pPr>
        <w:pStyle w:val="BodyText"/>
      </w:pPr>
      <w:r>
        <w:t xml:space="preserve">A. Oh, yes. Yes. I told Clydine about the possible move.</w:t>
      </w:r>
    </w:p>
    <w:p>
      <w:pPr>
        <w:pStyle w:val="BodyText"/>
      </w:pPr>
      <w:r>
        <w:t xml:space="preserve">Q. And what did she say to you?</w:t>
      </w:r>
    </w:p>
    <w:p>
      <w:pPr>
        <w:pStyle w:val="BodyText"/>
      </w:pPr>
      <w:r>
        <w:t xml:space="preserve">A. I don't recall what she said to me.</w:t>
      </w:r>
    </w:p>
    <w:p>
      <w:pPr>
        <w:pStyle w:val="BodyText"/>
      </w:pPr>
      <w:r>
        <w:t xml:space="preserve">Q. Tell me a little bit about this going-away party.</w:t>
      </w:r>
    </w:p>
    <w:p>
      <w:pPr>
        <w:pStyle w:val="BodyText"/>
      </w:pPr>
      <w:r>
        <w:t xml:space="preserve">A. They would just have like snacks and different people from each section would bring snacks or dip or something and they would say good-bye and that would be about it.</w:t>
      </w:r>
    </w:p>
    <w:p>
      <w:pPr>
        <w:pStyle w:val="BodyText"/>
      </w:pPr>
      <w:r>
        <w:t xml:space="preserve">Q. Was Ms. Pennington there?</w:t>
      </w:r>
    </w:p>
    <w:p>
      <w:pPr>
        <w:pStyle w:val="BodyText"/>
      </w:pPr>
      <w:r>
        <w:t xml:space="preserve">A. I'm sure. I don't know. I don't recall. I'm sure she was.</w:t>
      </w:r>
    </w:p>
    <w:p>
      <w:pPr>
        <w:pStyle w:val="BodyText"/>
      </w:pPr>
      <w:r>
        <w:t xml:space="preserve">Q. A lot of people were there?</w:t>
      </w:r>
    </w:p>
    <w:p>
      <w:pPr>
        <w:pStyle w:val="BodyText"/>
      </w:pPr>
      <w:r>
        <w:t xml:space="preserve">A. I think so.</w:t>
      </w:r>
    </w:p>
    <w:p>
      <w:pPr>
        <w:pStyle w:val="BodyText"/>
      </w:pPr>
      <w:r>
        <w:t xml:space="preserve">Q. Have a good time?</w:t>
      </w:r>
    </w:p>
    <w:p>
      <w:pPr>
        <w:pStyle w:val="BodyText"/>
      </w:pPr>
      <w:r>
        <w:t xml:space="preserve">A. In and out. In and out. I mean, there wasn't a whole bunch of people there at one time.</w:t>
      </w:r>
    </w:p>
    <w:p>
      <w:pPr>
        <w:pStyle w:val="BodyText"/>
      </w:pPr>
      <w:r>
        <w:t xml:space="preserve">Q. Have a good time at the party?</w:t>
      </w:r>
    </w:p>
    <w:p>
      <w:pPr>
        <w:pStyle w:val="BodyText"/>
      </w:pPr>
      <w:r>
        <w:t xml:space="preserve">A. I don't recall. It wasn't a party. It was just, you know, to say bye and everybody to eat, you know.</w:t>
      </w:r>
    </w:p>
    <w:p>
      <w:pPr>
        <w:pStyle w:val="BodyText"/>
      </w:pPr>
      <w:r>
        <w:t xml:space="preserve">Q. But it was a friendly gathering?</w:t>
      </w:r>
    </w:p>
    <w:p>
      <w:pPr>
        <w:pStyle w:val="BodyText"/>
      </w:pPr>
      <w:r>
        <w:t xml:space="preserve">A. Yes.</w:t>
      </w:r>
    </w:p>
    <w:p>
      <w:pPr>
        <w:pStyle w:val="BodyText"/>
      </w:pPr>
      <w:r>
        <w:t xml:space="preserve">Q. Was Pam Blackard there?</w:t>
      </w:r>
    </w:p>
    <w:p>
      <w:pPr>
        <w:pStyle w:val="BodyText"/>
      </w:pPr>
      <w:r>
        <w:t xml:space="preserve">A. I don't recall.</w:t>
      </w:r>
    </w:p>
    <w:p>
      <w:pPr>
        <w:pStyle w:val="BodyText"/>
      </w:pPr>
      <w:r>
        <w:t xml:space="preserve">Q. During this incident that you described where you spewed on Ms. Pennington, do you recall yelling at Mr. Herrington?</w:t>
      </w:r>
    </w:p>
    <w:p>
      <w:pPr>
        <w:pStyle w:val="BodyText"/>
      </w:pPr>
      <w:r>
        <w:t xml:space="preserve">A. No. I don't think so. He was just listening. I was voicing to him how she – how I felt the way I had been treated by Ms. Pennington and he was very nice to listen.</w:t>
      </w:r>
    </w:p>
    <w:p>
      <w:pPr>
        <w:pStyle w:val="BodyText"/>
      </w:pPr>
      <w:r>
        <w:t xml:space="preserve">Q. You didn't mention anything at that time, did you, about this alleged incident which occurred at the Excelsior Hotel with Governor Clinton?</w:t>
      </w:r>
    </w:p>
    <w:p>
      <w:pPr>
        <w:pStyle w:val="BodyText"/>
      </w:pPr>
      <w:r>
        <w:t xml:space="preserve">A. Oh, no.</w:t>
      </w:r>
    </w:p>
    <w:p>
      <w:pPr>
        <w:pStyle w:val="BodyText"/>
      </w:pPr>
      <w:r>
        <w:t xml:space="preserve">Q. Now tell me about your maternity leave. Just how many maternity leaves had you taken?</w:t>
      </w:r>
    </w:p>
    <w:p>
      <w:pPr>
        <w:pStyle w:val="BodyText"/>
      </w:pPr>
      <w:r>
        <w:t xml:space="preserve">A. One.</w:t>
      </w:r>
    </w:p>
    <w:p>
      <w:pPr>
        <w:pStyle w:val="BodyText"/>
      </w:pPr>
      <w:r>
        <w:t xml:space="preserve">Q. For just one child?</w:t>
      </w:r>
    </w:p>
    <w:p>
      <w:pPr>
        <w:pStyle w:val="BodyText"/>
      </w:pPr>
      <w:r>
        <w:t xml:space="preserve">A. Right.</w:t>
      </w:r>
    </w:p>
    <w:p>
      <w:pPr>
        <w:pStyle w:val="BodyText"/>
      </w:pPr>
      <w:r>
        <w:t xml:space="preserve">Q. The second child was born after you left; is that right?</w:t>
      </w:r>
    </w:p>
    <w:p>
      <w:pPr>
        <w:pStyle w:val="BodyText"/>
      </w:pPr>
      <w:r>
        <w:t xml:space="preserve">A. Yeah. A long time after.</w:t>
      </w:r>
    </w:p>
    <w:p>
      <w:pPr>
        <w:pStyle w:val="BodyText"/>
      </w:pPr>
      <w:r>
        <w:t xml:space="preserve">Q. And when you returned to work after maternity leave, did your duties change?</w:t>
      </w:r>
    </w:p>
    <w:p>
      <w:pPr>
        <w:pStyle w:val="BodyText"/>
      </w:pPr>
      <w:r>
        <w:t xml:space="preserve">A. Yes, they did.</w:t>
      </w:r>
    </w:p>
    <w:p>
      <w:pPr>
        <w:pStyle w:val="BodyText"/>
      </w:pPr>
      <w:r>
        <w:t xml:space="preserve">Q. Tell me how your duties changed.</w:t>
      </w:r>
    </w:p>
    <w:p>
      <w:pPr>
        <w:pStyle w:val="BodyText"/>
      </w:pPr>
      <w:r>
        <w:t xml:space="preserve">A. I know I read the Arkansas handbook, state employee Arkansas handbook, before I left on maternity leave and I know I had six weeks. Well, in the Arkansas handbook under maternity leave, it stated that you are to return back to your same position after six weeks' leave and unless there was a reduce in staff or something like that. I don't remember the exact words. And when I came back, none of them called or nothing like that. I don't think I ever received a call from Clydine Pennington or anybody to tell me they were making changes while I was no longer – while I wasn't there. And when I came back, I no longer was at my desk. They had moved me completely to sit right outside Clydine's office, so she could watch me at all times. I was sitting right out front. And I didn't have any work to do. My work had been gone. I was sitting there doing nothing.</w:t>
      </w:r>
    </w:p>
    <w:p>
      <w:pPr>
        <w:pStyle w:val="BodyText"/>
      </w:pPr>
      <w:r>
        <w:t xml:space="preserve">Q. All right. Now you learned when you went back that there had been some structural changes at AIDC, didn't you?</w:t>
      </w:r>
    </w:p>
    <w:p>
      <w:pPr>
        <w:pStyle w:val="BodyText"/>
      </w:pPr>
      <w:r>
        <w:t xml:space="preserve">A. Like structural, what changes, what do you mean? As far as –</w:t>
      </w:r>
    </w:p>
    <w:p>
      <w:pPr>
        <w:pStyle w:val="BodyText"/>
      </w:pPr>
      <w:r>
        <w:t xml:space="preserve">Q. That they had made some changes in functions in departments.</w:t>
      </w:r>
    </w:p>
    <w:p>
      <w:pPr>
        <w:pStyle w:val="BodyText"/>
      </w:pPr>
      <w:r>
        <w:t xml:space="preserve">A. No, not that I know of. Just maybe – just mine. Just mine.</w:t>
      </w:r>
    </w:p>
    <w:p>
      <w:pPr>
        <w:pStyle w:val="BodyText"/>
      </w:pPr>
      <w:r>
        <w:t xml:space="preserve">Q. Well, did you learn that they consolidated purchasing department responsibilities?</w:t>
      </w:r>
    </w:p>
    <w:p>
      <w:pPr>
        <w:pStyle w:val="BodyText"/>
      </w:pPr>
      <w:r>
        <w:t xml:space="preserve">A. That's what they did, yes. Because that's what I was doing.</w:t>
      </w:r>
    </w:p>
    <w:p>
      <w:pPr>
        <w:pStyle w:val="BodyText"/>
      </w:pPr>
      <w:r>
        <w:t xml:space="preserve">Q. And now, Mrs. Jones, isn't it a fact that when you came back, there was no change in your salary, was there?</w:t>
      </w:r>
    </w:p>
    <w:p>
      <w:pPr>
        <w:pStyle w:val="BodyText"/>
      </w:pPr>
      <w:r>
        <w:t xml:space="preserve">A. No, there was not.</w:t>
      </w:r>
    </w:p>
    <w:p>
      <w:pPr>
        <w:pStyle w:val="BodyText"/>
      </w:pPr>
      <w:r>
        <w:t xml:space="preserve">Q. There was no change in you supervisor, was there?</w:t>
      </w:r>
    </w:p>
    <w:p>
      <w:pPr>
        <w:pStyle w:val="BodyText"/>
      </w:pPr>
      <w:r>
        <w:t xml:space="preserve">A. No. But I would just wonder why they would –</w:t>
      </w:r>
    </w:p>
    <w:p>
      <w:pPr>
        <w:pStyle w:val="BodyText"/>
      </w:pPr>
      <w:r>
        <w:t xml:space="preserve">Q. There was no change in your title, was there?</w:t>
      </w:r>
    </w:p>
    <w:p>
      <w:pPr>
        <w:pStyle w:val="BodyText"/>
      </w:pPr>
      <w:r>
        <w:t xml:space="preserve">A. – move me.</w:t>
      </w:r>
    </w:p>
    <w:p>
      <w:pPr>
        <w:pStyle w:val="BodyText"/>
      </w:pPr>
      <w:r>
        <w:t xml:space="preserve">MR. CAMPBELL: Objection, counsel. Let the witness finish her answer.</w:t>
      </w:r>
    </w:p>
    <w:p>
      <w:pPr>
        <w:pStyle w:val="BodyText"/>
      </w:pPr>
      <w:r>
        <w:t xml:space="preserve">BY MR. BENNETT:</w:t>
      </w:r>
    </w:p>
    <w:p>
      <w:pPr>
        <w:pStyle w:val="BodyText"/>
      </w:pPr>
      <w:r>
        <w:t xml:space="preserve">Q. I'm sorry. I apologize.</w:t>
      </w:r>
    </w:p>
    <w:p>
      <w:pPr>
        <w:pStyle w:val="BodyText"/>
      </w:pPr>
      <w:r>
        <w:t xml:space="preserve">A. Yeah, there was. I don't know what I was called. Probably a nobody sitting out in front of Clydine's office. Because Pam Hood got my job. And what is amazing to me is why it took place while I was on six months maternity leave when they could have done it before or after when I could have been there. They did it while I was away and unaware of what was going on.</w:t>
      </w:r>
    </w:p>
    <w:p>
      <w:pPr>
        <w:pStyle w:val="BodyText"/>
      </w:pPr>
      <w:r>
        <w:t xml:space="preserve">Q. What was your title before you went on maternity leave?</w:t>
      </w:r>
    </w:p>
    <w:p>
      <w:pPr>
        <w:pStyle w:val="BodyText"/>
      </w:pPr>
      <w:r>
        <w:t xml:space="preserve">A. Purchasing assistant.</w:t>
      </w:r>
    </w:p>
    <w:p>
      <w:pPr>
        <w:pStyle w:val="BodyText"/>
      </w:pPr>
      <w:r>
        <w:t xml:space="preserve">Q. What was your title when you came back?</w:t>
      </w:r>
    </w:p>
    <w:p>
      <w:pPr>
        <w:pStyle w:val="BodyText"/>
      </w:pPr>
      <w:r>
        <w:t xml:space="preserve">A. I don't know. I was not the purchasing agent anymore.</w:t>
      </w:r>
    </w:p>
    <w:p>
      <w:pPr>
        <w:pStyle w:val="BodyText"/>
      </w:pPr>
      <w:r>
        <w:t xml:space="preserve">Q. Well, you still worked on purchasing things, didn't you?</w:t>
      </w:r>
    </w:p>
    <w:p>
      <w:pPr>
        <w:pStyle w:val="BodyText"/>
      </w:pPr>
      <w:r>
        <w:t xml:space="preserve">A. No. I don't believe I did. That was all given to Pam Hood.</w:t>
      </w:r>
    </w:p>
    <w:p>
      <w:pPr>
        <w:pStyle w:val="BodyText"/>
      </w:pPr>
      <w:r>
        <w:t xml:space="preserve">Q. Didn't you work on data both before and after you – the input of data?</w:t>
      </w:r>
    </w:p>
    <w:p>
      <w:pPr>
        <w:pStyle w:val="BodyText"/>
      </w:pPr>
      <w:r>
        <w:t xml:space="preserve">A. No. Actually I worked for personnel at that point. I input applications that were brought in to AIDC for employment and that's what I did all day long. I sat there and input applications into the database. That's all I did.</w:t>
      </w:r>
    </w:p>
    <w:p>
      <w:pPr>
        <w:pStyle w:val="BodyText"/>
      </w:pPr>
      <w:r>
        <w:t xml:space="preserve">Q. That's when you came back?</w:t>
      </w:r>
    </w:p>
    <w:p>
      <w:pPr>
        <w:pStyle w:val="BodyText"/>
      </w:pPr>
      <w:r>
        <w:t xml:space="preserve">A. Right. I did no longer do purchasing at all.</w:t>
      </w:r>
    </w:p>
    <w:p>
      <w:pPr>
        <w:pStyle w:val="BodyText"/>
      </w:pPr>
      <w:r>
        <w:t xml:space="preserve">Q. But when you were working in purchasing before you left, you were putting purchasing order, that's data input –</w:t>
      </w:r>
    </w:p>
    <w:p>
      <w:pPr>
        <w:pStyle w:val="BodyText"/>
      </w:pPr>
      <w:r>
        <w:t xml:space="preserve">A. Right.</w:t>
      </w:r>
    </w:p>
    <w:p>
      <w:pPr>
        <w:pStyle w:val="BodyText"/>
      </w:pPr>
      <w:r>
        <w:t xml:space="preserve">Q. – involving purchasing orders, right?</w:t>
      </w:r>
    </w:p>
    <w:p>
      <w:pPr>
        <w:pStyle w:val="BodyText"/>
      </w:pPr>
      <w:r>
        <w:t xml:space="preserve">A. Um-huh.</w:t>
      </w:r>
    </w:p>
    <w:p>
      <w:pPr>
        <w:pStyle w:val="BodyText"/>
      </w:pPr>
      <w:r>
        <w:t xml:space="preserve">Q. Is that correct?</w:t>
      </w:r>
    </w:p>
    <w:p>
      <w:pPr>
        <w:pStyle w:val="BodyText"/>
      </w:pPr>
      <w:r>
        <w:t xml:space="preserve">A. Um-huh.</w:t>
      </w:r>
    </w:p>
    <w:p>
      <w:pPr>
        <w:pStyle w:val="BodyText"/>
      </w:pPr>
      <w:r>
        <w:t xml:space="preserve">Q. You have to answer it –</w:t>
      </w:r>
    </w:p>
    <w:p>
      <w:pPr>
        <w:pStyle w:val="BodyText"/>
      </w:pPr>
      <w:r>
        <w:t xml:space="preserve">A. That was my job. Oh, I'm sorry. Yes.</w:t>
      </w:r>
    </w:p>
    <w:p>
      <w:pPr>
        <w:pStyle w:val="BodyText"/>
      </w:pPr>
      <w:r>
        <w:t xml:space="preserve">Q. So in both instances, you were doing data input; is that right?</w:t>
      </w:r>
    </w:p>
    <w:p>
      <w:pPr>
        <w:pStyle w:val="BodyText"/>
      </w:pPr>
      <w:r>
        <w:t xml:space="preserve">A. Yes. But that was not my job title before I left. I had – I was a purchasing assistant. When I came back, I was no longer dealing with purchasing department, period. Without me transferring or asking to be moved, I was moved without anybody asking me if that's what I wanted to do.</w:t>
      </w:r>
    </w:p>
    <w:p>
      <w:pPr>
        <w:pStyle w:val="BodyText"/>
      </w:pPr>
      <w:r>
        <w:t xml:space="preserve">Q. Now did you know what Pam Hood's title was?</w:t>
      </w:r>
    </w:p>
    <w:p>
      <w:pPr>
        <w:pStyle w:val="BodyText"/>
      </w:pPr>
      <w:r>
        <w:t xml:space="preserve">A. She was the purchasing – I'm not really sure. Something with purchasing. She did all the major orders for the office supplies and stuff.</w:t>
      </w:r>
    </w:p>
    <w:p>
      <w:pPr>
        <w:pStyle w:val="BodyText"/>
      </w:pPr>
      <w:r>
        <w:t xml:space="preserve">Q. And are you aware that she applied for that job?</w:t>
      </w:r>
    </w:p>
    <w:p>
      <w:pPr>
        <w:pStyle w:val="BodyText"/>
      </w:pPr>
      <w:r>
        <w:t xml:space="preserve">A. That she did?</w:t>
      </w:r>
    </w:p>
    <w:p>
      <w:pPr>
        <w:pStyle w:val="BodyText"/>
      </w:pPr>
      <w:r>
        <w:t xml:space="preserve">Q. Um-huh.</w:t>
      </w:r>
    </w:p>
    <w:p>
      <w:pPr>
        <w:pStyle w:val="BodyText"/>
      </w:pPr>
      <w:r>
        <w:t xml:space="preserve">A. No.</w:t>
      </w:r>
    </w:p>
    <w:p>
      <w:pPr>
        <w:pStyle w:val="BodyText"/>
      </w:pPr>
      <w:r>
        <w:t xml:space="preserve">Q. How did you get along with your co-workers at AIDC?</w:t>
      </w:r>
    </w:p>
    <w:p>
      <w:pPr>
        <w:pStyle w:val="BodyText"/>
      </w:pPr>
      <w:r>
        <w:t xml:space="preserve">MR. CAMPBELL: Objection. Overbroad and global.</w:t>
      </w:r>
    </w:p>
    <w:p>
      <w:pPr>
        <w:pStyle w:val="BodyText"/>
      </w:pPr>
      <w:r>
        <w:t xml:space="preserve">THE WITNESS: In general just, you know, the ones that I liked, I mean, we got along pretty good. I talked to everybody around.</w:t>
      </w:r>
    </w:p>
    <w:p>
      <w:pPr>
        <w:pStyle w:val="BodyText"/>
      </w:pPr>
      <w:r>
        <w:t xml:space="preserve">BY MR. BENNETT:</w:t>
      </w:r>
    </w:p>
    <w:p>
      <w:pPr>
        <w:pStyle w:val="BodyText"/>
      </w:pPr>
      <w:r>
        <w:t xml:space="preserve">Q. Were there any there that you didn't get along with particularly?</w:t>
      </w:r>
    </w:p>
    <w:p>
      <w:pPr>
        <w:pStyle w:val="BodyText"/>
      </w:pPr>
      <w:r>
        <w:t xml:space="preserve">MR. CAMPBELL: Objection. Overbroad as to time.</w:t>
      </w:r>
    </w:p>
    <w:p>
      <w:pPr>
        <w:pStyle w:val="BodyText"/>
      </w:pPr>
      <w:r>
        <w:t xml:space="preserve">BY MR. BENNETT:</w:t>
      </w:r>
    </w:p>
    <w:p>
      <w:pPr>
        <w:pStyle w:val="BodyText"/>
      </w:pPr>
      <w:r>
        <w:t xml:space="preserve">Q. During the two-year period that you worked there.</w:t>
      </w:r>
    </w:p>
    <w:p>
      <w:pPr>
        <w:pStyle w:val="BodyText"/>
      </w:pPr>
      <w:r>
        <w:t xml:space="preserve">A. Not really. Just, you know, working in a place for a while, there's always going to be talk or, you know, something, but, no, I can't think of anything specific.</w:t>
      </w:r>
    </w:p>
    <w:p>
      <w:pPr>
        <w:pStyle w:val="BodyText"/>
      </w:pPr>
      <w:r>
        <w:t xml:space="preserve">Q. Did Ms. Pennington during the two-year period ever criticize you or reprimand you for any of you activities?</w:t>
      </w:r>
    </w:p>
    <w:p>
      <w:pPr>
        <w:pStyle w:val="BodyText"/>
      </w:pPr>
      <w:r>
        <w:t xml:space="preserve">A. I don't recall at this moment. I don't recall right at this moment if she did or not.</w:t>
      </w:r>
    </w:p>
    <w:p>
      <w:pPr>
        <w:pStyle w:val="BodyText"/>
      </w:pPr>
      <w:r>
        <w:t xml:space="preserve">Q. Did she ever reprimand you about your tardiness?</w:t>
      </w:r>
    </w:p>
    <w:p>
      <w:pPr>
        <w:pStyle w:val="BodyText"/>
      </w:pPr>
      <w:r>
        <w:t xml:space="preserve">A. No.</w:t>
      </w:r>
    </w:p>
    <w:p>
      <w:pPr>
        <w:pStyle w:val="BodyText"/>
      </w:pPr>
      <w:r>
        <w:t xml:space="preserve">Q. In two years, she never reprimanded you about your tardiness?</w:t>
      </w:r>
    </w:p>
    <w:p>
      <w:pPr>
        <w:pStyle w:val="BodyText"/>
      </w:pPr>
      <w:r>
        <w:t xml:space="preserve">MR. CAMPBELL: Objection. Asked and answered.</w:t>
      </w:r>
    </w:p>
    <w:p>
      <w:pPr>
        <w:pStyle w:val="BodyText"/>
      </w:pPr>
      <w:r>
        <w:t xml:space="preserve">MR. BENNETT:</w:t>
      </w:r>
    </w:p>
    <w:p>
      <w:pPr>
        <w:pStyle w:val="BodyText"/>
      </w:pPr>
      <w:r>
        <w:t xml:space="preserve">Q. You can answer.</w:t>
      </w:r>
    </w:p>
    <w:p>
      <w:pPr>
        <w:pStyle w:val="BodyText"/>
      </w:pPr>
      <w:r>
        <w:t xml:space="preserve">A. She may have talked to me about it, but I never got anything, I don't think any paperwork, or anything written up as far as I remember.</w:t>
      </w:r>
    </w:p>
    <w:p>
      <w:pPr>
        <w:pStyle w:val="BodyText"/>
      </w:pPr>
      <w:r>
        <w:t xml:space="preserve">Q. I'm not asking you about paperwork. I'm asking you –</w:t>
      </w:r>
    </w:p>
    <w:p>
      <w:pPr>
        <w:pStyle w:val="BodyText"/>
      </w:pPr>
      <w:r>
        <w:t xml:space="preserve">A. Okay. Yeah. She talked to me about it. She was late herself and she would bring me in there, "I know. I'm late too. I live out there by you and we have that long traffic," she said, "and I'm guilty of it too," she said, "but we've got to get us here, you know, sooner," or whatever and that's what the conversations, how they were.</w:t>
      </w:r>
    </w:p>
    <w:p>
      <w:pPr>
        <w:pStyle w:val="BodyText"/>
      </w:pPr>
      <w:r>
        <w:t xml:space="preserve">Q. And she reprimanded you several times about your being late; isn't that right?</w:t>
      </w:r>
    </w:p>
    <w:p>
      <w:pPr>
        <w:pStyle w:val="BodyText"/>
      </w:pPr>
      <w:r>
        <w:t xml:space="preserve">MR. CAMPBELL: Objection. Misstates the prior testimony.</w:t>
      </w:r>
    </w:p>
    <w:p>
      <w:pPr>
        <w:pStyle w:val="BodyText"/>
      </w:pPr>
      <w:r>
        <w:t xml:space="preserve">MR. BENNETT: I'm not trying to state prior testimony.</w:t>
      </w:r>
    </w:p>
    <w:p>
      <w:pPr>
        <w:pStyle w:val="BodyText"/>
      </w:pPr>
      <w:r>
        <w:t xml:space="preserve">BY MR. BENNETT:</w:t>
      </w:r>
    </w:p>
    <w:p>
      <w:pPr>
        <w:pStyle w:val="BodyText"/>
      </w:pPr>
      <w:r>
        <w:t xml:space="preserve">Q. Didn't she reprimand you several times?</w:t>
      </w:r>
    </w:p>
    <w:p>
      <w:pPr>
        <w:pStyle w:val="BodyText"/>
      </w:pPr>
      <w:r>
        <w:t xml:space="preserve">MR. CAMPBELL: Same objection.</w:t>
      </w:r>
    </w:p>
    <w:p>
      <w:pPr>
        <w:pStyle w:val="BodyText"/>
      </w:pPr>
      <w:r>
        <w:t xml:space="preserve">BY MR. BENNETT:</w:t>
      </w:r>
    </w:p>
    <w:p>
      <w:pPr>
        <w:pStyle w:val="BodyText"/>
      </w:pPr>
      <w:r>
        <w:t xml:space="preserve">Q. You may answer.</w:t>
      </w:r>
    </w:p>
    <w:p>
      <w:pPr>
        <w:pStyle w:val="BodyText"/>
      </w:pPr>
      <w:r>
        <w:t xml:space="preserve">A. I don't recall.</w:t>
      </w:r>
    </w:p>
    <w:p>
      <w:pPr>
        <w:pStyle w:val="BodyText"/>
      </w:pPr>
      <w:r>
        <w:t xml:space="preserve">Q. Did Ms. Pennington ever criticize you or reprimand you about the way you dressed?</w:t>
      </w:r>
    </w:p>
    <w:p>
      <w:pPr>
        <w:pStyle w:val="BodyText"/>
      </w:pPr>
      <w:r>
        <w:t xml:space="preserve">A. No.</w:t>
      </w:r>
    </w:p>
    <w:p>
      <w:pPr>
        <w:pStyle w:val="BodyText"/>
      </w:pPr>
      <w:r>
        <w:t xml:space="preserve">Q. Did anybody ever reprimand you about the way you dressed?</w:t>
      </w:r>
    </w:p>
    <w:p>
      <w:pPr>
        <w:pStyle w:val="BodyText"/>
      </w:pPr>
      <w:r>
        <w:t xml:space="preserve">MR. CAMPBELL: Objection. Overbroad as to time and place.</w:t>
      </w:r>
    </w:p>
    <w:p>
      <w:pPr>
        <w:pStyle w:val="BodyText"/>
      </w:pPr>
      <w:r>
        <w:t xml:space="preserve">BY MR. BENNETT:</w:t>
      </w:r>
    </w:p>
    <w:p>
      <w:pPr>
        <w:pStyle w:val="BodyText"/>
      </w:pPr>
      <w:r>
        <w:t xml:space="preserve">Q. You know the place I'm talking about, don't you?</w:t>
      </w:r>
    </w:p>
    <w:p>
      <w:pPr>
        <w:pStyle w:val="BodyText"/>
      </w:pPr>
      <w:r>
        <w:t xml:space="preserve">A. What are you talking about?</w:t>
      </w:r>
    </w:p>
    <w:p>
      <w:pPr>
        <w:pStyle w:val="BodyText"/>
      </w:pPr>
      <w:r>
        <w:t xml:space="preserve">Q. AIDC.</w:t>
      </w:r>
    </w:p>
    <w:p>
      <w:pPr>
        <w:pStyle w:val="BodyText"/>
      </w:pPr>
      <w:r>
        <w:t xml:space="preserve">A. Oh, yes.</w:t>
      </w:r>
    </w:p>
    <w:p>
      <w:pPr>
        <w:pStyle w:val="BodyText"/>
      </w:pPr>
      <w:r>
        <w:t xml:space="preserve">Q. And you know the time I'm talking about, don't you? The two years you worked there?</w:t>
      </w:r>
    </w:p>
    <w:p>
      <w:pPr>
        <w:pStyle w:val="BodyText"/>
      </w:pPr>
      <w:r>
        <w:t xml:space="preserve">A. Um-huh.</w:t>
      </w:r>
    </w:p>
    <w:p>
      <w:pPr>
        <w:pStyle w:val="BodyText"/>
      </w:pPr>
      <w:r>
        <w:t xml:space="preserve">Q. Okay. Now, did anybody in those two years ever complain about how you dressed or criticized how you dressed?</w:t>
      </w:r>
    </w:p>
    <w:p>
      <w:pPr>
        <w:pStyle w:val="BodyText"/>
      </w:pPr>
      <w:r>
        <w:t xml:space="preserve">A. No. As a matter of fact, even Dave Herrington I remember him one time saying how really nice I always tried to dress and everything when I was up there. And after I had the baby, I remember him commenting on how I had gotten back down – my weight back down and how nice I was looking.</w:t>
      </w:r>
    </w:p>
    <w:p>
      <w:pPr>
        <w:pStyle w:val="BodyText"/>
      </w:pPr>
      <w:r>
        <w:t xml:space="preserve">Q. Did anybody ever criticize you while you were at AIDC during that two-year period about talking too much, gabbing too much?</w:t>
      </w:r>
    </w:p>
    <w:p>
      <w:pPr>
        <w:pStyle w:val="BodyText"/>
      </w:pPr>
      <w:r>
        <w:t xml:space="preserve">A. Oh, I'm sure I got a lot of trouble – I'm sure I got in trouble for talking. But I never got like paperwork, I mean, like – stuff like that. Just – they would – she would talk to me.</w:t>
      </w:r>
    </w:p>
    <w:p>
      <w:pPr>
        <w:pStyle w:val="BodyText"/>
      </w:pPr>
      <w:r>
        <w:t xml:space="preserve">Q. Right. They gave you a break on these occasions. They never formally punished you, did they?</w:t>
      </w:r>
    </w:p>
    <w:p>
      <w:pPr>
        <w:pStyle w:val="BodyText"/>
      </w:pPr>
      <w:r>
        <w:t xml:space="preserve">A. Well, they would – I don't think. I don't know if there was a formal procedure to formally punish you if you were talking, but I know that they would talk to me about it.</w:t>
      </w:r>
    </w:p>
    <w:p>
      <w:pPr>
        <w:pStyle w:val="BodyText"/>
      </w:pPr>
      <w:r>
        <w:t xml:space="preserve">Q. Who's "they," other than Ms. Pennington?</w:t>
      </w:r>
    </w:p>
    <w:p>
      <w:pPr>
        <w:pStyle w:val="BodyText"/>
      </w:pPr>
      <w:r>
        <w:t xml:space="preserve">A. Clydine Pennington. That would be who I was talking about.</w:t>
      </w:r>
    </w:p>
    <w:p>
      <w:pPr>
        <w:pStyle w:val="BodyText"/>
      </w:pPr>
      <w:r>
        <w:t xml:space="preserve">Q. And during the period of time you worked for AIDC for that two years, one of you primary functions was to deliver – as a courier to deliver things; isn't that right?</w:t>
      </w:r>
    </w:p>
    <w:p>
      <w:pPr>
        <w:pStyle w:val="BodyText"/>
      </w:pPr>
      <w:r>
        <w:t xml:space="preserve">A. That's correct.</w:t>
      </w:r>
    </w:p>
    <w:p>
      <w:pPr>
        <w:pStyle w:val="BodyText"/>
      </w:pPr>
      <w:r>
        <w:t xml:space="preserve">Q. And where would you deliver things to?</w:t>
      </w:r>
    </w:p>
    <w:p>
      <w:pPr>
        <w:pStyle w:val="BodyText"/>
      </w:pPr>
      <w:r>
        <w:t xml:space="preserve">A. All over the state Capitol grounds.</w:t>
      </w:r>
    </w:p>
    <w:p>
      <w:pPr>
        <w:pStyle w:val="BodyText"/>
      </w:pPr>
      <w:r>
        <w:t xml:space="preserve">Q. And that included the governor's office?</w:t>
      </w:r>
    </w:p>
    <w:p>
      <w:pPr>
        <w:pStyle w:val="BodyText"/>
      </w:pPr>
      <w:r>
        <w:t xml:space="preserve">A. Yes.</w:t>
      </w:r>
    </w:p>
    <w:p>
      <w:pPr>
        <w:pStyle w:val="BodyText"/>
      </w:pPr>
      <w:r>
        <w:t xml:space="preserve">Q. And did anybody during those two year period ever criticize you or complain to you about how long you took to do the runs?</w:t>
      </w:r>
    </w:p>
    <w:p>
      <w:pPr>
        <w:pStyle w:val="BodyText"/>
      </w:pPr>
      <w:r>
        <w:t xml:space="preserve">A. I believe I heard it before. But it was – they were just speculating because they didn't know what my job duties were and my job duties were to stay in the spot I was going until I had to carry paper back. And if people didn't know exactly what my job duties was, they might have thought I was sitting there not doing nothing.</w:t>
      </w:r>
    </w:p>
    <w:p>
      <w:pPr>
        <w:pStyle w:val="BodyText"/>
      </w:pPr>
      <w:r>
        <w:t xml:space="preserve">Q. But you would go and you would make the runs, you would very often deliver things and chitchat with the people that you delivered them to?</w:t>
      </w:r>
    </w:p>
    <w:p>
      <w:pPr>
        <w:pStyle w:val="BodyText"/>
      </w:pPr>
      <w:r>
        <w:t xml:space="preserve">A. Yes.</w:t>
      </w:r>
    </w:p>
    <w:p>
      <w:pPr>
        <w:pStyle w:val="BodyText"/>
      </w:pPr>
      <w:r>
        <w:t xml:space="preserve">Q. And then didn't people criticize you for taking too long in you deliveries?</w:t>
      </w:r>
    </w:p>
    <w:p>
      <w:pPr>
        <w:pStyle w:val="BodyText"/>
      </w:pPr>
      <w:r>
        <w:t xml:space="preserve">MR. CAMPBELL: Objection. That's overbroad and vague as to "people."</w:t>
      </w:r>
    </w:p>
    <w:p>
      <w:pPr>
        <w:pStyle w:val="BodyText"/>
      </w:pPr>
      <w:r>
        <w:t xml:space="preserve">THE WITNESS: No. Not to me personally, no.</w:t>
      </w:r>
    </w:p>
    <w:p>
      <w:pPr>
        <w:pStyle w:val="BodyText"/>
      </w:pPr>
      <w:r>
        <w:t xml:space="preserve">BY MR. BENNETT:</w:t>
      </w:r>
    </w:p>
    <w:p>
      <w:pPr>
        <w:pStyle w:val="BodyText"/>
      </w:pPr>
      <w:r>
        <w:t xml:space="preserve">Q. Nobody ever –</w:t>
      </w:r>
    </w:p>
    <w:p>
      <w:pPr>
        <w:pStyle w:val="BodyText"/>
      </w:pPr>
      <w:r>
        <w:t xml:space="preserve">A. No.</w:t>
      </w:r>
    </w:p>
    <w:p>
      <w:pPr>
        <w:pStyle w:val="BodyText"/>
      </w:pPr>
      <w:r>
        <w:t xml:space="preserve">Q. Let me finish. Nobody ever complained to you that you were taking too long in making your deliveries?</w:t>
      </w:r>
    </w:p>
    <w:p>
      <w:pPr>
        <w:pStyle w:val="BodyText"/>
      </w:pPr>
      <w:r>
        <w:t xml:space="preserve">MR. CAMPBELL: Same objection.</w:t>
      </w:r>
    </w:p>
    <w:p>
      <w:pPr>
        <w:pStyle w:val="BodyText"/>
      </w:pPr>
      <w:r>
        <w:t xml:space="preserve">BY MR. BENNETT:</w:t>
      </w:r>
    </w:p>
    <w:p>
      <w:pPr>
        <w:pStyle w:val="BodyText"/>
      </w:pPr>
      <w:r>
        <w:t xml:space="preserve">Q. Go ahead.</w:t>
      </w:r>
    </w:p>
    <w:p>
      <w:pPr>
        <w:pStyle w:val="BodyText"/>
      </w:pPr>
      <w:r>
        <w:t xml:space="preserve">A. My supervisor might have said something to me. Clydine Pennington may have. But I don't recall. She may have though.</w:t>
      </w:r>
    </w:p>
    <w:p>
      <w:pPr>
        <w:pStyle w:val="BodyText"/>
      </w:pPr>
      <w:r>
        <w:t xml:space="preserve">Q. Did Ms. Pennington ever warn you that if you took additional leave without pay that you might have disciplinary action imposed on you?</w:t>
      </w:r>
    </w:p>
    <w:p>
      <w:pPr>
        <w:pStyle w:val="BodyText"/>
      </w:pPr>
      <w:r>
        <w:t xml:space="preserve">A. I don't recall. Un-uh.</w:t>
      </w:r>
    </w:p>
    <w:p>
      <w:pPr>
        <w:pStyle w:val="BodyText"/>
      </w:pPr>
      <w:r>
        <w:t xml:space="preserve">Q. Do you remember an incident when on February 22nd, 1993, you told your supervisor that you needed to have leave without pay because you didn't have any running water in your house?</w:t>
      </w:r>
    </w:p>
    <w:p>
      <w:pPr>
        <w:pStyle w:val="BodyText"/>
      </w:pPr>
      <w:r>
        <w:t xml:space="preserve">MR. CAMPBELL: Objection. Assumes facts not in evidence. No foundation.</w:t>
      </w:r>
    </w:p>
    <w:p>
      <w:pPr>
        <w:pStyle w:val="BodyText"/>
      </w:pPr>
      <w:r>
        <w:t xml:space="preserve">THE WITNESS: I think that incident you're talking about was the gas was out. There was no hot water. It was when we moved from our home in Vilonia to a rental house in Jacksonville just for like a month, to move – to make the move because we sold our home and we had to get out. And I didn't have any – when I woke up to go to work to take a shower or whatever, there was no hot water so I couldn't go to work if I couldn't take a shower. It was real cold too. And that might have been the incident you're talking about. That's the only one I can think of.</w:t>
      </w:r>
    </w:p>
    <w:p>
      <w:pPr>
        <w:pStyle w:val="BodyText"/>
      </w:pPr>
      <w:r>
        <w:t xml:space="preserve">BY MR. BENNETT:</w:t>
      </w:r>
    </w:p>
    <w:p>
      <w:pPr>
        <w:pStyle w:val="BodyText"/>
      </w:pPr>
      <w:r>
        <w:t xml:space="preserve">Q. What did you do? Did you call Ms. Pennington?</w:t>
      </w:r>
    </w:p>
    <w:p>
      <w:pPr>
        <w:pStyle w:val="BodyText"/>
      </w:pPr>
      <w:r>
        <w:t xml:space="preserve">A. I don't recall. I may have. Or I may have talked to Sherry Enderle, who was her personal secretary.</w:t>
      </w:r>
    </w:p>
    <w:p>
      <w:pPr>
        <w:pStyle w:val="BodyText"/>
      </w:pPr>
      <w:r>
        <w:t xml:space="preserve">Q. And did you get in an argument about whether you should be given leave without pay for that reason?</w:t>
      </w:r>
    </w:p>
    <w:p>
      <w:pPr>
        <w:pStyle w:val="BodyText"/>
      </w:pPr>
      <w:r>
        <w:t xml:space="preserve">A. No, I don't think. You're allowed to have, I think, leave without pay. But you know leave without pay. But if you do it enough times, I think you can get in trouble for it. But I don't think I had done it at all or very often.</w:t>
      </w:r>
    </w:p>
    <w:p>
      <w:pPr>
        <w:pStyle w:val="BodyText"/>
      </w:pPr>
      <w:r>
        <w:t xml:space="preserve">Q. Now you were aware, weren't you, that AIDC had various complaint procedures which were available to employees if they had grievances.</w:t>
      </w:r>
    </w:p>
    <w:p>
      <w:pPr>
        <w:pStyle w:val="BodyText"/>
      </w:pPr>
      <w:r>
        <w:t xml:space="preserve">A. Yes. As a matter of fact, I thought about doing that before, but I was just kind of scared to do that.</w:t>
      </w:r>
    </w:p>
    <w:p>
      <w:pPr>
        <w:pStyle w:val="BodyText"/>
      </w:pPr>
      <w:r>
        <w:t xml:space="preserve">Q. You never filed any kind of grievance procedure during your two years at AIDC, did you?</w:t>
      </w:r>
    </w:p>
    <w:p>
      <w:pPr>
        <w:pStyle w:val="BodyText"/>
      </w:pPr>
      <w:r>
        <w:t xml:space="preserve">A. No.</w:t>
      </w:r>
    </w:p>
    <w:p>
      <w:pPr>
        <w:pStyle w:val="BodyText"/>
      </w:pPr>
      <w:r>
        <w:t xml:space="preserve">Q. Now since you have left AIDC, since you quit and went to California with your husband, have you applied for any other jobs?</w:t>
      </w:r>
    </w:p>
    <w:p>
      <w:pPr>
        <w:pStyle w:val="BodyText"/>
      </w:pPr>
      <w:r>
        <w:t xml:space="preserve">A. Yes. I was with a temporary agency when I first moved out there.</w:t>
      </w:r>
    </w:p>
    <w:p>
      <w:pPr>
        <w:pStyle w:val="BodyText"/>
      </w:pPr>
      <w:r>
        <w:t xml:space="preserve">Q. And what was the name of that agency?</w:t>
      </w:r>
    </w:p>
    <w:p>
      <w:pPr>
        <w:pStyle w:val="BodyText"/>
      </w:pPr>
      <w:r>
        <w:t xml:space="preserve">A. Oh, I don't even know. It's been like four years ago. I could not even tell you.</w:t>
      </w:r>
    </w:p>
    <w:p>
      <w:pPr>
        <w:pStyle w:val="BodyText"/>
      </w:pPr>
      <w:r>
        <w:t xml:space="preserve">Q. And did you get a job?</w:t>
      </w:r>
    </w:p>
    <w:p>
      <w:pPr>
        <w:pStyle w:val="BodyText"/>
      </w:pPr>
      <w:r>
        <w:t xml:space="preserve">A. Yes. I worked at the Sheraton. I think it was the Sheraton. I worked in the executive offices. I was the reception – the main secretary out front, the receptionist.</w:t>
      </w:r>
    </w:p>
    <w:p>
      <w:pPr>
        <w:pStyle w:val="BodyText"/>
      </w:pPr>
      <w:r>
        <w:t xml:space="preserve">Q. Was that the Sheraton Hotel?</w:t>
      </w:r>
    </w:p>
    <w:p>
      <w:pPr>
        <w:pStyle w:val="BodyText"/>
      </w:pPr>
      <w:r>
        <w:t xml:space="preserve">A. Yeah. I was in the offices, though. I wasn't in the hotel part.</w:t>
      </w:r>
    </w:p>
    <w:p>
      <w:pPr>
        <w:pStyle w:val="BodyText"/>
      </w:pPr>
      <w:r>
        <w:t xml:space="preserve">Q. And where exactly that was?</w:t>
      </w:r>
    </w:p>
    <w:p>
      <w:pPr>
        <w:pStyle w:val="BodyText"/>
      </w:pPr>
      <w:r>
        <w:t xml:space="preserve">A. It was in Long Beach.</w:t>
      </w:r>
    </w:p>
    <w:p>
      <w:pPr>
        <w:pStyle w:val="BodyText"/>
      </w:pPr>
      <w:r>
        <w:t xml:space="preserve">Q. Excuse me?</w:t>
      </w:r>
    </w:p>
    <w:p>
      <w:pPr>
        <w:pStyle w:val="BodyText"/>
      </w:pPr>
      <w:r>
        <w:t xml:space="preserve">A. It was in Long Beach.</w:t>
      </w:r>
    </w:p>
    <w:p>
      <w:pPr>
        <w:pStyle w:val="BodyText"/>
      </w:pPr>
      <w:r>
        <w:t xml:space="preserve">Q. How long did you work there?</w:t>
      </w:r>
    </w:p>
    <w:p>
      <w:pPr>
        <w:pStyle w:val="BodyText"/>
      </w:pPr>
      <w:r>
        <w:t xml:space="preserve">A. Maybe a week or two. But it was because they were – I was just a temp until they found a permanent replacement. Because I wasn't qualified for the job and I wasn't trying to get the job. They just needed a temp until they hired somebody qualified for the job.</w:t>
      </w:r>
    </w:p>
    <w:p>
      <w:pPr>
        <w:pStyle w:val="BodyText"/>
      </w:pPr>
      <w:r>
        <w:t xml:space="preserve">Q. All right. Did you ever apply for any other jobs after that?</w:t>
      </w:r>
    </w:p>
    <w:p>
      <w:pPr>
        <w:pStyle w:val="BodyText"/>
      </w:pPr>
      <w:r>
        <w:t xml:space="preserve">A. I don't believe so. Because after I got my paycheck for that one week, it was not feasible to work and pay day care when day care took up that whole week's pay.</w:t>
      </w:r>
    </w:p>
    <w:p>
      <w:pPr>
        <w:pStyle w:val="BodyText"/>
      </w:pPr>
      <w:r>
        <w:t xml:space="preserve">Q. How much pay did you get from them at the Sheraton?</w:t>
      </w:r>
    </w:p>
    <w:p>
      <w:pPr>
        <w:pStyle w:val="BodyText"/>
      </w:pPr>
      <w:r>
        <w:t xml:space="preserve">A. I don't recall. But I remember day care for that one week was like $124 for a week and I don't think I made a whole lot over that. And it just wasn't feasible for me to drive and take my son to day care and me work. It would eat up the money.</w:t>
      </w:r>
    </w:p>
    <w:p>
      <w:pPr>
        <w:pStyle w:val="BodyText"/>
      </w:pPr>
      <w:r>
        <w:t xml:space="preserve">Q. You made a lot less there than you did at AIDC, didn't you?</w:t>
      </w:r>
    </w:p>
    <w:p>
      <w:pPr>
        <w:pStyle w:val="BodyText"/>
      </w:pPr>
      <w:r>
        <w:t xml:space="preserve">A. No. I was making $9 an hour at the Sheraton for just a week.</w:t>
      </w:r>
    </w:p>
    <w:p>
      <w:pPr>
        <w:pStyle w:val="BodyText"/>
      </w:pPr>
      <w:r>
        <w:t xml:space="preserve">Q. So you were making more money –</w:t>
      </w:r>
    </w:p>
    <w:p>
      <w:pPr>
        <w:pStyle w:val="BodyText"/>
      </w:pPr>
      <w:r>
        <w:t xml:space="preserve">A. For just a week, though.</w:t>
      </w:r>
    </w:p>
    <w:p>
      <w:pPr>
        <w:pStyle w:val="BodyText"/>
      </w:pPr>
      <w:r>
        <w:t xml:space="preserve">Q. I see. All right. Did you apply for any other jobs?</w:t>
      </w:r>
    </w:p>
    <w:p>
      <w:pPr>
        <w:pStyle w:val="BodyText"/>
      </w:pPr>
      <w:r>
        <w:t xml:space="preserve">A. I don't know if I did or not. I didn't apply. It's just that they would send me out, you know. Because they had my application at the temporary agency and they would send my application if they thought there was a job that I was interested in or something I –</w:t>
      </w:r>
    </w:p>
    <w:p>
      <w:pPr>
        <w:pStyle w:val="BodyText"/>
      </w:pPr>
      <w:r>
        <w:t xml:space="preserve">Q. When is the last time you worked at a job other than –</w:t>
      </w:r>
    </w:p>
    <w:p>
      <w:pPr>
        <w:pStyle w:val="BodyText"/>
      </w:pPr>
      <w:r>
        <w:t xml:space="preserve">A. The Sheraton.</w:t>
      </w:r>
    </w:p>
    <w:p>
      <w:pPr>
        <w:pStyle w:val="BodyText"/>
      </w:pPr>
      <w:r>
        <w:t xml:space="preserve">Q. – other than being a mother of two children, which is a big job. I understand that.</w:t>
      </w:r>
    </w:p>
    <w:p>
      <w:pPr>
        <w:pStyle w:val="BodyText"/>
      </w:pPr>
      <w:r>
        <w:t xml:space="preserve">A. Right. The Sheraton.</w:t>
      </w:r>
    </w:p>
    <w:p>
      <w:pPr>
        <w:pStyle w:val="BodyText"/>
      </w:pPr>
      <w:r>
        <w:t xml:space="preserve">Q. Sheraton. So after you worked at the Sheraton, did you try to get any other employment?</w:t>
      </w:r>
    </w:p>
    <w:p>
      <w:pPr>
        <w:pStyle w:val="BodyText"/>
      </w:pPr>
      <w:r>
        <w:t xml:space="preserve">A. I went to another interview and I know they liked me the first time I went in. And they didn't call me back and then about a week later, they did call me back, and then they interviewed me again and they didn't hire me for some reason. I don't know.</w:t>
      </w:r>
    </w:p>
    <w:p>
      <w:pPr>
        <w:pStyle w:val="BodyText"/>
      </w:pPr>
      <w:r>
        <w:t xml:space="preserve">Q. And do you remember what year that was?</w:t>
      </w:r>
    </w:p>
    <w:p>
      <w:pPr>
        <w:pStyle w:val="BodyText"/>
      </w:pPr>
      <w:r>
        <w:t xml:space="preserve">A. It was the same year. Probably in '94, '93, early '94, before – it was right after this – the lawsuit, I remember. Because they were talking about it up there and stuff.</w:t>
      </w:r>
    </w:p>
    <w:p>
      <w:pPr>
        <w:pStyle w:val="BodyText"/>
      </w:pPr>
      <w:r>
        <w:t xml:space="preserve">Q. All right. Since you filed the law suit, have you applied for any other jobs?</w:t>
      </w:r>
    </w:p>
    <w:p>
      <w:pPr>
        <w:pStyle w:val="BodyText"/>
      </w:pPr>
      <w:r>
        <w:t xml:space="preserve">A. No.</w:t>
      </w:r>
    </w:p>
    <w:p>
      <w:pPr>
        <w:pStyle w:val="BodyText"/>
      </w:pPr>
      <w:r>
        <w:t xml:space="preserve">Q. Have you worked in any other jobs?</w:t>
      </w:r>
    </w:p>
    <w:p>
      <w:pPr>
        <w:pStyle w:val="BodyText"/>
      </w:pPr>
      <w:r>
        <w:t xml:space="preserve">A. No.</w:t>
      </w:r>
    </w:p>
    <w:p>
      <w:pPr>
        <w:pStyle w:val="BodyText"/>
      </w:pPr>
      <w:r>
        <w:t xml:space="preserve">Q. Do you have any intention of applying for any other jobs as you sit here today?</w:t>
      </w:r>
    </w:p>
    <w:p>
      <w:pPr>
        <w:pStyle w:val="BodyText"/>
      </w:pPr>
      <w:r>
        <w:t xml:space="preserve">A. Oh, not until my kids go to school.</w:t>
      </w:r>
    </w:p>
    <w:p>
      <w:pPr>
        <w:pStyle w:val="BodyText"/>
      </w:pPr>
      <w:r>
        <w:t xml:space="preserve">Q. And when will that be?</w:t>
      </w:r>
    </w:p>
    <w:p>
      <w:pPr>
        <w:pStyle w:val="BodyText"/>
      </w:pPr>
      <w:r>
        <w:t xml:space="preserve">A. Well, neither one are in school yet. My oldest starts next year kindergarten and my youngest won't start for five more years, I want to stay home with my children.</w:t>
      </w:r>
    </w:p>
    <w:p>
      <w:pPr>
        <w:pStyle w:val="BodyText"/>
      </w:pPr>
      <w:r>
        <w:t xml:space="preserve">(Pages 66-67 are missing.)</w:t>
      </w:r>
    </w:p>
    <w:p>
      <w:pPr>
        <w:pStyle w:val="BodyText"/>
      </w:pPr>
      <w:r>
        <w:t xml:space="preserve">Q. Mr. Campbell doesn't know. I guess he never bounces.</w:t>
      </w:r>
    </w:p>
    <w:p>
      <w:pPr>
        <w:pStyle w:val="BodyText"/>
      </w:pPr>
      <w:r>
        <w:t xml:space="preserve">MR. CAMPBELL: Objection to the sidebar.</w:t>
      </w:r>
    </w:p>
    <w:p>
      <w:pPr>
        <w:pStyle w:val="BodyText"/>
      </w:pPr>
      <w:r>
        <w:t xml:space="preserve">BY MR. BENNETT:</w:t>
      </w:r>
    </w:p>
    <w:p>
      <w:pPr>
        <w:pStyle w:val="BodyText"/>
      </w:pPr>
      <w:r>
        <w:t xml:space="preserve">Q. Did you ever bounce a check?</w:t>
      </w:r>
    </w:p>
    <w:p>
      <w:pPr>
        <w:pStyle w:val="BodyText"/>
      </w:pPr>
      <w:r>
        <w:t xml:space="preserve">MR. CAMPBELL: Same objection.</w:t>
      </w:r>
    </w:p>
    <w:p>
      <w:pPr>
        <w:pStyle w:val="BodyText"/>
      </w:pPr>
      <w:r>
        <w:t xml:space="preserve">MR. BENNETT: She knows what I mean, Mr. Campbell.</w:t>
      </w:r>
    </w:p>
    <w:p>
      <w:pPr>
        <w:pStyle w:val="BodyText"/>
      </w:pPr>
      <w:r>
        <w:t xml:space="preserve">MR. CAMPBELL: I don't need that either, counsel.</w:t>
      </w:r>
    </w:p>
    <w:p>
      <w:pPr>
        <w:pStyle w:val="BodyText"/>
      </w:pPr>
      <w:r>
        <w:t xml:space="preserve">MR. BENNETT: I mean, your silly objections, they're – you're just trying to harass me.</w:t>
      </w:r>
    </w:p>
    <w:p>
      <w:pPr>
        <w:pStyle w:val="BodyText"/>
      </w:pPr>
      <w:r>
        <w:t xml:space="preserve">MR. CAMPBELL: I don't understand what you mean by bounce a check.</w:t>
      </w:r>
    </w:p>
    <w:p>
      <w:pPr>
        <w:pStyle w:val="BodyText"/>
      </w:pPr>
      <w:r>
        <w:t xml:space="preserve">BY MR. BENNETT:</w:t>
      </w:r>
    </w:p>
    <w:p>
      <w:pPr>
        <w:pStyle w:val="BodyText"/>
      </w:pPr>
      <w:r>
        <w:t xml:space="preserve">Q. Did you ever write a bad check at AIDC? A check where there were insufficient funds?</w:t>
      </w:r>
    </w:p>
    <w:p>
      <w:pPr>
        <w:pStyle w:val="BodyText"/>
      </w:pPr>
      <w:r>
        <w:t xml:space="preserve">A. I don't recall.</w:t>
      </w:r>
    </w:p>
    <w:p>
      <w:pPr>
        <w:pStyle w:val="BodyText"/>
      </w:pPr>
      <w:r>
        <w:t xml:space="preserve">Q. Do you recall an instance where you were asked to reimburse them for personal phone calls that you had made?</w:t>
      </w:r>
    </w:p>
    <w:p>
      <w:pPr>
        <w:pStyle w:val="BodyText"/>
      </w:pPr>
      <w:r>
        <w:t xml:space="preserve">A. Yes. As well as everyone else had to do that.</w:t>
      </w:r>
    </w:p>
    <w:p>
      <w:pPr>
        <w:pStyle w:val="BodyText"/>
      </w:pPr>
      <w:r>
        <w:t xml:space="preserve">Q. And did you give them a check for that, do you remember?</w:t>
      </w:r>
    </w:p>
    <w:p>
      <w:pPr>
        <w:pStyle w:val="BodyText"/>
      </w:pPr>
      <w:r>
        <w:t xml:space="preserve">A. Yes.</w:t>
      </w:r>
    </w:p>
    <w:p>
      <w:pPr>
        <w:pStyle w:val="BodyText"/>
      </w:pPr>
      <w:r>
        <w:t xml:space="preserve">Q. Do you remember if that check didn't go through for insufficient funds?</w:t>
      </w:r>
    </w:p>
    <w:p>
      <w:pPr>
        <w:pStyle w:val="BodyText"/>
      </w:pPr>
      <w:r>
        <w:t xml:space="preserve">A. It could have at one time or something, but I don't recall.</w:t>
      </w:r>
    </w:p>
    <w:p>
      <w:pPr>
        <w:pStyle w:val="BodyText"/>
      </w:pPr>
      <w:r>
        <w:t xml:space="preserve">Q. Do you remember asking for a picture of Governor Clinton from his office during one of your courier runs?</w:t>
      </w:r>
    </w:p>
    <w:p>
      <w:pPr>
        <w:pStyle w:val="BodyText"/>
      </w:pPr>
      <w:r>
        <w:t xml:space="preserve">A. No.</w:t>
      </w:r>
    </w:p>
    <w:p>
      <w:pPr>
        <w:pStyle w:val="BodyText"/>
      </w:pPr>
      <w:r>
        <w:t xml:space="preserve">Q. Do you deny that occurred?</w:t>
      </w:r>
    </w:p>
    <w:p>
      <w:pPr>
        <w:pStyle w:val="BodyText"/>
      </w:pPr>
      <w:r>
        <w:t xml:space="preserve">A. It occurred the way you said it, yeah. I deny that. Yes.</w:t>
      </w:r>
    </w:p>
    <w:p>
      <w:pPr>
        <w:pStyle w:val="BodyText"/>
      </w:pPr>
      <w:r>
        <w:t xml:space="preserve">Q. The way I said it?</w:t>
      </w:r>
    </w:p>
    <w:p>
      <w:pPr>
        <w:pStyle w:val="BodyText"/>
      </w:pPr>
      <w:r>
        <w:t xml:space="preserve">A. Yeah. They way you said it.</w:t>
      </w:r>
    </w:p>
    <w:p>
      <w:pPr>
        <w:pStyle w:val="BodyText"/>
      </w:pPr>
      <w:r>
        <w:t xml:space="preserve">Q. Well, do you have any recollection of asking anybody for a picture?</w:t>
      </w:r>
    </w:p>
    <w:p>
      <w:pPr>
        <w:pStyle w:val="BodyText"/>
      </w:pPr>
      <w:r>
        <w:t xml:space="preserve">A. No.</w:t>
      </w:r>
    </w:p>
    <w:p>
      <w:pPr>
        <w:pStyle w:val="BodyText"/>
      </w:pPr>
      <w:r>
        <w:t xml:space="preserve">Q. Did you get a picture?</w:t>
      </w:r>
    </w:p>
    <w:p>
      <w:pPr>
        <w:pStyle w:val="BodyText"/>
      </w:pPr>
      <w:r>
        <w:t xml:space="preserve">A. Carole Phillips.</w:t>
      </w:r>
    </w:p>
    <w:p>
      <w:pPr>
        <w:pStyle w:val="BodyText"/>
      </w:pPr>
      <w:r>
        <w:t xml:space="preserve">Q. Tell me about it.</w:t>
      </w:r>
    </w:p>
    <w:p>
      <w:pPr>
        <w:pStyle w:val="BodyText"/>
      </w:pPr>
      <w:r>
        <w:t xml:space="preserve">A. Had a picture signed for me and just gave it to me. Of course, she did not know about the incident because I never talked to her about this. But she had, I guess on her own doings, had a picture sitting there waiting on me, signed from the governor, thinking that I would be very excited to get that picture. She did that on her own freewill. But I don't even know if I took the picture. I think I may have because she did not know about what had happened.</w:t>
      </w:r>
    </w:p>
    <w:p>
      <w:pPr>
        <w:pStyle w:val="BodyText"/>
      </w:pPr>
      <w:r>
        <w:t xml:space="preserve">Q. And that was after the incident?</w:t>
      </w:r>
    </w:p>
    <w:p>
      <w:pPr>
        <w:pStyle w:val="BodyText"/>
      </w:pPr>
      <w:r>
        <w:t xml:space="preserve">A. Yes.</w:t>
      </w:r>
    </w:p>
    <w:p>
      <w:pPr>
        <w:pStyle w:val="BodyText"/>
      </w:pPr>
      <w:r>
        <w:t xml:space="preserve">Q. And do you remember signing a birthday card for Governor Clinton?</w:t>
      </w:r>
    </w:p>
    <w:p>
      <w:pPr>
        <w:pStyle w:val="BodyText"/>
      </w:pPr>
      <w:r>
        <w:t xml:space="preserve">A. I believe I did.</w:t>
      </w:r>
    </w:p>
    <w:p>
      <w:pPr>
        <w:pStyle w:val="BodyText"/>
      </w:pPr>
      <w:r>
        <w:t xml:space="preserve">Q. It's a big card?</w:t>
      </w:r>
    </w:p>
    <w:p>
      <w:pPr>
        <w:pStyle w:val="BodyText"/>
      </w:pPr>
      <w:r>
        <w:t xml:space="preserve">A. Yes. I believe I did.</w:t>
      </w:r>
    </w:p>
    <w:p>
      <w:pPr>
        <w:pStyle w:val="BodyText"/>
      </w:pPr>
      <w:r>
        <w:t xml:space="preserve">Q. And that was after the incident as well?</w:t>
      </w:r>
    </w:p>
    <w:p>
      <w:pPr>
        <w:pStyle w:val="BodyText"/>
      </w:pPr>
      <w:r>
        <w:t xml:space="preserve">A. Yes.</w:t>
      </w:r>
    </w:p>
    <w:p>
      <w:pPr>
        <w:pStyle w:val="BodyText"/>
      </w:pPr>
      <w:r>
        <w:t xml:space="preserve">Q. Wasn't it?</w:t>
      </w:r>
    </w:p>
    <w:p>
      <w:pPr>
        <w:pStyle w:val="BodyText"/>
      </w:pPr>
      <w:r>
        <w:t xml:space="preserve">A. Um-huh. The reason was Carole Phillips was so excited. "You've got to sign this. You've got to sign this." She was a very jovial person and I didn't want her to lead on that there was something wrong. So I said, "Well, okay. I'll sign it." And I just signed my name or whatever to it. I don't remember or whatever.</w:t>
      </w:r>
    </w:p>
    <w:p>
      <w:pPr>
        <w:pStyle w:val="BodyText"/>
      </w:pPr>
      <w:r>
        <w:t xml:space="preserve">Q. Did you write a note on it?</w:t>
      </w:r>
    </w:p>
    <w:p>
      <w:pPr>
        <w:pStyle w:val="BodyText"/>
      </w:pPr>
      <w:r>
        <w:t xml:space="preserve">A. I don't think so.</w:t>
      </w:r>
    </w:p>
    <w:p>
      <w:pPr>
        <w:pStyle w:val="BodyText"/>
      </w:pPr>
      <w:r>
        <w:t xml:space="preserve">Q. Now other than what you've already testified to this morning, can you identify for me any specific detriment or adverse action which you say you suffered at work because you refused to have sex with Governor Clinton?</w:t>
      </w:r>
    </w:p>
    <w:p>
      <w:pPr>
        <w:pStyle w:val="BodyText"/>
      </w:pPr>
      <w:r>
        <w:t xml:space="preserve">MR. CAMPBELL: Objection. Overbroad. Vague as to which work.</w:t>
      </w:r>
    </w:p>
    <w:p>
      <w:pPr>
        <w:pStyle w:val="BodyText"/>
      </w:pPr>
      <w:r>
        <w:t xml:space="preserve">BY MR. BENNETT:</w:t>
      </w:r>
    </w:p>
    <w:p>
      <w:pPr>
        <w:pStyle w:val="BodyText"/>
      </w:pPr>
      <w:r>
        <w:t xml:space="preserve">Q. You can answer.</w:t>
      </w:r>
    </w:p>
    <w:p>
      <w:pPr>
        <w:pStyle w:val="BodyText"/>
      </w:pPr>
      <w:r>
        <w:t xml:space="preserve">A. Just every day when I went there, it just seemed like there was a lot of smoke in the air, just cloudy, you know, the way my supervisor treated me. It was just a day-to-day thing. I know when I came back from maternity leave, I know they downgraded my job duties. Maybe not my pay but they did it knowingly, that I was coming back in six weeks. They could have done it before then or after I came back. They did that intentionally. Just the way, Cherry Duckett would walk right in front of me and I would look right at her and say, "Hi, how are you doing today," and she would hold her head down, "hi," and keep walking. That's not very professional. And that's not very nice, you know, if you've got employees working underneath you, it's good to be nice to them every day to make them feel comfortable about working in that area. And she made me feel so uncomfortable and I couldn't think of any other reason except for maybe that she knew about the incident. She was told to act like that.</w:t>
      </w:r>
    </w:p>
    <w:p>
      <w:pPr>
        <w:pStyle w:val="BodyText"/>
      </w:pPr>
      <w:r>
        <w:t xml:space="preserve">Q. Now do you have any reason to believe that any of these people knew about this incident?</w:t>
      </w:r>
    </w:p>
    <w:p>
      <w:pPr>
        <w:pStyle w:val="BodyText"/>
      </w:pPr>
      <w:r>
        <w:t xml:space="preserve">A. Well, Governor Clinton told me that Dave Herrington was a good friend of his and he appointed him to that job. So, yeah, I have every reason in the world to believe that they could have found – known about it.</w:t>
      </w:r>
    </w:p>
    <w:p>
      <w:pPr>
        <w:pStyle w:val="BodyText"/>
      </w:pPr>
      <w:r>
        <w:t xml:space="preserve">Q. Well, we'll get to that. But when –</w:t>
      </w:r>
    </w:p>
    <w:p>
      <w:pPr>
        <w:pStyle w:val="BodyText"/>
      </w:pPr>
      <w:r>
        <w:t xml:space="preserve">A. Well, I'm answering the question that you asked.</w:t>
      </w:r>
    </w:p>
    <w:p>
      <w:pPr>
        <w:pStyle w:val="BodyText"/>
      </w:pPr>
      <w:r>
        <w:t xml:space="preserve">Q. No, you didn't answer the question.</w:t>
      </w:r>
    </w:p>
    <w:p>
      <w:pPr>
        <w:pStyle w:val="BodyText"/>
      </w:pPr>
      <w:r>
        <w:t xml:space="preserve">MR. CAMPBELL: Yes, she did.</w:t>
      </w:r>
    </w:p>
    <w:p>
      <w:pPr>
        <w:pStyle w:val="BodyText"/>
      </w:pPr>
      <w:r>
        <w:t xml:space="preserve">THE WITNESS: Yeah, I did.</w:t>
      </w:r>
    </w:p>
    <w:p>
      <w:pPr>
        <w:pStyle w:val="BodyText"/>
      </w:pPr>
      <w:r>
        <w:t xml:space="preserve">BY MR. BENNETT:</w:t>
      </w:r>
    </w:p>
    <w:p>
      <w:pPr>
        <w:pStyle w:val="BodyText"/>
      </w:pPr>
      <w:r>
        <w:t xml:space="preserve">Q. The question is, you have described to me, Mrs. Jones, what you perceived as the attitude of people towards you.</w:t>
      </w:r>
    </w:p>
    <w:p>
      <w:pPr>
        <w:pStyle w:val="BodyText"/>
      </w:pPr>
      <w:r>
        <w:t xml:space="preserve">A. Right.</w:t>
      </w:r>
    </w:p>
    <w:p>
      <w:pPr>
        <w:pStyle w:val="BodyText"/>
      </w:pPr>
      <w:r>
        <w:t xml:space="preserve">Q. You were uncomfortable; is that right?</w:t>
      </w:r>
    </w:p>
    <w:p>
      <w:pPr>
        <w:pStyle w:val="BodyText"/>
      </w:pPr>
      <w:r>
        <w:t xml:space="preserve">A. Right.</w:t>
      </w:r>
    </w:p>
    <w:p>
      <w:pPr>
        <w:pStyle w:val="BodyText"/>
      </w:pPr>
      <w:r>
        <w:t xml:space="preserve">Q. Did any of those people ever mention the incident with Governor Clinton?</w:t>
      </w:r>
    </w:p>
    <w:p>
      <w:pPr>
        <w:pStyle w:val="BodyText"/>
      </w:pPr>
      <w:r>
        <w:t xml:space="preserve">A. No. But they wouldn't.</w:t>
      </w:r>
    </w:p>
    <w:p>
      <w:pPr>
        <w:pStyle w:val="BodyText"/>
      </w:pPr>
      <w:r>
        <w:t xml:space="preserve">Q. Did any of these people say anything to suggest to you that they knew about the incident?</w:t>
      </w:r>
    </w:p>
    <w:p>
      <w:pPr>
        <w:pStyle w:val="BodyText"/>
      </w:pPr>
      <w:r>
        <w:t xml:space="preserve">A. No. But like, for instance, one time on Secretary's Day, I'm a secretary and had been there nearly two years, and after the incident happened and everything, everybody in my section got flowers on Secretary's Day. I'm the only one out there did not get any flowers. And everybody noticed it and was coming around and saying, "That is so cruel of them. I cannot believe they did that to you." Now what other reason would they do that? Just to leave me out intentionally knowing that I'm a secretary. I'm sitting there. Things like that they would do. There had to be a reason for it. I know I wasn't doing anything wrong. So that's why I feel that there was things – somebody knew something. And it's very, you know, I don't know for a fact that they knew about it. But there had to be something for me to be treated that way. And I know that he was good friends with Bill Clinton because it came out his mouth hisself.</w:t>
      </w:r>
    </w:p>
    <w:p>
      <w:pPr>
        <w:pStyle w:val="BodyText"/>
      </w:pPr>
      <w:r>
        <w:t xml:space="preserve">Q. Now what year was it you didn't get flowers on Secretary's Day?</w:t>
      </w:r>
    </w:p>
    <w:p>
      <w:pPr>
        <w:pStyle w:val="BodyText"/>
      </w:pPr>
      <w:r>
        <w:t xml:space="preserve">A. Probably '93. Or no, no, no, '92. I'm sorry.</w:t>
      </w:r>
    </w:p>
    <w:p>
      <w:pPr>
        <w:pStyle w:val="BodyText"/>
      </w:pPr>
      <w:r>
        <w:t xml:space="preserve">Q. Now you weren't a secretary, were you?</w:t>
      </w:r>
    </w:p>
    <w:p>
      <w:pPr>
        <w:pStyle w:val="BodyText"/>
      </w:pPr>
      <w:r>
        <w:t xml:space="preserve">A. Yeah. I was considered a secretary in – none of the other people were considered secretaries except for Clydine's personal secretary. And even the accountant, even the insurance lady, everybody got flowers but me. I was the only one. My husband sent me flowers because it hurt me, so he sent me flowers and surprised me because nobody else bothered to send me flowers.</w:t>
      </w:r>
    </w:p>
    <w:p>
      <w:pPr>
        <w:pStyle w:val="BodyText"/>
      </w:pPr>
      <w:r>
        <w:t xml:space="preserve">Q. Did you ask anybody why you didn't get flowers?</w:t>
      </w:r>
    </w:p>
    <w:p>
      <w:pPr>
        <w:pStyle w:val="BodyText"/>
      </w:pPr>
      <w:r>
        <w:t xml:space="preserve">A. No. But people would come around and ask me, you know, "I can't believe," you know, they knew how Clydine was very kind of devious sometimes. They'd say, "I can't believe she did that. That was really mean." And I remember people around the office would come by and say, "I cannot believe you did not get flowers. That is so cruel and so cold."</w:t>
      </w:r>
    </w:p>
    <w:p>
      <w:pPr>
        <w:pStyle w:val="BodyText"/>
      </w:pPr>
      <w:r>
        <w:t xml:space="preserve">Q. Who is responsible for giving flowers out?</w:t>
      </w:r>
    </w:p>
    <w:p>
      <w:pPr>
        <w:pStyle w:val="BodyText"/>
      </w:pPr>
      <w:r>
        <w:t xml:space="preserve">A. Clydine Pennington.</w:t>
      </w:r>
    </w:p>
    <w:p>
      <w:pPr>
        <w:pStyle w:val="BodyText"/>
      </w:pPr>
      <w:r>
        <w:t xml:space="preserve">Q. Do you believe as you sit here today under oath that the reason you did not get flowers on Secretary's Day is because you would not engage in sex with Governor Clinton in May of 1991?</w:t>
      </w:r>
    </w:p>
    <w:p>
      <w:pPr>
        <w:pStyle w:val="BodyText"/>
      </w:pPr>
      <w:r>
        <w:t xml:space="preserve">A. I believe that has something to do with it, yes.</w:t>
      </w:r>
    </w:p>
    <w:p>
      <w:pPr>
        <w:pStyle w:val="BodyText"/>
      </w:pPr>
      <w:r>
        <w:t xml:space="preserve">Q. And what is the basis for – what are the facts on which you base that belief?</w:t>
      </w:r>
    </w:p>
    <w:p>
      <w:pPr>
        <w:pStyle w:val="BodyText"/>
      </w:pPr>
      <w:r>
        <w:t xml:space="preserve">A. Because Bill Clinton said that him and Dave Herrington were really good friends and Dave Herrington, he said that he had appointed him to that position. And Clydine and – Dave Herrington was Clydine's ultimate boss.</w:t>
      </w:r>
    </w:p>
    <w:p>
      <w:pPr>
        <w:pStyle w:val="BodyText"/>
      </w:pPr>
      <w:r>
        <w:t xml:space="preserve">Q. Other than Secretary's Day, did any of the employees ever get flowers or little gifts on other occasions?</w:t>
      </w:r>
    </w:p>
    <w:p>
      <w:pPr>
        <w:pStyle w:val="BodyText"/>
      </w:pPr>
      <w:r>
        <w:t xml:space="preserve">A. I think it was just Secretary's Day or maybe a birthday or something.</w:t>
      </w:r>
    </w:p>
    <w:p>
      <w:pPr>
        <w:pStyle w:val="BodyText"/>
      </w:pPr>
      <w:r>
        <w:t xml:space="preserve">Q. Did you ever get any birthday presents or gifts of any kind while you worked at AIDC?</w:t>
      </w:r>
    </w:p>
    <w:p>
      <w:pPr>
        <w:pStyle w:val="BodyText"/>
      </w:pPr>
      <w:r>
        <w:t xml:space="preserve">A. No. I don't recall at this moment.</w:t>
      </w:r>
    </w:p>
    <w:p>
      <w:pPr>
        <w:pStyle w:val="BodyText"/>
      </w:pPr>
      <w:r>
        <w:t xml:space="preserve">Q. You did have that going-away party, though, didn't you?</w:t>
      </w:r>
    </w:p>
    <w:p>
      <w:pPr>
        <w:pStyle w:val="BodyText"/>
      </w:pPr>
      <w:r>
        <w:t xml:space="preserve">A. I think it was a going-away party. I may be thinking about my maternity leave party.</w:t>
      </w:r>
    </w:p>
    <w:p>
      <w:pPr>
        <w:pStyle w:val="BodyText"/>
      </w:pPr>
      <w:r>
        <w:t xml:space="preserve">Q. But you had a party?</w:t>
      </w:r>
    </w:p>
    <w:p>
      <w:pPr>
        <w:pStyle w:val="BodyText"/>
      </w:pPr>
      <w:r>
        <w:t xml:space="preserve">A. Yes. It wasn't a party. It was a get-together.</w:t>
      </w:r>
    </w:p>
    <w:p>
      <w:pPr>
        <w:pStyle w:val="BodyText"/>
      </w:pPr>
      <w:r>
        <w:t xml:space="preserve">Q. Did anybody – did Governor Clinton or anyone else at AIDC ever tell you that you had to submit to sexual advances of the governor in order to receive a job benefit?</w:t>
      </w:r>
    </w:p>
    <w:p>
      <w:pPr>
        <w:pStyle w:val="BodyText"/>
      </w:pPr>
      <w:r>
        <w:t xml:space="preserve">A. No.</w:t>
      </w:r>
    </w:p>
    <w:p>
      <w:pPr>
        <w:pStyle w:val="BodyText"/>
      </w:pPr>
      <w:r>
        <w:t xml:space="preserve">Q. Did anybody – did the governor or anyone else tell you that the governor would use his relationship with David Herrington to penalize you? Did anybody ever say that to you?</w:t>
      </w:r>
    </w:p>
    <w:p>
      <w:pPr>
        <w:pStyle w:val="BodyText"/>
      </w:pPr>
      <w:r>
        <w:t xml:space="preserve">A. No. But nobody would say that.</w:t>
      </w:r>
    </w:p>
    <w:p>
      <w:pPr>
        <w:pStyle w:val="BodyText"/>
      </w:pPr>
      <w:r>
        <w:t xml:space="preserve">Q. Did the governor or anyone else tell you that your refusal to submit to sexual advances would cause you to lose your job or have a negative effect on your job?</w:t>
      </w:r>
    </w:p>
    <w:p>
      <w:pPr>
        <w:pStyle w:val="BodyText"/>
      </w:pPr>
      <w:r>
        <w:t xml:space="preserve">A. No.</w:t>
      </w:r>
    </w:p>
    <w:p>
      <w:pPr>
        <w:pStyle w:val="BodyText"/>
      </w:pPr>
      <w:r>
        <w:t xml:space="preserve">Q. Did anybody tell you – the governor – did the governor tell you or anybody tell you that he would use his relationship with Herrington to have you demoted or reduced in salary in any way?</w:t>
      </w:r>
    </w:p>
    <w:p>
      <w:pPr>
        <w:pStyle w:val="BodyText"/>
      </w:pPr>
      <w:r>
        <w:t xml:space="preserve">A. Yeah, he kind of made that statement. Clinton did.</w:t>
      </w:r>
    </w:p>
    <w:p>
      <w:pPr>
        <w:pStyle w:val="BodyText"/>
      </w:pPr>
      <w:r>
        <w:t xml:space="preserve">Q. What exactly was the statement he made?</w:t>
      </w:r>
    </w:p>
    <w:p>
      <w:pPr>
        <w:pStyle w:val="BodyText"/>
      </w:pPr>
      <w:r>
        <w:t xml:space="preserve">A. Well, when the incident happened in the hotel room, he reminded me that Dave Herrington was his good friend. If I had any trouble, have Dave Herrington call me immediately. I mean, how else would I take that? Why would he even mention it if he wasn't trying to make a point?</w:t>
      </w:r>
    </w:p>
    <w:p>
      <w:pPr>
        <w:pStyle w:val="BodyText"/>
      </w:pPr>
      <w:r>
        <w:t xml:space="preserve">Q. All right. Well, my question to you, though, was whether Governor Clinton or anyone else ever said that he would use the relationship with David Herrington to have you fired or demoted or –</w:t>
      </w:r>
    </w:p>
    <w:p>
      <w:pPr>
        <w:pStyle w:val="BodyText"/>
      </w:pPr>
      <w:r>
        <w:t xml:space="preserve">A. Not in those words. Not in those words. But you can read between the lines, you know.</w:t>
      </w:r>
    </w:p>
    <w:p>
      <w:pPr>
        <w:pStyle w:val="BodyText"/>
      </w:pPr>
      <w:r>
        <w:t xml:space="preserve">Q. And that's what you're doing, you're reading between the lines?</w:t>
      </w:r>
    </w:p>
    <w:p>
      <w:pPr>
        <w:pStyle w:val="BodyText"/>
      </w:pPr>
      <w:r>
        <w:t xml:space="preserve">A. Well, because I know what he meant.</w:t>
      </w:r>
    </w:p>
    <w:p>
      <w:pPr>
        <w:pStyle w:val="BodyText"/>
      </w:pPr>
      <w:r>
        <w:t xml:space="preserve">Q. The fact of the matter is, Mrs. Jones, is following May 8th, 1991, you were not demoted or reduced in salary, were you?</w:t>
      </w:r>
    </w:p>
    <w:p>
      <w:pPr>
        <w:pStyle w:val="BodyText"/>
      </w:pPr>
      <w:r>
        <w:t xml:space="preserve">MR. CAMPBELL: Objection. Asked and answered.</w:t>
      </w:r>
    </w:p>
    <w:p>
      <w:pPr>
        <w:pStyle w:val="BodyText"/>
      </w:pPr>
      <w:r>
        <w:t xml:space="preserve">BY MR. BENNETT:</w:t>
      </w:r>
    </w:p>
    <w:p>
      <w:pPr>
        <w:pStyle w:val="BodyText"/>
      </w:pPr>
      <w:r>
        <w:t xml:space="preserve">Q. What's your answer?</w:t>
      </w:r>
    </w:p>
    <w:p>
      <w:pPr>
        <w:pStyle w:val="BodyText"/>
      </w:pPr>
      <w:r>
        <w:t xml:space="preserve">A. Yeah. After I come back from maternity leave, yes.</w:t>
      </w:r>
    </w:p>
    <w:p>
      <w:pPr>
        <w:pStyle w:val="BodyText"/>
      </w:pPr>
      <w:r>
        <w:t xml:space="preserve">Q. You didn't lose salary, did you?</w:t>
      </w:r>
    </w:p>
    <w:p>
      <w:pPr>
        <w:pStyle w:val="BodyText"/>
      </w:pPr>
      <w:r>
        <w:t xml:space="preserve">A. But I was demoted. I might have kept the salary, but I was demoted.</w:t>
      </w:r>
    </w:p>
    <w:p>
      <w:pPr>
        <w:pStyle w:val="BodyText"/>
      </w:pPr>
      <w:r>
        <w:t xml:space="preserve">Q. You believe your employment records, which you have not looked at, show you were demoted; is that correct?</w:t>
      </w:r>
    </w:p>
    <w:p>
      <w:pPr>
        <w:pStyle w:val="BodyText"/>
      </w:pPr>
      <w:r>
        <w:t xml:space="preserve">A. I don't know how they did it. I just know I was demoted. Everybody in the building probably knows I was demoted.</w:t>
      </w:r>
    </w:p>
    <w:p>
      <w:pPr>
        <w:pStyle w:val="BodyText"/>
      </w:pPr>
      <w:r>
        <w:t xml:space="preserve">Q. All right. Now do you know of any women at AIDC who benefited in their jobs because they were having sex with Governor Clinton?</w:t>
      </w:r>
    </w:p>
    <w:p>
      <w:pPr>
        <w:pStyle w:val="BodyText"/>
      </w:pPr>
      <w:r>
        <w:t xml:space="preserve">A. No, not to my knowledge.</w:t>
      </w:r>
    </w:p>
    <w:p>
      <w:pPr>
        <w:pStyle w:val="BodyText"/>
      </w:pPr>
      <w:r>
        <w:t xml:space="preserve">Q. Do you know any woman who got a raise or a job or a benefit of any kind because they were having sex with Governor Clinton?</w:t>
      </w:r>
    </w:p>
    <w:p>
      <w:pPr>
        <w:pStyle w:val="BodyText"/>
      </w:pPr>
      <w:r>
        <w:t xml:space="preserve">A. Are you –</w:t>
      </w:r>
    </w:p>
    <w:p>
      <w:pPr>
        <w:pStyle w:val="BodyText"/>
      </w:pPr>
      <w:r>
        <w:t xml:space="preserve">MR. CAMPBELL: Objection. Overbroad and global as to "any women."</w:t>
      </w:r>
    </w:p>
    <w:p>
      <w:pPr>
        <w:pStyle w:val="BodyText"/>
      </w:pPr>
      <w:r>
        <w:t xml:space="preserve">BY MR. BENNETT:</w:t>
      </w:r>
    </w:p>
    <w:p>
      <w:pPr>
        <w:pStyle w:val="BodyText"/>
      </w:pPr>
      <w:r>
        <w:t xml:space="preserve">Q. Any of the women that you worked with.</w:t>
      </w:r>
    </w:p>
    <w:p>
      <w:pPr>
        <w:pStyle w:val="BodyText"/>
      </w:pPr>
      <w:r>
        <w:t xml:space="preserve">A. Are you talking about just within AIDC? Or other –</w:t>
      </w:r>
    </w:p>
    <w:p>
      <w:pPr>
        <w:pStyle w:val="BodyText"/>
      </w:pPr>
      <w:r>
        <w:t xml:space="preserve">Q. Within AIDC, yes.</w:t>
      </w:r>
    </w:p>
    <w:p>
      <w:pPr>
        <w:pStyle w:val="BodyText"/>
      </w:pPr>
      <w:r>
        <w:t xml:space="preserve">A. Oh, not within AIDC, no, I don't know of any.</w:t>
      </w:r>
    </w:p>
    <w:p>
      <w:pPr>
        <w:pStyle w:val="BodyText"/>
      </w:pPr>
      <w:r>
        <w:t xml:space="preserve">Q. All right. Now let's go outside of AIDC. Do you know anybody who got a job because they were having sex with President Clinton – then-Governor Clinton?</w:t>
      </w:r>
    </w:p>
    <w:p>
      <w:pPr>
        <w:pStyle w:val="BodyText"/>
      </w:pPr>
      <w:r>
        <w:t xml:space="preserve">A. Yes. From what I have been told.</w:t>
      </w:r>
    </w:p>
    <w:p>
      <w:pPr>
        <w:pStyle w:val="BodyText"/>
      </w:pPr>
      <w:r>
        <w:t xml:space="preserve">(Lines 12 to 22 on page 77 are missing)</w:t>
      </w:r>
    </w:p>
    <w:p>
      <w:pPr>
        <w:pStyle w:val="BodyText"/>
      </w:pPr>
      <w:r>
        <w:t xml:space="preserve">Q. Where did you get that information?</w:t>
      </w:r>
    </w:p>
    <w:p>
      <w:pPr>
        <w:pStyle w:val="BodyText"/>
      </w:pPr>
      <w:r>
        <w:t xml:space="preserve">MR. CAMPBELL: Objection to the extent that – if you have to answer that question in a fashion that would reveal confidential communications with your counsel, I instruct you not to answer that.</w:t>
      </w:r>
    </w:p>
    <w:p>
      <w:pPr>
        <w:pStyle w:val="BodyText"/>
      </w:pPr>
      <w:r>
        <w:t xml:space="preserve">BY MR. BENNETT:</w:t>
      </w:r>
    </w:p>
    <w:p>
      <w:pPr>
        <w:pStyle w:val="BodyText"/>
      </w:pPr>
      <w:r>
        <w:t xml:space="preserve">Q. Other than learning that from your lawyers, you never heard that before, did you?</w:t>
      </w:r>
    </w:p>
    <w:p>
      <w:pPr>
        <w:pStyle w:val="BodyText"/>
      </w:pPr>
      <w:r>
        <w:t xml:space="preserve">A. Correct.</w:t>
      </w:r>
    </w:p>
    <w:p>
      <w:pPr>
        <w:pStyle w:val="BodyText"/>
      </w:pPr>
      <w:r>
        <w:t xml:space="preserve">Q. What's your answer?</w:t>
      </w:r>
    </w:p>
    <w:p>
      <w:pPr>
        <w:pStyle w:val="BodyText"/>
      </w:pPr>
      <w:r>
        <w:t xml:space="preserve">A. Correct.</w:t>
      </w:r>
    </w:p>
    <w:p>
      <w:pPr>
        <w:pStyle w:val="BodyText"/>
      </w:pPr>
      <w:r>
        <w:t xml:space="preserve">Q. Anybody else? Any other women?</w:t>
      </w:r>
    </w:p>
    <w:p>
      <w:pPr>
        <w:pStyle w:val="BodyText"/>
      </w:pPr>
      <w:r>
        <w:t xml:space="preserve">MR. CAMPBELL: Objection. Overbroad and global.</w:t>
      </w:r>
    </w:p>
    <w:p>
      <w:pPr>
        <w:pStyle w:val="BodyText"/>
      </w:pPr>
      <w:r>
        <w:t xml:space="preserve">MR. BENNETT: Do you want to take a break?</w:t>
      </w:r>
    </w:p>
    <w:p>
      <w:pPr>
        <w:pStyle w:val="BodyText"/>
      </w:pPr>
      <w:r>
        <w:t xml:space="preserve">MR. CAMPBELL: That would be great.</w:t>
      </w:r>
    </w:p>
    <w:p>
      <w:pPr>
        <w:pStyle w:val="BodyText"/>
      </w:pPr>
      <w:r>
        <w:t xml:space="preserve">(Off the record.)</w:t>
      </w:r>
    </w:p>
    <w:p>
      <w:pPr>
        <w:pStyle w:val="BodyText"/>
      </w:pPr>
      <w:r>
        <w:br/>
      </w:r>
      <w:r>
        <w:t xml:space="preserve">Events at the Excelsior Hotel</w:t>
      </w:r>
    </w:p>
    <w:p>
      <w:pPr>
        <w:pStyle w:val="BodyText"/>
      </w:pPr>
      <w:r>
        <w:t xml:space="preserve">BY MR. BENNETT:</w:t>
      </w:r>
    </w:p>
    <w:p>
      <w:pPr>
        <w:pStyle w:val="BodyText"/>
      </w:pPr>
      <w:r>
        <w:t xml:space="preserve">Q. Mrs. Jones, on May 8th, 1991, you went to a room in the Excelsior Hotel where you met Governor Clinton; is that correct?</w:t>
      </w:r>
    </w:p>
    <w:p>
      <w:pPr>
        <w:pStyle w:val="BodyText"/>
      </w:pPr>
      <w:r>
        <w:t xml:space="preserve">A. That's correct.</w:t>
      </w:r>
    </w:p>
    <w:p>
      <w:pPr>
        <w:pStyle w:val="BodyText"/>
      </w:pPr>
      <w:r>
        <w:t xml:space="preserve">Q. And how long were you in the room total?</w:t>
      </w:r>
    </w:p>
    <w:p>
      <w:pPr>
        <w:pStyle w:val="BodyText"/>
      </w:pPr>
      <w:r>
        <w:t xml:space="preserve">A. Between 10 and probably 15 minutes.</w:t>
      </w:r>
    </w:p>
    <w:p>
      <w:pPr>
        <w:pStyle w:val="BodyText"/>
      </w:pPr>
      <w:r>
        <w:t xml:space="preserve">Q. And did you voluntarily go up to the room?</w:t>
      </w:r>
    </w:p>
    <w:p>
      <w:pPr>
        <w:pStyle w:val="BodyText"/>
      </w:pPr>
      <w:r>
        <w:t xml:space="preserve">A. With the guidance of a state trooper, yes.</w:t>
      </w:r>
    </w:p>
    <w:p>
      <w:pPr>
        <w:pStyle w:val="BodyText"/>
      </w:pPr>
      <w:r>
        <w:t xml:space="preserve">Q. And why did you go up to the room?</w:t>
      </w:r>
    </w:p>
    <w:p>
      <w:pPr>
        <w:pStyle w:val="BodyText"/>
      </w:pPr>
      <w:r>
        <w:t xml:space="preserve">A. Because I wanted to meet the governor and he wanted – he asked to meet me.</w:t>
      </w:r>
    </w:p>
    <w:p>
      <w:pPr>
        <w:pStyle w:val="BodyText"/>
      </w:pPr>
      <w:r>
        <w:t xml:space="preserve">Q. And why did you want to meet the governor?</w:t>
      </w:r>
    </w:p>
    <w:p>
      <w:pPr>
        <w:pStyle w:val="BodyText"/>
      </w:pPr>
      <w:r>
        <w:t xml:space="preserve">A. Because it was exciting. I had never met the governor before. It's exciting. So I was going to go up there.</w:t>
      </w:r>
    </w:p>
    <w:p>
      <w:pPr>
        <w:pStyle w:val="BodyText"/>
      </w:pPr>
      <w:r>
        <w:t xml:space="preserve">Q. And I believe you've stated publicly that you thought maybe it would help you get a better job; is that right?</w:t>
      </w:r>
    </w:p>
    <w:p>
      <w:pPr>
        <w:pStyle w:val="BodyText"/>
      </w:pPr>
      <w:r>
        <w:t xml:space="preserve">A. That's correct.</w:t>
      </w:r>
    </w:p>
    <w:p>
      <w:pPr>
        <w:pStyle w:val="BodyText"/>
      </w:pPr>
      <w:r>
        <w:t xml:space="preserve">Q. How long were you in the room before you first saw the governor's exposed penis?</w:t>
      </w:r>
    </w:p>
    <w:p>
      <w:pPr>
        <w:pStyle w:val="BodyText"/>
      </w:pPr>
      <w:r>
        <w:t xml:space="preserve">A. Probably about five – between five and six or seven minutes.</w:t>
      </w:r>
    </w:p>
    <w:p>
      <w:pPr>
        <w:pStyle w:val="BodyText"/>
      </w:pPr>
      <w:r>
        <w:t xml:space="preserve">Q. And how far were you away from the governor?</w:t>
      </w:r>
    </w:p>
    <w:p>
      <w:pPr>
        <w:pStyle w:val="BodyText"/>
      </w:pPr>
      <w:r>
        <w:t xml:space="preserve">A. He sat down right beside me.</w:t>
      </w:r>
    </w:p>
    <w:p>
      <w:pPr>
        <w:pStyle w:val="BodyText"/>
      </w:pPr>
      <w:r>
        <w:t xml:space="preserve">Q. So you were just a couple of feet away?</w:t>
      </w:r>
    </w:p>
    <w:p>
      <w:pPr>
        <w:pStyle w:val="BodyText"/>
      </w:pPr>
      <w:r>
        <w:t xml:space="preserve">A. Not even that far, I don't think. He sat right down nearly on top of me.</w:t>
      </w:r>
    </w:p>
    <w:p>
      <w:pPr>
        <w:pStyle w:val="BodyText"/>
      </w:pPr>
      <w:r>
        <w:t xml:space="preserve">[Several pages deleted]</w:t>
      </w:r>
    </w:p>
    <w:p>
      <w:pPr>
        <w:pStyle w:val="BodyText"/>
      </w:pPr>
      <w:r>
        <w:t xml:space="preserve">Q. What did you do as soon as you saw that?</w:t>
      </w:r>
    </w:p>
    <w:p>
      <w:pPr>
        <w:pStyle w:val="BodyText"/>
      </w:pPr>
      <w:r>
        <w:t xml:space="preserve">A. I jumped up and I said, "I'm not that kind of girl," after I looked at it and he was trying to grab me. But, I mean, I went on ahead and jumped up and I turned around and that's when I – that's the thing I drew there from this perspective of standing up, looking down on the couch at him.</w:t>
      </w:r>
    </w:p>
    <w:p>
      <w:pPr>
        <w:pStyle w:val="BodyText"/>
      </w:pPr>
      <w:r>
        <w:t xml:space="preserve">. . .</w:t>
      </w:r>
    </w:p>
    <w:p>
      <w:pPr>
        <w:pStyle w:val="BodyText"/>
      </w:pPr>
      <w:r>
        <w:t xml:space="preserve">Q. You stayed in the room for another five or 10 minutes?</w:t>
      </w:r>
    </w:p>
    <w:p>
      <w:pPr>
        <w:pStyle w:val="BodyText"/>
      </w:pPr>
      <w:r>
        <w:t xml:space="preserve">A. Oh, no. I started to leave. And he pulled up and I was fixing to go out and I said, "I've got to be going. I've got to go back to the registration desk. I'm going to get in trouble." He pulled up, you know, stood up. And he was just red as he could be. You could tell I had embarrassed him so bad, because he probably expected me to do something. And he pulled up his pants, trying to situate himself. And I don't think he tucked in his pants. He just pulled them up and zipped his pants up, still with an erect penis.</w:t>
      </w:r>
    </w:p>
    <w:p>
      <w:pPr>
        <w:pStyle w:val="BodyText"/>
      </w:pPr>
      <w:r>
        <w:t xml:space="preserve">And he said, "Well, you know, if you have any trouble, I want you to have Dave Herrington call me immediately." And that was the second time he had mentioned Dave Herrington. And then I proceeded to go on to the door and he rushed up behind me. I started to open up the door, he put his hand on the door to where I could not open it up any further, and he stopped me and he says, "You're a smart girl, let's keep this between ourselves." And when I went out the door, the state trooper was there, which is Trooper Ferguson. And he was standing out there.</w:t>
      </w:r>
    </w:p>
    <w:p>
      <w:pPr>
        <w:pStyle w:val="BodyText"/>
      </w:pPr>
      <w:r>
        <w:t xml:space="preserve">Q. Are you saying that the governor did not let you go out the door?</w:t>
      </w:r>
    </w:p>
    <w:p>
      <w:pPr>
        <w:pStyle w:val="BodyText"/>
      </w:pPr>
      <w:r>
        <w:t xml:space="preserve">A. Not for a split second, yeah. He confined me for a moment to let me know that I'm a smart girl and let's just keep this between ourselves.</w:t>
      </w:r>
    </w:p>
    <w:p>
      <w:pPr>
        <w:pStyle w:val="BodyText"/>
      </w:pPr>
      <w:r>
        <w:t xml:space="preserve">Q. And the governor had his hand on –</w:t>
      </w:r>
    </w:p>
    <w:p>
      <w:pPr>
        <w:pStyle w:val="BodyText"/>
      </w:pPr>
      <w:r>
        <w:t xml:space="preserve">A. On the door. When I opened the door, he stopped it, the back of the door, long enough to let me know what he wanted to tell me.</w:t>
      </w:r>
    </w:p>
    <w:p>
      <w:pPr>
        <w:pStyle w:val="BodyText"/>
      </w:pPr>
      <w:r>
        <w:t xml:space="preserve">Q. Now have you ever said that before?</w:t>
      </w:r>
    </w:p>
    <w:p>
      <w:pPr>
        <w:pStyle w:val="BodyText"/>
      </w:pPr>
      <w:r>
        <w:t xml:space="preserve">A. Yes, I have.</w:t>
      </w:r>
    </w:p>
    <w:p>
      <w:pPr>
        <w:pStyle w:val="BodyText"/>
      </w:pPr>
      <w:r>
        <w:t xml:space="preserve">MR. CAMPBELL: Whoa, whoa, objection.</w:t>
      </w:r>
    </w:p>
    <w:p>
      <w:pPr>
        <w:pStyle w:val="BodyText"/>
      </w:pPr>
      <w:r>
        <w:t xml:space="preserve">THE WITNESS: I'm sorry.</w:t>
      </w:r>
    </w:p>
    <w:p>
      <w:pPr>
        <w:pStyle w:val="BodyText"/>
      </w:pPr>
      <w:r>
        <w:t xml:space="preserve">MR. BENNETT: Could I finish the question?</w:t>
      </w:r>
    </w:p>
    <w:p>
      <w:pPr>
        <w:pStyle w:val="BodyText"/>
      </w:pPr>
      <w:r>
        <w:t xml:space="preserve">MR. CAMPBELL: Surely.</w:t>
      </w:r>
    </w:p>
    <w:p>
      <w:pPr>
        <w:pStyle w:val="BodyText"/>
      </w:pPr>
      <w:r>
        <w:t xml:space="preserve">BY MR. BENNETT:</w:t>
      </w:r>
    </w:p>
    <w:p>
      <w:pPr>
        <w:pStyle w:val="BodyText"/>
      </w:pPr>
      <w:r>
        <w:t xml:space="preserve">Q. In any of the many press conferences you gave, did you say that before?</w:t>
      </w:r>
    </w:p>
    <w:p>
      <w:pPr>
        <w:pStyle w:val="BodyText"/>
      </w:pPr>
      <w:r>
        <w:t xml:space="preserve">A. I don't recall if I have or not.</w:t>
      </w:r>
    </w:p>
    <w:p>
      <w:pPr>
        <w:pStyle w:val="BodyText"/>
      </w:pPr>
      <w:r>
        <w:t xml:space="preserve">Q. Did he let you go out the door?</w:t>
      </w:r>
    </w:p>
    <w:p>
      <w:pPr>
        <w:pStyle w:val="BodyText"/>
      </w:pPr>
      <w:r>
        <w:t xml:space="preserve">A. Yes. After he told me what he told me.</w:t>
      </w:r>
    </w:p>
    <w:p>
      <w:pPr>
        <w:pStyle w:val="BodyText"/>
      </w:pPr>
      <w:r>
        <w:t xml:space="preserve">Q. And what did you understand him to have meant by that?</w:t>
      </w:r>
    </w:p>
    <w:p>
      <w:pPr>
        <w:pStyle w:val="BodyText"/>
      </w:pPr>
      <w:r>
        <w:t xml:space="preserve">A. Well, he was threatening me. He said, "You're a smart girl. Let's keep this between ourselves." Apparently he didn't want this to get out.</w:t>
      </w:r>
    </w:p>
    <w:p>
      <w:pPr>
        <w:pStyle w:val="BodyText"/>
      </w:pPr>
      <w:r>
        <w:t xml:space="preserve">Q. Did you stay – how long did you stay in the room after you saw the exposed penis?</w:t>
      </w:r>
    </w:p>
    <w:p>
      <w:pPr>
        <w:pStyle w:val="BodyText"/>
      </w:pPr>
      <w:r>
        <w:t xml:space="preserve">A. Minute and a half or something like that maybe. Because it took about two or three minutes to even just get back down to where my registration desk was because it's a big hotel.</w:t>
      </w:r>
    </w:p>
    <w:p>
      <w:pPr>
        <w:pStyle w:val="BodyText"/>
      </w:pPr>
      <w:r>
        <w:t xml:space="preserve">Q. No. I mean, outside the door of the room.</w:t>
      </w:r>
    </w:p>
    <w:p>
      <w:pPr>
        <w:pStyle w:val="BodyText"/>
      </w:pPr>
      <w:r>
        <w:t xml:space="preserve">. . .</w:t>
      </w:r>
    </w:p>
    <w:p>
      <w:pPr>
        <w:pStyle w:val="BodyText"/>
      </w:pPr>
      <w:r>
        <w:t xml:space="preserve">Q. And Ferguson was right outside the door?</w:t>
      </w:r>
    </w:p>
    <w:p>
      <w:pPr>
        <w:pStyle w:val="BodyText"/>
      </w:pPr>
      <w:r>
        <w:t xml:space="preserve">A. Yes, he was.</w:t>
      </w:r>
    </w:p>
    <w:p>
      <w:pPr>
        <w:pStyle w:val="BodyText"/>
      </w:pPr>
      <w:r>
        <w:t xml:space="preserve">Q. Was he blocking the door?</w:t>
      </w:r>
    </w:p>
    <w:p>
      <w:pPr>
        <w:pStyle w:val="BodyText"/>
      </w:pPr>
      <w:r>
        <w:t xml:space="preserve">A. No.</w:t>
      </w:r>
    </w:p>
    <w:p>
      <w:pPr>
        <w:pStyle w:val="BodyText"/>
      </w:pPr>
      <w:r>
        <w:t xml:space="preserve">Q. Was the door locked when you went out?</w:t>
      </w:r>
    </w:p>
    <w:p>
      <w:pPr>
        <w:pStyle w:val="BodyText"/>
      </w:pPr>
      <w:r>
        <w:t xml:space="preserve">A. No. I don't believe it was.</w:t>
      </w:r>
    </w:p>
    <w:p>
      <w:pPr>
        <w:pStyle w:val="BodyText"/>
      </w:pPr>
      <w:r>
        <w:t xml:space="preserve">Q. Was the door locked when you went in?</w:t>
      </w:r>
    </w:p>
    <w:p>
      <w:pPr>
        <w:pStyle w:val="BodyText"/>
      </w:pPr>
      <w:r>
        <w:t xml:space="preserve">A. No. The door was ajar when I went in. It was cracked open.</w:t>
      </w:r>
    </w:p>
    <w:p>
      <w:pPr>
        <w:pStyle w:val="BodyText"/>
      </w:pPr>
      <w:r>
        <w:t xml:space="preserve">Q. And how did you get out the door? Did you just turn the handle and walk out the door?</w:t>
      </w:r>
    </w:p>
    <w:p>
      <w:pPr>
        <w:pStyle w:val="BodyText"/>
      </w:pPr>
      <w:r>
        <w:t xml:space="preserve">A. Yeah. After he tried to hold me in there for a few minutes.</w:t>
      </w:r>
    </w:p>
    <w:p>
      <w:pPr>
        <w:pStyle w:val="BodyText"/>
      </w:pPr>
      <w:r>
        <w:t xml:space="preserve">Q. Now you say he tried to hold you in there for –</w:t>
      </w:r>
    </w:p>
    <w:p>
      <w:pPr>
        <w:pStyle w:val="BodyText"/>
      </w:pPr>
      <w:r>
        <w:t xml:space="preserve">A. Well, he held the door –</w:t>
      </w:r>
    </w:p>
    <w:p>
      <w:pPr>
        <w:pStyle w:val="BodyText"/>
      </w:pPr>
      <w:r>
        <w:t xml:space="preserve">Q. Let me finish.</w:t>
      </w:r>
    </w:p>
    <w:p>
      <w:pPr>
        <w:pStyle w:val="BodyText"/>
      </w:pPr>
      <w:r>
        <w:t xml:space="preserve">A. – for a few seconds.</w:t>
      </w:r>
    </w:p>
    <w:p>
      <w:pPr>
        <w:pStyle w:val="BodyText"/>
      </w:pPr>
      <w:r>
        <w:t xml:space="preserve">Q. Are you saying that he tried to hold you in that room for a few minutes? Is that what you're saying?</w:t>
      </w:r>
    </w:p>
    <w:p>
      <w:pPr>
        <w:pStyle w:val="BodyText"/>
      </w:pPr>
      <w:r>
        <w:t xml:space="preserve">A. I'll redo that. A few seconds. Long enough to tell me what he wanted to say to me.</w:t>
      </w:r>
    </w:p>
    <w:p>
      <w:pPr>
        <w:pStyle w:val="BodyText"/>
      </w:pPr>
      <w:r>
        <w:t xml:space="preserve">Q. Did you express to him in the room that you were concerned about being away from your desk?</w:t>
      </w:r>
    </w:p>
    <w:p>
      <w:pPr>
        <w:pStyle w:val="BodyText"/>
      </w:pPr>
      <w:r>
        <w:t xml:space="preserve">A. Yes.</w:t>
      </w:r>
    </w:p>
    <w:p>
      <w:pPr>
        <w:pStyle w:val="BodyText"/>
      </w:pPr>
      <w:r>
        <w:t xml:space="preserve">Q. What did you say?</w:t>
      </w:r>
    </w:p>
    <w:p>
      <w:pPr>
        <w:pStyle w:val="BodyText"/>
      </w:pPr>
      <w:r>
        <w:t xml:space="preserve">MR. CAMPBELL: Objection. Asked and answered.</w:t>
      </w:r>
    </w:p>
    <w:p>
      <w:pPr>
        <w:pStyle w:val="BodyText"/>
      </w:pPr>
      <w:r>
        <w:t xml:space="preserve">BY MR. BENNETT:</w:t>
      </w:r>
    </w:p>
    <w:p>
      <w:pPr>
        <w:pStyle w:val="BodyText"/>
      </w:pPr>
      <w:r>
        <w:t xml:space="preserve">Q. Go ahead.</w:t>
      </w:r>
    </w:p>
    <w:p>
      <w:pPr>
        <w:pStyle w:val="BodyText"/>
      </w:pPr>
      <w:r>
        <w:t xml:space="preserve">A. After, you know, when I said I had to be leaving, I said, "I'm going to get in trouble. I need to go back down to my registration desk." I had to find something to try to get away from him.</w:t>
      </w:r>
    </w:p>
    <w:p>
      <w:pPr>
        <w:pStyle w:val="BodyText"/>
      </w:pPr>
      <w:r>
        <w:t xml:space="preserve">Q. Is that when he said, "If you have any trouble" –</w:t>
      </w:r>
    </w:p>
    <w:p>
      <w:pPr>
        <w:pStyle w:val="BodyText"/>
      </w:pPr>
      <w:r>
        <w:t xml:space="preserve">A. Have Dave Herrington, he would take care of it for me.</w:t>
      </w:r>
    </w:p>
    <w:p>
      <w:pPr>
        <w:pStyle w:val="BodyText"/>
      </w:pPr>
      <w:r>
        <w:t xml:space="preserve">Q. And you interpreted that as a threat?</w:t>
      </w:r>
    </w:p>
    <w:p>
      <w:pPr>
        <w:pStyle w:val="BodyText"/>
      </w:pPr>
      <w:r>
        <w:t xml:space="preserve">A. I interpreted that as that he's the governor and he can do what he wants to and he's got the power to do and if I got in trouble to have Dave Herrington, his good friend, call him and he'll just take care of it, if I got in trouble by my immediate supervisors where I was working at the hotel that day.</w:t>
      </w:r>
    </w:p>
    <w:p>
      <w:pPr>
        <w:pStyle w:val="BodyText"/>
      </w:pPr>
      <w:r>
        <w:t xml:space="preserve">Q. So in other words, you interpreted it as a threat rather than as his saying, "If you get in trouble with your bosses, I'll help you out?"</w:t>
      </w:r>
    </w:p>
    <w:p>
      <w:pPr>
        <w:pStyle w:val="BodyText"/>
      </w:pPr>
      <w:r>
        <w:t xml:space="preserve">A. Right.</w:t>
      </w:r>
    </w:p>
    <w:p>
      <w:pPr>
        <w:pStyle w:val="BodyText"/>
      </w:pPr>
      <w:r>
        <w:t xml:space="preserve">Q. And what did you say, if anything, to Mr. Ferguson, Trooper Ferguson, when you left?</w:t>
      </w:r>
    </w:p>
    <w:p>
      <w:pPr>
        <w:pStyle w:val="BodyText"/>
      </w:pPr>
      <w:r>
        <w:t xml:space="preserve">A. I didn't say anything to Mr. Ferguson. He was sitting down, as I recall, on a bench or a chair that had been put out there, waiting for, I guess, Bill to do his thing and when I walked past him, he looked up and give me a smirk.</w:t>
      </w:r>
    </w:p>
    <w:p>
      <w:pPr>
        <w:pStyle w:val="BodyText"/>
      </w:pPr>
      <w:r>
        <w:t xml:space="preserve">Q. Was he right outside the door?</w:t>
      </w:r>
    </w:p>
    <w:p>
      <w:pPr>
        <w:pStyle w:val="BodyText"/>
      </w:pPr>
      <w:r>
        <w:t xml:space="preserve">A. Oh, just a few feet away maybe. He was there guarding. Absolutely.</w:t>
      </w:r>
    </w:p>
    <w:p>
      <w:pPr>
        <w:pStyle w:val="BodyText"/>
      </w:pPr>
      <w:r>
        <w:t xml:space="preserve">Q. Well, was he sitting down?</w:t>
      </w:r>
    </w:p>
    <w:p>
      <w:pPr>
        <w:pStyle w:val="BodyText"/>
      </w:pPr>
      <w:r>
        <w:t xml:space="preserve">A. I think he was sitting down, yes. He was sitting down.</w:t>
      </w:r>
    </w:p>
    <w:p>
      <w:pPr>
        <w:pStyle w:val="BodyText"/>
      </w:pPr>
      <w:r>
        <w:t xml:space="preserve">Q. And how far away from the door was he?</w:t>
      </w:r>
    </w:p>
    <w:p>
      <w:pPr>
        <w:pStyle w:val="BodyText"/>
      </w:pPr>
      <w:r>
        <w:t xml:space="preserve">A. I don't know. A few feet maybe.</w:t>
      </w:r>
    </w:p>
    <w:p>
      <w:pPr>
        <w:pStyle w:val="BodyText"/>
      </w:pPr>
      <w:r>
        <w:t xml:space="preserve">Q. And you had no conversation with him at all?</w:t>
      </w:r>
    </w:p>
    <w:p>
      <w:pPr>
        <w:pStyle w:val="BodyText"/>
      </w:pPr>
      <w:r>
        <w:t xml:space="preserve">A. No. He looked at – he looked at me, looked up at me</w:t>
      </w:r>
    </w:p>
    <w:p>
      <w:pPr>
        <w:pStyle w:val="BodyText"/>
      </w:pPr>
      <w:r>
        <w:t xml:space="preserve">(Pages 99 to 100 are missing)</w:t>
      </w:r>
    </w:p>
    <w:p>
      <w:pPr>
        <w:pStyle w:val="BodyText"/>
      </w:pPr>
      <w:r>
        <w:t xml:space="preserve">A. Okay. He come over to – the first time he come over to say anything to me and Pam Blackard was when Clinton was in the ballroom speaking and he come over just to chat or something and he said that he was the governor's bodyguard and I think he said what his name was. And we said, "Oh, do you have a gun?" Because he was in plain clothes and we wanted to know. He said yeah. So I think Pam said, "Well, let's see your gun" or whatever. And he pulled back his coat and he showed us his gun that he was carrying. And then I think he kind of walked away and it just some small chat or whatever. Because he was standing out there by himself. And we were out there.</w:t>
      </w:r>
    </w:p>
    <w:p>
      <w:pPr>
        <w:pStyle w:val="BodyText"/>
      </w:pPr>
      <w:r>
        <w:t xml:space="preserve">And then the second time was when he come to hand me a note and tell me that the governor wanted to meet with me and on the note was a four-digit number. I remember looking at it. He said, "The governor" – I don't know if he used the word Bill or the governor – "wants to meet with you in this room number."</w:t>
      </w:r>
    </w:p>
    <w:p>
      <w:pPr>
        <w:pStyle w:val="BodyText"/>
      </w:pPr>
      <w:r>
        <w:t xml:space="preserve">I said, "What for? What does he want to meet with me for?" And I was excited, though. You know, but I thought why would he want to meet with me? And I asked him that question as well as I voiced it to Pam.</w:t>
      </w:r>
    </w:p>
    <w:p>
      <w:pPr>
        <w:pStyle w:val="BodyText"/>
      </w:pPr>
      <w:r>
        <w:t xml:space="preserve">And he said, "It's okay. We do this all the time."</w:t>
      </w:r>
    </w:p>
    <w:p>
      <w:pPr>
        <w:pStyle w:val="BodyText"/>
      </w:pPr>
      <w:r>
        <w:t xml:space="preserve">And so then when – he left – I said, "Well, I'll think about it for a while."</w:t>
      </w:r>
    </w:p>
    <w:p>
      <w:pPr>
        <w:pStyle w:val="BodyText"/>
      </w:pPr>
      <w:r>
        <w:t xml:space="preserve">Discussed it with Pam. She said, "Good, maybe we can find a job. You know, maybe we can get a better job." And I'm not stupid, yeah, I was going to go up there and see if I could maybe get another job or find a way to put applications to better myself and to get another job, a higher-paying job. And I thought maybe I could help my friend out and stuff. And I was excited to meet the governor. So Pam said, "Now you go up there, I'm going to watch the desk and everything, but don't stay too long." That's why I know I was not up there longer than maybe, you know, 10 minutes at the most, up in the room itself, because Pam didn't want me to be gone very long either because she didn't want to get in trouble and have to explain to somebody where I was.</w:t>
      </w:r>
    </w:p>
    <w:p>
      <w:pPr>
        <w:pStyle w:val="BodyText"/>
      </w:pPr>
      <w:r>
        <w:t xml:space="preserve">That was the conversation that me and Ferguson had had. And then when he come back to see if I was going to go up there and then me and Pam had decided, yeah, I'll go up there and then me and Pam had decided, yeah, I'll go up there. So then he escorted me up and around the corner and up the elevator.</w:t>
      </w:r>
    </w:p>
    <w:p>
      <w:pPr>
        <w:pStyle w:val="BodyText"/>
      </w:pPr>
      <w:r>
        <w:t xml:space="preserve">Q. Now did you tell anybody downstairs why you were leaving the desk? Did you give any excuses to anyone –</w:t>
      </w:r>
    </w:p>
    <w:p>
      <w:pPr>
        <w:pStyle w:val="BodyText"/>
      </w:pPr>
      <w:r>
        <w:t xml:space="preserve">A. I didn't.</w:t>
      </w:r>
    </w:p>
    <w:p>
      <w:pPr>
        <w:pStyle w:val="BodyText"/>
      </w:pPr>
      <w:r>
        <w:t xml:space="preserve">Q. – as to why you were leaving the desk?</w:t>
      </w:r>
    </w:p>
    <w:p>
      <w:pPr>
        <w:pStyle w:val="BodyText"/>
      </w:pPr>
      <w:r>
        <w:t xml:space="preserve">A. Un-uh. I didn't talk to anybody about where I was going or what, except for Pam.</w:t>
      </w:r>
    </w:p>
    <w:p>
      <w:pPr>
        <w:pStyle w:val="BodyText"/>
      </w:pPr>
      <w:r>
        <w:t xml:space="preserve">Q. Do you know whether Pam did?</w:t>
      </w:r>
    </w:p>
    <w:p>
      <w:pPr>
        <w:pStyle w:val="BodyText"/>
      </w:pPr>
      <w:r>
        <w:t xml:space="preserve">(Page 103 is missing)</w:t>
      </w:r>
    </w:p>
    <w:p>
      <w:pPr>
        <w:pStyle w:val="BodyText"/>
      </w:pPr>
      <w:r>
        <w:t xml:space="preserve">A. Yeah, He seemed like he was unloosening his tie as soon as I – you know, he come to the door and opened it because it was already ajar and I knocked on the door facing and he opened up the door and it seemed like he was loosening his tie with one hand and he acted like he had known me for years. You know. Right off the bat. And I had never met the guy in my life. And he shook my hand. And he introduced hisself or whatever.</w:t>
      </w:r>
    </w:p>
    <w:p>
      <w:pPr>
        <w:pStyle w:val="BodyText"/>
      </w:pPr>
      <w:r>
        <w:t xml:space="preserve">Q. How did he introduce himself?</w:t>
      </w:r>
    </w:p>
    <w:p>
      <w:pPr>
        <w:pStyle w:val="BodyText"/>
      </w:pPr>
      <w:r>
        <w:t xml:space="preserve">A. "I'm Bill Clinton." I think it was that. I don't think he said, "I'm the Governor." "I'm Bill Clinton."</w:t>
      </w:r>
    </w:p>
    <w:p>
      <w:pPr>
        <w:pStyle w:val="BodyText"/>
      </w:pPr>
      <w:r>
        <w:t xml:space="preserve">Q. And then what happened?</w:t>
      </w:r>
    </w:p>
    <w:p>
      <w:pPr>
        <w:pStyle w:val="BodyText"/>
      </w:pPr>
      <w:r>
        <w:t xml:space="preserve">A. "Nice to meet you" or whatever. And then we proceeded to – I proceeded to go on in. And went –</w:t>
      </w:r>
    </w:p>
    <w:p>
      <w:pPr>
        <w:pStyle w:val="BodyText"/>
      </w:pPr>
      <w:r>
        <w:t xml:space="preserve">Q. Did you say something to him when he said, "Hi. I'm Bill Clinton"?</w:t>
      </w:r>
    </w:p>
    <w:p>
      <w:pPr>
        <w:pStyle w:val="BodyText"/>
      </w:pPr>
      <w:r>
        <w:t xml:space="preserve">A. I said, "I'm Paula Corbin" or whatever.</w:t>
      </w:r>
    </w:p>
    <w:p>
      <w:pPr>
        <w:pStyle w:val="BodyText"/>
      </w:pPr>
      <w:r>
        <w:t xml:space="preserve">Q. Okay.</w:t>
      </w:r>
    </w:p>
    <w:p>
      <w:pPr>
        <w:pStyle w:val="BodyText"/>
      </w:pPr>
      <w:r>
        <w:t xml:space="preserve">A. And I think he had said something about – he asked me where I was worked and I told him I was over at AIDC and he said that he knew – Dave Herrington was a good friend of his and he had appointed him to that job. And then when we went in, oh, a couple of minutes, we went over by the window and I remember looking out the window because there's a pretty view up there, because it was really high up. And that's when he ... made his first pass at me at the window.</w:t>
      </w:r>
    </w:p>
    <w:p>
      <w:pPr>
        <w:pStyle w:val="BodyText"/>
      </w:pPr>
      <w:r>
        <w:t xml:space="preserve">Q. Okay. Tell me exactly what he did.</w:t>
      </w:r>
    </w:p>
    <w:p>
      <w:pPr>
        <w:pStyle w:val="BodyText"/>
      </w:pPr>
      <w:r>
        <w:t xml:space="preserve">A. He sat down on the windowsill, leaned up against it with his bottom. And I was standing in front of him just talking because I was the one looking out the window. And he proceeded to – he just reached right over while we were talking and we were just talking in general and I don't know what exactly everything we were talking about but nothing sexual. And –</w:t>
      </w:r>
    </w:p>
    <w:p>
      <w:pPr>
        <w:pStyle w:val="BodyText"/>
      </w:pPr>
      <w:r>
        <w:t xml:space="preserve">Q. Do you remember anything you were talking about?</w:t>
      </w:r>
    </w:p>
    <w:p>
      <w:pPr>
        <w:pStyle w:val="BodyText"/>
      </w:pPr>
      <w:r>
        <w:t xml:space="preserve">A. I think we were talking about the job or whatever and about working with the state or something. I really don't know exactly, but it wasn't nothing bad that we were talking about. Because what was so shocking to me I'm sitting here talking to this man but nothing related to what's on his mind and he's over here while he's answering my questions pulling me over like he has done this a million times and grabs me and pulls me over to him to the windowsill and tries to kiss me and just didn't ask me or nothing. And I was just really shocked. And I pulled away. That was the first time I pulled away. I said, "No." I said, "What are you doing?"</w:t>
      </w:r>
    </w:p>
    <w:p>
      <w:pPr>
        <w:pStyle w:val="BodyText"/>
      </w:pPr>
      <w:r>
        <w:t xml:space="preserve">Q. Now he was still –</w:t>
      </w:r>
    </w:p>
    <w:p>
      <w:pPr>
        <w:pStyle w:val="BodyText"/>
      </w:pPr>
      <w:r>
        <w:t xml:space="preserve">A. I was so scared and nervous.</w:t>
      </w:r>
    </w:p>
    <w:p>
      <w:pPr>
        <w:pStyle w:val="BodyText"/>
      </w:pPr>
      <w:r>
        <w:t xml:space="preserve">Q. Was his back to the window?</w:t>
      </w:r>
    </w:p>
    <w:p>
      <w:pPr>
        <w:pStyle w:val="BodyText"/>
      </w:pPr>
      <w:r>
        <w:t xml:space="preserve">A. Yes.</w:t>
      </w:r>
    </w:p>
    <w:p>
      <w:pPr>
        <w:pStyle w:val="BodyText"/>
      </w:pPr>
      <w:r>
        <w:t xml:space="preserve">Q. So why didn't you just go right out the door?</w:t>
      </w:r>
    </w:p>
    <w:p>
      <w:pPr>
        <w:pStyle w:val="BodyText"/>
      </w:pPr>
      <w:r>
        <w:t xml:space="preserve">A. You know what? This is the governor we're talking about. I had just met the man. A state trooper sitting outside the door with a gun. I know that. I'm terrified. And so what I'm thinking next is what was happening here and what am I going to do next to get out of the room? Is he going to stop here? I didn't know but that would be it. But the man kept on and on until he dropped his pants. That's why I didn't run out the door. I was scared.</w:t>
      </w:r>
    </w:p>
    <w:p>
      <w:pPr>
        <w:pStyle w:val="BodyText"/>
      </w:pPr>
      <w:r>
        <w:t xml:space="preserve">Q. After he made a pass at you, you didn't go right out the door, did you?</w:t>
      </w:r>
    </w:p>
    <w:p>
      <w:pPr>
        <w:pStyle w:val="BodyText"/>
      </w:pPr>
      <w:r>
        <w:t xml:space="preserve">A. No. Because the state trooper was out there and I knew he was out there. And I did not know but what they were taping and had him out there to – all kinds of stuff was going through my mind. Because I'm thinking, this is not happening to me. This cannot be happening to me. And I thought if I run out that door, he's going to catch me, because Bill will know I'm fixing to run tell somebody. I'm not that stupid. I was not going to run out the door. I was scared to death.</w:t>
      </w:r>
    </w:p>
    <w:p>
      <w:pPr>
        <w:pStyle w:val="BodyText"/>
      </w:pPr>
      <w:r>
        <w:t xml:space="preserve">Q. So instead of running out the door, what did you do?</w:t>
      </w:r>
    </w:p>
    <w:p>
      <w:pPr>
        <w:pStyle w:val="BodyText"/>
      </w:pPr>
      <w:r>
        <w:t xml:space="preserve">A. I just moved away from him and got completely away from him. He was still sitting on the windowsill.</w:t>
      </w:r>
    </w:p>
    <w:p>
      <w:pPr>
        <w:pStyle w:val="BodyText"/>
      </w:pPr>
      <w:r>
        <w:t xml:space="preserve">Q. All right. Then what happened?</w:t>
      </w:r>
    </w:p>
    <w:p>
      <w:pPr>
        <w:pStyle w:val="BodyText"/>
      </w:pPr>
      <w:r>
        <w:t xml:space="preserve">A. And I went way over like to the middle of the living area. And I was talking to him about Hillary. I mean, I was just kind of trying to ignore what he had just done. And I was talking to him about Hillary and she was working with children's things or something, children's schools at the time, and I remember I was complimenting her on how she was really good with children. And the next, you know –</w:t>
      </w:r>
    </w:p>
    <w:p>
      <w:pPr>
        <w:pStyle w:val="BodyText"/>
      </w:pPr>
      <w:r>
        <w:t xml:space="preserve">Q. Then what happened?</w:t>
      </w:r>
    </w:p>
    <w:p>
      <w:pPr>
        <w:pStyle w:val="BodyText"/>
      </w:pPr>
      <w:r>
        <w:t xml:space="preserve">A. I was – he come over by the wingback chair close to where I was at. Then it's like he wasn't even paying attention to what I was saying to him. Then he goes, "Oh, I love the way your hair flows down your back. And I was watching you," and stuff like that. Downstairs. And then he did it again. Then he started – he pulled me over to him while he was leaning up against the wingback chair and he took his hands and was running them up my culottes. And they were long. They were down to my knees. They were long, dressy culottes. And he had his hand up, going up to my middle pelvic area, and he was kissing me on the neck, you know, and trying to kiss me on the lips and I wouldn't let him. And then I backed back. I said, "Stop it. You know. I'm not this kind of girl." I mean. And it still – and then I ran right over to where the couch was. I thought what am I going to do? I was trying to collect my thoughts. I did not know what to do. After the second time – after the first time, I had rebuffed him. And then when I got over there and I kind of sat right there by the end of the couch on the – seemed like on the armchair part. And the next thing you know it, I turn around because he was kind of back over here, and he come over there, pulled his pants down, sat down and asked me to perform oral sex.</w:t>
      </w:r>
    </w:p>
    <w:p>
      <w:pPr>
        <w:pStyle w:val="BodyText"/>
      </w:pPr>
      <w:r>
        <w:t xml:space="preserve">Q. What did he say exactly?</w:t>
      </w:r>
    </w:p>
    <w:p>
      <w:pPr>
        <w:pStyle w:val="BodyText"/>
      </w:pPr>
      <w:r>
        <w:t xml:space="preserve">A. He asked me would I kiss it. He goes – you know, I can see the look on his face right now. He asked me, "Would you kiss it for me?" I mean it was disgusting.</w:t>
      </w:r>
    </w:p>
    <w:p>
      <w:pPr>
        <w:pStyle w:val="BodyText"/>
      </w:pPr>
      <w:r>
        <w:t xml:space="preserve">Q. Were those the actual words he used?</w:t>
      </w:r>
    </w:p>
    <w:p>
      <w:pPr>
        <w:pStyle w:val="BodyText"/>
      </w:pPr>
      <w:r>
        <w:t xml:space="preserve">A. Yes.</w:t>
      </w:r>
    </w:p>
    <w:p>
      <w:pPr>
        <w:pStyle w:val="BodyText"/>
      </w:pPr>
      <w:r>
        <w:t xml:space="preserve">Q. He didn't use other words?</w:t>
      </w:r>
    </w:p>
    <w:p>
      <w:pPr>
        <w:pStyle w:val="BodyText"/>
      </w:pPr>
      <w:r>
        <w:t xml:space="preserve">A. I think that was it.</w:t>
      </w:r>
    </w:p>
    <w:p>
      <w:pPr>
        <w:pStyle w:val="BodyText"/>
      </w:pPr>
      <w:r>
        <w:t xml:space="preserve">Q. Okay. What did you say?</w:t>
      </w:r>
    </w:p>
    <w:p>
      <w:pPr>
        <w:pStyle w:val="BodyText"/>
      </w:pPr>
      <w:r>
        <w:t xml:space="preserve">A. I said, "No. I'm not that kind of girl." And that's when I said, "I'm going to get in trouble. I've got to be going. I've got to get back to my registration desk." And then he said – then he was – you know, you could tell he was embarrassed and everything. And he was pulling up his pants. And he said, "Well, if you have any trouble, you have Dave Herrington call me immediately." And you could tell he was so embarrassed because of what he had just done, because I had rejected him.</w:t>
      </w:r>
    </w:p>
    <w:p>
      <w:pPr>
        <w:pStyle w:val="BodyText"/>
      </w:pPr>
      <w:r>
        <w:t xml:space="preserve">Q. All right. Now then you went downstairs and you told Pam part of this story; is that right?</w:t>
      </w:r>
    </w:p>
    <w:p>
      <w:pPr>
        <w:pStyle w:val="BodyText"/>
      </w:pPr>
      <w:r>
        <w:t xml:space="preserve">(Pages 109 to 119 are missing)</w:t>
      </w:r>
    </w:p>
    <w:p>
      <w:pPr>
        <w:pStyle w:val="BodyText"/>
      </w:pPr>
      <w:r>
        <w:t xml:space="preserve">A. He wanted me to do something against my will.</w:t>
      </w:r>
    </w:p>
    <w:p>
      <w:pPr>
        <w:pStyle w:val="BodyText"/>
      </w:pPr>
      <w:r>
        <w:t xml:space="preserve">Q. That's not my question. Did he require you to do something against your will?</w:t>
      </w:r>
    </w:p>
    <w:p>
      <w:pPr>
        <w:pStyle w:val="BodyText"/>
      </w:pPr>
      <w:r>
        <w:t xml:space="preserve">A. Well, he tried to kiss me against my will. Is that what you're saying? I'm not quite sure.</w:t>
      </w:r>
    </w:p>
    <w:p>
      <w:pPr>
        <w:pStyle w:val="BodyText"/>
      </w:pPr>
      <w:r>
        <w:t xml:space="preserve">Q. You said when he –</w:t>
      </w:r>
    </w:p>
    <w:p>
      <w:pPr>
        <w:pStyle w:val="BodyText"/>
      </w:pPr>
      <w:r>
        <w:t xml:space="preserve">A. Absolutely, but he still wanted me to do it. Three times he tried to make me do it against my will. I would say so after the first time of rejection, yes, he did.</w:t>
      </w:r>
    </w:p>
    <w:p>
      <w:pPr>
        <w:pStyle w:val="BodyText"/>
      </w:pPr>
      <w:r>
        <w:t xml:space="preserve">. . .</w:t>
      </w:r>
    </w:p>
    <w:p>
      <w:pPr>
        <w:pStyle w:val="BodyText"/>
      </w:pPr>
      <w:r>
        <w:t xml:space="preserve">Q. All right. What other damages or injuries did you sustain?</w:t>
      </w:r>
    </w:p>
    <w:p>
      <w:pPr>
        <w:pStyle w:val="BodyText"/>
      </w:pPr>
      <w:r>
        <w:t xml:space="preserve">A. He threatened me about – when I opened the door, he held his hand up there and said, "You're a smart girl. Let's keep this between ourselves." That's a threat. He don't want me to tell anybody.</w:t>
      </w:r>
    </w:p>
    <w:p>
      <w:pPr>
        <w:pStyle w:val="BodyText"/>
      </w:pPr>
      <w:r>
        <w:t xml:space="preserve">Q. Okay. What else?</w:t>
      </w:r>
    </w:p>
    <w:p>
      <w:pPr>
        <w:pStyle w:val="BodyText"/>
      </w:pPr>
      <w:r>
        <w:t xml:space="preserve">A. He told me about his boss – my boss, ultimate boss was his dear friend and to me – it seemed to me that if anything – if I was going to get in trouble for anything whatsoever for being up there, his boss could have took care of it one way or the other, either got me fired or helped – helped me not get in trouble for being away from the registration desk. That was a threat.</w:t>
      </w:r>
    </w:p>
    <w:p>
      <w:pPr>
        <w:pStyle w:val="BodyText"/>
      </w:pPr>
      <w:r>
        <w:t xml:space="preserve">Q. Okay.</w:t>
      </w:r>
    </w:p>
    <w:p>
      <w:pPr>
        <w:pStyle w:val="BodyText"/>
      </w:pPr>
      <w:r>
        <w:t xml:space="preserve">A. That was intimidation.</w:t>
      </w:r>
    </w:p>
    <w:p>
      <w:pPr>
        <w:pStyle w:val="BodyText"/>
      </w:pPr>
      <w:r>
        <w:t xml:space="preserve">Q. What other injuries?</w:t>
      </w:r>
    </w:p>
    <w:p>
      <w:pPr>
        <w:pStyle w:val="BodyText"/>
      </w:pPr>
      <w:r>
        <w:t xml:space="preserve">A. Just psychological of him dropping his pants and doing what he did. I mean there was a few minutes of conversation and the man dropping his pants. That's mentally abusive and I felt shame. I felt like I was the bad person after I left that room. I thought I was the bad person here and I was the one that was at fault for going up there and I would have never thought that – I would have never expected that. I didn't expect to go up there with sex on my mind, but intentionally, he had that on his mind apparently or he would have never wanted to see me.</w:t>
      </w:r>
    </w:p>
    <w:p>
      <w:pPr>
        <w:pStyle w:val="BodyText"/>
      </w:pPr>
      <w:r>
        <w:t xml:space="preserve">Q. What psychological damage did you sustain? Could you be more specific?</w:t>
      </w:r>
    </w:p>
    <w:p>
      <w:pPr>
        <w:pStyle w:val="BodyText"/>
      </w:pPr>
      <w:r>
        <w:t xml:space="preserve">A. Absolutely. I mean I was horrified. I was – I was scared to death. I would have to think about that. Every time I look at this man on TV – I don't even look. I just turn it off because it brings back that terrible day of when I had to look at his private parts, a strange man without me asking for it.</w:t>
      </w:r>
    </w:p>
    <w:p>
      <w:pPr>
        <w:pStyle w:val="BodyText"/>
      </w:pPr>
      <w:r>
        <w:t xml:space="preserve">Q. All right. Now, have you ever consulted a psychiatrist for this?</w:t>
      </w:r>
    </w:p>
    <w:p>
      <w:pPr>
        <w:pStyle w:val="BodyText"/>
      </w:pPr>
      <w:r>
        <w:t xml:space="preserve">A. No.</w:t>
      </w:r>
    </w:p>
    <w:p>
      <w:pPr>
        <w:pStyle w:val="BodyText"/>
      </w:pPr>
      <w:r>
        <w:t xml:space="preserve">Q. Have you ever consulted a psychologist about this?</w:t>
      </w:r>
    </w:p>
    <w:p>
      <w:pPr>
        <w:pStyle w:val="BodyText"/>
      </w:pPr>
      <w:r>
        <w:t xml:space="preserve">A. No.</w:t>
      </w:r>
    </w:p>
    <w:p>
      <w:pPr>
        <w:pStyle w:val="BodyText"/>
      </w:pPr>
      <w:r>
        <w:t xml:space="preserve">Q. Have you ever had any medical bills as a result of this?</w:t>
      </w:r>
    </w:p>
    <w:p>
      <w:pPr>
        <w:pStyle w:val="BodyText"/>
      </w:pPr>
      <w:r>
        <w:t xml:space="preserve">A. No.</w:t>
      </w:r>
    </w:p>
    <w:p>
      <w:pPr>
        <w:pStyle w:val="BodyText"/>
      </w:pPr>
      <w:r>
        <w:t xml:space="preserve">Q. Has this affected your marriage?</w:t>
      </w:r>
    </w:p>
    <w:p>
      <w:pPr>
        <w:pStyle w:val="BodyText"/>
      </w:pPr>
      <w:r>
        <w:t xml:space="preserve">MR. CAMPBELL: Well, I will object to the extent that that would cause you to violate the husband/wife privilege. I will instruct you not to answer as to any private communications, verbal or non-verbal, between you and your husband.</w:t>
      </w:r>
    </w:p>
    <w:p>
      <w:pPr>
        <w:pStyle w:val="BodyText"/>
      </w:pPr>
      <w:r>
        <w:t xml:space="preserve">BY MR. BENNETT:</w:t>
      </w:r>
    </w:p>
    <w:p>
      <w:pPr>
        <w:pStyle w:val="BodyText"/>
      </w:pPr>
      <w:r>
        <w:t xml:space="preserve">Q. Are you making any claims in this case that either Danny Ferguson or Governor Clinton are responsible for any damages as it may relate to your marriage?</w:t>
      </w:r>
    </w:p>
    <w:p>
      <w:pPr>
        <w:pStyle w:val="BodyText"/>
      </w:pPr>
      <w:r>
        <w:t xml:space="preserve">A. No</w:t>
      </w:r>
    </w:p>
    <w:p>
      <w:pPr>
        <w:pStyle w:val="BodyText"/>
      </w:pPr>
      <w:r>
        <w:t xml:space="preserve">Q. Do you take medication?</w:t>
      </w:r>
    </w:p>
    <w:p>
      <w:pPr>
        <w:pStyle w:val="BodyText"/>
      </w:pPr>
      <w:r>
        <w:t xml:space="preserve">A. No.</w:t>
      </w:r>
    </w:p>
    <w:p>
      <w:pPr>
        <w:pStyle w:val="BodyText"/>
      </w:pPr>
      <w:r>
        <w:t xml:space="preserve">Q. Have you ever taken any medication because of this?</w:t>
      </w:r>
    </w:p>
    <w:p>
      <w:pPr>
        <w:pStyle w:val="BodyText"/>
      </w:pPr>
      <w:r>
        <w:t xml:space="preserve">A. No.</w:t>
      </w:r>
    </w:p>
    <w:p>
      <w:pPr>
        <w:pStyle w:val="BodyText"/>
      </w:pPr>
      <w:r>
        <w:t xml:space="preserve">Q. Have you ever had any psychiatric treatment –</w:t>
      </w:r>
    </w:p>
    <w:p>
      <w:pPr>
        <w:pStyle w:val="BodyText"/>
      </w:pPr>
      <w:r>
        <w:t xml:space="preserve">A. No.</w:t>
      </w:r>
    </w:p>
    <w:p>
      <w:pPr>
        <w:pStyle w:val="BodyText"/>
      </w:pPr>
      <w:r>
        <w:t xml:space="preserve">Q. – for any reason?</w:t>
      </w:r>
    </w:p>
    <w:p>
      <w:pPr>
        <w:pStyle w:val="BodyText"/>
      </w:pPr>
      <w:r>
        <w:t xml:space="preserve">A. I'm sorry. No.</w:t>
      </w:r>
    </w:p>
    <w:p>
      <w:pPr>
        <w:pStyle w:val="BodyText"/>
      </w:pPr>
      <w:r>
        <w:t xml:space="preserve">Q. Have you ever had any prior incidences in your life which have caused you emotional distress such as molestation or incest or date rape?</w:t>
      </w:r>
    </w:p>
    <w:p>
      <w:pPr>
        <w:pStyle w:val="BodyText"/>
      </w:pPr>
      <w:r>
        <w:t xml:space="preserve">A. No.</w:t>
      </w:r>
    </w:p>
    <w:p>
      <w:pPr>
        <w:pStyle w:val="BodyText"/>
      </w:pPr>
      <w:r>
        <w:t xml:space="preserve">Q. After the alleged incident, you never took any time off work because of it, did you?</w:t>
      </w:r>
    </w:p>
    <w:p>
      <w:pPr>
        <w:pStyle w:val="BodyText"/>
      </w:pPr>
      <w:r>
        <w:t xml:space="preserve">A. No.</w:t>
      </w:r>
    </w:p>
    <w:p>
      <w:pPr>
        <w:pStyle w:val="BodyText"/>
      </w:pPr>
      <w:r>
        <w:t xml:space="preserve">Q. Never had any physical ailments because of it, did you?</w:t>
      </w:r>
    </w:p>
    <w:p>
      <w:pPr>
        <w:pStyle w:val="BodyText"/>
      </w:pPr>
      <w:r>
        <w:t xml:space="preserve">A. Mentally, yes, thinking about it and when I would see the man on TV and then when he got reelected for President and I just couldn't understand how America could vote a man in for president, but they did not know what he did to me and I thought if they only knew what I know he's done and he's the President of the United States.</w:t>
      </w:r>
    </w:p>
    <w:p>
      <w:pPr>
        <w:pStyle w:val="BodyText"/>
      </w:pPr>
      <w:r>
        <w:t xml:space="preserve">Yeah, it caused emotional pain and stress, but I didn't want to go tell anybody about it because I just wanted to let it go away. I wanted to keep it a secret and not let anybody know about it.</w:t>
      </w:r>
    </w:p>
    <w:p>
      <w:pPr>
        <w:pStyle w:val="BodyText"/>
      </w:pPr>
      <w:r>
        <w:t xml:space="preserve">Q. Do you still have this emotional distress?</w:t>
      </w:r>
    </w:p>
    <w:p>
      <w:pPr>
        <w:pStyle w:val="BodyText"/>
      </w:pPr>
      <w:r>
        <w:t xml:space="preserve">A. Absolutely. Every time I see that man on TV.</w:t>
      </w:r>
    </w:p>
    <w:p>
      <w:pPr>
        <w:pStyle w:val="BodyText"/>
      </w:pPr>
      <w:r>
        <w:t xml:space="preserve">Q. Every time you talk about this incident or think about this incident, it causes you stress –</w:t>
      </w:r>
    </w:p>
    <w:p>
      <w:pPr>
        <w:pStyle w:val="BodyText"/>
      </w:pPr>
      <w:r>
        <w:t xml:space="preserve">A. Emotional.</w:t>
      </w:r>
    </w:p>
    <w:p>
      <w:pPr>
        <w:pStyle w:val="BodyText"/>
      </w:pPr>
      <w:r>
        <w:t xml:space="preserve">Q. – is that correct?</w:t>
      </w:r>
    </w:p>
    <w:p>
      <w:pPr>
        <w:pStyle w:val="BodyText"/>
      </w:pPr>
      <w:r>
        <w:t xml:space="preserve">(Pages 124 to 225 are missing)</w:t>
      </w:r>
    </w:p>
    <w:p>
      <w:pPr>
        <w:pStyle w:val="BodyText"/>
      </w:pPr>
      <w:r>
        <w:t xml:space="preserve">...he's an actual police officer and whether he has a gun and that Pam wanted to see the gun; is that right?</w:t>
      </w:r>
    </w:p>
    <w:p>
      <w:pPr>
        <w:pStyle w:val="BodyText"/>
      </w:pPr>
      <w:r>
        <w:t xml:space="preserve">A. That's correct.</w:t>
      </w:r>
    </w:p>
    <w:p>
      <w:pPr>
        <w:pStyle w:val="BodyText"/>
      </w:pPr>
      <w:r>
        <w:t xml:space="preserve">Q. Was it Pam who asked to see his gun or was that you?</w:t>
      </w:r>
    </w:p>
    <w:p>
      <w:pPr>
        <w:pStyle w:val="BodyText"/>
      </w:pPr>
      <w:r>
        <w:t xml:space="preserve">A. I think it was her that asked, but I'm not for sure.</w:t>
      </w:r>
    </w:p>
    <w:p>
      <w:pPr>
        <w:pStyle w:val="BodyText"/>
      </w:pPr>
      <w:r>
        <w:t xml:space="preserve">Q. And he did open his coat in response to that banter and show that he had a gun; is that correct?</w:t>
      </w:r>
    </w:p>
    <w:p>
      <w:pPr>
        <w:pStyle w:val="BodyText"/>
      </w:pPr>
      <w:r>
        <w:t xml:space="preserve">A. Yeah. Well, I don't know if we asked – I don't know if she asked him to show it or he said yeah and he just pulled back his coat and showed it to us.</w:t>
      </w:r>
    </w:p>
    <w:p>
      <w:pPr>
        <w:pStyle w:val="BodyText"/>
      </w:pPr>
      <w:r>
        <w:t xml:space="preserve">Q. Did you in any way take this to be intimidating or threatening or coercive in any fashion?</w:t>
      </w:r>
    </w:p>
    <w:p>
      <w:pPr>
        <w:pStyle w:val="BodyText"/>
      </w:pPr>
      <w:r>
        <w:t xml:space="preserve">A. Not at that point, no.</w:t>
      </w:r>
    </w:p>
    <w:p>
      <w:pPr>
        <w:pStyle w:val="BodyText"/>
      </w:pPr>
      <w:r>
        <w:t xml:space="preserve">Q. So this is just light banter between – all the convention delegates are in the hall listening to the Governor speak and you and Pam are outside and I guess the only other person outside is Danny Ferguson. Is that your recollection?</w:t>
      </w:r>
    </w:p>
    <w:p>
      <w:pPr>
        <w:pStyle w:val="BodyText"/>
      </w:pPr>
      <w:r>
        <w:t xml:space="preserve">A. Yes.</w:t>
      </w:r>
    </w:p>
    <w:p>
      <w:pPr>
        <w:pStyle w:val="BodyText"/>
      </w:pPr>
      <w:r>
        <w:t xml:space="preserve">Q. Okay. So he's being friendly with you and you and Pam are being friendly with him?</w:t>
      </w:r>
    </w:p>
    <w:p>
      <w:pPr>
        <w:pStyle w:val="BodyText"/>
      </w:pPr>
      <w:r>
        <w:t xml:space="preserve">A. Right.</w:t>
      </w:r>
    </w:p>
    <w:p>
      <w:pPr>
        <w:pStyle w:val="BodyText"/>
      </w:pPr>
      <w:r>
        <w:t xml:space="preserve">Q. Okay. Now, how many minutes do you recall this conversation taking place?</w:t>
      </w:r>
    </w:p>
    <w:p>
      <w:pPr>
        <w:pStyle w:val="BodyText"/>
      </w:pPr>
      <w:r>
        <w:t xml:space="preserve">A. Five minutes or something because he wouldn't stay there the whole time.</w:t>
      </w:r>
    </w:p>
    <w:p>
      <w:pPr>
        <w:pStyle w:val="BodyText"/>
      </w:pPr>
      <w:r>
        <w:t xml:space="preserve">Q. In the – in the context of this conversation with a man that you know to be Governor Clinton's bodyguard, did you make any statements about you would like to meet the Governor or had you hoped to see that Governor? Did you say something to that effect? </w:t>
      </w:r>
    </w:p>
    <w:p>
      <w:pPr>
        <w:pStyle w:val="BodyText"/>
      </w:pPr>
      <w:r>
        <w:t xml:space="preserve">A. No.</w:t>
      </w:r>
    </w:p>
    <w:p>
      <w:pPr>
        <w:pStyle w:val="BodyText"/>
      </w:pPr>
      <w:r>
        <w:t xml:space="preserve">Q. Did Mr. Ferguson say anything to you in this five-minute conversation about whether or not you would like to meet the Governor?</w:t>
      </w:r>
    </w:p>
    <w:p>
      <w:pPr>
        <w:pStyle w:val="BodyText"/>
      </w:pPr>
      <w:r>
        <w:t xml:space="preserve">A. Not at that conversation, he didn't.</w:t>
      </w:r>
    </w:p>
    <w:p>
      <w:pPr>
        <w:pStyle w:val="BodyText"/>
      </w:pPr>
      <w:r>
        <w:t xml:space="preserve">Q. Okay. All right. So in that five-minute conversation, nothing has – nothing is said about you meeting him or him – him wanting to meet you, talking about Governor Clinton; is that correct?</w:t>
      </w:r>
    </w:p>
    <w:p>
      <w:pPr>
        <w:pStyle w:val="BodyText"/>
      </w:pPr>
      <w:r>
        <w:t xml:space="preserve">A. Oh, I don't think so, not in that portion of it.</w:t>
      </w:r>
    </w:p>
    <w:p>
      <w:pPr>
        <w:pStyle w:val="BodyText"/>
      </w:pPr>
      <w:r>
        <w:t xml:space="preserve">Q. All right. Then how much time went by from this five-minute conversation until you saw State Trooper Ferguson again?</w:t>
      </w:r>
    </w:p>
    <w:p>
      <w:pPr>
        <w:pStyle w:val="BodyText"/>
      </w:pPr>
      <w:r>
        <w:t xml:space="preserve">A. I don't know. It could have been an hour. It was awhile.</w:t>
      </w:r>
    </w:p>
    <w:p>
      <w:pPr>
        <w:pStyle w:val="BodyText"/>
      </w:pPr>
      <w:r>
        <w:t xml:space="preserve">Q. Could it have been as little as 30 minutes?</w:t>
      </w:r>
    </w:p>
    <w:p>
      <w:pPr>
        <w:pStyle w:val="BodyText"/>
      </w:pPr>
      <w:r>
        <w:t xml:space="preserve">A. Yes. I really don't know. It was awhile though. I mean he didn't just hang around the whole time.</w:t>
      </w:r>
    </w:p>
    <w:p>
      <w:pPr>
        <w:pStyle w:val="BodyText"/>
      </w:pPr>
      <w:r>
        <w:t xml:space="preserve">Q. Okay. It could have been as little as 30 minutes.</w:t>
      </w:r>
    </w:p>
    <w:p>
      <w:pPr>
        <w:pStyle w:val="BodyText"/>
      </w:pPr>
      <w:r>
        <w:t xml:space="preserve">(Pages 228 to 235 are missing)</w:t>
      </w:r>
    </w:p>
    <w:p>
      <w:pPr>
        <w:pStyle w:val="BodyText"/>
      </w:pPr>
      <w:r>
        <w:t xml:space="preserve">Q. Now, you say that he reached and pulled you to him. What part of your body did he place his hands on?</w:t>
      </w:r>
    </w:p>
    <w:p>
      <w:pPr>
        <w:pStyle w:val="BodyText"/>
      </w:pPr>
      <w:r>
        <w:t xml:space="preserve">A. He pulled my hands up to – to pull me up to him.</w:t>
      </w:r>
    </w:p>
    <w:p>
      <w:pPr>
        <w:pStyle w:val="BodyText"/>
      </w:pPr>
      <w:r>
        <w:t xml:space="preserve">Q. All right. Now, did he in any way hurt your hands when he did that?</w:t>
      </w:r>
    </w:p>
    <w:p>
      <w:pPr>
        <w:pStyle w:val="BodyText"/>
      </w:pPr>
      <w:r>
        <w:t xml:space="preserve">MR. CAMPBELL: Objection, asked and answered.</w:t>
      </w:r>
    </w:p>
    <w:p>
      <w:pPr>
        <w:pStyle w:val="BodyText"/>
      </w:pPr>
      <w:r>
        <w:t xml:space="preserve">THE WITNESS: No.</w:t>
      </w:r>
    </w:p>
    <w:p>
      <w:pPr>
        <w:pStyle w:val="BodyText"/>
      </w:pPr>
      <w:r>
        <w:t xml:space="preserve">BY MR. BRISTOW:</w:t>
      </w:r>
    </w:p>
    <w:p>
      <w:pPr>
        <w:pStyle w:val="BodyText"/>
      </w:pPr>
      <w:r>
        <w:t xml:space="preserve">Q. Now, did he try – when he pulled your hands toward him, did he try to kiss you at that time?</w:t>
      </w:r>
    </w:p>
    <w:p>
      <w:pPr>
        <w:pStyle w:val="BodyText"/>
      </w:pPr>
      <w:r>
        <w:t xml:space="preserve">A. He was just trying to hug up to me at that point and I said, "What are you doing?"</w:t>
      </w:r>
    </w:p>
    <w:p>
      <w:pPr>
        <w:pStyle w:val="BodyText"/>
      </w:pPr>
      <w:r>
        <w:t xml:space="preserve">Q. Okay. And what did he say?</w:t>
      </w:r>
    </w:p>
    <w:p>
      <w:pPr>
        <w:pStyle w:val="BodyText"/>
      </w:pPr>
      <w:r>
        <w:t xml:space="preserve">MR. CAMPBELL: Objection, asked and answered.</w:t>
      </w:r>
    </w:p>
    <w:p>
      <w:pPr>
        <w:pStyle w:val="BodyText"/>
      </w:pPr>
      <w:r>
        <w:t xml:space="preserve">THE WITNESS: I don't think he even answered me.</w:t>
      </w:r>
    </w:p>
    <w:p>
      <w:pPr>
        <w:pStyle w:val="BodyText"/>
      </w:pPr>
      <w:r>
        <w:t xml:space="preserve">BY MR. BRISTOW:</w:t>
      </w:r>
    </w:p>
    <w:p>
      <w:pPr>
        <w:pStyle w:val="BodyText"/>
      </w:pPr>
      <w:r>
        <w:t xml:space="preserve">Q. Then what did you do?</w:t>
      </w:r>
    </w:p>
    <w:p>
      <w:pPr>
        <w:pStyle w:val="BodyText"/>
      </w:pPr>
      <w:r>
        <w:t xml:space="preserve">MR. CAMPBELL: Objection, asked and answered.</w:t>
      </w:r>
    </w:p>
    <w:p>
      <w:pPr>
        <w:pStyle w:val="BodyText"/>
      </w:pPr>
      <w:r>
        <w:t xml:space="preserve">THE WITNESS: I proceeded to walk over to where – oh, between the chairs and the couch, you know, closer to the end of the door, over in the middle of the living room and he walked over there towards me and he leaned up against the back of a wingback chair and then he started proceeding to tell me how he liked the way my curves and my hair was down my back and then that's when he pulled me up again. He was trying to run his hand up to the middle of my, you know, my pelvic area and he was trying – he was kissing me on the neck and started to kiss me on the lips and I just – I said, now, "what are you doing? Stop it. I'm not that kind of girl" or whatever. I said –</w:t>
      </w:r>
    </w:p>
    <w:p>
      <w:pPr>
        <w:pStyle w:val="BodyText"/>
      </w:pPr>
      <w:r>
        <w:t xml:space="preserve">BY MR. BRISTOW:</w:t>
      </w:r>
    </w:p>
    <w:p>
      <w:pPr>
        <w:pStyle w:val="BodyText"/>
      </w:pPr>
      <w:r>
        <w:t xml:space="preserve">Q. How many times did you tell him that you were not that kind of girl?</w:t>
      </w:r>
    </w:p>
    <w:p>
      <w:pPr>
        <w:pStyle w:val="BodyText"/>
      </w:pPr>
      <w:r>
        <w:t xml:space="preserve">A. I think I said that twice.</w:t>
      </w:r>
    </w:p>
    <w:p>
      <w:pPr>
        <w:pStyle w:val="BodyText"/>
      </w:pPr>
      <w:r>
        <w:t xml:space="preserve">Q. And what provoked your saying that twice?</w:t>
      </w:r>
    </w:p>
    <w:p>
      <w:pPr>
        <w:pStyle w:val="BodyText"/>
      </w:pPr>
      <w:r>
        <w:t xml:space="preserve">A. Well, I wasn't that kind of girl to do that with a strange man that I just met within five minutes.</w:t>
      </w:r>
    </w:p>
    <w:p>
      <w:pPr>
        <w:pStyle w:val="BodyText"/>
      </w:pPr>
      <w:r>
        <w:t xml:space="preserve">Q. Well, what did you – what did he do that caused you to say you were not that kind of girl? You say that – you say that he put his hands up your culottes?</w:t>
      </w:r>
    </w:p>
    <w:p>
      <w:pPr>
        <w:pStyle w:val="BodyText"/>
      </w:pPr>
      <w:r>
        <w:t xml:space="preserve">A. Uh-huh.</w:t>
      </w:r>
    </w:p>
    <w:p>
      <w:pPr>
        <w:pStyle w:val="BodyText"/>
      </w:pPr>
      <w:r>
        <w:t xml:space="preserve">Q. What did he touch when he –</w:t>
      </w:r>
    </w:p>
    <w:p>
      <w:pPr>
        <w:pStyle w:val="BodyText"/>
      </w:pPr>
      <w:r>
        <w:t xml:space="preserve">A. He was trying to touch my private area.</w:t>
      </w:r>
    </w:p>
    <w:p>
      <w:pPr>
        <w:pStyle w:val="BodyText"/>
      </w:pPr>
      <w:r>
        <w:t xml:space="preserve">Q. Well, did he do that?</w:t>
      </w:r>
    </w:p>
    <w:p>
      <w:pPr>
        <w:pStyle w:val="BodyText"/>
      </w:pPr>
      <w:r>
        <w:t xml:space="preserve">A. Well, he was on his way to trying. If I hadn't have stopped him, he would have.</w:t>
      </w:r>
    </w:p>
    <w:p>
      <w:pPr>
        <w:pStyle w:val="BodyText"/>
      </w:pPr>
      <w:r>
        <w:t xml:space="preserve">Q. And that's when you said that you were not that kind of girl?</w:t>
      </w:r>
    </w:p>
    <w:p>
      <w:pPr>
        <w:pStyle w:val="BodyText"/>
      </w:pPr>
      <w:r>
        <w:t xml:space="preserve">A. Absolutely.</w:t>
      </w:r>
    </w:p>
    <w:p>
      <w:pPr>
        <w:pStyle w:val="BodyText"/>
      </w:pPr>
      <w:r>
        <w:t xml:space="preserve">Q. Now, what else did he do when you said the second time that you were not that kind of girl?</w:t>
      </w:r>
    </w:p>
    <w:p>
      <w:pPr>
        <w:pStyle w:val="BodyText"/>
      </w:pPr>
      <w:r>
        <w:t xml:space="preserve">MR. CAMPBELL: Objection, asked and answered.</w:t>
      </w:r>
    </w:p>
    <w:p>
      <w:pPr>
        <w:pStyle w:val="BodyText"/>
      </w:pPr>
      <w:r>
        <w:t xml:space="preserve">BY MR. BRISTOW:</w:t>
      </w:r>
    </w:p>
    <w:p>
      <w:pPr>
        <w:pStyle w:val="BodyText"/>
      </w:pPr>
      <w:r>
        <w:t xml:space="preserve">Q. Go ahead.</w:t>
      </w:r>
    </w:p>
    <w:p>
      <w:pPr>
        <w:pStyle w:val="BodyText"/>
      </w:pPr>
      <w:r>
        <w:t xml:space="preserve">A. When he exposed himself to me and I got up off the couch, off the end of the couch and I said, "I'm not that kind of girl. I've got to be going."</w:t>
      </w:r>
    </w:p>
    <w:p>
      <w:pPr>
        <w:pStyle w:val="BodyText"/>
      </w:pPr>
      <w:r>
        <w:t xml:space="preserve">Q. Okay. And you said that at that point in time that you were only able to be away a short time, is that right; you might get in trouble at work –</w:t>
      </w:r>
    </w:p>
    <w:p>
      <w:pPr>
        <w:pStyle w:val="BodyText"/>
      </w:pPr>
      <w:r>
        <w:t xml:space="preserve">A. Right.</w:t>
      </w:r>
    </w:p>
    <w:p>
      <w:pPr>
        <w:pStyle w:val="BodyText"/>
      </w:pPr>
      <w:r>
        <w:t xml:space="preserve">Q. – if you didn't go?</w:t>
      </w:r>
    </w:p>
    <w:p>
      <w:pPr>
        <w:pStyle w:val="BodyText"/>
      </w:pPr>
      <w:r>
        <w:t xml:space="preserve">A. Right.</w:t>
      </w:r>
    </w:p>
    <w:p>
      <w:pPr>
        <w:pStyle w:val="BodyText"/>
      </w:pPr>
      <w:r>
        <w:t xml:space="preserve">Q. And at that point in response to that, what did he say?</w:t>
      </w:r>
    </w:p>
    <w:p>
      <w:pPr>
        <w:pStyle w:val="BodyText"/>
      </w:pPr>
      <w:r>
        <w:t xml:space="preserve">MR. CAMPBELL: Objection, asked and answered.</w:t>
      </w:r>
    </w:p>
    <w:p>
      <w:pPr>
        <w:pStyle w:val="BodyText"/>
      </w:pPr>
      <w:r>
        <w:t xml:space="preserve">THE WITNESS: Well, he said – he said, "Dave Herrington is a good friend of mine" or whatever he said. "If you have any trouble, have your boss, Dave Herrington, call me immediately."</w:t>
      </w:r>
    </w:p>
    <w:p>
      <w:pPr>
        <w:pStyle w:val="BodyText"/>
      </w:pPr>
      <w:r>
        <w:t xml:space="preserve">BY MR. BRISTOW:</w:t>
      </w:r>
    </w:p>
    <w:p>
      <w:pPr>
        <w:pStyle w:val="BodyText"/>
      </w:pPr>
      <w:r>
        <w:t xml:space="preserve">Q. Okay. Now, at any point while you were in the room, did he say – did Mr. Clinton say anything about Danny Ferguson?</w:t>
      </w:r>
    </w:p>
    <w:p>
      <w:pPr>
        <w:pStyle w:val="BodyText"/>
      </w:pPr>
      <w:r>
        <w:t xml:space="preserve">A. I don't recall, no.</w:t>
      </w:r>
    </w:p>
    <w:p>
      <w:pPr>
        <w:pStyle w:val="BodyText"/>
      </w:pPr>
      <w:r>
        <w:t xml:space="preserve">Q. Did you say anything about Danny Ferguson while you were in the room?</w:t>
      </w:r>
    </w:p>
    <w:p>
      <w:pPr>
        <w:pStyle w:val="BodyText"/>
      </w:pPr>
      <w:r>
        <w:t xml:space="preserve">A. No.</w:t>
      </w:r>
    </w:p>
    <w:p>
      <w:pPr>
        <w:pStyle w:val="BodyText"/>
      </w:pPr>
      <w:r>
        <w:t xml:space="preserve">Q. Now, you say that when you left the room that you saw Mr. Ferguson and did not have any conversation with him?</w:t>
      </w:r>
    </w:p>
    <w:p>
      <w:pPr>
        <w:pStyle w:val="BodyText"/>
      </w:pPr>
      <w:r>
        <w:t xml:space="preserve">A. That's correct.</w:t>
      </w:r>
    </w:p>
    <w:p>
      <w:pPr>
        <w:pStyle w:val="BodyText"/>
      </w:pPr>
      <w:r>
        <w:t xml:space="preserve">Q. And then you came back downstairs and you finished – finished up your shift?</w:t>
      </w:r>
    </w:p>
    <w:p>
      <w:pPr>
        <w:pStyle w:val="BodyText"/>
      </w:pPr>
      <w:r>
        <w:t xml:space="preserve">A. That's right.</w:t>
      </w:r>
    </w:p>
    <w:p>
      <w:pPr>
        <w:pStyle w:val="BodyText"/>
      </w:pPr>
      <w:r>
        <w:t xml:space="preserve">Q. If the personnel records at AIDC indicate that you worked on Thursday and Friday and all the following week, you would not dispute that, would you?</w:t>
      </w:r>
    </w:p>
    <w:p>
      <w:pPr>
        <w:pStyle w:val="BodyText"/>
      </w:pPr>
      <w:r>
        <w:t xml:space="preserve">A. No.</w:t>
      </w:r>
    </w:p>
    <w:p>
      <w:pPr>
        <w:pStyle w:val="BodyText"/>
      </w:pPr>
      <w:r>
        <w:t xml:space="preserve">MR. CAMPBELL: Objection. No foundation, misstates the evidence in the record, no evidence in the record.</w:t>
      </w:r>
    </w:p>
    <w:p>
      <w:pPr>
        <w:pStyle w:val="BodyText"/>
      </w:pPr>
      <w:r>
        <w:t xml:space="preserve">By MR. BRISTOW:</w:t>
      </w:r>
    </w:p>
    <w:p>
      <w:pPr>
        <w:pStyle w:val="BodyText"/>
      </w:pPr>
      <w:r>
        <w:t xml:space="preserve">Q. And go ahead.</w:t>
      </w:r>
    </w:p>
    <w:p>
      <w:pPr>
        <w:pStyle w:val="BodyText"/>
      </w:pPr>
      <w:r>
        <w:t xml:space="preserve">A. That's correct.</w:t>
      </w:r>
    </w:p>
    <w:p>
      <w:pPr>
        <w:pStyle w:val="BodyText"/>
      </w:pPr>
      <w:r>
        <w:t xml:space="preserve">Q. You would not dispute that if that's what the record showed?</w:t>
      </w:r>
    </w:p>
    <w:p>
      <w:pPr>
        <w:pStyle w:val="BodyText"/>
      </w:pPr>
      <w:r>
        <w:t xml:space="preserve">A. No.</w:t>
      </w:r>
    </w:p>
    <w:p>
      <w:pPr>
        <w:pStyle w:val="BodyText"/>
      </w:pPr>
      <w:r>
        <w:t xml:space="preserve">MR. CAMPBELL: Same objections.</w:t>
      </w:r>
    </w:p>
    <w:p>
      <w:pPr>
        <w:pStyle w:val="BodyText"/>
      </w:pPr>
      <w:r>
        <w:t xml:space="preserve">THE WITNESS: No.</w:t>
      </w:r>
    </w:p>
    <w:p>
      <w:pPr>
        <w:pStyle w:val="BodyText"/>
      </w:pPr>
      <w:r>
        <w:br/>
      </w:r>
      <w:r>
        <w:t xml:space="preserve">BY MR. BRISTOW:</w:t>
      </w:r>
    </w:p>
    <w:p>
      <w:pPr>
        <w:pStyle w:val="BodyText"/>
      </w:pPr>
      <w:r>
        <w:t xml:space="preserve">Q. Now, in addition, when you went back to work, you continued to run the rounds as a courier which took you to the Governor's office; is that correct?</w:t>
      </w:r>
    </w:p>
    <w:p>
      <w:pPr>
        <w:pStyle w:val="BodyText"/>
      </w:pPr>
      <w:r>
        <w:t xml:space="preserve">A. That's correct.</w:t>
      </w:r>
    </w:p>
    <w:p>
      <w:pPr>
        <w:pStyle w:val="BodyText"/>
      </w:pPr>
      <w:r>
        <w:t xml:space="preserve">Q. Okay, And in fact, continued on a daily basis to go to the Governor's office; is that correct?</w:t>
      </w:r>
    </w:p>
    <w:p>
      <w:pPr>
        <w:pStyle w:val="BodyText"/>
      </w:pPr>
      <w:r>
        <w:t xml:space="preserve">A. Yes.</w:t>
      </w:r>
    </w:p>
    <w:p>
      <w:pPr>
        <w:pStyle w:val="BodyText"/>
      </w:pPr>
      <w:r>
        <w:t xml:space="preserve">Q. Now, when is the next time after the incident at the Excelsior that you spoke with Governor Clinton?</w:t>
      </w:r>
    </w:p>
    <w:p>
      <w:pPr>
        <w:pStyle w:val="BodyText"/>
      </w:pPr>
      <w:r>
        <w:t xml:space="preserve">A. After the incident at the hotel?</w:t>
      </w:r>
    </w:p>
    <w:p>
      <w:pPr>
        <w:pStyle w:val="BodyText"/>
      </w:pPr>
      <w:r>
        <w:t xml:space="preserve">Q. Yes.</w:t>
      </w:r>
    </w:p>
    <w:p>
      <w:pPr>
        <w:pStyle w:val="BodyText"/>
      </w:pPr>
      <w:r>
        <w:t xml:space="preserve">A. Let me get which one come first. I think it was – it was when I was walking through the state capitol. I was on my way to the treasurer's office and to deliver or pick up some checks, payroll checks because that was my job too and they were – Trooper Patterson and Clinton were walking up to the front of the state capitol and I was walking – the rotunda is round, so I was walking this direction. They were coming up on the opposite side and he would have came, you know, back this way to go to the Governor's office. Instead, he hollered my name out and diverted and come back around this way and hugged me, put me in a full brace hug. And I don't think I hugged him back and then –</w:t>
      </w:r>
    </w:p>
    <w:p>
      <w:pPr>
        <w:pStyle w:val="BodyText"/>
      </w:pPr>
      <w:r>
        <w:t xml:space="preserve">Q. Now, at that point in time, did you know who Trooper Patterson was?</w:t>
      </w:r>
    </w:p>
    <w:p>
      <w:pPr>
        <w:pStyle w:val="BodyText"/>
      </w:pPr>
      <w:r>
        <w:t xml:space="preserve">A. No.</w:t>
      </w:r>
    </w:p>
    <w:p>
      <w:pPr>
        <w:pStyle w:val="BodyText"/>
      </w:pPr>
      <w:r>
        <w:t xml:space="preserve">Q. So what you remember about this incident is that the Governor was accompanied by a trooper, correct?</w:t>
      </w:r>
    </w:p>
    <w:p>
      <w:pPr>
        <w:pStyle w:val="BodyText"/>
      </w:pPr>
      <w:r>
        <w:t xml:space="preserve">A. I knew his name was Roger.</w:t>
      </w:r>
    </w:p>
    <w:p>
      <w:pPr>
        <w:pStyle w:val="BodyText"/>
      </w:pPr>
      <w:r>
        <w:t xml:space="preserve">Q. Well, the trooper's name was Roger; is that right?</w:t>
      </w:r>
    </w:p>
    <w:p>
      <w:pPr>
        <w:pStyle w:val="BodyText"/>
      </w:pPr>
      <w:r>
        <w:t xml:space="preserve">A. Yes.</w:t>
      </w:r>
    </w:p>
    <w:p>
      <w:pPr>
        <w:pStyle w:val="BodyText"/>
      </w:pPr>
      <w:r>
        <w:t xml:space="preserve">Q. All right.</w:t>
      </w:r>
    </w:p>
    <w:p>
      <w:pPr>
        <w:pStyle w:val="BodyText"/>
      </w:pPr>
      <w:r>
        <w:t xml:space="preserve">A. I mean – I'm sorry – Larry. I get them confused.</w:t>
      </w:r>
    </w:p>
    <w:p>
      <w:pPr>
        <w:pStyle w:val="BodyText"/>
      </w:pPr>
      <w:r>
        <w:t xml:space="preserve">Q. Well –</w:t>
      </w:r>
    </w:p>
    <w:p>
      <w:pPr>
        <w:pStyle w:val="BodyText"/>
      </w:pPr>
      <w:r>
        <w:t xml:space="preserve">A. I'm sorry.</w:t>
      </w:r>
    </w:p>
    <w:p>
      <w:pPr>
        <w:pStyle w:val="BodyText"/>
      </w:pPr>
      <w:r>
        <w:t xml:space="preserve">Q. Okay.</w:t>
      </w:r>
    </w:p>
    <w:p>
      <w:pPr>
        <w:pStyle w:val="BodyText"/>
      </w:pPr>
      <w:r>
        <w:t xml:space="preserve">A. Larry.</w:t>
      </w:r>
    </w:p>
    <w:p>
      <w:pPr>
        <w:pStyle w:val="BodyText"/>
      </w:pPr>
      <w:r>
        <w:t xml:space="preserve">Q. So all you really know is that the Governor had a trooper with him and you did not know the name of the trooper?</w:t>
      </w:r>
    </w:p>
    <w:p>
      <w:pPr>
        <w:pStyle w:val="BodyText"/>
      </w:pPr>
      <w:r>
        <w:t xml:space="preserve">A. Well –</w:t>
      </w:r>
    </w:p>
    <w:p>
      <w:pPr>
        <w:pStyle w:val="BodyText"/>
      </w:pPr>
      <w:r>
        <w:t xml:space="preserve">MR. CAMPBELL: Objection, misstates prior testimony.</w:t>
      </w:r>
    </w:p>
    <w:p>
      <w:pPr>
        <w:pStyle w:val="BodyText"/>
      </w:pPr>
      <w:r>
        <w:t xml:space="preserve">BY MR. BRISTOW:</w:t>
      </w:r>
    </w:p>
    <w:p>
      <w:pPr>
        <w:pStyle w:val="BodyText"/>
      </w:pPr>
      <w:r>
        <w:t xml:space="preserve">Q. And you can go ahead. Isn't that – at the time it occurred, going back to the time the incident in the rotunda occurred, at that point in time, you did not know who the trooper was, did you?</w:t>
      </w:r>
    </w:p>
    <w:p>
      <w:pPr>
        <w:pStyle w:val="BodyText"/>
      </w:pPr>
      <w:r>
        <w:t xml:space="preserve">Mr. CAMPBELL: Objection, Misstates prior testimony.</w:t>
      </w:r>
    </w:p>
    <w:p>
      <w:pPr>
        <w:pStyle w:val="BodyText"/>
      </w:pPr>
      <w:r>
        <w:t xml:space="preserve">BY MR. BRISTOW:</w:t>
      </w:r>
    </w:p>
    <w:p>
      <w:pPr>
        <w:pStyle w:val="BodyText"/>
      </w:pPr>
      <w:r>
        <w:t xml:space="preserve">Q. Go ahead.</w:t>
      </w:r>
    </w:p>
    <w:p>
      <w:pPr>
        <w:pStyle w:val="BodyText"/>
      </w:pPr>
      <w:r>
        <w:t xml:space="preserve">A. I knew who he was because Clinton looked at him and said, "Hey, Larry, don't we make a good looking couple?" So I knew what his first name was. I didn't know what his last name was though.</w:t>
      </w:r>
    </w:p>
    <w:p>
      <w:pPr>
        <w:pStyle w:val="BodyText"/>
      </w:pPr>
      <w:r>
        <w:t xml:space="preserve">Q. And you had never met that trooper before that occurrence?</w:t>
      </w:r>
    </w:p>
    <w:p>
      <w:pPr>
        <w:pStyle w:val="BodyText"/>
      </w:pPr>
      <w:r>
        <w:t xml:space="preserve">A. That's right.</w:t>
      </w:r>
    </w:p>
    <w:p>
      <w:pPr>
        <w:pStyle w:val="BodyText"/>
      </w:pPr>
      <w:r>
        <w:t xml:space="preserve">Q. All right. Now, what else did Governor Clinton say other than "hey, Larry, don't we make a good couple?"</w:t>
      </w:r>
    </w:p>
    <w:p>
      <w:pPr>
        <w:pStyle w:val="BodyText"/>
      </w:pPr>
      <w:r>
        <w:t xml:space="preserve">A. He said, "Hey, Larry, don't we make a good looking couple?" And he was hugging me side to side then and then he said, "We look like beauty and the beast." And I didn't know what to say. I looked up at him and I said, "You just don't – you don't look like the beast." That was the only comment I made – I made and I think Larry, he smiled or something.</w:t>
      </w:r>
    </w:p>
    <w:p>
      <w:pPr>
        <w:pStyle w:val="BodyText"/>
      </w:pPr>
      <w:r>
        <w:t xml:space="preserve">Q. Okay. And you said you don't know – you remember him hugging you, but you don't know whether that you may have hugged him back?</w:t>
      </w:r>
    </w:p>
    <w:p>
      <w:pPr>
        <w:pStyle w:val="BodyText"/>
      </w:pPr>
      <w:r>
        <w:t xml:space="preserve">A. I don't think I did.</w:t>
      </w:r>
    </w:p>
    <w:p>
      <w:pPr>
        <w:pStyle w:val="BodyText"/>
      </w:pPr>
      <w:r>
        <w:t xml:space="preserve">Q. But you don't know one way or the other?</w:t>
      </w:r>
    </w:p>
    <w:p>
      <w:pPr>
        <w:pStyle w:val="BodyText"/>
      </w:pPr>
      <w:r>
        <w:t xml:space="preserve">A. No, I don't believe I did.</w:t>
      </w:r>
    </w:p>
    <w:p>
      <w:pPr>
        <w:pStyle w:val="BodyText"/>
      </w:pPr>
      <w:r>
        <w:t xml:space="preserve">Q. Okay, And everybody is smiling about this. Larry is smiling, the Governor is smiling and you were smiling; is that correct?</w:t>
      </w:r>
    </w:p>
    <w:p>
      <w:pPr>
        <w:pStyle w:val="BodyText"/>
      </w:pPr>
      <w:r>
        <w:t xml:space="preserve">A. I don't know if everybody was smiling or not.</w:t>
      </w:r>
    </w:p>
    <w:p>
      <w:pPr>
        <w:pStyle w:val="BodyText"/>
      </w:pPr>
      <w:r>
        <w:t xml:space="preserve">Q. Well, when you made the statement "you don't look like the beast," you were smiling about that. It was all in a light vein; isn't that right?</w:t>
      </w:r>
    </w:p>
    <w:p>
      <w:pPr>
        <w:pStyle w:val="BodyText"/>
      </w:pPr>
      <w:r>
        <w:t xml:space="preserve">A. Yeah, probably, but I wasn't, you know, smiling real big or laughing or anything.</w:t>
      </w:r>
    </w:p>
    <w:p>
      <w:pPr>
        <w:pStyle w:val="BodyText"/>
      </w:pPr>
      <w:r>
        <w:t xml:space="preserve">Q. Okay. And then the Governor and Patterson walked off and you went on about your rounds; is that correct?</w:t>
      </w:r>
    </w:p>
    <w:p>
      <w:pPr>
        <w:pStyle w:val="BodyText"/>
      </w:pPr>
      <w:r>
        <w:t xml:space="preserve">A. Oh, well, Clinton made a point to tell me how he thought I looked that day.</w:t>
      </w:r>
    </w:p>
    <w:p>
      <w:pPr>
        <w:pStyle w:val="BodyText"/>
      </w:pPr>
      <w:r>
        <w:t xml:space="preserve">Q. What did he say?</w:t>
      </w:r>
    </w:p>
    <w:p>
      <w:pPr>
        <w:pStyle w:val="BodyText"/>
      </w:pPr>
      <w:r>
        <w:t xml:space="preserve">A. He said I looked really nice and he liked what I had on.</w:t>
      </w:r>
    </w:p>
    <w:p>
      <w:pPr>
        <w:pStyle w:val="BodyText"/>
      </w:pPr>
      <w:r>
        <w:t xml:space="preserve">Q. Okay. Anything else was said that day?</w:t>
      </w:r>
    </w:p>
    <w:p>
      <w:pPr>
        <w:pStyle w:val="BodyText"/>
      </w:pPr>
      <w:r>
        <w:t xml:space="preserve">A. And I think that was it.</w:t>
      </w:r>
    </w:p>
    <w:p>
      <w:pPr>
        <w:pStyle w:val="BodyText"/>
      </w:pPr>
      <w:r>
        <w:t xml:space="preserve">Q. Okay. All right. And what did you say when he told you that he thought you looked very nice and he liked what you had on? Did you say thank you?</w:t>
      </w:r>
    </w:p>
    <w:p>
      <w:pPr>
        <w:pStyle w:val="BodyText"/>
      </w:pPr>
      <w:r>
        <w:t xml:space="preserve">A. I don't know if I did or not. I could have said thank you, but I don't recall saying anything to him back.</w:t>
      </w:r>
    </w:p>
    <w:p>
      <w:pPr>
        <w:pStyle w:val="BodyText"/>
      </w:pPr>
      <w:r>
        <w:t xml:space="preserve">Q. But you may have thanked him and been polite?</w:t>
      </w:r>
    </w:p>
    <w:p>
      <w:pPr>
        <w:pStyle w:val="BodyText"/>
      </w:pPr>
      <w:r>
        <w:t xml:space="preserve">A. I may have.</w:t>
      </w:r>
    </w:p>
    <w:p>
      <w:pPr>
        <w:pStyle w:val="BodyText"/>
      </w:pPr>
      <w:r>
        <w:t xml:space="preserve">Q. Okay. Now, what is the next incident when you personally saw the Governor?</w:t>
      </w:r>
    </w:p>
    <w:p>
      <w:pPr>
        <w:pStyle w:val="BodyText"/>
      </w:pPr>
      <w:r>
        <w:t xml:space="preserve">A. Now, I don't know what time – point in time this was, but one instance, I was in the Governor's office like I did every day. I would go there twice a day and sometimes I would have to wait. That was my job to wait, have documents signed by whoever was in the Governor's office and I was sitting in there one day right in a chair like this right at the door and there was windows right here, right at the door and I was probably chatting with Carole Phillips. We talked a lot and there was some bright lights coming and we looked behind and that was – he was coming up there, Clinton was, and when he – as soon as he walked in the door – and this is probably on film somewhere. As soon as he walked in that door, he patted me on the thing. He said, "How are you doing, Paula?" He remembered my name again and that's on film somewhere.</w:t>
      </w:r>
    </w:p>
    <w:p>
      <w:pPr>
        <w:pStyle w:val="BodyText"/>
      </w:pPr>
      <w:r>
        <w:t xml:space="preserve">Q. Okay. Now, what did you say?</w:t>
      </w:r>
    </w:p>
    <w:p>
      <w:pPr>
        <w:pStyle w:val="BodyText"/>
      </w:pPr>
      <w:r>
        <w:t xml:space="preserve">A. I don't think I said anything or I may have said hi, but that's it.</w:t>
      </w:r>
    </w:p>
    <w:p>
      <w:pPr>
        <w:pStyle w:val="BodyText"/>
      </w:pPr>
      <w:r>
        <w:t xml:space="preserve">Q. All right.</w:t>
      </w:r>
    </w:p>
    <w:p>
      <w:pPr>
        <w:pStyle w:val="BodyText"/>
      </w:pPr>
      <w:r>
        <w:t xml:space="preserve">A. He acknowledged me and everything.</w:t>
      </w:r>
    </w:p>
    <w:p>
      <w:pPr>
        <w:pStyle w:val="BodyText"/>
      </w:pPr>
      <w:r>
        <w:t xml:space="preserve">Q. And anything else that was said?</w:t>
      </w:r>
    </w:p>
    <w:p>
      <w:pPr>
        <w:pStyle w:val="BodyText"/>
      </w:pPr>
      <w:r>
        <w:t xml:space="preserve">A. No.</w:t>
      </w:r>
    </w:p>
    <w:p>
      <w:pPr>
        <w:pStyle w:val="BodyText"/>
      </w:pPr>
      <w:r>
        <w:t xml:space="preserve">Q. Okay. And did he do anything unfriendly or intimidating when he acknowledged you? I mean you say he was being filmed.</w:t>
      </w:r>
    </w:p>
    <w:p>
      <w:pPr>
        <w:pStyle w:val="BodyText"/>
      </w:pPr>
      <w:r>
        <w:t xml:space="preserve">A. Not in the front of the cameras, I doubt if he would do that.</w:t>
      </w:r>
    </w:p>
    <w:p>
      <w:pPr>
        <w:pStyle w:val="BodyText"/>
      </w:pPr>
      <w:r>
        <w:t xml:space="preserve">Q. So when he patted you on the shoulder and said "How are you doing, Paula –"</w:t>
      </w:r>
    </w:p>
    <w:p>
      <w:pPr>
        <w:pStyle w:val="BodyText"/>
      </w:pPr>
      <w:r>
        <w:t xml:space="preserve">A. Uh-huh.</w:t>
      </w:r>
    </w:p>
    <w:p>
      <w:pPr>
        <w:pStyle w:val="BodyText"/>
      </w:pPr>
      <w:r>
        <w:t xml:space="preserve">Q. – he did that in a friendly fashion, correct?</w:t>
      </w:r>
    </w:p>
    <w:p>
      <w:pPr>
        <w:pStyle w:val="BodyText"/>
      </w:pPr>
      <w:r>
        <w:t xml:space="preserve">A. Yeah.</w:t>
      </w:r>
    </w:p>
    <w:p>
      <w:pPr>
        <w:pStyle w:val="BodyText"/>
      </w:pPr>
      <w:r>
        <w:t xml:space="preserve">Q. And you responded in a friendly fashion. Correct?</w:t>
      </w:r>
    </w:p>
    <w:p>
      <w:pPr>
        <w:pStyle w:val="BodyText"/>
      </w:pPr>
      <w:r>
        <w:t xml:space="preserve">A. I guess.</w:t>
      </w:r>
    </w:p>
    <w:p>
      <w:pPr>
        <w:pStyle w:val="BodyText"/>
      </w:pPr>
      <w:r>
        <w:t xml:space="preserve">Mr. Campbell: Objection, misstates prior testimony.</w:t>
      </w:r>
    </w:p>
    <w:p>
      <w:pPr>
        <w:pStyle w:val="BodyText"/>
      </w:pPr>
      <w:r>
        <w:t xml:space="preserve">BY MR. BRISTOW:</w:t>
      </w:r>
    </w:p>
    <w:p>
      <w:pPr>
        <w:pStyle w:val="BodyText"/>
      </w:pPr>
      <w:r>
        <w:t xml:space="preserve">Q. Go ahead.</w:t>
      </w:r>
    </w:p>
    <w:p>
      <w:pPr>
        <w:pStyle w:val="BodyText"/>
      </w:pPr>
      <w:r>
        <w:t xml:space="preserve">A. I don't know how I responded. I don't know if I said anything. I may have just looked at him.</w:t>
      </w:r>
    </w:p>
    <w:p>
      <w:pPr>
        <w:pStyle w:val="BodyText"/>
      </w:pPr>
      <w:r>
        <w:t xml:space="preserve">Q. Okay. You don't recall how you may have responded?</w:t>
      </w:r>
    </w:p>
    <w:p>
      <w:pPr>
        <w:pStyle w:val="BodyText"/>
      </w:pPr>
      <w:r>
        <w:t xml:space="preserve">A. Huh-uh, no, I don't.</w:t>
      </w:r>
    </w:p>
    <w:p>
      <w:pPr>
        <w:pStyle w:val="BodyText"/>
      </w:pPr>
      <w:r>
        <w:t xml:space="preserve">Q. By the way, what was the outfit you were wearing when he said you looked nice when you were in the presence of Roger Patterson – Larry Patterson, do you remember?</w:t>
      </w:r>
    </w:p>
    <w:p>
      <w:pPr>
        <w:pStyle w:val="BodyText"/>
      </w:pPr>
      <w:r>
        <w:t xml:space="preserve">A. Yeah. I think it was an Easter outfit I had. It was a white, like a long cullote thing. Those were in style then and it was made out of like a silk type material. It was a dressy outfit. It was long, about down to my knees.</w:t>
      </w:r>
    </w:p>
    <w:p>
      <w:pPr>
        <w:pStyle w:val="BodyText"/>
      </w:pPr>
      <w:r>
        <w:t xml:space="preserve">Q. Okay.</w:t>
      </w:r>
    </w:p>
    <w:p>
      <w:pPr>
        <w:pStyle w:val="BodyText"/>
      </w:pPr>
      <w:r>
        <w:t xml:space="preserve">A. Had a big wide belt around it.</w:t>
      </w:r>
    </w:p>
    <w:p>
      <w:pPr>
        <w:pStyle w:val="BodyText"/>
      </w:pPr>
      <w:r>
        <w:t xml:space="preserve">Q. When you wore that outfit, was it unusual for you to receive compliments that you looked good in that outfit?</w:t>
      </w:r>
    </w:p>
    <w:p>
      <w:pPr>
        <w:pStyle w:val="BodyText"/>
      </w:pPr>
      <w:r>
        <w:t xml:space="preserve">A. I don't remember anybody really said anything.</w:t>
      </w:r>
    </w:p>
    <w:p>
      <w:pPr>
        <w:pStyle w:val="BodyText"/>
      </w:pPr>
      <w:r>
        <w:t xml:space="preserve">Q. You don't remember one way or the other?</w:t>
      </w:r>
    </w:p>
    <w:p>
      <w:pPr>
        <w:pStyle w:val="BodyText"/>
      </w:pPr>
      <w:r>
        <w:t xml:space="preserve">A. Huh-uh.</w:t>
      </w:r>
    </w:p>
    <w:p>
      <w:pPr>
        <w:pStyle w:val="BodyText"/>
      </w:pPr>
      <w:r>
        <w:t xml:space="preserve">Q. Okay. All right. Tell me about any other incidences in which you met Governor Clinton.</w:t>
      </w:r>
    </w:p>
    <w:p>
      <w:pPr>
        <w:pStyle w:val="BodyText"/>
      </w:pPr>
      <w:r>
        <w:t xml:space="preserve">A. That was it.</w:t>
      </w:r>
    </w:p>
    <w:p>
      <w:pPr>
        <w:pStyle w:val="BodyText"/>
      </w:pPr>
      <w:r>
        <w:t xml:space="preserve">Q. All right. Now, let's go back from the day at the Excelsior Hotel. Tell me about the next time that you saw Danny Ferguson.</w:t>
      </w:r>
    </w:p>
    <w:p>
      <w:pPr>
        <w:pStyle w:val="BodyText"/>
      </w:pPr>
      <w:r>
        <w:t xml:space="preserve">A. After I left the hotel room, he was sitting out there and he looked up with a smirk on his face. I went down to the elevator. I did not see him any more that day at all whatsoever. I left and the next time I saw him was – it seemed like it was quite awhile, a few months or something.</w:t>
      </w:r>
    </w:p>
    <w:p>
      <w:pPr>
        <w:pStyle w:val="BodyText"/>
      </w:pPr>
      <w:r>
        <w:t xml:space="preserve">I was over at the Governor's office and he was not sitting in the Governor's office and usually he doesn't sit out there. I think they sit in the back. And I was sitting there and I left – when I went to leave, I heard somebody holler my name and he rushed out and it was Ferguson and he said, "The Governor wanted me to ask you if he could get your phone number because Hillary is out of town a lot and he would maybe like to meet with you." And I told him no, that I was living with my boyfriend and I did not mention his name and he responded by saying, "well, how is Steve doing" and I did not tell him who he was.</w:t>
      </w:r>
    </w:p>
    <w:p>
      <w:pPr>
        <w:pStyle w:val="BodyText"/>
      </w:pPr>
      <w:r>
        <w:t xml:space="preserve">Q. Okay. Anything else that was said in that conversation?</w:t>
      </w:r>
    </w:p>
    <w:p>
      <w:pPr>
        <w:pStyle w:val="BodyText"/>
      </w:pPr>
      <w:r>
        <w:t xml:space="preserve">A. No. I think that was it.</w:t>
      </w:r>
    </w:p>
    <w:p>
      <w:pPr>
        <w:pStyle w:val="BodyText"/>
      </w:pPr>
      <w:r>
        <w:t xml:space="preserve">Q. Okay. When is the next time that you saw Danny Ferguson?</w:t>
      </w:r>
    </w:p>
    <w:p>
      <w:pPr>
        <w:pStyle w:val="BodyText"/>
      </w:pPr>
      <w:r>
        <w:t xml:space="preserve">(Pages 248 to 260 are missing)</w:t>
      </w:r>
    </w:p>
    <w:p>
      <w:pPr>
        <w:pStyle w:val="BodyText"/>
      </w:pPr>
      <w:r>
        <w:t xml:space="preserve">... and Clinton makes him do it and –</w:t>
      </w:r>
    </w:p>
    <w:p>
      <w:pPr>
        <w:pStyle w:val="BodyText"/>
      </w:pPr>
      <w:r>
        <w:t xml:space="preserve">Q. But you said the case –</w:t>
      </w:r>
    </w:p>
    <w:p>
      <w:pPr>
        <w:pStyle w:val="BodyText"/>
      </w:pPr>
      <w:r>
        <w:t xml:space="preserve">MR. CAMPBELL: Counsel, it's after 5:00 now</w:t>
      </w:r>
    </w:p>
    <w:p>
      <w:pPr>
        <w:pStyle w:val="BodyText"/>
      </w:pPr>
      <w:r>
        <w:t xml:space="preserve">MR. BRISTOW: Just about two or three minutes will be a good breaking point.</w:t>
      </w:r>
    </w:p>
    <w:p>
      <w:pPr>
        <w:pStyle w:val="BodyText"/>
      </w:pPr>
      <w:r>
        <w:t xml:space="preserve">BY MR. BRISTOW:</w:t>
      </w:r>
    </w:p>
    <w:p>
      <w:pPr>
        <w:pStyle w:val="BodyText"/>
      </w:pPr>
      <w:r>
        <w:t xml:space="preserve">Q. You said that the reason that you sued Mr. Ferguson was because he had lied about you, but – and that that had hurt your reputation; is that right?</w:t>
      </w:r>
    </w:p>
    <w:p>
      <w:pPr>
        <w:pStyle w:val="BodyText"/>
      </w:pPr>
      <w:r>
        <w:t xml:space="preserve">A. Right.</w:t>
      </w:r>
    </w:p>
    <w:p>
      <w:pPr>
        <w:pStyle w:val="BodyText"/>
      </w:pPr>
      <w:r>
        <w:t xml:space="preserve">Q. Were you not aware that there has been a motion filed in this case to take your reputation out of it, to take away anything about your defamation or reputation? Are you aware of that?</w:t>
      </w:r>
    </w:p>
    <w:p>
      <w:pPr>
        <w:pStyle w:val="BodyText"/>
      </w:pPr>
      <w:r>
        <w:t xml:space="preserve">MR. CAMPBELL: Objection, misstates the motion at issue, misstates the evidence in the record and no foundation.</w:t>
      </w:r>
    </w:p>
    <w:p>
      <w:pPr>
        <w:pStyle w:val="BodyText"/>
      </w:pPr>
      <w:r>
        <w:t xml:space="preserve">BY MR. BRISTOW:</w:t>
      </w:r>
    </w:p>
    <w:p>
      <w:pPr>
        <w:pStyle w:val="BodyText"/>
      </w:pPr>
      <w:r>
        <w:t xml:space="preserve">Q. Isn't it true that a motion has been filed to take away the reputation issue and to drop the defamation claim against Mr. Ferguson?</w:t>
      </w:r>
    </w:p>
    <w:p>
      <w:pPr>
        <w:pStyle w:val="BodyText"/>
      </w:pPr>
      <w:r>
        <w:t xml:space="preserve">MR. CAMPBELL: Same objections.</w:t>
      </w:r>
    </w:p>
    <w:p>
      <w:pPr>
        <w:pStyle w:val="BodyText"/>
      </w:pPr>
      <w:r>
        <w:t xml:space="preserve">THE WITNESS: Yes.</w:t>
      </w:r>
    </w:p>
    <w:p>
      <w:pPr>
        <w:pStyle w:val="BodyText"/>
      </w:pPr>
      <w:r>
        <w:t xml:space="preserve">BY MR. BRISTOW: Was that filed with your permission and your consent?</w:t>
      </w:r>
    </w:p>
    <w:p>
      <w:pPr>
        <w:pStyle w:val="BodyText"/>
      </w:pPr>
      <w:r>
        <w:t xml:space="preserve">A. It was filed, but I didn't really care if it was dropped or not personally.</w:t>
      </w:r>
    </w:p>
    <w:p>
      <w:pPr>
        <w:pStyle w:val="BodyText"/>
      </w:pPr>
      <w:r>
        <w:t xml:space="preserve">Q. Well, if you don't care about whether you are suing Mr. Ferguson for defamation or not, why are you suing Mr. Ferguson? Why do I have to be here? Why does Mr. Ferguson have to be in this lawsuit? What is it you're wanting from Mr. Ferguson?</w:t>
      </w:r>
    </w:p>
    <w:p>
      <w:pPr>
        <w:pStyle w:val="BodyText"/>
      </w:pPr>
      <w:r>
        <w:t xml:space="preserve">MR. CAMPBELL: Objection, multifarious. That's about four questions. Also, objection, asked and answered. She already told you, counsel, she was suing him for his conspiracy.</w:t>
      </w:r>
    </w:p>
    <w:p>
      <w:pPr>
        <w:pStyle w:val="BodyText"/>
      </w:pPr>
      <w:r>
        <w:t xml:space="preserve">BY MR. BRISTOW:</w:t>
      </w:r>
    </w:p>
    <w:p>
      <w:pPr>
        <w:pStyle w:val="BodyText"/>
      </w:pPr>
      <w:r>
        <w:t xml:space="preserve">Q. If you are willing to drop the defamation count as your lawyers have represented to the federal judge, why are you suing my client, Danny Ferguson, at this point in time?</w:t>
      </w:r>
    </w:p>
    <w:p>
      <w:pPr>
        <w:pStyle w:val="BodyText"/>
      </w:pPr>
      <w:r>
        <w:t xml:space="preserve">MR. CAMPBELL: Same objections, asked and answered.</w:t>
      </w:r>
    </w:p>
    <w:p>
      <w:pPr>
        <w:pStyle w:val="BodyText"/>
      </w:pPr>
      <w:r>
        <w:t xml:space="preserve">BY MR. BRISTOW:</w:t>
      </w:r>
    </w:p>
    <w:p>
      <w:pPr>
        <w:pStyle w:val="BodyText"/>
      </w:pPr>
      <w:r>
        <w:t xml:space="preserve">Q. Go ahead.</w:t>
      </w:r>
    </w:p>
    <w:p>
      <w:pPr>
        <w:pStyle w:val="BodyText"/>
      </w:pPr>
      <w:r>
        <w:t xml:space="preserve">A. Because he did escort me up there knowing full well why. He said he did it all the time. So he knew exactly what was going to take place. Him and Bill Clinton apparently conspired together to get me up there and tell</w:t>
      </w:r>
    </w:p>
    <w:p>
      <w:pPr>
        <w:pStyle w:val="BodyText"/>
      </w:pPr>
      <w:r>
        <w:t xml:space="preserve">(Pages 263 to 299 are missing)</w:t>
      </w:r>
    </w:p>
    <w:p>
      <w:pPr>
        <w:pStyle w:val="BodyText"/>
      </w:pPr>
      <w:r>
        <w:t xml:space="preserve">A. I think so. I don't recall.</w:t>
      </w:r>
    </w:p>
    <w:p>
      <w:pPr>
        <w:pStyle w:val="BodyText"/>
      </w:pPr>
      <w:r>
        <w:t xml:space="preserve">Q. Now I want to ask you about some facts and I want to – I want you to tell me every fact that you have that you think supports these allegations. And generally it is my understanding that you believe that Governor Clinton and Danny Ferguson or Danny Ferguson that you were, I think – I think that you believe that you were stalked, that you were under surveillance, that you were investigated, that you were harassed. Am I correct that you are making those allegations against Mr. Clinton and Mr. Ferguson?</w:t>
      </w:r>
    </w:p>
    <w:p>
      <w:pPr>
        <w:pStyle w:val="BodyText"/>
      </w:pPr>
      <w:r>
        <w:t xml:space="preserve">A. That's the way I felt personally.</w:t>
      </w:r>
    </w:p>
    <w:p>
      <w:pPr>
        <w:pStyle w:val="BodyText"/>
      </w:pPr>
      <w:r>
        <w:t xml:space="preserve">Q. Okay. Now what I want you to do is tell me the facts that you are aware of to indicate that you were under some sort of surveillance.</w:t>
      </w:r>
    </w:p>
    <w:p>
      <w:pPr>
        <w:pStyle w:val="BodyText"/>
      </w:pPr>
      <w:r>
        <w:t xml:space="preserve">A. Okay. Well, first of all, Ferguson said – he asked me how Steve was doing. I never told him Steve's name. That was the incident in the state Capitol. And apparently he knew who he was. And I didn't tell him. And we weren't married at that point. So I don't know how he found out who my boyfriend was. So apparently somebody had looked into something to –</w:t>
      </w:r>
    </w:p>
    <w:p>
      <w:pPr>
        <w:pStyle w:val="BodyText"/>
      </w:pPr>
      <w:r>
        <w:t xml:space="preserve">Q. All right. Now that is an assumption you are making; is that correct?</w:t>
      </w:r>
    </w:p>
    <w:p>
      <w:pPr>
        <w:pStyle w:val="BodyText"/>
      </w:pPr>
      <w:r>
        <w:t xml:space="preserve">A. Yes. But you're asking me what assumptions do I have that would make me think that. Now that is an assumption that I have that would make me believe that somebody knew something because nobody knew who Steve's name was and surely he wouldn't –</w:t>
      </w:r>
    </w:p>
    <w:p>
      <w:pPr>
        <w:pStyle w:val="BodyText"/>
      </w:pPr>
      <w:r>
        <w:t xml:space="preserve">Q. Okay. Well now, a fact is something you have seen or something you have heard. And so you have told me a fact, and it's your testimony that Mr. Ferguson asked you how was Steve doing. And I accept that as a fact that you have. Now what other facts do you have that you either saw or heard or someone reported to you to indicate that you were under some form of surveillance?</w:t>
      </w:r>
    </w:p>
    <w:p>
      <w:pPr>
        <w:pStyle w:val="BodyText"/>
      </w:pPr>
      <w:r>
        <w:t xml:space="preserve">A. I don't have any substantial facts, because I really don't. But that's just the way I felt.</w:t>
      </w:r>
    </w:p>
    <w:p>
      <w:pPr>
        <w:pStyle w:val="BodyText"/>
      </w:pPr>
      <w:r>
        <w:t xml:space="preserve">. . .</w:t>
      </w:r>
    </w:p>
    <w:p>
      <w:pPr>
        <w:pStyle w:val="NodeEnd"/>
      </w:pPr>
      <w:r>
        <w:t xml:space="preserve"> </w:t>
      </w:r>
    </w:p>
    <w:p>
      <w:pPr>
        <w:pStyle w:val="NodeStart"/>
      </w:pPr>
      <w:r>
        <w:t xml:space="preserve"> </w:t>
      </w:r>
    </w:p>
    <w:p>
      <w:pPr>
        <w:pStyle w:val="HeadSeparator"/>
      </w:pPr>
      <w:r>
        <w:t xml:space="preserve"> </w:t>
      </w:r>
    </w:p>
    <w:bookmarkStart w:id="180" w:name="_auto_toc_180"/>
    <w:bookmarkEnd w:id="180"/>
    <w:p>
      <w:pPr>
        <w:pStyle w:val="ResourceNumber"/>
      </w:pPr>
      <w:r>
        <w:t xml:space="preserve">15.10</w:t>
      </w:r>
    </w:p>
    <w:p>
      <w:pPr>
        <w:pStyle w:val="ResourceTitle"/>
      </w:pPr>
      <w:r>
        <w:t xml:space="preserve">Hunter Readings (part 2)</w:t>
      </w:r>
    </w:p>
    <w:p>
      <w:pPr>
        <w:pStyle w:val="HeadFieldSeparator"/>
      </w:pPr>
      <w:r>
        <w:t xml:space="preserve"> </w:t>
      </w:r>
    </w:p>
    <w:p>
      <w:pPr>
        <w:pStyle w:val="ResourceHeadnote"/>
      </w:pPr>
      <w:r>
        <w:t xml:space="preserve">Read the following pages from</w:t>
      </w:r>
      <w:r>
        <w:t xml:space="preserve"> </w:t>
      </w:r>
      <w:r>
        <w:t xml:space="preserve">The Power of Procedure</w:t>
      </w:r>
      <w:r>
        <w:t xml:space="preserve"> </w:t>
      </w:r>
      <w:r>
        <w:t xml:space="preserve">by Nan D. Hunter. Though there were readings from the book assigned earlier in the day, read these pages only after the assigned cases and readings on summary judgment.</w:t>
      </w:r>
    </w:p>
    <w:p>
      <w:pPr>
        <w:pStyle w:val="HeadEnd"/>
      </w:pPr>
      <w:r>
        <w:t xml:space="preserve"> </w:t>
      </w:r>
    </w:p>
    <w:p>
      <w:pPr>
        <w:pStyle w:val="BodyText"/>
      </w:pPr>
      <w:r>
        <w:t xml:space="preserve">Read pages 147-167. This opinion contains the summary judgment grant in</w:t>
      </w:r>
      <w:r>
        <w:t xml:space="preserve"> </w:t>
      </w:r>
      <w:r>
        <w:rPr>
          <w:iCs/>
          <w:i/>
        </w:rPr>
        <w:t xml:space="preserve">Jones v. Clinton</w:t>
      </w:r>
      <w:r>
        <w:t xml:space="preserve">.  This is the opinion that will be the subject of an appeal in our simulated oral argument.</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181" w:name="_auto_toc_181"/>
    <w:bookmarkEnd w:id="181"/>
    <w:p>
      <w:pPr>
        <w:pStyle w:val="ChapterNumber"/>
      </w:pPr>
      <w:r>
        <w:t xml:space="preserve">16</w:t>
      </w:r>
    </w:p>
    <w:p>
      <w:pPr>
        <w:pStyle w:val="ChapterTitle"/>
      </w:pPr>
      <w:r>
        <w:t xml:space="preserve">Day 16</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182" w:name="_auto_toc_182"/>
    <w:bookmarkEnd w:id="182"/>
    <w:p>
      <w:pPr>
        <w:pStyle w:val="ResourceNumber"/>
      </w:pPr>
      <w:r>
        <w:t xml:space="preserve">16.1</w:t>
      </w:r>
    </w:p>
    <w:p>
      <w:pPr>
        <w:pStyle w:val="ResourceTitle"/>
      </w:pPr>
      <w:r>
        <w:t xml:space="preserve">Rules and Constitutional Provisions</w:t>
      </w:r>
    </w:p>
    <w:p>
      <w:pPr>
        <w:pStyle w:val="HeadFieldSeparator"/>
      </w:pPr>
      <w:r>
        <w:t xml:space="preserve"> </w:t>
      </w:r>
    </w:p>
    <w:p>
      <w:pPr>
        <w:pStyle w:val="ResourceHeadnote"/>
      </w:pPr>
      <w:r>
        <w:t xml:space="preserve">This class period begins several days on the allocation of power between a judge and a jury and on how a trial proceeds. The first doctrine is law versus equity. This distinction determines whether a jury or a judge decides disputed issues of fact. This doctrine, the distinction between law and equity, stems from the historical development of the judicial system in what is now the United Kingdom.</w:t>
      </w:r>
    </w:p>
    <w:p>
      <w:pPr>
        <w:pStyle w:val="ResourceHeadnote"/>
      </w:pPr>
      <w:r>
        <w:t xml:space="preserve">Read the following Federal Rules of Civil Procedure and constitutional provisions. You can access them via the internet or the supplemental handout provided on Canvas.</w:t>
      </w:r>
    </w:p>
    <w:p>
      <w:pPr>
        <w:pStyle w:val="HeadEnd"/>
      </w:pPr>
      <w:r>
        <w:t xml:space="preserve"> </w:t>
      </w:r>
    </w:p>
    <w:p>
      <w:pPr>
        <w:numPr>
          <w:ilvl w:val="0"/>
          <w:numId w:val="1159"/>
        </w:numPr>
      </w:pPr>
      <w:r>
        <w:t xml:space="preserve">U.S. Const. amend. VII</w:t>
      </w:r>
    </w:p>
    <w:p>
      <w:pPr>
        <w:numPr>
          <w:ilvl w:val="0"/>
          <w:numId w:val="1159"/>
        </w:numPr>
      </w:pPr>
      <w:r>
        <w:t xml:space="preserve">Fed. R. Civ. P. 2</w:t>
      </w:r>
    </w:p>
    <w:p>
      <w:pPr>
        <w:numPr>
          <w:ilvl w:val="0"/>
          <w:numId w:val="1159"/>
        </w:numPr>
      </w:pPr>
      <w:r>
        <w:t xml:space="preserve">Fed. R. Civ. P. 38</w:t>
      </w:r>
    </w:p>
    <w:p>
      <w:pPr>
        <w:numPr>
          <w:ilvl w:val="0"/>
          <w:numId w:val="1159"/>
        </w:numPr>
      </w:pPr>
      <w:r>
        <w:t xml:space="preserve">Fed. R. Civ. P. 39</w:t>
      </w:r>
    </w:p>
    <w:p>
      <w:pPr>
        <w:pStyle w:val="NodeEnd"/>
      </w:pPr>
      <w:r>
        <w:t xml:space="preserve"> </w:t>
      </w:r>
    </w:p>
    <w:p>
      <w:pPr>
        <w:pStyle w:val="NodeStart"/>
      </w:pPr>
      <w:r>
        <w:t xml:space="preserve"> </w:t>
      </w:r>
    </w:p>
    <w:p>
      <w:pPr>
        <w:pStyle w:val="HeadSeparator"/>
      </w:pPr>
      <w:r>
        <w:t xml:space="preserve"> </w:t>
      </w:r>
    </w:p>
    <w:bookmarkStart w:id="183" w:name="_auto_toc_183"/>
    <w:bookmarkEnd w:id="183"/>
    <w:p>
      <w:pPr>
        <w:pStyle w:val="ResourceNumber"/>
      </w:pPr>
      <w:r>
        <w:t xml:space="preserve">16.2</w:t>
      </w:r>
    </w:p>
    <w:p>
      <w:pPr>
        <w:pStyle w:val="ResourceTitle"/>
      </w:pPr>
      <w:r>
        <w:t xml:space="preserve">The Right to a Jury Trial</w:t>
      </w:r>
    </w:p>
    <w:p>
      <w:pPr>
        <w:pStyle w:val="HeadEnd"/>
      </w:pPr>
      <w:r>
        <w:t xml:space="preserve"> </w:t>
      </w:r>
    </w:p>
    <w:p>
      <w:pPr>
        <w:pStyle w:val="BodyText"/>
      </w:pPr>
      <w:r>
        <w:t xml:space="preserve">The Seventh Amendment “preserves” the right to a jury trial.  This verb choice references the state of the world in the year 1791 — the year in which the Bill of Rights was ratified. Federal courts have interpreted the word “preserves” as establishing a historical test for determining whether a litigant is entitled to a jury trial. The general principle is as follows: cases that would have been brought in courts of law in 1791 retain the right to trial by jury, whereas cases that would have been brought in courts of equity in 1791 can be decided by judges alone.</w:t>
      </w:r>
    </w:p>
    <w:p>
      <w:pPr>
        <w:pStyle w:val="BodyText"/>
      </w:pPr>
      <w:r>
        <w:t xml:space="preserve">The next entry discusses the history that underlies this test.</w:t>
      </w:r>
    </w:p>
    <w:p>
      <w:pPr>
        <w:pStyle w:val="BodyText"/>
      </w:pPr>
      <w:r>
        <w:t xml:space="preserve">One key critical point:  the Seventh Amendment applies only in federal courts.  The Supreme Court has held that some of the first ten amendments to the U.S. Constitution, for example the First, apply to the States because they are "incorporated" into the Fourteenth Amendment's Due Process Clause. But, the Supreme Court has never held that the Seventh Amendment is incorporated.  Some state constitutions do preserve the right to a jury trial in civil cases in some circumstances.</w:t>
      </w:r>
    </w:p>
    <w:p>
      <w:pPr>
        <w:pStyle w:val="NodeEnd"/>
      </w:pPr>
      <w:r>
        <w:t xml:space="preserve"> </w:t>
      </w:r>
    </w:p>
    <w:p>
      <w:pPr>
        <w:pStyle w:val="NodeStart"/>
      </w:pPr>
      <w:r>
        <w:t xml:space="preserve"> </w:t>
      </w:r>
    </w:p>
    <w:p>
      <w:pPr>
        <w:pStyle w:val="HeadSeparator"/>
      </w:pPr>
      <w:r>
        <w:t xml:space="preserve"> </w:t>
      </w:r>
    </w:p>
    <w:bookmarkStart w:id="184" w:name="_auto_toc_184"/>
    <w:bookmarkEnd w:id="184"/>
    <w:p>
      <w:pPr>
        <w:pStyle w:val="ResourceNumber"/>
      </w:pPr>
      <w:r>
        <w:t xml:space="preserve">16.3</w:t>
      </w:r>
    </w:p>
    <w:p>
      <w:pPr>
        <w:pStyle w:val="ResourceTitle"/>
      </w:pPr>
      <w:r>
        <w:t xml:space="preserve">The Rise of Chancery</w:t>
      </w:r>
    </w:p>
    <w:p>
      <w:pPr>
        <w:pStyle w:val="HeadEnd"/>
      </w:pPr>
      <w:r>
        <w:t xml:space="preserve"> </w:t>
      </w:r>
    </w:p>
    <w:p>
      <w:pPr>
        <w:pStyle w:val="BodyText"/>
      </w:pPr>
      <w:r>
        <w:t xml:space="preserve">Historically, in portions of what is now the United Kingdom, there were three court systems in which rich, usually landed, parties litigated cases.  The King's Bench featured what we would now most easily recognize as judges.  These judges began the development of what we now call the common law.  The legal system they administered was called the system of "law."  The Office of the Exchequer operated as something approximating a court for a while, but eventually faded in importance, and we will not consider it further. The third code began its evolution with the office of the Chancellor, a person akin to a modern Secretary of State, who also administered the royal "seal," which meant that he could render documents official and could formalize promises on behalf of the king.  For at least part of the relevant history, the Chancellor ordinarily was a bishop.</w:t>
      </w:r>
    </w:p>
    <w:p>
      <w:pPr>
        <w:pStyle w:val="BodyText"/>
      </w:pPr>
      <w:r>
        <w:t xml:space="preserve">At the end of the 13</w:t>
      </w:r>
      <w:r>
        <w:rPr>
          <w:vertAlign w:val="superscript"/>
        </w:rPr>
        <w:t xml:space="preserve">th</w:t>
      </w:r>
      <w:r>
        <w:t xml:space="preserve"> </w:t>
      </w:r>
      <w:r>
        <w:t xml:space="preserve">Century, those in England who could not seek relief in the King's Bench, or who had sought relief in the King's Bench but believed that they had been wrongfully refused, sometimes petitioned the King and his Council for help. The King began delegating responsibility for resolving most of these petitions to the Chancellor. By the 14</w:t>
      </w:r>
      <w:r>
        <w:rPr>
          <w:vertAlign w:val="superscript"/>
        </w:rPr>
        <w:t xml:space="preserve">th</w:t>
      </w:r>
      <w:r>
        <w:t xml:space="preserve"> </w:t>
      </w:r>
      <w:r>
        <w:t xml:space="preserve">century, petitioners began to approach the Chancellor directly, as opposed to seeking relief from the King.</w:t>
      </w:r>
    </w:p>
    <w:p>
      <w:pPr>
        <w:pStyle w:val="BodyText"/>
      </w:pPr>
      <w:r>
        <w:t xml:space="preserve">Why were petitioners sometimes unable to obtain what they wanted from the King's Bench?  Sometimes, petitioners to the Chancellor would argue that there was some kind of fraud or irregularity in a King's Bench proceeding.  Perhaps someone had bribed a judge, or some key witness had lied.  Sometimes, and more importantly for our purposes, petitioners wanted a kind of relief that the King's Bench would not offer, or the administration of a kind of law that the King's Bench refused to recognize.  An example of the former is a judicial order to a party to do or to cease doing something, also known as an injunction.  The King's Bench refused to issue such orders, but the Chancellor would do so.  An example of the latter is the enforcement of a trust: the King's Bench refused to authorize, recognize, or enforce trusts, while the Chancellor would do all of those.</w:t>
      </w:r>
    </w:p>
    <w:p>
      <w:pPr>
        <w:pStyle w:val="BodyText"/>
      </w:pPr>
      <w:r>
        <w:t xml:space="preserve">The Chancellor had some tools at his disposal. He could create new writs (akin to authorizations to proceed with civil lawsuits) that empowered plaintiffs to proceed in courts of law when they would have otherwise been unable to do so. Additionally, he was empowered to issue a writ of subpoena to require parties to appear before him and answer questions regarding particular complaints.  The former power, the creation of new writs to allow new proceedings in the courts of law, was not effective because the King's Bench began to "quash" those writs, essentially dismissing them.  The subpoena power was different.  It was effective, perhaps because it went around the courts of law.  Basically, the Chancellor ordered persons involved in the dispute to appear before him to answer questions under oath.  If a party refused, the Chancellor ordered their arrest, so many people who received a subpoena did appear.  The process of appearing and answering questions became a fact-finding process, similar to a trial.  Having uncovered facts, the Chancellor could issue orders according to his sense of the justice of the case.  The Chancellor issued those orders directly to the parties to the dispute.  Thus, at no point was the King's Bench involved.</w:t>
      </w:r>
    </w:p>
    <w:p>
      <w:pPr>
        <w:pStyle w:val="BodyText"/>
      </w:pPr>
      <w:r>
        <w:t xml:space="preserve">At first, Chancellors did not think they were responsible for enforcing a distinct body of law, so they generally attempted to avoid hearing cases within the jurisdiction of the courts of law — namely what we would not call tort, contract, and property disputes. However, over time, it became clear that the Chancellors were willing and better positioned to address certain types of disputes. For example, as noted above, the Chancellor was willing to enforce trusts and other fiduciary relationships.</w:t>
      </w:r>
    </w:p>
    <w:p>
      <w:pPr>
        <w:pStyle w:val="BodyText"/>
      </w:pPr>
      <w:r>
        <w:t xml:space="preserve">All of this irritated the King's Bench.  Then, the Chancellor began engaging in another practice that caused more than irritation.  Sometimes, as noted above, a petitioner came to the Chancellor alleging that (say) they had lost a case in the courts of law because their adversary had prevailed by bribing the judge or a key witness, or because there had been some other irregularity for which the King's Bench provided no remedy.  The Chancellor might subpoena the parties to the King's Bench proceeding and examine them under oath.  If the Chancellor were persuaded that the petitioner had lost the case in the courts of law because of bribery or some other irregularity for which those courts would provide no remedy, the Chancellor might issue an injunction to the opposing party not to try to execute on the King's Bench judgment.  The Chancellor would effectively say to the opposing party, "I know you won a judgment in the courts of law saying that the petitioner has to pay you 200 pounds, and I am not interfering with that judgment.  What I am saying is that if you attempt to collect on that judgment by trying to get a court to seize the petitioner's assets to sell them and to give you the proceeds, I will order my subordinates to incarcerate you."  Thus, the Chancellor's order rendered the judgment of the King's Bench worthless while not purporting to interfere with it.</w:t>
      </w:r>
    </w:p>
    <w:p>
      <w:pPr>
        <w:pStyle w:val="BodyText"/>
      </w:pPr>
      <w:r>
        <w:t xml:space="preserve">Eventually, too many petitions came to the Chancellor.  So, the Chancellor started to appoint subordinates to take address of (to adjudicate) these petitions.  That apparatus started to look a lot like a separate court system because it was a separate court system.  The principles that the Chancellor and his subordinates administered was called "equity."</w:t>
      </w:r>
    </w:p>
    <w:p>
      <w:pPr>
        <w:pStyle w:val="BodyText"/>
      </w:pPr>
      <w:r>
        <w:t xml:space="preserve">In the 17</w:t>
      </w:r>
      <w:r>
        <w:rPr>
          <w:vertAlign w:val="superscript"/>
        </w:rPr>
        <w:t xml:space="preserve">th</w:t>
      </w:r>
      <w:r>
        <w:t xml:space="preserve"> </w:t>
      </w:r>
      <w:r>
        <w:t xml:space="preserve">century, there was a major dispute between the Chancellor and Chief Judge, the top official of the courts of law, regarding whether the Chancellor had the power to issue injunctions preventing judgments issued in courts of law from going into effect. King James I decided that the Chancellor was empowered to grant such relief, which formally established the primacy of courts of equity over courts of law.</w:t>
      </w:r>
    </w:p>
    <w:p>
      <w:pPr>
        <w:pStyle w:val="NodeEnd"/>
      </w:pPr>
      <w:r>
        <w:t xml:space="preserve"> </w:t>
      </w:r>
    </w:p>
    <w:p>
      <w:pPr>
        <w:pStyle w:val="NodeStart"/>
      </w:pPr>
      <w:r>
        <w:t xml:space="preserve"> </w:t>
      </w:r>
    </w:p>
    <w:p>
      <w:pPr>
        <w:pStyle w:val="HeadSeparator"/>
      </w:pPr>
      <w:r>
        <w:t xml:space="preserve"> </w:t>
      </w:r>
    </w:p>
    <w:bookmarkStart w:id="185" w:name="_auto_toc_185"/>
    <w:bookmarkEnd w:id="185"/>
    <w:p>
      <w:pPr>
        <w:pStyle w:val="ResourceNumber"/>
      </w:pPr>
      <w:r>
        <w:t xml:space="preserve">16.4</w:t>
      </w:r>
    </w:p>
    <w:p>
      <w:pPr>
        <w:pStyle w:val="ResourceTitle"/>
      </w:pPr>
      <w:r>
        <w:t xml:space="preserve">The Chancellor Fought the Law and the Chancellor Won</w:t>
      </w:r>
    </w:p>
    <w:p>
      <w:pPr>
        <w:pStyle w:val="HeadFieldSeparator"/>
      </w:pPr>
      <w:r>
        <w:t xml:space="preserve"> </w:t>
      </w:r>
    </w:p>
    <w:p>
      <w:pPr>
        <w:pStyle w:val="ResourceHeadnote"/>
      </w:pPr>
      <w:r>
        <w:t xml:space="preserve">Read the handout found</w:t>
      </w:r>
      <w:r>
        <w:t xml:space="preserve"> </w:t>
      </w:r>
      <w:hyperlink r:id="rId230">
        <w:r>
          <w:rPr>
            <w:rStyle w:val="Hyperlink"/>
          </w:rPr>
          <w:t xml:space="preserve">here</w:t>
        </w:r>
      </w:hyperlink>
      <w:r>
        <w:t xml:space="preserve"> </w:t>
      </w:r>
      <w:r>
        <w:t xml:space="preserve">(pdf) on the split of the law and equity courts in England prior to the American Revolution. The excerpt under the "Beale" heading is not assigned.</w:t>
      </w:r>
    </w:p>
    <w:p>
      <w:pPr>
        <w:pStyle w:val="HeadEnd"/>
      </w:pPr>
      <w:r>
        <w:t xml:space="preserve"> </w:t>
      </w:r>
    </w:p>
    <w:p>
      <w:pPr>
        <w:pStyle w:val="BodyText"/>
      </w:pPr>
      <w:r>
        <w:t xml:space="preserve">The full citation for this excerpt is:</w:t>
      </w:r>
      <w:r>
        <w:br/>
      </w:r>
      <w:r>
        <w:rPr>
          <w:bCs/>
          <w:b/>
        </w:rPr>
        <w:t xml:space="preserve">Jack H. Friedenthal, Arthur R. Miller, John E. Sexton &amp; Helen Hershkoff</w:t>
      </w:r>
      <w:r>
        <w:t xml:space="preserve">,</w:t>
      </w:r>
      <w:r>
        <w:t xml:space="preserve"> </w:t>
      </w:r>
      <w:r>
        <w:rPr>
          <w:bCs/>
          <w:b/>
        </w:rPr>
        <w:t xml:space="preserve">Civil Procedure Cases and Materials</w:t>
      </w:r>
      <w:r>
        <w:t xml:space="preserve">, 538-39 (12th ed. 2018).</w:t>
      </w:r>
    </w:p>
    <w:p>
      <w:pPr>
        <w:pStyle w:val="NodeEnd"/>
      </w:pPr>
      <w:r>
        <w:t xml:space="preserve"> </w:t>
      </w:r>
    </w:p>
    <w:p>
      <w:pPr>
        <w:pStyle w:val="NodeStart"/>
      </w:pPr>
      <w:r>
        <w:t xml:space="preserve"> </w:t>
      </w:r>
    </w:p>
    <w:p>
      <w:pPr>
        <w:pStyle w:val="HeadSeparator"/>
      </w:pPr>
      <w:r>
        <w:t xml:space="preserve"> </w:t>
      </w:r>
    </w:p>
    <w:bookmarkStart w:id="186" w:name="_auto_toc_186"/>
    <w:bookmarkEnd w:id="186"/>
    <w:p>
      <w:pPr>
        <w:pStyle w:val="ResourceNumber"/>
      </w:pPr>
      <w:r>
        <w:t xml:space="preserve">16.5</w:t>
      </w:r>
    </w:p>
    <w:p>
      <w:pPr>
        <w:pStyle w:val="ResourceTitle"/>
      </w:pPr>
      <w:r>
        <w:t xml:space="preserve">Equitable Relief: An Overview</w:t>
      </w:r>
    </w:p>
    <w:p>
      <w:pPr>
        <w:pStyle w:val="HeadFieldSeparator"/>
      </w:pPr>
      <w:r>
        <w:t xml:space="preserve"> </w:t>
      </w:r>
    </w:p>
    <w:p>
      <w:pPr>
        <w:pStyle w:val="ResourceHeadnote"/>
      </w:pPr>
      <w:r>
        <w:t xml:space="preserve">In determining whether a litigant's claims sounded in law or equity, and thus whether the litigant is entitled to a jury trial, using a historical test is challenging for three primary reasons. First, there has been a substantial increase in the volume of claims in which plaintiffs seek both legal and equitable remedies. Second, over the past two centuries, we have developed claims and remedies that have no clear analogs to forms of action known in the late 18</w:t>
      </w:r>
      <w:r>
        <w:rPr>
          <w:vertAlign w:val="superscript"/>
        </w:rPr>
        <w:t xml:space="preserve">th</w:t>
      </w:r>
      <w:r>
        <w:t xml:space="preserve"> </w:t>
      </w:r>
      <w:r>
        <w:t xml:space="preserve">century. Third, given the significant growth in the size of the administrative state during the 20</w:t>
      </w:r>
      <w:r>
        <w:rPr>
          <w:vertAlign w:val="superscript"/>
        </w:rPr>
        <w:t xml:space="preserve">th</w:t>
      </w:r>
      <w:r>
        <w:t xml:space="preserve"> </w:t>
      </w:r>
      <w:r>
        <w:t xml:space="preserve">century, the number of claims resolved by administrative tribunals, as opposed to courts, has increased dramatically.</w:t>
      </w:r>
    </w:p>
    <w:p>
      <w:pPr>
        <w:pStyle w:val="ResourceHeadnote"/>
      </w:pPr>
      <w:r>
        <w:t xml:space="preserve">Regarding the first point, 18</w:t>
      </w:r>
      <w:r>
        <w:rPr>
          <w:vertAlign w:val="superscript"/>
        </w:rPr>
        <w:t xml:space="preserve">th</w:t>
      </w:r>
      <w:r>
        <w:t xml:space="preserve"> </w:t>
      </w:r>
      <w:r>
        <w:t xml:space="preserve">century courts did contemplate cases involving both legal and equitable relief. Under the “clean-up” doctrine, courts of equity were empowered to resolve legal claims linked to equitable suits. This policy helped reduce the time and expense inherent in litigation for plaintiffs who otherwise would have needed to navigate two independent court systems with distinct rules. However, by taking advantage of the “clean-up” doctrine, plaintiffs had to cede the right to trial by jury for any legal claims resolved by a court of equity.</w:t>
      </w:r>
    </w:p>
    <w:p>
      <w:pPr>
        <w:pStyle w:val="ResourceHeadnote"/>
      </w:pPr>
      <w:r>
        <w:t xml:space="preserve">In the modern era, the primary (not the only, but the primary) distinction between law and equity concerns the relief that each system made available. Most of the time, remedies at law consisted of compensatory or punitive damages. There were exceptions, however. A plaintiff who wanted to remove an occupant from the plaintiff's real estate sued in the courts of law in an action called ejectment, and if the plaintiff won the case, the court of law issued an order for the defendant to get off the land. Such an order looked a lot like an injunction (see below).</w:t>
      </w:r>
    </w:p>
    <w:p>
      <w:pPr>
        <w:pStyle w:val="ResourceHeadnote"/>
      </w:pPr>
      <w:r>
        <w:t xml:space="preserve">Remedies available from equity included an injunction, disgorgement of ill-gotten gains, and restitution. An injunction is an order to a party to do or to cease to do something. It looks nothing like damages, the classic remedy of the law system. But disgorgement of ill-gotten gains and restitution involve the transfer of money from the defendant to the plaintiff. That looks a lot like damages. Typically, the suit for disgorgement of ill-gotten gains or for restitution was for some specific monetary amount that the defendant wrongfully obtained; theoretically, the money was not to "compensate," but to restore to the plaintiff what was rightfully theirs. But again, this is a paper-thin distinction.</w:t>
      </w:r>
    </w:p>
    <w:p>
      <w:pPr>
        <w:pStyle w:val="ResourceHeadnote"/>
      </w:pPr>
      <w:r>
        <w:t xml:space="preserve">Further information on certain equitable remedies appears below.</w:t>
      </w:r>
    </w:p>
    <w:p>
      <w:pPr>
        <w:pStyle w:val="HeadEnd"/>
      </w:pPr>
      <w:r>
        <w:t xml:space="preserve"> </w:t>
      </w:r>
    </w:p>
    <w:p>
      <w:pPr>
        <w:pStyle w:val="BodyText"/>
      </w:pPr>
      <w:r>
        <w:t xml:space="preserve">These are some remedies available in equity, but not in law.</w:t>
      </w:r>
    </w:p>
    <w:p>
      <w:pPr>
        <w:pStyle w:val="BodyText"/>
      </w:pPr>
      <w:r>
        <w:rPr>
          <w:bCs/>
          <w:b/>
        </w:rPr>
        <w:t xml:space="preserve">Specific Relief/Injunctions</w:t>
      </w:r>
    </w:p>
    <w:p>
      <w:pPr>
        <w:pStyle w:val="BodyText"/>
      </w:pPr>
      <w:r>
        <w:t xml:space="preserve">Courts of equity were empowered to make decisions binding individuals by issuing orders to those individuals to do or to cease to do certain things.  Failure to comply with these injunctions or orders for specific performance could result in fines or imprisonment. Injunctions did not, however, routinely follow from success in an equity lawsuit.  Chancellors were hesitant to issue orders they could not enforce. Thus, courts of equity typically did not issue injunctions requiring parties to act outside of their territorial jurisdiction. Separately, fairness and justice were at the core of the courts of equity, so they were hesitant to grant equitable relief to those who had failed to act in accordance with those principles.</w:t>
      </w:r>
    </w:p>
    <w:p>
      <w:pPr>
        <w:pStyle w:val="BodyText"/>
      </w:pPr>
      <w:r>
        <w:rPr>
          <w:bCs/>
          <w:b/>
        </w:rPr>
        <w:t xml:space="preserve">Fraud</w:t>
      </w:r>
    </w:p>
    <w:p>
      <w:pPr>
        <w:pStyle w:val="BodyText"/>
      </w:pPr>
      <w:r>
        <w:t xml:space="preserve">Courts of equity ultimately specialized in fraud for two key reasons. First, common law courts did not recognize fraud as a defense to breach of a sealed contract, so for many years, defendants executing contracts under seal (a special kind of acknowledgment of the contract) could only seek redress in the courts of equity. Second, courts of equity developed procedures that were particularly useful for addressing fraud: the denial of relief to fraudulent complainants and the prevention of enforcement of judgments secured by fraud.</w:t>
      </w:r>
    </w:p>
    <w:p>
      <w:pPr>
        <w:pStyle w:val="NodeEnd"/>
      </w:pPr>
      <w:r>
        <w:t xml:space="preserve"> </w:t>
      </w:r>
    </w:p>
    <w:p>
      <w:pPr>
        <w:pStyle w:val="NodeStart"/>
      </w:pPr>
      <w:r>
        <w:t xml:space="preserve"> </w:t>
      </w:r>
    </w:p>
    <w:p>
      <w:pPr>
        <w:pStyle w:val="HeadSeparator"/>
      </w:pPr>
      <w:r>
        <w:t xml:space="preserve"> </w:t>
      </w:r>
    </w:p>
    <w:bookmarkStart w:id="187" w:name="_auto_toc_187"/>
    <w:bookmarkEnd w:id="187"/>
    <w:p>
      <w:pPr>
        <w:pStyle w:val="ResourceNumber"/>
      </w:pPr>
      <w:r>
        <w:t xml:space="preserve">16.6</w:t>
      </w:r>
    </w:p>
    <w:p>
      <w:pPr>
        <w:pStyle w:val="ResourceTitle"/>
      </w:pPr>
      <w:r>
        <w:t xml:space="preserve">Chauffeurs, Teamsters &amp; Helpers Local No. 391 v. Terry</w:t>
      </w:r>
    </w:p>
    <w:p>
      <w:pPr>
        <w:pStyle w:val="HeadFieldSeparator"/>
      </w:pPr>
      <w:r>
        <w:t xml:space="preserve"> </w:t>
      </w:r>
    </w:p>
    <w:p>
      <w:pPr>
        <w:pStyle w:val="ResourceHeadnote"/>
      </w:pPr>
      <w:r>
        <w:t xml:space="preserve">This case concerns how to assess whether the Seventh Amendment provides a right to a jury trial to a litigant asserting (or defending against) a newly created cause of action.</w:t>
      </w:r>
    </w:p>
    <w:p>
      <w:pPr>
        <w:pStyle w:val="ResourceHeadnote"/>
      </w:pPr>
      <w:r>
        <w:t xml:space="preserve">By way of background: at the time of the adoption of the Seventh Amendment, unions were illegal (courts considered them an unlawful restraint of trade, i.e., an antitrust violation). A century and some decades later, during which time unions became legal, Congress passed the Labor Management Relations Act ("LMRA"). The LMRA governs the relationship between unions and employers. Pursuant to modern labor law, duly constituted and authorized unions represented employees in negotiations with employers. The result of the negotiations was a collective bargaining agreement ("CBA"). In the trucking industry, CBAs frequently addressed seniority rights, the rights of workers who had spent more time at the company to receive better treatment than new workers. In addition, some CBAs created "grievance committees," which were groups with members that the union and the employer appointed, perhaps also including some individuals related to neither party. Depending on the CBA, grievance committees might mediate or arbitrate disputes. Frequently, individual workers could not raise matters with a grievance committee - only the union could do so.</w:t>
      </w:r>
    </w:p>
    <w:p>
      <w:pPr>
        <w:pStyle w:val="ResourceHeadnote"/>
      </w:pPr>
      <w:r>
        <w:t xml:space="preserve">So, what would happen when a worker wanted their union to raise an issue with the grievance committee, but the union wrongfully refused to do so? Federal courts held that the worker could sue the union, alleging a breach of a duty of fair representation, which was a fiduciary duty that the union owed the workers to protect their interests.</w:t>
      </w:r>
    </w:p>
    <w:p>
      <w:pPr>
        <w:pStyle w:val="HeadEnd"/>
      </w:pPr>
      <w:r>
        <w:t xml:space="preserve"> </w:t>
      </w:r>
    </w:p>
    <w:p>
      <w:pPr>
        <w:pStyle w:val="CaseHeader"/>
      </w:pPr>
      <w:r>
        <w:t xml:space="preserve">Supreme Court of the United States</w:t>
      </w:r>
    </w:p>
    <w:p>
      <w:pPr>
        <w:pStyle w:val="CaseHeader"/>
      </w:pPr>
      <w:r>
        <w:t xml:space="preserve">494 U.S. 558, 110 S. Ct. 1339, 108 L. Ed. 2d 519, 1990 U.S. LEXIS 1530, SCDB 1989-051</w:t>
      </w:r>
    </w:p>
    <w:p>
      <w:pPr>
        <w:pStyle w:val="CaseHeader"/>
      </w:pPr>
      <w:r>
        <w:t xml:space="preserve">No. 88-1719</w:t>
      </w:r>
    </w:p>
    <w:p>
      <w:pPr>
        <w:pStyle w:val="CaseHeader"/>
      </w:pPr>
      <w:r>
        <w:t xml:space="preserve">1990-03-20</w:t>
      </w:r>
    </w:p>
    <w:p>
      <w:pPr>
        <w:pStyle w:val="CaseBody"/>
      </w:pPr>
      <w:r>
        <w:rPr>
          <w:rStyle w:val="Elision"/>
        </w:rPr>
        <w:t xml:space="preserve">[ … ]</w:t>
      </w:r>
    </w:p>
    <w:p>
      <w:pPr>
        <w:pStyle w:val="CaseBody"/>
      </w:pPr>
      <w:r>
        <w:t xml:space="preserve">Justice Marshall</w:t>
      </w:r>
    </w:p>
    <w:p>
      <w:pPr>
        <w:pStyle w:val="CaseBody"/>
      </w:pPr>
      <w:r>
        <w:t xml:space="preserve">delivered the opinion of the Court, except as to Part III-A.</w:t>
      </w:r>
    </w:p>
    <w:p>
      <w:pPr>
        <w:pStyle w:val="CaseBody"/>
      </w:pPr>
      <w:r>
        <w:t xml:space="preserve">This case presents the question whether an employee who seeks relief in the form of backpay for a union’s alleged breach of its duty of fair representation has a right to trial by jury. We hold that the Seventh Amendment entitles such a plaintiff to a jury trial.</w:t>
      </w:r>
    </w:p>
    <w:p>
      <w:pPr>
        <w:pStyle w:val="CaseBody"/>
      </w:pPr>
      <w:r>
        <w:t xml:space="preserve">I</w:t>
      </w:r>
    </w:p>
    <w:p>
      <w:pPr>
        <w:pStyle w:val="CaseBody"/>
      </w:pPr>
      <w:r>
        <w:t xml:space="preserve">McLean Trucking Company and the Chauffeurs, Teamsters and Helpers Local No. 391 (Union) were parties to a collective-bargaining agreement that governed the terms and conditions of employment at McLean’s terminals. The 27 respondents were employed by McLean as truckdrivers in bargaining units covered by the agreement, and all were members of the Union.</w:t>
      </w:r>
      <w:r>
        <w:t xml:space="preserve"> </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r>
        <w:t xml:space="preserve"> </w:t>
      </w:r>
      <w:r>
        <w:rPr>
          <w:rStyle w:val="ReplacementText"/>
        </w:rPr>
        <w:t xml:space="preserve">The trucking company and certain members of the union got into a dispute about the latter's seniority rights under the collective bargaining agreement . The union members</w:t>
      </w:r>
      <w:r>
        <w:t xml:space="preserve"> </w:t>
      </w:r>
      <w:r>
        <w:t xml:space="preserve">filed a</w:t>
      </w:r>
      <w:r>
        <w:t xml:space="preserve"> </w:t>
      </w:r>
      <w:r>
        <w:rPr>
          <w:rStyle w:val="Elision"/>
        </w:rPr>
        <w:t xml:space="preserve">[ … ]</w:t>
      </w:r>
      <w:r>
        <w:t xml:space="preserve"> </w:t>
      </w:r>
      <w:r>
        <w:t xml:space="preserve">grievance with the Union, but the Union declined to refer the charges to a grievance committee on the ground that the relevant issues had been determined in the prior proceedings.</w:t>
      </w:r>
    </w:p>
    <w:p>
      <w:pPr>
        <w:pStyle w:val="CaseBody"/>
      </w:pPr>
      <w:r>
        <w:t xml:space="preserve">In July 1983, respondents filed an action in District Court, alleging</w:t>
      </w:r>
      <w:r>
        <w:t xml:space="preserve"> </w:t>
      </w:r>
      <w:r>
        <w:rPr>
          <w:rStyle w:val="Elision"/>
        </w:rPr>
        <w:t xml:space="preserve">[ … ]</w:t>
      </w:r>
      <w:r>
        <w:rPr>
          <w:rStyle w:val="Elision"/>
        </w:rPr>
        <w:t xml:space="preserve">[ … ]</w:t>
      </w:r>
      <w:r>
        <w:t xml:space="preserve">that the Union had violated its duty of fair representation. Respondents requested</w:t>
      </w:r>
      <w:r>
        <w:t xml:space="preserve"> </w:t>
      </w:r>
      <w:r>
        <w:rPr>
          <w:rStyle w:val="Elision"/>
        </w:rPr>
        <w:t xml:space="preserve">[ … ]</w:t>
      </w:r>
      <w:r>
        <w:t xml:space="preserve"> </w:t>
      </w:r>
      <w:r>
        <w:t xml:space="preserve"> </w:t>
      </w:r>
      <w:r>
        <w:t xml:space="preserve">compensatory damages for lost wages and health benefits.</w:t>
      </w:r>
      <w:r>
        <w:t xml:space="preserve"> </w:t>
      </w:r>
      <w:r>
        <w:rPr>
          <w:rStyle w:val="Elision"/>
        </w:rPr>
        <w:t xml:space="preserve">[ … ]</w:t>
      </w:r>
    </w:p>
    <w:p>
      <w:pPr>
        <w:pStyle w:val="CaseBody"/>
      </w:pPr>
      <w:r>
        <w:t xml:space="preserve">Respondents had requested a jury trial in their pleadings. The Union moved to strike the jury demand</w:t>
      </w:r>
      <w:r>
        <w:t xml:space="preserve"> </w:t>
      </w:r>
      <w:r>
        <w:rPr>
          <w:rStyle w:val="Elision"/>
        </w:rPr>
        <w:t xml:space="preserve">[ … ]</w:t>
      </w:r>
      <w:r>
        <w:t xml:space="preserve">. The District Court denied the motion to strike. After an interlocutory appeal, the Fourth Circuit affirmed the trial court</w:t>
      </w:r>
      <w:r>
        <w:rPr>
          <w:rStyle w:val="ReplacementText"/>
        </w:rPr>
        <w:t xml:space="preserve">.</w:t>
      </w:r>
      <w:r>
        <w:t xml:space="preserve"> </w:t>
      </w:r>
      <w:r>
        <w:rPr>
          <w:rStyle w:val="Elision"/>
        </w:rPr>
        <w:t xml:space="preserve">[ … ]</w:t>
      </w:r>
      <w:r>
        <w:t xml:space="preserve">We granted the petition for certiorari</w:t>
      </w:r>
      <w:r>
        <w:t xml:space="preserve"> </w:t>
      </w:r>
      <w:r>
        <w:rPr>
          <w:rStyle w:val="Elision"/>
        </w:rPr>
        <w:t xml:space="preserve">[ … ]</w:t>
      </w:r>
      <w:r>
        <w:t xml:space="preserve">, and now affirm the judgment of the Fourth Circuit.</w:t>
      </w:r>
    </w:p>
    <w:p>
      <w:pPr>
        <w:pStyle w:val="CaseBody"/>
      </w:pPr>
      <w:r>
        <w:t xml:space="preserve">II</w:t>
      </w:r>
    </w:p>
    <w:p>
      <w:pPr>
        <w:pStyle w:val="CaseBody"/>
      </w:pPr>
      <w:r>
        <w:t xml:space="preserve">The duty of fair representation is inferred from unions’ exclusive authority under the National Labor Relations Act (NLRA)</w:t>
      </w:r>
      <w:r>
        <w:rPr>
          <w:rStyle w:val="Elision"/>
        </w:rPr>
        <w:t xml:space="preserve">[ … ]</w:t>
      </w:r>
      <w:r>
        <w:t xml:space="preserve"> </w:t>
      </w:r>
      <w:r>
        <w:t xml:space="preserve">to represent all employees in a bargaining unit.</w:t>
      </w:r>
      <w:r>
        <w:t xml:space="preserve"> </w:t>
      </w:r>
      <w:r>
        <w:rPr>
          <w:rStyle w:val="Elision"/>
        </w:rPr>
        <w:t xml:space="preserve">[ … ]</w:t>
      </w:r>
      <w:r>
        <w:t xml:space="preserve"> </w:t>
      </w:r>
      <w:r>
        <w:t xml:space="preserve">The duty requires a union “to serve the interests of all members without hostility or discrimination toward any, to exercise its discretion with complete good faith and honesty, and to avoid arbitrary conduct.”</w:t>
      </w:r>
      <w:r>
        <w:t xml:space="preserve"> </w:t>
      </w:r>
      <w:r>
        <w:rPr>
          <w:rStyle w:val="Elision"/>
        </w:rPr>
        <w:t xml:space="preserve">[ … ]</w:t>
      </w:r>
    </w:p>
    <w:p>
      <w:pPr>
        <w:pStyle w:val="CaseBody"/>
      </w:pPr>
      <w:r>
        <w:rPr>
          <w:rStyle w:val="Elision"/>
        </w:rPr>
        <w:t xml:space="preserve">[ … ]</w:t>
      </w:r>
    </w:p>
    <w:p>
      <w:pPr>
        <w:pStyle w:val="CaseBody"/>
      </w:pPr>
      <w:r>
        <w:t xml:space="preserve">Ill</w:t>
      </w:r>
    </w:p>
    <w:p>
      <w:pPr>
        <w:pStyle w:val="CaseBody"/>
      </w:pPr>
      <w:r>
        <w:t xml:space="preserve">We turn now to the constitutional issue presented in this case — whether respondents are entitled to a jury trial.</w:t>
      </w:r>
      <w:hyperlink w:anchor="X0b280a112fb11f545f3011cd121bc3aa58efece">
        <w:r>
          <w:rPr>
            <w:rStyle w:val="Elision"/>
          </w:rPr>
          <w:t xml:space="preserve">[ … ]</w:t>
        </w:r>
      </w:hyperlink>
      <w:r>
        <w:t xml:space="preserve"> </w:t>
      </w:r>
      <w:r>
        <w:rPr>
          <w:rStyle w:val="Elision"/>
        </w:rPr>
        <w:t xml:space="preserve">[ … ]</w:t>
      </w:r>
      <w:r>
        <w:t xml:space="preserve"> </w:t>
      </w:r>
      <w:r>
        <w:t xml:space="preserve">The right to a jury trial includes more than the common-law forms of action recognized in 1791; the phrase “Suits at common law” refers to “suits in which</w:t>
      </w:r>
      <w:r>
        <w:t xml:space="preserve"> </w:t>
      </w:r>
      <w:r>
        <w:rPr>
          <w:iCs/>
          <w:i/>
        </w:rPr>
        <w:t xml:space="preserve">legal</w:t>
      </w:r>
      <w:r>
        <w:t xml:space="preserve"> </w:t>
      </w:r>
      <w:r>
        <w:t xml:space="preserve">rights [are] to be ascertained and determined, in contradistinction to those where equitable rights alone [are] recognized, and equitable remedies [are] administered.”</w:t>
      </w:r>
      <w:r>
        <w:t xml:space="preserve"> </w:t>
      </w:r>
      <w:r>
        <w:rPr>
          <w:rStyle w:val="Elision"/>
        </w:rPr>
        <w:t xml:space="preserve">[ … ]</w:t>
      </w:r>
    </w:p>
    <w:p>
      <w:pPr>
        <w:pStyle w:val="CaseBody"/>
      </w:pPr>
      <w:r>
        <w:t xml:space="preserve">To determine whether a particular action will resolve legal rights, we examine both the nature of the issues involved and the remedy sought. “First, we compare the statutory action to 18th-century actions brought in the courts of England prior to the merger of the courts of law and equity. Second, we examine the remedy sought and determine whether it is legal or equitable in nature.”</w:t>
      </w:r>
      <w:r>
        <w:t xml:space="preserve"> </w:t>
      </w:r>
      <w:r>
        <w:rPr>
          <w:rStyle w:val="Elision"/>
        </w:rPr>
        <w:t xml:space="preserve">[ … ]</w:t>
      </w:r>
      <w:r>
        <w:t xml:space="preserve"> </w:t>
      </w:r>
      <w:r>
        <w:t xml:space="preserve">The second inquiry is the more important in our analysis.</w:t>
      </w:r>
      <w:r>
        <w:t xml:space="preserve"> </w:t>
      </w:r>
      <w:r>
        <w:rPr>
          <w:rStyle w:val="Elision"/>
        </w:rPr>
        <w:t xml:space="preserve">[ … ]</w:t>
      </w:r>
    </w:p>
    <w:p>
      <w:pPr>
        <w:pStyle w:val="CaseBody"/>
      </w:pPr>
      <w:r>
        <w:t xml:space="preserve">A</w:t>
      </w:r>
    </w:p>
    <w:p>
      <w:pPr>
        <w:pStyle w:val="CaseBody"/>
      </w:pPr>
      <w:r>
        <w:t xml:space="preserve">An action for breach of a union’s duty of fair representation was unknown in 18th-century England</w:t>
      </w:r>
      <w:r>
        <w:rPr>
          <w:rStyle w:val="ReplacementText"/>
        </w:rPr>
        <w:t xml:space="preserve">because unions themselves were illegal.</w:t>
      </w:r>
      <w:r>
        <w:rPr>
          <w:rStyle w:val="Elision"/>
        </w:rPr>
        <w:t xml:space="preserve">[ … ]</w:t>
      </w:r>
    </w:p>
    <w:p>
      <w:pPr>
        <w:pStyle w:val="CaseBody"/>
      </w:pPr>
      <w:r>
        <w:t xml:space="preserve">The Union contends that this duty of fair representation action resembles a suit brought to vacate an arbitration award because respondents seek to set aside the result of the grievance process.</w:t>
      </w:r>
      <w:r>
        <w:t xml:space="preserve"> </w:t>
      </w:r>
      <w:r>
        <w:rPr>
          <w:rStyle w:val="Elision"/>
        </w:rPr>
        <w:t xml:space="preserve">[ … ]</w:t>
      </w:r>
    </w:p>
    <w:p>
      <w:pPr>
        <w:pStyle w:val="CaseBody"/>
      </w:pPr>
      <w:r>
        <w:t xml:space="preserve">The arbitration analogy is inapposite, however, to the Seventh Amendment question posed in this case. No grievance committee has considered respondents’ claim that the Union violated its duty of fair representation; the grievance process was concerned only with the employer’s alleged breach of the collective-bargaining agreement.</w:t>
      </w:r>
      <w:r>
        <w:t xml:space="preserve"> </w:t>
      </w:r>
      <w:r>
        <w:rPr>
          <w:rStyle w:val="Elision"/>
        </w:rPr>
        <w:t xml:space="preserve">[ … ]</w:t>
      </w:r>
    </w:p>
    <w:p>
      <w:pPr>
        <w:pStyle w:val="CaseBody"/>
      </w:pPr>
      <w:r>
        <w:t xml:space="preserve">The Union next argues that respondents’ duty of fair representation action is comparable to an action by a trust beneficiary against a trustee for breach of fiduciary duty.</w:t>
      </w:r>
      <w:r>
        <w:t xml:space="preserve"> </w:t>
      </w:r>
      <w:r>
        <w:rPr>
          <w:rStyle w:val="Elision"/>
        </w:rPr>
        <w:t xml:space="preserve">[ … ]</w:t>
      </w:r>
      <w:r>
        <w:t xml:space="preserve"> </w:t>
      </w:r>
      <w:r>
        <w:t xml:space="preserve">This analogy is far more persuasive than the arbitration analogy. Just as a trustee must act in the best interests of the beneficiaries,</w:t>
      </w:r>
      <w:r>
        <w:rPr>
          <w:rStyle w:val="Elision"/>
        </w:rPr>
        <w:t xml:space="preserve">[ … ]</w:t>
      </w:r>
      <w:r>
        <w:t xml:space="preserve"> </w:t>
      </w:r>
      <w:r>
        <w:t xml:space="preserve">a union, as the exclusive representative of the workers, must exercise its power to act on behalf of the employees in good faith</w:t>
      </w:r>
      <w:r>
        <w:rPr>
          <w:rStyle w:val="ReplacementText"/>
        </w:rPr>
        <w:t xml:space="preserve">.</w:t>
      </w:r>
      <w:r>
        <w:t xml:space="preserve"> </w:t>
      </w:r>
      <w:r>
        <w:rPr>
          <w:rStyle w:val="Elision"/>
        </w:rPr>
        <w:t xml:space="preserve">[ … ]</w:t>
      </w:r>
    </w:p>
    <w:p>
      <w:pPr>
        <w:pStyle w:val="CaseBody"/>
      </w:pPr>
      <w:r>
        <w:t xml:space="preserve">The trust analogy extends to a union’s handling of grievances.</w:t>
      </w:r>
      <w:r>
        <w:t xml:space="preserve"> </w:t>
      </w:r>
      <w:r>
        <w:rPr>
          <w:rStyle w:val="Elision"/>
        </w:rPr>
        <w:t xml:space="preserve">[ … ]</w:t>
      </w:r>
      <w:r>
        <w:t xml:space="preserve"> </w:t>
      </w:r>
      <w:r>
        <w:rPr>
          <w:rStyle w:val="ReplacementText"/>
        </w:rPr>
        <w:t xml:space="preserve">The</w:t>
      </w:r>
      <w:r>
        <w:t xml:space="preserve"> </w:t>
      </w:r>
      <w:r>
        <w:t xml:space="preserve">union typically has broad discretion in its decision whether and how to pursue an employee’s grievance against an employer.</w:t>
      </w:r>
      <w:r>
        <w:t xml:space="preserve"> </w:t>
      </w:r>
      <w:r>
        <w:rPr>
          <w:rStyle w:val="Elision"/>
        </w:rPr>
        <w:t xml:space="preserve">[ … ]</w:t>
      </w:r>
      <w:r>
        <w:t xml:space="preserve"> </w:t>
      </w:r>
      <w:r>
        <w:rPr>
          <w:rStyle w:val="ReplacementText"/>
        </w:rPr>
        <w:t xml:space="preserve">An</w:t>
      </w:r>
      <w:r>
        <w:t xml:space="preserve"> </w:t>
      </w:r>
      <w:r>
        <w:t xml:space="preserve">employee can sue his employer for a breach of the collective-bargaining agreement only if he shows that the union breached its duty of fair representation in its handling of the grievance</w:t>
      </w:r>
      <w:r>
        <w:rPr>
          <w:rStyle w:val="ReplacementText"/>
        </w:rPr>
        <w:t xml:space="preserve">.</w:t>
      </w:r>
      <w:r>
        <w:t xml:space="preserve"> </w:t>
      </w:r>
      <w:r>
        <w:rPr>
          <w:rStyle w:val="Elision"/>
        </w:rPr>
        <w:t xml:space="preserve">[ … ]</w:t>
      </w:r>
    </w:p>
    <w:p>
      <w:pPr>
        <w:pStyle w:val="CaseBody"/>
      </w:pPr>
      <w:r>
        <w:t xml:space="preserve">Respondents contend that their duty of fair representation suit is less like a trust action than an attorney malpractice action</w:t>
      </w:r>
      <w:r>
        <w:rPr>
          <w:rStyle w:val="ReplacementText"/>
        </w:rPr>
        <w:t xml:space="preserve">.</w:t>
      </w:r>
      <w:r>
        <w:t xml:space="preserve"> </w:t>
      </w:r>
      <w:r>
        <w:rPr>
          <w:rStyle w:val="Elision"/>
        </w:rPr>
        <w:t xml:space="preserve">[ … ]</w:t>
      </w:r>
    </w:p>
    <w:p>
      <w:pPr>
        <w:pStyle w:val="CaseBody"/>
      </w:pPr>
      <w:r>
        <w:t xml:space="preserve">The attorney malpractice analogy is inadequate in several respects.</w:t>
      </w:r>
      <w:r>
        <w:t xml:space="preserve"> </w:t>
      </w:r>
      <w:r>
        <w:rPr>
          <w:rStyle w:val="Elision"/>
        </w:rPr>
        <w:t xml:space="preserve">[ … ]</w:t>
      </w:r>
      <w:r>
        <w:t xml:space="preserve"> </w:t>
      </w:r>
      <w:r>
        <w:rPr>
          <w:rStyle w:val="ReplacementText"/>
        </w:rPr>
        <w:t xml:space="preserve">The</w:t>
      </w:r>
      <w:r>
        <w:t xml:space="preserve"> </w:t>
      </w:r>
      <w:r>
        <w:t xml:space="preserve">two actions are fundamentally different.</w:t>
      </w:r>
      <w:r>
        <w:t xml:space="preserve"> </w:t>
      </w:r>
      <w:r>
        <w:rPr>
          <w:rStyle w:val="Elision"/>
        </w:rPr>
        <w:t xml:space="preserve">[ … ]</w:t>
      </w:r>
      <w:r>
        <w:t xml:space="preserve">Unlike employees represented by a union, a client controls the significant decisions concerning his representation. Moreover, a client can fire his attorney if he is dissatisfied with his attorney’s performance. This option is not available to an individual employee who is unhappy with a union’s representation</w:t>
      </w:r>
      <w:r>
        <w:rPr>
          <w:rStyle w:val="ReplacementText"/>
        </w:rPr>
        <w:t xml:space="preserve">.</w:t>
      </w:r>
      <w:r>
        <w:t xml:space="preserve"> </w:t>
      </w:r>
      <w:r>
        <w:rPr>
          <w:rStyle w:val="Elision"/>
        </w:rPr>
        <w:t xml:space="preserve">[ … ]</w:t>
      </w:r>
      <w:r>
        <w:t xml:space="preserve"> </w:t>
      </w:r>
      <w:r>
        <w:t xml:space="preserve">Thus, we find the malpractice analogy less convincing than the trust analogy.</w:t>
      </w:r>
    </w:p>
    <w:p>
      <w:pPr>
        <w:pStyle w:val="CaseBody"/>
      </w:pPr>
      <w:r>
        <w:t xml:space="preserve">Nevertheless, the trust analogy does not persuade us to characterize respondents’ claim as wholly equitable. The Union’s argument mischaracterizes the nature of our comparison of the action before us to 18th-century forms of action.</w:t>
      </w:r>
      <w:r>
        <w:t xml:space="preserve"> </w:t>
      </w:r>
      <w:r>
        <w:rPr>
          <w:rStyle w:val="Elision"/>
        </w:rPr>
        <w:t xml:space="preserve">[ … ]</w:t>
      </w:r>
      <w:r>
        <w:t xml:space="preserve">“The Seventh Amendment question depends on the nature of the</w:t>
      </w:r>
      <w:r>
        <w:t xml:space="preserve"> </w:t>
      </w:r>
      <w:r>
        <w:rPr>
          <w:iCs/>
          <w:i/>
        </w:rPr>
        <w:t xml:space="preserve">issue</w:t>
      </w:r>
      <w:r>
        <w:t xml:space="preserve"> </w:t>
      </w:r>
      <w:r>
        <w:t xml:space="preserve">to be tried rather than the character of the overall action.”</w:t>
      </w:r>
      <w:r>
        <w:t xml:space="preserve"> </w:t>
      </w:r>
      <w:r>
        <w:rPr>
          <w:iCs/>
          <w:i/>
        </w:rPr>
        <w:t xml:space="preserve">I</w:t>
      </w:r>
      <w:r>
        <w:rPr>
          <w:rStyle w:val="Elision"/>
        </w:rPr>
        <w:t xml:space="preserve">[ … ]</w:t>
      </w:r>
      <w:r>
        <w:t xml:space="preserve"> </w:t>
      </w:r>
      <w:r>
        <w:t xml:space="preserve">As discussed above,</w:t>
      </w:r>
      <w:r>
        <w:rPr>
          <w:rStyle w:val="Elision"/>
        </w:rPr>
        <w:t xml:space="preserve">[ … ]</w:t>
      </w:r>
      <w:r>
        <w:t xml:space="preserve">to recover from the Union here, respondents must prove both that McLean violated §301 by breaching the collective-bargaining agreement and that the Union breached its duty of fair representation.</w:t>
      </w:r>
      <w:hyperlink w:anchor="X4dacc55b91d9ad963be18e8cebee2a61a9c093f">
        <w:r>
          <w:rPr>
            <w:rStyle w:val="Elision"/>
          </w:rPr>
          <w:t xml:space="preserve">[ … ]</w:t>
        </w:r>
      </w:hyperlink>
      <w:r>
        <w:t xml:space="preserve"> </w:t>
      </w:r>
      <w:r>
        <w:t xml:space="preserve">When viewed in isolation, the duty of fair representation issue is analogous to a claim against a trustee for breach of fiduciary duty. The § 301 issue, however, is comparable to a breach of contract claim — a legal issue.</w:t>
      </w:r>
      <w:hyperlink w:anchor="Xfa61d72111180ea3f9212b2dd85baf18cf9c10f">
        <w:r>
          <w:rPr>
            <w:rStyle w:val="Elision"/>
          </w:rPr>
          <w:t xml:space="preserve">[ … ]</w:t>
        </w:r>
      </w:hyperlink>
    </w:p>
    <w:p>
      <w:pPr>
        <w:pStyle w:val="CaseBody"/>
      </w:pPr>
      <w:r>
        <w:t xml:space="preserve">Respondents’ action against the Union thus encompasses both equitable and legal issues. The first part of our Seventh Amendment inquiry, then, leaves us in equipoise as to whether respondents are entitled to a jury trial.</w:t>
      </w:r>
    </w:p>
    <w:p>
      <w:pPr>
        <w:pStyle w:val="CaseBody"/>
      </w:pPr>
      <w:r>
        <w:t xml:space="preserve">B</w:t>
      </w:r>
    </w:p>
    <w:p>
      <w:pPr>
        <w:pStyle w:val="CaseBody"/>
      </w:pPr>
      <w:r>
        <w:t xml:space="preserve">Our determination under the first part of the Seventh Amendment analysis is only preliminary.</w:t>
      </w:r>
      <w:r>
        <w:t xml:space="preserve"> </w:t>
      </w:r>
      <w:r>
        <w:rPr>
          <w:rStyle w:val="Elision"/>
        </w:rPr>
        <w:t xml:space="preserve">[ … ]</w:t>
      </w:r>
      <w:r>
        <w:t xml:space="preserve"> </w:t>
      </w:r>
      <w:r>
        <w:t xml:space="preserve">In this case, the only remedy sought is a request for compensatory damages representing backpay and benefits. Generally, an action for money damages was “the traditional form of relief offered in the courts of law.”</w:t>
      </w:r>
      <w:r>
        <w:t xml:space="preserve"> </w:t>
      </w:r>
      <w:r>
        <w:rPr>
          <w:rStyle w:val="Elision"/>
        </w:rPr>
        <w:t xml:space="preserve">[ … ]</w:t>
      </w:r>
      <w:r>
        <w:t xml:space="preserve">This Court has not, however, held that “any award of monetary relief must</w:t>
      </w:r>
      <w:r>
        <w:t xml:space="preserve"> </w:t>
      </w:r>
      <w:r>
        <w:rPr>
          <w:iCs/>
          <w:i/>
        </w:rPr>
        <w:t xml:space="preserve">necessarily</w:t>
      </w:r>
      <w:r>
        <w:t xml:space="preserve"> </w:t>
      </w:r>
      <w:r>
        <w:t xml:space="preserve">be ‘legal’ relief.”</w:t>
      </w:r>
      <w:r>
        <w:t xml:space="preserve"> </w:t>
      </w:r>
      <w:r>
        <w:rPr>
          <w:rStyle w:val="Elision"/>
        </w:rPr>
        <w:t xml:space="preserve">[ … ]</w:t>
      </w:r>
      <w:r>
        <w:t xml:space="preserve"> </w:t>
      </w:r>
      <w:r>
        <w:t xml:space="preserve">Nonetheless,</w:t>
      </w:r>
      <w:r>
        <w:t xml:space="preserve"> </w:t>
      </w:r>
      <w:r>
        <w:rPr>
          <w:rStyle w:val="Elision"/>
        </w:rPr>
        <w:t xml:space="preserve">[ … ]</w:t>
      </w:r>
      <w:r>
        <w:t xml:space="preserve"> </w:t>
      </w:r>
      <w:r>
        <w:rPr>
          <w:rStyle w:val="ReplacementText"/>
        </w:rPr>
        <w:t xml:space="preserve">we</w:t>
      </w:r>
      <w:r>
        <w:t xml:space="preserve"> </w:t>
      </w:r>
      <w:r>
        <w:t xml:space="preserve">conclude that the remedy respondents seek has none of the attributes that must be present before we will find an exception to the general rule and characterize damages as equitable</w:t>
      </w:r>
      <w:r>
        <w:rPr>
          <w:rStyle w:val="ReplacementText"/>
        </w:rPr>
        <w:t xml:space="preserve">.</w:t>
      </w:r>
      <w:r>
        <w:t xml:space="preserve"> </w:t>
      </w:r>
      <w:r>
        <w:rPr>
          <w:rStyle w:val="ReplacementText"/>
        </w:rPr>
        <w:t xml:space="preserve">Accordingly, we conclude the</w:t>
      </w:r>
      <w:r>
        <w:t xml:space="preserve"> </w:t>
      </w:r>
      <w:r>
        <w:t xml:space="preserve">remedy sought by respondents is legal.</w:t>
      </w:r>
    </w:p>
    <w:p>
      <w:pPr>
        <w:pStyle w:val="CaseBody"/>
      </w:pPr>
      <w:r>
        <w:t xml:space="preserve">First, we have characterized damages as equitable where they are restitutionary, such as in “action[s] for disgorgement of improper profits</w:t>
      </w:r>
      <w:r>
        <w:rPr>
          <w:rStyle w:val="ReplacementText"/>
        </w:rPr>
        <w:t xml:space="preserve">.</w:t>
      </w:r>
      <w:r>
        <w:t xml:space="preserve">”</w:t>
      </w:r>
      <w:r>
        <w:t xml:space="preserve"> </w:t>
      </w:r>
      <w:r>
        <w:rPr>
          <w:rStyle w:val="Elision"/>
        </w:rPr>
        <w:t xml:space="preserve">[ … ]</w:t>
      </w:r>
      <w:r>
        <w:t xml:space="preserve"> </w:t>
      </w:r>
      <w:r>
        <w:t xml:space="preserve">The backpay sought by respondents is not money wrongfully held by the Union, but wages and benefits they would have received from McLean had the Union processed the employees’ grievances properly. Such relief is not restitutionary.</w:t>
      </w:r>
    </w:p>
    <w:p>
      <w:pPr>
        <w:pStyle w:val="CaseBody"/>
      </w:pPr>
      <w:r>
        <w:t xml:space="preserve">Second, a monetary award “incidental to or intertwined with injunctive relief” may be equitable.</w:t>
      </w:r>
      <w:r>
        <w:t xml:space="preserve"> </w:t>
      </w:r>
      <w:r>
        <w:rPr>
          <w:rStyle w:val="Elision"/>
        </w:rPr>
        <w:t xml:space="preserve">[ … ]</w:t>
      </w:r>
      <w:r>
        <w:t xml:space="preserve"> </w:t>
      </w:r>
      <w:r>
        <w:t xml:space="preserve">Because respondents seek only money damages, this characteristic is clearly absent from the case.</w:t>
      </w:r>
      <w:hyperlink w:anchor="Xfd1706f28a4081f160427119fb1381acc34366b">
        <w:r>
          <w:rPr>
            <w:rStyle w:val="Elision"/>
          </w:rPr>
          <w:t xml:space="preserve">[ … ]</w:t>
        </w:r>
      </w:hyperlink>
    </w:p>
    <w:p>
      <w:pPr>
        <w:pStyle w:val="CaseBody"/>
      </w:pPr>
      <w:r>
        <w:t xml:space="preserve">The Union argues that the backpay relief sought here must nonetheless be considered equitable because this Court has labeled backpay awarded under Title VII of the Civil Rights Act of 1964</w:t>
      </w:r>
      <w:r>
        <w:rPr>
          <w:rStyle w:val="Elision"/>
        </w:rPr>
        <w:t xml:space="preserve">[ … ]</w:t>
      </w:r>
      <w:r>
        <w:t xml:space="preserve"> </w:t>
      </w:r>
      <w:r>
        <w:t xml:space="preserve">as equitable.</w:t>
      </w:r>
      <w:r>
        <w:t xml:space="preserve"> </w:t>
      </w:r>
      <w:r>
        <w:rPr>
          <w:rStyle w:val="Elision"/>
        </w:rPr>
        <w:t xml:space="preserve">[ … ]</w:t>
      </w:r>
    </w:p>
    <w:p>
      <w:pPr>
        <w:pStyle w:val="CaseBody"/>
      </w:pPr>
      <w:r>
        <w:t xml:space="preserve">The Court has never held that a plaintiff seeking backpay under Title VII has a right to a jury trial.</w:t>
      </w:r>
      <w:r>
        <w:t xml:space="preserve"> </w:t>
      </w:r>
      <w:r>
        <w:rPr>
          <w:rStyle w:val="Elision"/>
        </w:rPr>
        <w:t xml:space="preserve">[ … ]</w:t>
      </w:r>
      <w:r>
        <w:t xml:space="preserve"> </w:t>
      </w:r>
      <w:r>
        <w:t xml:space="preserve">Assuming, without deciding, that such a Title VII plaintiff has no right to a jury trial, the Union’s argument does not persuade us that respondents are not entitled to a jury trial here.</w:t>
      </w:r>
      <w:r>
        <w:t xml:space="preserve"> </w:t>
      </w:r>
      <w:r>
        <w:rPr>
          <w:rStyle w:val="Elision"/>
        </w:rPr>
        <w:t xml:space="preserve">[ … ]</w:t>
      </w:r>
      <w:r>
        <w:t xml:space="preserve"> </w:t>
      </w:r>
      <w:r>
        <w:rPr>
          <w:rStyle w:val="ReplacementText"/>
        </w:rPr>
        <w:t xml:space="preserve">The</w:t>
      </w:r>
      <w:r>
        <w:t xml:space="preserve"> </w:t>
      </w:r>
      <w:r>
        <w:t xml:space="preserve">Court has noted that backpay sought from an employer under Title VII would generally be restitutionary in nature</w:t>
      </w:r>
      <w:r>
        <w:rPr>
          <w:rStyle w:val="Elision"/>
        </w:rPr>
        <w:t xml:space="preserve">[ … ]</w:t>
      </w:r>
      <w:r>
        <w:t xml:space="preserve">, in contrast to the damages sought here from the Union.</w:t>
      </w:r>
      <w:r>
        <w:t xml:space="preserve"> </w:t>
      </w:r>
      <w:r>
        <w:rPr>
          <w:rStyle w:val="Elision"/>
        </w:rPr>
        <w:t xml:space="preserve">[ … ]</w:t>
      </w:r>
    </w:p>
    <w:p>
      <w:pPr>
        <w:pStyle w:val="CaseBody"/>
      </w:pPr>
      <w:r>
        <w:rPr>
          <w:rStyle w:val="Elision"/>
        </w:rPr>
        <w:t xml:space="preserve">[ … ]</w:t>
      </w:r>
    </w:p>
    <w:p>
      <w:pPr>
        <w:pStyle w:val="CaseBody"/>
      </w:pPr>
      <w:r>
        <w:t xml:space="preserve">We hold, then, that the remedy of backpay sought in this duty of fair representation action is legal in nature. Considering both parts of the Seventh Amendment inquiry, we find that respondents are entitled to a jury trial on all issues presented in their suit.</w:t>
      </w:r>
    </w:p>
    <w:p>
      <w:pPr>
        <w:pStyle w:val="CaseBody"/>
      </w:pPr>
      <w:r>
        <w:rPr>
          <w:rStyle w:val="Elision"/>
        </w:rPr>
        <w:t xml:space="preserve">[ … ]</w:t>
      </w:r>
    </w:p>
    <w:p>
      <w:pPr>
        <w:pStyle w:val="CaseBody"/>
      </w:pPr>
      <w:r>
        <w:rPr>
          <w:iCs/>
          <w:i/>
        </w:rPr>
        <w:t xml:space="preserve">It is so ordered.</w:t>
      </w:r>
    </w:p>
    <w:p>
      <w:pPr>
        <w:pStyle w:val="CaseBody"/>
      </w:pPr>
      <w:r>
        <w:rPr>
          <w:rStyle w:val="Elision"/>
        </w:rPr>
        <w:t xml:space="preserve">[ … ]</w:t>
      </w:r>
    </w:p>
    <w:p>
      <w:pPr>
        <w:pStyle w:val="CaseBody"/>
      </w:pPr>
      <w:r>
        <w:t xml:space="preserve">Justice Brennan,</w:t>
      </w:r>
    </w:p>
    <w:p>
      <w:pPr>
        <w:pStyle w:val="CaseBody"/>
      </w:pPr>
      <w:r>
        <w:t xml:space="preserve">concurring in part and concurring in the judgment.</w:t>
      </w:r>
      <w:r>
        <w:rPr>
          <w:rStyle w:val="FootnoteReference"/>
        </w:rPr>
        <w:footnoteReference w:customMarkFollows="1" w:id="42"/>
        <w:t xml:space="preserve">*</w:t>
      </w:r>
    </w:p>
    <w:p>
      <w:pPr>
        <w:pStyle w:val="CaseBody"/>
      </w:pPr>
      <w:r>
        <w:t xml:space="preserve">I agree with the Court that respondents seek a remedy that is legal in nature and that the Seventh Amendment entitles respondents to a jury trial on their duty of fair representation claims.</w:t>
      </w:r>
      <w:r>
        <w:t xml:space="preserve"> </w:t>
      </w:r>
      <w:r>
        <w:rPr>
          <w:rStyle w:val="Elision"/>
        </w:rPr>
        <w:t xml:space="preserve">[ … ]</w:t>
      </w:r>
      <w:r>
        <w:t xml:space="preserve"> </w:t>
      </w:r>
      <w:r>
        <w:t xml:space="preserve">I do not join that part of the opinion which reprises the particular historical analysis this Court has employed</w:t>
      </w:r>
      <w:r>
        <w:t xml:space="preserve"> </w:t>
      </w:r>
      <w:r>
        <w:rPr>
          <w:rStyle w:val="Elision"/>
        </w:rPr>
        <w:t xml:space="preserve">[ … ]</w:t>
      </w:r>
      <w:r>
        <w:t xml:space="preserve">, because I believe the historical test can and should be simplified.</w:t>
      </w:r>
    </w:p>
    <w:p>
      <w:pPr>
        <w:pStyle w:val="CaseBody"/>
      </w:pPr>
      <w:r>
        <w:rPr>
          <w:rStyle w:val="Elision"/>
        </w:rPr>
        <w:t xml:space="preserve">[ … ]</w:t>
      </w:r>
      <w:r>
        <w:t xml:space="preserve"> </w:t>
      </w:r>
      <w:r>
        <w:t xml:space="preserve">I would decide Seventh Amendment questions on the basis of the relief sought. If the relief is legal in nature,</w:t>
      </w:r>
      <w:r>
        <w:t xml:space="preserve"> </w:t>
      </w:r>
      <w:r>
        <w:rPr>
          <w:iCs/>
          <w:i/>
        </w:rPr>
        <w:t xml:space="preserve">i. e.,</w:t>
      </w:r>
      <w:r>
        <w:t xml:space="preserve"> </w:t>
      </w:r>
      <w:r>
        <w:t xml:space="preserve">if it is the kind of relief that historically was available from courts of law, I would hold that the parties have a constitutional right to a trial by jury— unless Congress has permissibly delegated the particular dispute to a non-Article III decisionmaker and jury trials would frustrate Congress’ purposes in enacting a particular statutory scheme.</w:t>
      </w:r>
      <w:hyperlink w:anchor="Xeaf775e978c662f482aa68e2fea3875fad5685c">
        <w:r>
          <w:rPr>
            <w:rStyle w:val="Elision"/>
          </w:rPr>
          <w:t xml:space="preserve">[ … ]</w:t>
        </w:r>
      </w:hyperlink>
    </w:p>
    <w:p>
      <w:pPr>
        <w:pStyle w:val="CaseBody"/>
      </w:pPr>
      <w:r>
        <w:rPr>
          <w:rStyle w:val="Elision"/>
        </w:rPr>
        <w:t xml:space="preserve">[ … ]</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FootnoteText"/>
      </w:pPr>
      <w:r>
        <w:rPr>
          <w:rStyle w:val="FootnoteReference"/>
        </w:rPr>
        <w:t xml:space="preserve">[ … ]</w:t>
      </w:r>
      <w:r>
        <w:rPr>
          <w:rStyle w:val="Elision"/>
        </w:rPr>
        <w:t xml:space="preserve">[ … ]</w:t>
      </w:r>
    </w:p>
    <w:p>
      <w:pPr>
        <w:pStyle w:val="CaseBody"/>
      </w:pPr>
      <w:r>
        <w:t xml:space="preserve">Justice Stevens,</w:t>
      </w:r>
    </w:p>
    <w:p>
      <w:pPr>
        <w:pStyle w:val="CaseBody"/>
      </w:pPr>
      <w:r>
        <w:t xml:space="preserve">concurring in part and concurring in the judgment.</w:t>
      </w:r>
      <w:r>
        <w:rPr>
          <w:rStyle w:val="FootnoteReference"/>
        </w:rPr>
        <w:footnoteReference w:customMarkFollows="1" w:id="87"/>
        <w:t xml:space="preserve">**</w:t>
      </w:r>
    </w:p>
    <w:p>
      <w:pPr>
        <w:pStyle w:val="CaseBody"/>
      </w:pPr>
      <w:r>
        <w:t xml:space="preserve">Because I believe the Court has made this case unnecessarily difficult by exaggerating the importance of finding a precise common-law analogue to the duty of fair representation, I do not join Part III-A of its opinion. Ironically, by stressing the importance of identifying an exact analogue, the Court has diminished the utility of looking for any analogue.</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r>
        <w:t xml:space="preserve"> </w:t>
      </w:r>
      <w:r>
        <w:t xml:space="preserve">I therefore join its judgment and all of its opinion except for Part III-A.</w:t>
      </w:r>
    </w:p>
    <w:p>
      <w:pPr>
        <w:pStyle w:val="CaseBody"/>
      </w:pPr>
      <w:hyperlink w:anchor="X4a3cafbe812e8f58dd3dc9e1181dc0c3d3f7f5a">
        <w:r>
          <w:rPr>
            <w:rStyle w:val="Elision"/>
          </w:rPr>
          <w:t xml:space="preserve">[ … ]</w:t>
        </w:r>
      </w:hyperlink>
    </w:p>
    <w:p>
      <w:pPr>
        <w:pStyle w:val="CaseBody"/>
      </w:pPr>
      <w:r>
        <w:t xml:space="preserve">Justice Kennedy,</w:t>
      </w:r>
    </w:p>
    <w:p>
      <w:pPr>
        <w:pStyle w:val="CaseBody"/>
      </w:pPr>
      <w:r>
        <w:t xml:space="preserve">with whom Justice O’Connor and Justice Scalia join, dissenting.</w:t>
      </w:r>
      <w:r>
        <w:rPr>
          <w:rStyle w:val="FootnoteReference"/>
        </w:rPr>
        <w:footnoteReference w:customMarkFollows="1" w:id="113"/>
        <w:t xml:space="preserve">***</w:t>
      </w:r>
    </w:p>
    <w:p>
      <w:pPr>
        <w:pStyle w:val="CaseBody"/>
      </w:pPr>
      <w:r>
        <w:t xml:space="preserve">This case asks whether the Seventh Amendment guarantees the respondent union members a jury trial in a duty of fair representation action against their labor union.</w:t>
      </w:r>
      <w:r>
        <w:t xml:space="preserve"> </w:t>
      </w:r>
      <w:r>
        <w:rPr>
          <w:rStyle w:val="Elision"/>
        </w:rPr>
        <w:t xml:space="preserve">[ … ]</w:t>
      </w:r>
    </w:p>
    <w:p>
      <w:pPr>
        <w:pStyle w:val="CaseBody"/>
      </w:pPr>
      <w:r>
        <w:t xml:space="preserve">I disagree with the analytic innovation of the Court that identification of the trust action as a model for modern duty of fair representation actions is insufficient to decide the case. The Seventh Amendment requires us to determine whether the duty of fair representation action “is more similar to cases that were tried in courts of law than to suits tried in courts of equity.”</w:t>
      </w:r>
      <w:r>
        <w:t xml:space="preserve"> </w:t>
      </w:r>
      <w:r>
        <w:rPr>
          <w:rStyle w:val="Elision"/>
        </w:rPr>
        <w:t xml:space="preserve">[ … ]</w:t>
      </w:r>
      <w:r>
        <w:t xml:space="preserve"> </w:t>
      </w:r>
      <w:r>
        <w:t xml:space="preserve">Having</w:t>
      </w:r>
      <w:r>
        <w:t xml:space="preserve"> </w:t>
      </w:r>
      <w:r>
        <w:rPr>
          <w:rStyle w:val="ReplacementText"/>
        </w:rPr>
        <w:t xml:space="preserve">m</w:t>
      </w:r>
      <w:r>
        <w:t xml:space="preserve">ade this decision in favor of an equitable action, our inquiry should end. Because the Court disagrees with this proposition, I dissent.</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ReplacementText"/>
        </w:rPr>
        <w:t xml:space="preserve">III</w:t>
      </w:r>
    </w:p>
    <w:p>
      <w:pPr>
        <w:pStyle w:val="CaseBody"/>
      </w:pPr>
      <w:r>
        <w:t xml:space="preserve">The Court must adhere to the historical test in determining the right to a jury because the language of the Constitution requires it. The Seventh Amendment “preserves” the right to jury trial in civil cases. We cannot preserve a right existing in 1791 unless we look to history to identify it. Our precedents are in full agreement with this reasoning and insist on adherence to the historical test. No alternatives short of rewriting the Constitution exist.</w:t>
      </w:r>
      <w:r>
        <w:t xml:space="preserve"> </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t xml:space="preserve">IV</w:t>
      </w:r>
    </w:p>
    <w:p>
      <w:pPr>
        <w:pStyle w:val="CaseBody"/>
      </w:pPr>
      <w:r>
        <w:rPr>
          <w:rStyle w:val="ReplacementText"/>
        </w:rPr>
        <w:t xml:space="preserve">T</w:t>
      </w:r>
      <w:r>
        <w:t xml:space="preserve">he respondents are proceeding only against the Union in the suit before us.</w:t>
      </w:r>
      <w:r>
        <w:t xml:space="preserve"> </w:t>
      </w:r>
      <w:r>
        <w:rPr>
          <w:rStyle w:val="Elision"/>
        </w:rPr>
        <w:t xml:space="preserve">[ … ]</w:t>
      </w:r>
      <w:r>
        <w:t xml:space="preserve"> </w:t>
      </w:r>
      <w:r>
        <w:t xml:space="preserve">The Union argues that a duty of fair representation action against an employer also would have an equitable character because it resembles another trust action entertained in the courts of equity.</w:t>
      </w:r>
      <w:r>
        <w:t xml:space="preserve"> </w:t>
      </w:r>
      <w:r>
        <w:rPr>
          <w:rStyle w:val="Elision"/>
        </w:rPr>
        <w:t xml:space="preserve">[ … ]</w:t>
      </w:r>
      <w:r>
        <w:t xml:space="preserve"> </w:t>
      </w:r>
      <w:r>
        <w:t xml:space="preserve">I would deny a jury trial to the respondents here, but would leave these other questions for a later time. Because the Court has reached a different result, I dissent.</w:t>
      </w:r>
    </w:p>
    <w:p>
      <w:pPr>
        <w:pStyle w:val="NodeEnd"/>
      </w:pPr>
      <w:r>
        <w:t xml:space="preserve"> </w:t>
      </w:r>
    </w:p>
    <w:p>
      <w:pPr>
        <w:pStyle w:val="NodeStart"/>
      </w:pPr>
      <w:r>
        <w:t xml:space="preserve"> </w:t>
      </w:r>
    </w:p>
    <w:p>
      <w:pPr>
        <w:pStyle w:val="HeadSeparator"/>
      </w:pPr>
      <w:r>
        <w:t xml:space="preserve"> </w:t>
      </w:r>
    </w:p>
    <w:bookmarkStart w:id="188" w:name="_auto_toc_188"/>
    <w:bookmarkEnd w:id="188"/>
    <w:p>
      <w:pPr>
        <w:pStyle w:val="ResourceNumber"/>
      </w:pPr>
      <w:r>
        <w:t xml:space="preserve">16.7</w:t>
      </w:r>
    </w:p>
    <w:p>
      <w:pPr>
        <w:pStyle w:val="ResourceTitle"/>
      </w:pPr>
      <w:r>
        <w:t xml:space="preserve">Notes following Terry</w:t>
      </w:r>
    </w:p>
    <w:p>
      <w:pPr>
        <w:pStyle w:val="HeadEnd"/>
      </w:pPr>
      <w:r>
        <w:t xml:space="preserve"> </w:t>
      </w:r>
    </w:p>
    <w:p>
      <w:pPr>
        <w:numPr>
          <w:ilvl w:val="0"/>
          <w:numId w:val="1160"/>
        </w:numPr>
      </w:pPr>
      <w:r>
        <w:t xml:space="preserve">Justice Marshall and Justice Brennan disagree about whether the Court should continue to employ a two-part test to determine whether a litigant is entitled to a civil jury. Justice Marshall advocates for continued usage of the two-part test, but concludes that the second step, which focuses on the nature of the relief sought, should be weighed more heavily. Justice Brennan, by contrast, advocates for a single-factor test that focuses exclusively on the nature of the relief sought.  What are the advantages and disadvantages of each test?</w:t>
      </w:r>
    </w:p>
    <w:p>
      <w:pPr>
        <w:numPr>
          <w:ilvl w:val="0"/>
          <w:numId w:val="1160"/>
        </w:numPr>
      </w:pPr>
      <w:r>
        <w:t xml:space="preserve">In</w:t>
      </w:r>
      <w:r>
        <w:t xml:space="preserve"> </w:t>
      </w:r>
      <w:r>
        <w:rPr>
          <w:iCs/>
          <w:i/>
        </w:rPr>
        <w:t xml:space="preserve">City of Monterey v. Del Monte Dunes</w:t>
      </w:r>
      <w:r>
        <w:t xml:space="preserve">, 526 U.S. 687 (1999), the Supreme Court held that a property owner seeking damages under 42 U.S.C. § 1983 for an unconstitutional regulatory taking was entitled to a civil jury trial. The plurality opinion analogized this dispute to a tort action for damages, and Justice Scalia, partially concurring and concurring in the judgment, argued that 42 U.S.C. § 1983 itself implicitly provided for a jury trial right.</w:t>
      </w:r>
    </w:p>
    <w:p>
      <w:pPr>
        <w:pStyle w:val="NodeEnd"/>
      </w:pPr>
      <w:r>
        <w:t xml:space="preserve"> </w:t>
      </w:r>
    </w:p>
    <w:p>
      <w:pPr>
        <w:pStyle w:val="NodeStart"/>
      </w:pPr>
      <w:r>
        <w:t xml:space="preserve"> </w:t>
      </w:r>
    </w:p>
    <w:p>
      <w:pPr>
        <w:pStyle w:val="HeadSeparator"/>
      </w:pPr>
      <w:r>
        <w:t xml:space="preserve"> </w:t>
      </w:r>
    </w:p>
    <w:bookmarkStart w:id="189" w:name="_auto_toc_189"/>
    <w:bookmarkEnd w:id="189"/>
    <w:p>
      <w:pPr>
        <w:pStyle w:val="ResourceNumber"/>
      </w:pPr>
      <w:r>
        <w:t xml:space="preserve">16.8</w:t>
      </w:r>
    </w:p>
    <w:p>
      <w:pPr>
        <w:pStyle w:val="ResourceTitle"/>
      </w:pPr>
      <w:r>
        <w:t xml:space="preserve">Atlas Roofing Co. v. Safety &amp; Health Review Commission</w:t>
      </w:r>
    </w:p>
    <w:p>
      <w:pPr>
        <w:pStyle w:val="HeadFieldSeparator"/>
      </w:pPr>
      <w:r>
        <w:t xml:space="preserve"> </w:t>
      </w:r>
    </w:p>
    <w:p>
      <w:pPr>
        <w:pStyle w:val="ResourceHeadnote"/>
      </w:pPr>
      <w:r>
        <w:t xml:space="preserve">This case is optional. We will not discuss it in class. The Supreme Court has effectively overrruled it (despite the fact that is was 9-0) in its 2024 decision,</w:t>
      </w:r>
      <w:r>
        <w:t xml:space="preserve"> </w:t>
      </w:r>
      <w:r>
        <w:rPr>
          <w:iCs/>
          <w:i/>
        </w:rPr>
        <w:t xml:space="preserve">S.E.C. v. Jarkesy</w:t>
      </w:r>
      <w:r>
        <w:t xml:space="preserve">. The</w:t>
      </w:r>
      <w:r>
        <w:t xml:space="preserve"> </w:t>
      </w:r>
      <w:r>
        <w:rPr>
          <w:iCs/>
          <w:i/>
        </w:rPr>
        <w:t xml:space="preserve">Jarkesy</w:t>
      </w:r>
      <w:r>
        <w:t xml:space="preserve"> </w:t>
      </w:r>
      <w:r>
        <w:t xml:space="preserve">opinions are available here:</w:t>
      </w:r>
      <w:r>
        <w:t xml:space="preserve"> </w:t>
      </w:r>
      <w:hyperlink r:id="rId231">
        <w:r>
          <w:rPr>
            <w:rStyle w:val="Hyperlink"/>
          </w:rPr>
          <w:t xml:space="preserve">Sec v. Jarkesy | Supreme Court | US Law | LII / Legal Information Institute (cornell.edu)</w:t>
        </w:r>
      </w:hyperlink>
      <w:r>
        <w:t xml:space="preserve">.</w:t>
      </w:r>
    </w:p>
    <w:p>
      <w:pPr>
        <w:pStyle w:val="HeadEnd"/>
      </w:pPr>
      <w:r>
        <w:t xml:space="preserve"> </w:t>
      </w:r>
    </w:p>
    <w:p>
      <w:pPr>
        <w:pStyle w:val="CaseHeader"/>
      </w:pPr>
      <w:r>
        <w:t xml:space="preserve">Supreme Court of the United States</w:t>
      </w:r>
    </w:p>
    <w:p>
      <w:pPr>
        <w:pStyle w:val="CaseHeader"/>
      </w:pPr>
      <w:r>
        <w:t xml:space="preserve">430 U.S. 442, 51 L. Ed. 2d 464, 97 S. Ct. 1261, SCDB 1976-075, 1977 U.S. LEXIS 65</w:t>
      </w:r>
    </w:p>
    <w:p>
      <w:pPr>
        <w:pStyle w:val="CaseHeader"/>
      </w:pPr>
      <w:r>
        <w:t xml:space="preserve">No. 75-746</w:t>
      </w:r>
    </w:p>
    <w:p>
      <w:pPr>
        <w:pStyle w:val="CaseHeader"/>
      </w:pPr>
      <w:r>
        <w:t xml:space="preserve">1977-03-23</w:t>
      </w:r>
    </w:p>
    <w:p>
      <w:pPr>
        <w:pStyle w:val="CaseBody"/>
      </w:pPr>
      <w:r>
        <w:rPr>
          <w:rStyle w:val="Elision"/>
        </w:rPr>
        <w:t xml:space="preserve">[ … ]</w:t>
      </w:r>
    </w:p>
    <w:p>
      <w:pPr>
        <w:pStyle w:val="CaseBody"/>
      </w:pPr>
      <w:r>
        <w:t xml:space="preserve">8.</w:t>
      </w:r>
    </w:p>
    <w:p>
      <w:pPr>
        <w:pStyle w:val="CaseBody"/>
      </w:pPr>
      <w:r>
        <w:t xml:space="preserve">Mr. Justice White</w:t>
      </w:r>
    </w:p>
    <w:p>
      <w:pPr>
        <w:pStyle w:val="CaseBody"/>
      </w:pPr>
      <w:r>
        <w:t xml:space="preserve">delivered the opinion of the Court.</w:t>
      </w:r>
    </w:p>
    <w:p>
      <w:pPr>
        <w:pStyle w:val="CaseBody"/>
      </w:pPr>
      <w:r>
        <w:t xml:space="preserve">The issue in these cases is whether, consistent with the Seventh Amendment, Congress may create a new cause of action in the Government for civil penalties enforceable in an administrative agency where there is no jury trial.</w:t>
      </w:r>
    </w:p>
    <w:p>
      <w:pPr>
        <w:pStyle w:val="CaseBody"/>
      </w:pPr>
      <w:r>
        <w:t xml:space="preserve">I</w:t>
      </w:r>
    </w:p>
    <w:p>
      <w:pPr>
        <w:pStyle w:val="CaseBody"/>
      </w:pPr>
      <w:r>
        <w:t xml:space="preserve">After extensive investigation, Congress concluded, in 1970, that work-related deaths and injuries had become a “drastic” national problem.</w:t>
      </w:r>
      <w:hyperlink w:anchor="Xdd591697f6dcb84700035e7d319ea94180249fa">
        <w:r>
          <w:rPr>
            <w:rStyle w:val="Elision"/>
          </w:rPr>
          <w:t xml:space="preserve">[ … ]</w:t>
        </w:r>
      </w:hyperlink>
      <w:r>
        <w:t xml:space="preserve"> </w:t>
      </w:r>
      <w:r>
        <w:t xml:space="preserve">Finding the existing state statutory remedies as well as state common-law actions for negligence and wrongful death to be inadequate to protect the employee population from death and injury due to unsafe working conditions, Congress enacted the Occupational Safety and Health Act of 1970 (OSHA or Act)</w:t>
      </w:r>
      <w:r>
        <w:rPr>
          <w:rStyle w:val="Elision"/>
        </w:rPr>
        <w:t xml:space="preserve">[ … ]</w:t>
      </w:r>
      <w:r>
        <w:t xml:space="preserve">The Act created a new statutory duty to avoid maintaining unsafe or unhealthy working conditions, and empowers the Secretary of Labor to promulgate health and safety standards.</w:t>
      </w:r>
      <w:r>
        <w:rPr>
          <w:rStyle w:val="FootnoteReference"/>
        </w:rPr>
        <w:footnoteReference w:customMarkFollows="1" w:id="183"/>
        <w:t xml:space="preserve">2</w:t>
      </w:r>
      <w:r>
        <w:t xml:space="preserve"> </w:t>
      </w:r>
      <w:r>
        <w:t xml:space="preserve">Two new remedies were provided—permitting the Federal Government, proceeding before an administrative agency, (1) to obtain abatement orders requiring employers to correct unsafe working conditions and (2) to impose civil penalties on any employer maintaining any unsafe working condition.</w:t>
      </w:r>
      <w:r>
        <w:t xml:space="preserve"> </w:t>
      </w:r>
      <w:r>
        <w:rPr>
          <w:rStyle w:val="Elision"/>
        </w:rPr>
        <w:t xml:space="preserve">[ … ]</w:t>
      </w:r>
    </w:p>
    <w:p>
      <w:pPr>
        <w:pStyle w:val="CaseBody"/>
      </w:pPr>
      <w:r>
        <w:rPr>
          <w:rStyle w:val="Elision"/>
        </w:rPr>
        <w:t xml:space="preserve">[ … ]</w:t>
      </w:r>
    </w:p>
    <w:p>
      <w:pPr>
        <w:pStyle w:val="CaseBody"/>
      </w:pPr>
      <w:r>
        <w:t xml:space="preserve">If the employer wishes to contest the penalty or the abatement order, he may do so by notifying the Secretary of Labor within 15 days</w:t>
      </w:r>
      <w:r>
        <w:rPr>
          <w:rStyle w:val="Elision"/>
        </w:rPr>
        <w:t xml:space="preserve">[ … ]</w:t>
      </w:r>
      <w:r>
        <w:t xml:space="preserve"> </w:t>
      </w:r>
      <w:r>
        <w:t xml:space="preserve">An evidentiary hearing is then held before an administrative law judge of the Occupational Safety and Health Review Commission.</w:t>
      </w:r>
      <w:r>
        <w:t xml:space="preserve"> </w:t>
      </w:r>
      <w:r>
        <w:rPr>
          <w:rStyle w:val="ReplacementText"/>
        </w:rPr>
        <w:t xml:space="preserve">An aggrieved party can seek review through an administrative process.</w:t>
      </w:r>
    </w:p>
    <w:p>
      <w:pPr>
        <w:pStyle w:val="CaseBody"/>
      </w:pPr>
      <w:r>
        <w:t xml:space="preserve">. Thus, the penalty may be collected without the employer’s ever being entitled to a jury determination of the facts constituting the violation.</w:t>
      </w:r>
    </w:p>
    <w:p>
      <w:pPr>
        <w:pStyle w:val="CaseBody"/>
      </w:pPr>
      <w:r>
        <w:t xml:space="preserve">II</w:t>
      </w:r>
    </w:p>
    <w:p>
      <w:pPr>
        <w:pStyle w:val="CaseBody"/>
      </w:pPr>
      <w:r>
        <w:t xml:space="preserve">Petitioners were separately cited by the</w:t>
      </w:r>
      <w:r>
        <w:t xml:space="preserve"> </w:t>
      </w:r>
      <w:r>
        <w:rPr>
          <w:rStyle w:val="ReplacementText"/>
        </w:rPr>
        <w:t xml:space="preserve">Secretary of Labor ("Secretary")</w:t>
      </w:r>
      <w:r>
        <w:t xml:space="preserve"> </w:t>
      </w:r>
      <w:r>
        <w:t xml:space="preserve">and ordered immediately to abate pertinent hazards after inspections of their respective worksites conducted in 1972 revealed conditions that assertedly violated a mandatory occupational safety standard promulgated by the Secretary</w:t>
      </w:r>
      <w:r>
        <w:t xml:space="preserve"> </w:t>
      </w:r>
      <w:r>
        <w:rPr>
          <w:rStyle w:val="Elision"/>
        </w:rPr>
        <w:t xml:space="preserve">[ … ]</w:t>
      </w:r>
      <w:r>
        <w:t xml:space="preserve">.</w:t>
      </w:r>
      <w:r>
        <w:t xml:space="preserve"> </w:t>
      </w:r>
      <w:r>
        <w:rPr>
          <w:rStyle w:val="Elision"/>
        </w:rPr>
        <w:t xml:space="preserve">[ … ]</w:t>
      </w:r>
    </w:p>
    <w:p>
      <w:pPr>
        <w:pStyle w:val="CaseBody"/>
      </w:pPr>
      <w:r>
        <w:rPr>
          <w:rStyle w:val="Elision"/>
        </w:rPr>
        <w:t xml:space="preserve">[ … ]</w:t>
      </w:r>
    </w:p>
    <w:p>
      <w:pPr>
        <w:pStyle w:val="CaseBody"/>
      </w:pPr>
      <w:r>
        <w:t xml:space="preserve">Petitioners timely contested these citations and were afforded hearings before Administrative Law Judges of the Commission.</w:t>
      </w:r>
      <w:r>
        <w:t xml:space="preserve"> </w:t>
      </w:r>
      <w:r>
        <w:rPr>
          <w:rStyle w:val="Elision"/>
        </w:rPr>
        <w:t xml:space="preserve">[ … ]</w:t>
      </w:r>
      <w:r>
        <w:t xml:space="preserve">Petitioners respectively thereupon sought judicial review in the Courts of Appeals for the Third and Fifth Circuits, challenging</w:t>
      </w:r>
      <w:r>
        <w:t xml:space="preserve"> </w:t>
      </w:r>
      <w:r>
        <w:rPr>
          <w:rStyle w:val="Elision"/>
        </w:rPr>
        <w:t xml:space="preserve">[ … ]</w:t>
      </w:r>
      <w:r>
        <w:t xml:space="preserve"> </w:t>
      </w:r>
      <w:r>
        <w:t xml:space="preserve">the constitutionality of the Act’s enforcement procedures.</w:t>
      </w:r>
    </w:p>
    <w:p>
      <w:pPr>
        <w:pStyle w:val="CaseBody"/>
      </w:pPr>
      <w:r>
        <w:t xml:space="preserve">A panel of the Court of Appeals for the Third Circuit affirmed</w:t>
      </w:r>
      <w:r>
        <w:t xml:space="preserve"> </w:t>
      </w:r>
      <w:r>
        <w:rPr>
          <w:rStyle w:val="Elision"/>
        </w:rPr>
        <w:t xml:space="preserve">[ … ]</w:t>
      </w:r>
      <w:r>
        <w:t xml:space="preserve">. On rehearing en banc, the Court of Appeals for the Third Circuit</w:t>
      </w:r>
      <w:r>
        <w:rPr>
          <w:rStyle w:val="Elision"/>
        </w:rPr>
        <w:t xml:space="preserve">[ … ]</w:t>
      </w:r>
      <w:r>
        <w:t xml:space="preserve"> </w:t>
      </w:r>
      <w:r>
        <w:t xml:space="preserve">adhered to the original panel’s decision.</w:t>
      </w:r>
    </w:p>
    <w:p>
      <w:pPr>
        <w:pStyle w:val="CaseBody"/>
      </w:pPr>
      <w:r>
        <w:rPr>
          <w:rStyle w:val="Elision"/>
        </w:rPr>
        <w:t xml:space="preserve">[ … ]</w:t>
      </w:r>
    </w:p>
    <w:p>
      <w:pPr>
        <w:pStyle w:val="CaseBody"/>
      </w:pPr>
      <w:r>
        <w:t xml:space="preserve">The Court of Appeals for the Fifth Circuit also affirmed</w:t>
      </w:r>
      <w:r>
        <w:t xml:space="preserve"> </w:t>
      </w:r>
      <w:r>
        <w:rPr>
          <w:rStyle w:val="Elision"/>
        </w:rPr>
        <w:t xml:space="preserve">[ … ]</w:t>
      </w:r>
      <w:r>
        <w:t xml:space="preserve"> </w:t>
      </w:r>
      <w:r>
        <w:t xml:space="preserve">over a similar claim that the enforcement scheme violated the Seventh Amendment.</w:t>
      </w:r>
      <w:r>
        <w:t xml:space="preserve"> </w:t>
      </w:r>
      <w:r>
        <w:rPr>
          <w:rStyle w:val="Elision"/>
        </w:rPr>
        <w:t xml:space="preserve">[ … ]</w:t>
      </w:r>
    </w:p>
    <w:p>
      <w:pPr>
        <w:pStyle w:val="CaseBody"/>
      </w:pPr>
      <w:r>
        <w:t xml:space="preserve">We granted the petitions for writs of certiorari</w:t>
      </w:r>
      <w:r>
        <w:t xml:space="preserve"> </w:t>
      </w:r>
      <w:r>
        <w:rPr>
          <w:rStyle w:val="Elision"/>
        </w:rPr>
        <w:t xml:space="preserve">[ … ]</w:t>
      </w:r>
      <w:r>
        <w:t xml:space="preserve">.</w:t>
      </w:r>
    </w:p>
    <w:p>
      <w:pPr>
        <w:pStyle w:val="CaseBody"/>
      </w:pPr>
      <w:r>
        <w:t xml:space="preserve">Ill</w:t>
      </w:r>
    </w:p>
    <w:p>
      <w:pPr>
        <w:pStyle w:val="CaseBody"/>
      </w:pPr>
      <w:r>
        <w:t xml:space="preserve">The Seventh Amendment provides that “[i]n Suits at common law, where the value in controversy shall exceed twenty dollars, the right of trial by jury shall be preserved . . . .” The phrase “Suits at common law” has been construed to refer to cases tried prior to the adoption of the Seventh Amendment in courts of law in which jury trial was customary as distinguished from courts of equity or admiralty in which jury trial was not.</w:t>
      </w:r>
      <w:r>
        <w:t xml:space="preserve"> </w:t>
      </w:r>
      <w:r>
        <w:rPr>
          <w:rStyle w:val="Elision"/>
        </w:rPr>
        <w:t xml:space="preserve">[ … ]</w:t>
      </w:r>
      <w:r>
        <w:t xml:space="preserve"> </w:t>
      </w:r>
      <w:r>
        <w:t xml:space="preserve">Petitioners claim that a suit in a federal court by the Government for civil penalties for violation of a statute is a suit for a money judgment which is classically a suit at common law,</w:t>
      </w:r>
      <w:r>
        <w:t xml:space="preserve"> </w:t>
      </w:r>
      <w:r>
        <w:rPr>
          <w:rStyle w:val="Elision"/>
        </w:rPr>
        <w:t xml:space="preserve">[ … ]</w:t>
      </w:r>
      <w:r>
        <w:t xml:space="preserve">; and that the defendant therefore has a Seventh Amendment right to a jury determination of all issues of fact in such a case,</w:t>
      </w:r>
      <w:r>
        <w:t xml:space="preserve"> </w:t>
      </w:r>
      <w:r>
        <w:rPr>
          <w:rStyle w:val="Elision"/>
        </w:rPr>
        <w:t xml:space="preserve">[ … ]</w:t>
      </w:r>
      <w:r>
        <w:t xml:space="preserve">.</w:t>
      </w:r>
      <w:hyperlink w:anchor="Xa40558e0fd749b5420f6b4030abad7d14d35cdc">
        <w:r>
          <w:rPr>
            <w:rStyle w:val="Elision"/>
          </w:rPr>
          <w:t xml:space="preserve">[ … ]</w:t>
        </w:r>
      </w:hyperlink>
      <w:r>
        <w:t xml:space="preserve"> </w:t>
      </w:r>
      <w:r>
        <w:t xml:space="preserve">Petitioners then claim that to permit Congress to assign the function of adjudicating the Government’s rights to civil penalties for violation of the statute to a different forum—an administrative agency in which no jury is available—would be to permit Congress to deprive a defendant of his Seventh Amendment jury right. We disagree. At least in cases in which “public rights” are being</w:t>
      </w:r>
      <w:r>
        <w:t xml:space="preserve"> </w:t>
      </w:r>
      <w:r>
        <w:rPr>
          <w:iCs/>
          <w:i/>
        </w:rPr>
        <w:t xml:space="preserve">litigated—e. g.,</w:t>
      </w:r>
      <w:r>
        <w:t xml:space="preserve"> </w:t>
      </w:r>
      <w:r>
        <w:t xml:space="preserve">cases in which the Government sues in its sovereign capacity to enforce public rights created by statutes within the power of Congress to enact—the Seventh Amendment does not prohibit Congress from assigning the factfinding function and initial adjudication to an administrative forum with which the jury would be incompatible.</w:t>
      </w:r>
      <w:hyperlink w:anchor="Xe07ea4faf0e5b3e59f04dbe8a20884e72e0db37">
        <w:r>
          <w:rPr>
            <w:rStyle w:val="Elision"/>
          </w:rPr>
          <w:t xml:space="preserve">[ … ]</w:t>
        </w:r>
      </w:hyperlink>
    </w:p>
    <w:p>
      <w:pPr>
        <w:pStyle w:val="CaseBody"/>
      </w:pPr>
      <w:r>
        <w:t xml:space="preserve">Congress has often created new statutory obligations, provided for civil penalties for their violation, and committed exclusively to an administrative agency the function of deciding whether a violation has in fact occurred. These statutory schemes have been sustained by this Court, albeit often without express reference to the Seventh Amendment.</w:t>
      </w:r>
      <w:r>
        <w:t xml:space="preserve"> </w:t>
      </w:r>
      <w:r>
        <w:rPr>
          <w:rStyle w:val="Elision"/>
        </w:rPr>
        <w:t xml:space="preserve">[ … ]</w:t>
      </w:r>
    </w:p>
    <w:p>
      <w:pPr>
        <w:pStyle w:val="CaseBody"/>
      </w:pPr>
      <w:r>
        <w:t xml:space="preserve">In sum, the cases discussed above stand clearly for the proposition that</w:t>
      </w:r>
      <w:r>
        <w:t xml:space="preserve"> </w:t>
      </w:r>
      <w:r>
        <w:rPr>
          <w:rStyle w:val="ReplacementText"/>
        </w:rPr>
        <w:t xml:space="preserve">When</w:t>
      </w:r>
      <w:r>
        <w:t xml:space="preserve"> </w:t>
      </w:r>
      <w:r>
        <w:t xml:space="preserve">Congress creates new statutory “public rights,” it may assign their adjudication to an administrative agency with which a jury trial would be incompatible, without violating the Seventh Amendment’s injunction that jury trial is to be “preserved” in “suits at common law.”</w:t>
      </w:r>
      <w:hyperlink w:anchor="Xf9a54d2ea897674765e02d3d029a672b1fa793f">
        <w:r>
          <w:rPr>
            <w:rStyle w:val="Elision"/>
          </w:rPr>
          <w:t xml:space="preserve">[ … ]</w:t>
        </w:r>
      </w:hyperlink>
      <w:r>
        <w:t xml:space="preserve"> </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r>
        <w:t xml:space="preserve"> </w:t>
      </w:r>
      <w:r>
        <w:t xml:space="preserve">Our prior cases support administrative factfinding in only those situations involving “public rights,”</w:t>
      </w:r>
      <w:r>
        <w:t xml:space="preserve"> </w:t>
      </w:r>
      <w:r>
        <w:rPr>
          <w:iCs/>
          <w:i/>
        </w:rPr>
        <w:t xml:space="preserve">e. g.,</w:t>
      </w:r>
      <w:r>
        <w:t xml:space="preserve"> </w:t>
      </w:r>
      <w:r>
        <w:t xml:space="preserve">where the Government is involved in its sovereign capacity under an otherwise valid statute creating enforceable public rights. Wholly private tort, contract, and property cases, as well as a vast range of other cases, are not at all implicated.</w:t>
      </w:r>
    </w:p>
    <w:p>
      <w:pPr>
        <w:pStyle w:val="CaseBody"/>
      </w:pPr>
      <w:r>
        <w:t xml:space="preserve">More to the point, it is apparent from the history of jury trial in civil matters that</w:t>
      </w:r>
      <w:r>
        <w:t xml:space="preserve"> </w:t>
      </w:r>
      <w:r>
        <w:rPr>
          <w:rStyle w:val="ReplacementText"/>
        </w:rPr>
        <w:t xml:space="preserve">Factfinding</w:t>
      </w:r>
      <w:r>
        <w:t xml:space="preserve">, which is the essential function of the jury in civil cases,</w:t>
      </w:r>
      <w:r>
        <w:t xml:space="preserve"> </w:t>
      </w:r>
      <w:r>
        <w:rPr>
          <w:rStyle w:val="Elision"/>
        </w:rPr>
        <w:t xml:space="preserve">[ … ]</w:t>
      </w:r>
      <w:r>
        <w:t xml:space="preserve"> </w:t>
      </w:r>
      <w:r>
        <w:t xml:space="preserve">was never the exclusive province of the jury under either the English or American legal systems at the time of the adoption of the Seventh Amendment; and the question whether a fact would be found by a jury turned to a considerable degree on the nature of the forum in which a litigant found himself.</w:t>
      </w:r>
      <w:r>
        <w:t xml:space="preserve"> </w:t>
      </w:r>
      <w:r>
        <w:rPr>
          <w:rStyle w:val="Elision"/>
        </w:rPr>
        <w:t xml:space="preserve">[ … ]</w:t>
      </w:r>
      <w:r>
        <w:rPr>
          <w:rStyle w:val="Elision"/>
        </w:rPr>
        <w:t xml:space="preserve">[ … ]</w:t>
      </w:r>
      <w:r>
        <w:t xml:space="preserve">The question whether a particular case was to be tried in a court of equity—without a jury—or a court of law—with a jury—did not depend on whether the suit involved factfinding or on the nature of the facts to be found. Factfinding could be a critical matter either at law or in equity. Rather, as a general rule, the decision turned on whether courts of law supplied a cause of action and an adequate remedy to the litigant.</w:t>
      </w:r>
      <w:hyperlink w:anchor="Xcb240812e83a33ddb2bc57b6b9fc8a5a210fae6">
        <w:r>
          <w:rPr>
            <w:rStyle w:val="Elision"/>
          </w:rPr>
          <w:t xml:space="preserve">[ … ]</w:t>
        </w:r>
      </w:hyperlink>
      <w:r>
        <w:t xml:space="preserve"> </w:t>
      </w:r>
      <w:r>
        <w:t xml:space="preserve">If it did, then the case would be tried in a court of law before a jury. Otherwise the case would be tried to a court of equity sitting without a jury. Thus, suits for damages for breach of contract, for example, were suits at common law with the issues of the making of the contract and its breach to be decided by a jury; but specific performance was a remedy unavailable in a court of law and where such relief was sought the case would be tried in a court of equity with the facts as to making and breach to be ascertained by the court.</w:t>
      </w:r>
    </w:p>
    <w:p>
      <w:pPr>
        <w:pStyle w:val="CaseBody"/>
      </w:pPr>
      <w:r>
        <w:t xml:space="preserve">The Seventh Amendment was declaratory of the existing law, for it required only that jury trial in suits at common law was to be “preserved.”</w:t>
      </w:r>
      <w:r>
        <w:t xml:space="preserve"> </w:t>
      </w:r>
      <w:r>
        <w:rPr>
          <w:rStyle w:val="Elision"/>
        </w:rPr>
        <w:t xml:space="preserve">[ … ]</w:t>
      </w:r>
    </w:p>
    <w:p>
      <w:pPr>
        <w:pStyle w:val="CaseBody"/>
      </w:pPr>
      <w:r>
        <w:t xml:space="preserve">The point is that the Seventh Amendment was never intended to establish the jury as the exclusive mechanism for factfinding in civil cases. It took the existing legal order as it found it, and there is little or no basis for concluding that the Amendment should now be interpreted to provide an impenetrable barrier to administrative factfinding under otherwise valid federal regulatory statutes. We cannot conclude that the Amendment rendered Congress powerless—when it concluded that remedies available in courts of law were inadequate to cope with a problem within Congress’ power to regulate—to create new public rights and remedies by statute and commit their enforcement, if it chose, to a tribunal other than a court of law—such as an administrative agency—in which facts are not found by juries.</w:t>
      </w:r>
      <w:r>
        <w:t xml:space="preserve"> </w:t>
      </w: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190" w:name="_auto_toc_190"/>
    <w:bookmarkEnd w:id="190"/>
    <w:p>
      <w:pPr>
        <w:pStyle w:val="ResourceNumber"/>
      </w:pPr>
      <w:r>
        <w:t xml:space="preserve">16.9</w:t>
      </w:r>
    </w:p>
    <w:p>
      <w:pPr>
        <w:pStyle w:val="ResourceTitle"/>
      </w:pPr>
      <w:r>
        <w:t xml:space="preserve">Tactical Considerations in Deciding Between Trial By Judge or Jury</w:t>
      </w:r>
    </w:p>
    <w:p>
      <w:pPr>
        <w:pStyle w:val="HeadEnd"/>
      </w:pPr>
      <w:r>
        <w:t xml:space="preserve"> </w:t>
      </w:r>
    </w:p>
    <w:p>
      <w:pPr>
        <w:pStyle w:val="BodyText"/>
      </w:pPr>
      <w:r>
        <w:t xml:space="preserve">Because the right to a jury trial may be waived, attorneys make tactical judgments between jury trials and bench trials in order to maximize the likelihood that their clients receive favorable outcomes. Some of the factors that inform this judgment are the characteristics of the parties and witnesses, the types of jurors likely to be chosen, and the background and inclinations of the trial judge or set of people from whom the judges will be chosen (if known in advance). Lawyers also have to consider the likely schedule for both options. Although there is little credible evidence that judges and juries make systematically different judgments for different classes of litigants, prevailing assumptions among lawyers inform which cases ultimately reach trial and their ultimate disposition.</w:t>
      </w:r>
    </w:p>
    <w:p>
      <w:pPr>
        <w:pStyle w:val="NodeEnd"/>
      </w:pPr>
      <w:r>
        <w:t xml:space="preserve"> </w:t>
      </w:r>
    </w:p>
    <w:p>
      <w:pPr>
        <w:pStyle w:val="NodeStart"/>
      </w:pPr>
      <w:r>
        <w:t xml:space="preserve"> </w:t>
      </w:r>
    </w:p>
    <w:p>
      <w:pPr>
        <w:pStyle w:val="HeadSeparator"/>
      </w:pPr>
      <w:r>
        <w:t xml:space="preserve"> </w:t>
      </w:r>
    </w:p>
    <w:bookmarkStart w:id="191" w:name="_auto_toc_191"/>
    <w:bookmarkEnd w:id="191"/>
    <w:p>
      <w:pPr>
        <w:pStyle w:val="ResourceNumber"/>
      </w:pPr>
      <w:r>
        <w:t xml:space="preserve">16.10</w:t>
      </w:r>
    </w:p>
    <w:p>
      <w:pPr>
        <w:pStyle w:val="ResourceTitle"/>
      </w:pPr>
      <w:r>
        <w:t xml:space="preserve">The Province of Judge and Jury</w:t>
      </w:r>
    </w:p>
    <w:p>
      <w:pPr>
        <w:pStyle w:val="HeadFieldSeparator"/>
      </w:pPr>
      <w:r>
        <w:t xml:space="preserve"> </w:t>
      </w:r>
    </w:p>
    <w:p>
      <w:pPr>
        <w:pStyle w:val="ResourceHeadnote"/>
      </w:pPr>
      <w:r>
        <w:t xml:space="preserve">The distinction between law and equity was entirely a product of history. The next doctrine that distributes decision-making power between a judge and a jury, the law versus fact distinction, is partly historical as well. But, when history and precedent provide no answer, the court system sometimes considers function to allocate power. That is, the courts attempt to reason based on the perceived competencies of judges versus juries. Note that some (most, really) of the courts' reasoning in this area is the stuff of fantasy. For example, decades of rigorous social science has decimated the court system's perceptions of competencies of both judges and juries vis-a-vis separating mistaken or false live testimony from accurate and truthful live testimony. Unsurprisingly, the conclusive empiricism in this area has had no effect on the court system's certainty regarding judge and jury competencies.</w:t>
      </w:r>
    </w:p>
    <w:p>
      <w:pPr>
        <w:pStyle w:val="HeadEnd"/>
      </w:pPr>
      <w:r>
        <w:t xml:space="preserve"> </w:t>
      </w:r>
    </w:p>
    <w:p>
      <w:pPr>
        <w:pStyle w:val="BodyText"/>
      </w:pPr>
      <w:r>
        <w:t xml:space="preserve">In the modern era, in suits at law (as opposed to in equity), the general adage is that juries are charged with making findings of fact and judges are responsible for making conclusions of law. There is some historical evidence to suggest that, until the 1800s, juries in some jurisdictions were simultaneously responsible for fact-finding and drawing conclusions of law. And in what is now the United Kingdom, where the United States' jury system had its origins, juries sometimes conducted their own investigations into the facts (i.e., they did not sit as passive observers at a trial). The United Kingdom has, however, largely abandoned the right to a jury trial in civil cases.</w:t>
      </w:r>
    </w:p>
    <w:p>
      <w:pPr>
        <w:pStyle w:val="BodyText"/>
      </w:pPr>
      <w:r>
        <w:t xml:space="preserve">In certain situations, there is little clarity on how, ex-ante, questions of law and questions of fact can be distinguished. As such, it is often easier to conceive of a question of law as something a judge decides, and a question of fact as something a jury decides.  The following case is an example.</w:t>
      </w:r>
    </w:p>
    <w:p>
      <w:pPr>
        <w:pStyle w:val="NodeEnd"/>
      </w:pPr>
      <w:r>
        <w:t xml:space="preserve"> </w:t>
      </w:r>
    </w:p>
    <w:p>
      <w:pPr>
        <w:pStyle w:val="NodeStart"/>
      </w:pPr>
      <w:r>
        <w:t xml:space="preserve"> </w:t>
      </w:r>
    </w:p>
    <w:p>
      <w:pPr>
        <w:pStyle w:val="HeadSeparator"/>
      </w:pPr>
      <w:r>
        <w:t xml:space="preserve"> </w:t>
      </w:r>
    </w:p>
    <w:bookmarkStart w:id="192" w:name="_auto_toc_192"/>
    <w:bookmarkEnd w:id="192"/>
    <w:p>
      <w:pPr>
        <w:pStyle w:val="ResourceNumber"/>
      </w:pPr>
      <w:r>
        <w:t xml:space="preserve">16.11</w:t>
      </w:r>
    </w:p>
    <w:p>
      <w:pPr>
        <w:pStyle w:val="ResourceTitle"/>
      </w:pPr>
      <w:r>
        <w:t xml:space="preserve">Markman v. Westview Instruments, Inc.</w:t>
      </w:r>
    </w:p>
    <w:p>
      <w:pPr>
        <w:pStyle w:val="HeadFieldSeparator"/>
      </w:pPr>
      <w:r>
        <w:t xml:space="preserve"> </w:t>
      </w:r>
    </w:p>
    <w:p>
      <w:pPr>
        <w:pStyle w:val="ResourceHeadnote"/>
      </w:pPr>
      <w:r>
        <w:t xml:space="preserve">In this case, the Supreme Court must decide whether a certain issue is one of law or fact. It finds that neither history nor precedent provides a solid answer, so it consults what it views as the competencies of each institution. To reiterate, much of this reasoning has the same validity as the Tooth Fairy. Rigorous, quantitative, replicated social science randomized experiments have decimated most of it. Courts, of course, could care less.</w:t>
      </w:r>
    </w:p>
    <w:p>
      <w:pPr>
        <w:pStyle w:val="HeadEnd"/>
      </w:pPr>
      <w:r>
        <w:t xml:space="preserve"> </w:t>
      </w:r>
    </w:p>
    <w:p>
      <w:pPr>
        <w:pStyle w:val="CaseHeader"/>
      </w:pPr>
      <w:r>
        <w:t xml:space="preserve">Supreme Court of the United States</w:t>
      </w:r>
    </w:p>
    <w:p>
      <w:pPr>
        <w:pStyle w:val="CaseHeader"/>
      </w:pPr>
      <w:r>
        <w:t xml:space="preserve">517 U.S. 370, 134 L. Ed. 2d 577, 116 S. Ct. 1384, 1996 U.S. LEXIS 2804, SCDB 1995-045</w:t>
      </w:r>
    </w:p>
    <w:p>
      <w:pPr>
        <w:pStyle w:val="CaseHeader"/>
      </w:pPr>
      <w:r>
        <w:t xml:space="preserve">No. 95-26</w:t>
      </w:r>
    </w:p>
    <w:p>
      <w:pPr>
        <w:pStyle w:val="CaseHeader"/>
      </w:pPr>
      <w:r>
        <w:t xml:space="preserve">1996-04-23</w:t>
      </w:r>
    </w:p>
    <w:p>
      <w:pPr>
        <w:pStyle w:val="CaseBody"/>
      </w:pPr>
      <w:r>
        <w:rPr>
          <w:rStyle w:val="Elision"/>
        </w:rPr>
        <w:t xml:space="preserve">[ … ]</w:t>
      </w:r>
    </w:p>
    <w:p>
      <w:pPr>
        <w:pStyle w:val="CaseBody"/>
      </w:pPr>
      <w:r>
        <w:t xml:space="preserve">Justice Souter</w:t>
      </w:r>
    </w:p>
    <w:p>
      <w:pPr>
        <w:pStyle w:val="CaseBody"/>
      </w:pPr>
      <w:r>
        <w:t xml:space="preserve">delivered the opinion of the Court.</w:t>
      </w:r>
    </w:p>
    <w:p>
      <w:pPr>
        <w:pStyle w:val="CaseBody"/>
      </w:pPr>
      <w:r>
        <w:t xml:space="preserve">The question here is whether the interpretation of a so-called patent</w:t>
      </w:r>
      <w:r>
        <w:t xml:space="preserve"> </w:t>
      </w:r>
      <w:r>
        <w:t xml:space="preserve">claim</w:t>
      </w:r>
      <w:r>
        <w:rPr>
          <w:rStyle w:val="FootnoteReference"/>
        </w:rPr>
        <w:footnoteReference w:customMarkFollows="1" w:id="43"/>
        <w:t xml:space="preserve">*</w:t>
      </w:r>
      <w:r>
        <w:t xml:space="preserve">, the portion of the patent document that defines the scope of the patentee’s rights, is a matter of law reserved entirely for the court, or subject to a Seventh Amendment guarantee that a jury will determine the meaning of any disputed term of art about which expert testimony is offered. We hold that the construction of a patent, including terms of art within its claim, is exclusively within the province of the court.</w:t>
      </w:r>
    </w:p>
    <w:p>
      <w:pPr>
        <w:pStyle w:val="CaseBody"/>
      </w:pPr>
      <w:r>
        <w:t xml:space="preserve">I</w:t>
      </w:r>
    </w:p>
    <w:p>
      <w:pPr>
        <w:pStyle w:val="CaseBody"/>
      </w:pPr>
      <w:r>
        <w:rPr>
          <w:rStyle w:val="Elision"/>
        </w:rPr>
        <w:t xml:space="preserve">[ … ]</w:t>
      </w:r>
    </w:p>
    <w:p>
      <w:pPr>
        <w:pStyle w:val="CaseBody"/>
      </w:pPr>
      <w:r>
        <w:t xml:space="preserve">Characteristically, patent lawsuits charge what is known as infringement,</w:t>
      </w:r>
      <w:r>
        <w:t xml:space="preserve"> </w:t>
      </w:r>
      <w:r>
        <w:rPr>
          <w:rStyle w:val="Elision"/>
        </w:rPr>
        <w:t xml:space="preserve">[ … ]</w:t>
      </w:r>
      <w:r>
        <w:t xml:space="preserve"> </w:t>
      </w:r>
      <w:r>
        <w:t xml:space="preserve">and rest on allegations that the defendant “without authority ma[de], use[d] or [sold the] patented invention, within the United States during the term of the patent therefor_”</w:t>
      </w:r>
      <w:r>
        <w:rPr>
          <w:rStyle w:val="Elision"/>
        </w:rPr>
        <w:t xml:space="preserve">[ … ]</w:t>
      </w:r>
      <w:r>
        <w:t xml:space="preserve"> </w:t>
      </w:r>
      <w:r>
        <w:t xml:space="preserve">Victory in an infringement suit requires a finding that the patent claim “covers the alleged infringer’s product or process,” which in turn necessitates a determination of “what the words in the claim mean.”</w:t>
      </w:r>
      <w:r>
        <w:t xml:space="preserve"> </w:t>
      </w:r>
      <w:r>
        <w:rPr>
          <w:rStyle w:val="Elision"/>
        </w:rPr>
        <w:t xml:space="preserve">[ … ]</w:t>
      </w:r>
    </w:p>
    <w:p>
      <w:pPr>
        <w:pStyle w:val="CaseBody"/>
      </w:pPr>
      <w:r>
        <w:t xml:space="preserve">Petitioner in this infringement suit, Markman, owns</w:t>
      </w:r>
      <w:r>
        <w:t xml:space="preserve"> </w:t>
      </w:r>
      <w:r>
        <w:rPr>
          <w:rStyle w:val="ReplacementText"/>
        </w:rPr>
        <w:t xml:space="preserve">a patent for</w:t>
      </w:r>
      <w:r>
        <w:t xml:space="preserve"> </w:t>
      </w:r>
      <w:r>
        <w:t xml:space="preserve">his “Inventory Control and Reporting System for Drycleaning Stores.” The patent describes a system that can monitor and report the status, location, and movement of clothing in a dry-cleaning establishment. The Markman system consists of a keyboard and data processor to generate written records for each transaction, including a bar code readable by optical detectors operated by employees, who log the progress of clothing through the dry-cleaning process. Respondent Westview's product also includes a keyboard and processor, and it lists charges for the dry-cleaning services on bar-coded tickets that can be read by portable optical detectors.</w:t>
      </w:r>
    </w:p>
    <w:p>
      <w:pPr>
        <w:pStyle w:val="CaseBody"/>
      </w:pPr>
      <w:r>
        <w:t xml:space="preserve">Markman brought an infringement suit against Westview</w:t>
      </w:r>
      <w:r>
        <w:t xml:space="preserve"> </w:t>
      </w:r>
      <w:r>
        <w:rPr>
          <w:rStyle w:val="Elision"/>
        </w:rPr>
        <w:t xml:space="preserve">[ … ]</w:t>
      </w:r>
      <w:r>
        <w:t xml:space="preserve">. Westview responded that Markman’s patent is not infringed by its system because the latter functions merely to record an inventory of receivables by tracking invoices and transaction totals, rather than to record and track an inventory of articles of clothing. Part of the dispute hinged upon the meaning of the word “inventory,” a term found in Markman’s independent claim 1, which states that Mark-man’s product can “maintain an inventory total” and “detect and localize spurious additions to inventory.” The case was tried before a jury, which heard, among others, a witness produced by Markman who testified about the meaning of the claim language.</w:t>
      </w:r>
    </w:p>
    <w:p>
      <w:pPr>
        <w:pStyle w:val="CaseBody"/>
      </w:pPr>
      <w:r>
        <w:t xml:space="preserve">After the jury compared the patent to Westview’s device, it found an infringement of Markman’s</w:t>
      </w:r>
      <w:r>
        <w:t xml:space="preserve"> </w:t>
      </w:r>
      <w:r>
        <w:rPr>
          <w:rStyle w:val="Elision"/>
        </w:rPr>
        <w:t xml:space="preserve">[ … ]</w:t>
      </w:r>
      <w:r>
        <w:t xml:space="preserve">claim</w:t>
      </w:r>
      <w:r>
        <w:t xml:space="preserve"> </w:t>
      </w:r>
      <w:r>
        <w:rPr>
          <w:rStyle w:val="Elision"/>
        </w:rPr>
        <w:t xml:space="preserve">[ … ]</w:t>
      </w:r>
      <w:r>
        <w:t xml:space="preserve"> </w:t>
      </w:r>
      <w:r>
        <w:t xml:space="preserve">The District Court nevertheless granted Westview’s deferred motion for judgment as a matter of law, one of its reasons being that the term “inventory” in Markman’s patent encompasses “both cash inventory and the actual physical inventory of articles of clothing.”</w:t>
      </w:r>
      <w:r>
        <w:t xml:space="preserve"> </w:t>
      </w:r>
      <w:r>
        <w:rPr>
          <w:rStyle w:val="Elision"/>
        </w:rPr>
        <w:t xml:space="preserve">[ … ]</w:t>
      </w:r>
      <w:r>
        <w:t xml:space="preserve">. Under the trial court’s construction of the patent, the production, sale, or use of a tracking system for dry cleaners would' not infringe Markman’s patent unless the product was capable of tracking articles of clothing throughout the cleaning process and generating reports about their status and location. Since West-view’s system cannot do these things, the District Court directed a verdict on the ground that Westview’s device does not have the “means to maintain an inventory total” and thus cannot “ ‘detect and localize spurious additions to inventory as well, as spurious deletions therefrom,’” as required by claim 1.</w:t>
      </w:r>
    </w:p>
    <w:p>
      <w:pPr>
        <w:pStyle w:val="CaseBody"/>
      </w:pPr>
      <w:r>
        <w:rPr>
          <w:rStyle w:val="Elision"/>
        </w:rPr>
        <w:t xml:space="preserve">[ … ]</w:t>
      </w:r>
    </w:p>
    <w:p>
      <w:pPr>
        <w:pStyle w:val="CaseBody"/>
      </w:pPr>
      <w:r>
        <w:t xml:space="preserve">Markman appealed, arguing it was error for the District Court to substitute its construction of the disputed claim term ‘inventory’ for the construction the jury had presumably given it. The United States Court of Appeals for the Federal Circuit affirmed</w:t>
      </w:r>
      <w:r>
        <w:rPr>
          <w:rStyle w:val="Elision"/>
        </w:rPr>
        <w:t xml:space="preserve">[ … ]</w:t>
      </w:r>
      <w:r>
        <w:t xml:space="preserve">. Markman sought our review on each point, and we granted certiorari.</w:t>
      </w:r>
      <w:r>
        <w:t xml:space="preserve"> </w:t>
      </w:r>
      <w:r>
        <w:rPr>
          <w:rStyle w:val="Elision"/>
        </w:rPr>
        <w:t xml:space="preserve">[ … ]</w:t>
      </w:r>
      <w:r>
        <w:t xml:space="preserve">We now affirm.</w:t>
      </w:r>
    </w:p>
    <w:p>
      <w:pPr>
        <w:pStyle w:val="CaseBody"/>
      </w:pPr>
      <w:r>
        <w:rPr>
          <w:rStyle w:val="Elision"/>
        </w:rPr>
        <w:t xml:space="preserve">[ … ]</w:t>
      </w:r>
    </w:p>
    <w:p>
      <w:pPr>
        <w:pStyle w:val="CaseBody"/>
      </w:pPr>
      <w:r>
        <w:t xml:space="preserve">Ill</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t xml:space="preserve">B</w:t>
      </w:r>
    </w:p>
    <w:p>
      <w:pPr>
        <w:pStyle w:val="CaseBody"/>
      </w:pPr>
      <w:r>
        <w:t xml:space="preserve">Where history and precedent provide no clear answers, functional considerations also play their part in the choice between judge and jury to define terms of art.</w:t>
      </w:r>
      <w:r>
        <w:t xml:space="preserve"> </w:t>
      </w:r>
      <w:r>
        <w:rPr>
          <w:rStyle w:val="Elision"/>
        </w:rPr>
        <w:t xml:space="preserve">[ … ]</w:t>
      </w:r>
      <w:r>
        <w:t xml:space="preserve"> </w:t>
      </w:r>
      <w:r>
        <w:rPr>
          <w:rStyle w:val="ReplacementText"/>
        </w:rPr>
        <w:t xml:space="preserve">When</w:t>
      </w:r>
      <w:r>
        <w:t xml:space="preserve"> </w:t>
      </w:r>
      <w:r>
        <w:t xml:space="preserve">an issue “falls somewhere between a pristine legal standard and a simple historical fact, the fact/law distinction at times has turned on a determination that, as a matter of the sound administration of justice, one judicial actor is better positioned than another to decide the issue in question.” So it turns out here, for judges, not juries, are the better suited to find the acquired meaning of patent terms.</w:t>
      </w:r>
    </w:p>
    <w:p>
      <w:pPr>
        <w:pStyle w:val="CaseBody"/>
      </w:pPr>
      <w:r>
        <w:t xml:space="preserve">The construction of written instruments is one of those things that judges often do and are likely to do better than jurors</w:t>
      </w:r>
      <w:r>
        <w:t xml:space="preserve"> </w:t>
      </w:r>
      <w:r>
        <w:rPr>
          <w:rStyle w:val="Elision"/>
        </w:rPr>
        <w:t xml:space="preserve">[ … ]</w:t>
      </w:r>
      <w:r>
        <w:t xml:space="preserve">. Patent construction in particular “is a special occupation, requiring, like all others, special training and practice. The judge, from his training and discipline, is more likely to give a proper interpretation to such instruments than a jury; and he is, therefore, more likely to be right, in performing such a duty, than a jury can be expected to be.”</w:t>
      </w:r>
      <w:r>
        <w:t xml:space="preserve"> </w:t>
      </w:r>
      <w:r>
        <w:rPr>
          <w:rStyle w:val="Elision"/>
        </w:rPr>
        <w:t xml:space="preserve">[ … ]</w:t>
      </w:r>
    </w:p>
    <w:p>
      <w:pPr>
        <w:pStyle w:val="CaseBody"/>
      </w:pPr>
      <w:r>
        <w:rPr>
          <w:rStyle w:val="Elision"/>
        </w:rPr>
        <w:t xml:space="preserve">[ … ]</w:t>
      </w:r>
    </w:p>
    <w:p>
      <w:pPr>
        <w:pStyle w:val="CaseBody"/>
      </w:pPr>
      <w:r>
        <w:t xml:space="preserve">C</w:t>
      </w:r>
    </w:p>
    <w:p>
      <w:pPr>
        <w:pStyle w:val="CaseBody"/>
      </w:pPr>
      <w:r>
        <w:t xml:space="preserve">Finally, we see the importance of uniformity in the treatment of a given patent as an independent reason to allocate all issues of construction to the court.</w:t>
      </w:r>
      <w:r>
        <w:t xml:space="preserve"> </w:t>
      </w:r>
      <w:r>
        <w:rPr>
          <w:rStyle w:val="ReplacementText"/>
        </w:rPr>
        <w:t xml:space="preserve">T</w:t>
      </w:r>
      <w:r>
        <w:t xml:space="preserve">he limits of a patent must be known for the protection of the patentee, the encouragement of the inventive genius of others and the assurance that the subject of the patent will be dedicated ultimately to the public.” Otherwise, a “zone of uncertainty which enterprise and experimentation may enter only at the risk of infringement claims would discourage invention only a little less than unequivocal foreclosure of the field,”</w:t>
      </w:r>
      <w:r>
        <w:rPr>
          <w:rStyle w:val="Elision"/>
        </w:rPr>
        <w:t xml:space="preserve">[ … ]</w:t>
      </w:r>
    </w:p>
    <w:p>
      <w:pPr>
        <w:pStyle w:val="CaseBody"/>
      </w:pPr>
      <w:r>
        <w:t xml:space="preserve">Uniformity would, however, be ill served by submitting issues of document construction to juries.</w:t>
      </w:r>
      <w:r>
        <w:t xml:space="preserve"> </w:t>
      </w:r>
      <w:r>
        <w:rPr>
          <w:rStyle w:val="Elision"/>
        </w:rPr>
        <w:t xml:space="preserve">[ … ]</w:t>
      </w:r>
    </w:p>
    <w:p>
      <w:pPr>
        <w:pStyle w:val="CaseBody"/>
      </w:pPr>
      <w:r>
        <w:t xml:space="preserve">* * *</w:t>
      </w:r>
    </w:p>
    <w:p>
      <w:pPr>
        <w:pStyle w:val="CaseBody"/>
      </w:pPr>
      <w:r>
        <w:t xml:space="preserve">Accordingly, we hold that the interpretation of the word “inventory” in this case is an issue for the judge, not the jury, and affirm the decision of the Court of Appeals for the Federal Circuit.</w:t>
      </w:r>
    </w:p>
    <w:p>
      <w:pPr>
        <w:pStyle w:val="CaseBody"/>
      </w:pPr>
      <w:r>
        <w:rPr>
          <w:iCs/>
          <w:i/>
        </w:rPr>
        <w:t xml:space="preserve">It is so ordered.</w:t>
      </w:r>
    </w:p>
    <w:p>
      <w:pPr>
        <w:pStyle w:val="CaseFootnoteText"/>
      </w:pPr>
      <w:r>
        <w:rPr>
          <w:rStyle w:val="FootnoteReference"/>
        </w:rPr>
        <w:t xml:space="preserve">[ … ]</w:t>
      </w:r>
      <w:r>
        <w:t xml:space="preserve"> </w:t>
      </w: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193" w:name="_auto_toc_193"/>
    <w:bookmarkEnd w:id="193"/>
    <w:p>
      <w:pPr>
        <w:pStyle w:val="ResourceNumber"/>
      </w:pPr>
      <w:r>
        <w:t xml:space="preserve">16.12</w:t>
      </w:r>
    </w:p>
    <w:p>
      <w:pPr>
        <w:pStyle w:val="ResourceTitle"/>
      </w:pPr>
      <w:r>
        <w:t xml:space="preserve">Notes following Markman</w:t>
      </w:r>
    </w:p>
    <w:p>
      <w:pPr>
        <w:pStyle w:val="HeadEnd"/>
      </w:pPr>
      <w:r>
        <w:t xml:space="preserve"> </w:t>
      </w:r>
    </w:p>
    <w:p>
      <w:pPr>
        <w:numPr>
          <w:ilvl w:val="0"/>
          <w:numId w:val="1161"/>
        </w:numPr>
      </w:pPr>
      <w:r>
        <w:t xml:space="preserve">In</w:t>
      </w:r>
      <w:r>
        <w:t xml:space="preserve"> </w:t>
      </w:r>
      <w:r>
        <w:rPr>
          <w:iCs/>
          <w:i/>
        </w:rPr>
        <w:t xml:space="preserve">Merck Sharp &amp; Dohme Corp. v. Albrecht</w:t>
      </w:r>
      <w:r>
        <w:t xml:space="preserve">, 139 S.Ct. 1668 (2019), the Supreme Court held that a judge, not a jury, was responsible for determining whether a failure-to-warn drug labeling claim was preempted by federal legislation. Preemption was appropriate if there was “clear evidence” that the relevant federal agency would not have approved the label change mandated under state law. The Court relied on</w:t>
      </w:r>
      <w:r>
        <w:t xml:space="preserve"> </w:t>
      </w:r>
      <w:r>
        <w:rPr>
          <w:iCs/>
          <w:i/>
        </w:rPr>
        <w:t xml:space="preserve">Markman</w:t>
      </w:r>
      <w:r>
        <w:t xml:space="preserve"> </w:t>
      </w:r>
      <w:r>
        <w:t xml:space="preserve">in its analysis, concluding that judges were better positioned to interpret the written guidance issued by agencies and there was a similar policy interest in uniformity.</w:t>
      </w:r>
    </w:p>
    <w:p>
      <w:pPr>
        <w:numPr>
          <w:ilvl w:val="0"/>
          <w:numId w:val="1161"/>
        </w:numPr>
      </w:pPr>
      <w:r>
        <w:t xml:space="preserve">In</w:t>
      </w:r>
      <w:r>
        <w:t xml:space="preserve"> </w:t>
      </w:r>
      <w:r>
        <w:rPr>
          <w:iCs/>
          <w:i/>
        </w:rPr>
        <w:t xml:space="preserve">Google v. Oracle</w:t>
      </w:r>
      <w:r>
        <w:t xml:space="preserve">, 141 S.Ct. 1183 (2021), the Supreme Court held that a judge was empowered to determine whether a defendant is entitled to the “fair use” affirmative defense to copyright infringement, concluding that such assignment did not violate the Seventh Amendment’s jury guarantees even though the “fair use” determination was a mixed question of law and fact.</w:t>
      </w:r>
    </w:p>
    <w:p>
      <w:pPr>
        <w:numPr>
          <w:ilvl w:val="0"/>
          <w:numId w:val="1161"/>
        </w:numPr>
      </w:pPr>
      <w:r>
        <w:t xml:space="preserve">Do these decisions make sense to you?  What about other questions that are between "pristine" questions of law or fact?  How about whether a defendant's conduct was negligent?  Or whether an exchange of documents is sufficient to constitute a contract?  Or whether an image is obscene?  Are there differences among these questions that make some more suited for a judge or a jury?</w:t>
      </w:r>
    </w:p>
    <w:p>
      <w:pPr>
        <w:pStyle w:val="NodeEnd"/>
      </w:pPr>
      <w:r>
        <w:t xml:space="preserve"> </w:t>
      </w:r>
    </w:p>
    <w:p>
      <w:pPr>
        <w:pStyle w:val="NodeStart"/>
      </w:pPr>
      <w:r>
        <w:t xml:space="preserve"> </w:t>
      </w:r>
    </w:p>
    <w:p>
      <w:pPr>
        <w:pStyle w:val="HeadSeparator"/>
      </w:pPr>
      <w:r>
        <w:t xml:space="preserve"> </w:t>
      </w:r>
    </w:p>
    <w:bookmarkStart w:id="194" w:name="_auto_toc_194"/>
    <w:bookmarkEnd w:id="194"/>
    <w:p>
      <w:pPr>
        <w:pStyle w:val="ResourceNumber"/>
      </w:pPr>
      <w:r>
        <w:t xml:space="preserve">16.13</w:t>
      </w:r>
    </w:p>
    <w:p>
      <w:pPr>
        <w:pStyle w:val="ResourceTitle"/>
      </w:pPr>
      <w:r>
        <w:t xml:space="preserve">Demand and Waiver of Trial By Jury</w:t>
      </w:r>
    </w:p>
    <w:p>
      <w:pPr>
        <w:pStyle w:val="HeadFieldSeparator"/>
      </w:pPr>
      <w:r>
        <w:t xml:space="preserve"> </w:t>
      </w:r>
    </w:p>
    <w:p>
      <w:pPr>
        <w:pStyle w:val="ResourceHeadnote"/>
      </w:pPr>
      <w:r>
        <w:t xml:space="preserve">A plaintiff must demand a jury trial (very) early in litigation, usually in the complaint. A defendant must demand a jury trial (very) early in litigation, typically in the answer. Parties that do not demand a jury trial early and clearly waive the right.</w:t>
      </w:r>
    </w:p>
    <w:p>
      <w:pPr>
        <w:pStyle w:val="HeadEnd"/>
      </w:pPr>
      <w:r>
        <w:t xml:space="preserve"> </w:t>
      </w:r>
    </w:p>
    <w:p>
      <w:pPr>
        <w:pStyle w:val="BodyText"/>
      </w:pPr>
      <w:r>
        <w:t xml:space="preserve">The prevailing consensus is that an amendment to the pleadings cannot revive a right to a jury trial that has been waived. However, under FRCP 39(b), the court has discretion to excuse a litigant’s failure to timely request a jury trial. The factors courts consider when making this determination are: (1) the length of the delay, (2) the reasons for the delay, (3) prejudice to the nonmoving party, (4) resulting consequences for the court’s docket, and (5) the relative strengths of judges and juries. Parties can waive their constitutional rights to jury trials before disputes even arise. For example, many courts have found jury waivers inherent in arbitration agreements.</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195" w:name="_auto_toc_195"/>
    <w:bookmarkEnd w:id="195"/>
    <w:p>
      <w:pPr>
        <w:pStyle w:val="ChapterNumber"/>
      </w:pPr>
      <w:r>
        <w:t xml:space="preserve">17</w:t>
      </w:r>
    </w:p>
    <w:p>
      <w:pPr>
        <w:pStyle w:val="ChapterTitle"/>
      </w:pPr>
      <w:r>
        <w:t xml:space="preserve">Day 17</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196" w:name="_auto_toc_196"/>
    <w:bookmarkEnd w:id="196"/>
    <w:p>
      <w:pPr>
        <w:pStyle w:val="ResourceNumber"/>
      </w:pPr>
      <w:r>
        <w:t xml:space="preserve">17.1</w:t>
      </w:r>
    </w:p>
    <w:p>
      <w:pPr>
        <w:pStyle w:val="ResourceTitle"/>
      </w:pPr>
      <w:r>
        <w:t xml:space="preserve">Rules</w:t>
      </w:r>
    </w:p>
    <w:p>
      <w:pPr>
        <w:pStyle w:val="HeadFieldSeparator"/>
      </w:pPr>
      <w:r>
        <w:t xml:space="preserve"> </w:t>
      </w:r>
    </w:p>
    <w:p>
      <w:pPr>
        <w:pStyle w:val="ResourceHeadnote"/>
      </w:pPr>
      <w:r>
        <w:t xml:space="preserve">Read the following Federal Rules of Civil Procedure. You can access them via the internet or the supplemental handout provided on Canvas.</w:t>
      </w:r>
    </w:p>
    <w:p>
      <w:pPr>
        <w:pStyle w:val="HeadEnd"/>
      </w:pPr>
      <w:r>
        <w:t xml:space="preserve"> </w:t>
      </w:r>
    </w:p>
    <w:p>
      <w:pPr>
        <w:numPr>
          <w:ilvl w:val="0"/>
          <w:numId w:val="1162"/>
        </w:numPr>
      </w:pPr>
      <w:r>
        <w:t xml:space="preserve">Fed. R. Civ. P. 51</w:t>
      </w:r>
    </w:p>
    <w:p>
      <w:pPr>
        <w:numPr>
          <w:ilvl w:val="0"/>
          <w:numId w:val="1162"/>
        </w:numPr>
      </w:pPr>
      <w:r>
        <w:t xml:space="preserve">Fed. R. Civ. P. 52</w:t>
      </w:r>
    </w:p>
    <w:p>
      <w:pPr>
        <w:numPr>
          <w:ilvl w:val="0"/>
          <w:numId w:val="1162"/>
        </w:numPr>
      </w:pPr>
      <w:r>
        <w:t xml:space="preserve">Fed. R. Civ. P. 50</w:t>
      </w:r>
    </w:p>
    <w:p>
      <w:pPr>
        <w:numPr>
          <w:ilvl w:val="0"/>
          <w:numId w:val="1162"/>
        </w:numPr>
      </w:pPr>
      <w:r>
        <w:t xml:space="preserve">Fed. R. Civ. P. 59</w:t>
      </w:r>
    </w:p>
    <w:p>
      <w:pPr>
        <w:numPr>
          <w:ilvl w:val="0"/>
          <w:numId w:val="1162"/>
        </w:numPr>
      </w:pPr>
      <w:r>
        <w:t xml:space="preserve">Fed. R. Civ. P. 6(b)(2)</w:t>
      </w:r>
    </w:p>
    <w:p>
      <w:pPr>
        <w:numPr>
          <w:ilvl w:val="0"/>
          <w:numId w:val="1162"/>
        </w:numPr>
      </w:pPr>
      <w:r>
        <w:t xml:space="preserve">Fed. R. Civ. P. 60</w:t>
      </w:r>
    </w:p>
    <w:p>
      <w:pPr>
        <w:pStyle w:val="NodeEnd"/>
      </w:pPr>
      <w:r>
        <w:t xml:space="preserve"> </w:t>
      </w:r>
    </w:p>
    <w:p>
      <w:pPr>
        <w:pStyle w:val="NodeStart"/>
      </w:pPr>
      <w:r>
        <w:t xml:space="preserve"> </w:t>
      </w:r>
    </w:p>
    <w:p>
      <w:pPr>
        <w:pStyle w:val="HeadSeparator"/>
      </w:pPr>
      <w:r>
        <w:t xml:space="preserve"> </w:t>
      </w:r>
    </w:p>
    <w:bookmarkStart w:id="197" w:name="_auto_toc_197"/>
    <w:bookmarkEnd w:id="197"/>
    <w:p>
      <w:pPr>
        <w:pStyle w:val="ResourceNumber"/>
      </w:pPr>
      <w:r>
        <w:t xml:space="preserve">17.2</w:t>
      </w:r>
    </w:p>
    <w:p>
      <w:pPr>
        <w:pStyle w:val="ResourceTitle"/>
      </w:pPr>
      <w:r>
        <w:t xml:space="preserve">Standards of review</w:t>
      </w:r>
    </w:p>
    <w:p>
      <w:pPr>
        <w:pStyle w:val="HeadEnd"/>
      </w:pPr>
      <w:r>
        <w:t xml:space="preserve"> </w:t>
      </w:r>
    </w:p>
    <w:p>
      <w:pPr>
        <w:pStyle w:val="BodyText"/>
      </w:pPr>
      <w:r>
        <w:t xml:space="preserve">When an appellate court decides an issue on appeal, the trial court has already decided that issue once.  How much, if at all, does the appellate court defer to the trial court's ruling?  The "standard of review" that the appellate court applies answers this question.  We will refer to four such standards in this course, listed below in increasing order of deference to the trial court ruling.</w:t>
      </w:r>
    </w:p>
    <w:p>
      <w:pPr>
        <w:pStyle w:val="BodyText"/>
      </w:pPr>
      <w:r>
        <w:t xml:space="preserve">1. </w:t>
      </w:r>
      <w:r>
        <w:t xml:space="preserve"> </w:t>
      </w:r>
      <w:r>
        <w:rPr>
          <w:bCs/>
          <w:b/>
        </w:rPr>
        <w:t xml:space="preserve">De novo</w:t>
      </w:r>
      <w:r>
        <w:t xml:space="preserve">:  "De novo" is Latin for "anew."  The appellate court gives no deference at all to the trial court's decision; rather, it considers the issue anew.  The appellate court may read the trial court's written decision (if there is such a writing), but the appeals court treats the trial court's writing like a party brief, meaning it is helpful only in as much as it persuades.</w:t>
      </w:r>
    </w:p>
    <w:p>
      <w:pPr>
        <w:pStyle w:val="BodyText"/>
      </w:pPr>
      <w:r>
        <w:t xml:space="preserve">Appellate courts use de novo review for issues of law.</w:t>
      </w:r>
    </w:p>
    <w:p>
      <w:pPr>
        <w:pStyle w:val="BodyText"/>
      </w:pPr>
      <w:r>
        <w:t xml:space="preserve"> </w:t>
      </w:r>
    </w:p>
    <w:p>
      <w:pPr>
        <w:pStyle w:val="BodyText"/>
      </w:pPr>
      <w:r>
        <w:t xml:space="preserve">2.a. </w:t>
      </w:r>
      <w:r>
        <w:t xml:space="preserve"> </w:t>
      </w:r>
      <w:r>
        <w:rPr>
          <w:bCs/>
          <w:b/>
        </w:rPr>
        <w:t xml:space="preserve">Clearly erroneous</w:t>
      </w:r>
      <w:r>
        <w:t xml:space="preserve">:  The appellate court gives substantial, but not unlimited, deference to the trial court decision.  To reverse, the appellate court must be left with the definite and firm impression that the trial court has made a mistake.</w:t>
      </w:r>
    </w:p>
    <w:p>
      <w:pPr>
        <w:pStyle w:val="BodyText"/>
      </w:pPr>
      <w:r>
        <w:t xml:space="preserve">Appellate courts apply the clearly erroneous standard of review to federal district court findings of fact under Fed. R. Civ. P. 52.</w:t>
      </w:r>
    </w:p>
    <w:p>
      <w:pPr>
        <w:pStyle w:val="BodyText"/>
      </w:pPr>
      <w:r>
        <w:t xml:space="preserve"> </w:t>
      </w:r>
    </w:p>
    <w:p>
      <w:pPr>
        <w:pStyle w:val="BodyText"/>
      </w:pPr>
      <w:r>
        <w:t xml:space="preserve">2.b. </w:t>
      </w:r>
      <w:r>
        <w:t xml:space="preserve"> </w:t>
      </w:r>
      <w:r>
        <w:rPr>
          <w:bCs/>
          <w:b/>
        </w:rPr>
        <w:t xml:space="preserve">Abuse of discretion</w:t>
      </w:r>
      <w:r>
        <w:t xml:space="preserve">:  The appellate court gives substantial, but not unlimited, deference to the trial court decision.  If the trial court decision is reasonable, even if the appellate court would itself have decided the issue differently, the appeals court will affirm.</w:t>
      </w:r>
    </w:p>
    <w:p>
      <w:pPr>
        <w:pStyle w:val="BodyText"/>
      </w:pPr>
      <w:r>
        <w:t xml:space="preserve">Appellate courts use abuse of discretion review for almost all decisions not covered by the other categories listed here, in particular, discovery rulings, evidentiary rulings, and applications of the Federal Rules of Civil Procedure.</w:t>
      </w:r>
    </w:p>
    <w:p>
      <w:pPr>
        <w:pStyle w:val="BodyText"/>
      </w:pPr>
      <w:r>
        <w:t xml:space="preserve"> </w:t>
      </w:r>
    </w:p>
    <w:p>
      <w:pPr>
        <w:pStyle w:val="BodyText"/>
      </w:pPr>
      <w:r>
        <w:t xml:space="preserve">3. </w:t>
      </w:r>
      <w:r>
        <w:t xml:space="preserve"> </w:t>
      </w:r>
      <w:r>
        <w:rPr>
          <w:bCs/>
          <w:b/>
        </w:rPr>
        <w:t xml:space="preserve">Plain error</w:t>
      </w:r>
      <w:r>
        <w:t xml:space="preserve">:  The appellate court almost never reverses when applying this standard of review. For the appeals court to reverse, the error must be so obvious that anyone would notice the error even though no party brought the matter to the trial court's attention at the time.</w:t>
      </w:r>
    </w:p>
    <w:p>
      <w:pPr>
        <w:pStyle w:val="BodyText"/>
      </w:pPr>
      <w:r>
        <w:t xml:space="preserve">Appellate courts use the plain error standard of review for rulings (or non-rulings) occuring in district court litigation to which no party objected.</w:t>
      </w:r>
    </w:p>
    <w:p>
      <w:pPr>
        <w:pStyle w:val="NodeEnd"/>
      </w:pPr>
      <w:r>
        <w:t xml:space="preserve"> </w:t>
      </w:r>
    </w:p>
    <w:p>
      <w:pPr>
        <w:pStyle w:val="NodeStart"/>
      </w:pPr>
      <w:r>
        <w:t xml:space="preserve"> </w:t>
      </w:r>
    </w:p>
    <w:p>
      <w:pPr>
        <w:pStyle w:val="HeadSeparator"/>
      </w:pPr>
      <w:r>
        <w:t xml:space="preserve"> </w:t>
      </w:r>
    </w:p>
    <w:bookmarkStart w:id="198" w:name="_auto_toc_198"/>
    <w:bookmarkEnd w:id="198"/>
    <w:p>
      <w:pPr>
        <w:pStyle w:val="ResourceNumber"/>
      </w:pPr>
      <w:r>
        <w:t xml:space="preserve">17.3</w:t>
      </w:r>
    </w:p>
    <w:p>
      <w:pPr>
        <w:pStyle w:val="ResourceTitle"/>
      </w:pPr>
      <w:r>
        <w:t xml:space="preserve">Kennedy v. Southern California Edison Co.</w:t>
      </w:r>
    </w:p>
    <w:p>
      <w:pPr>
        <w:pStyle w:val="HeadFieldSeparator"/>
      </w:pPr>
      <w:r>
        <w:t xml:space="preserve"> </w:t>
      </w:r>
    </w:p>
    <w:p>
      <w:pPr>
        <w:pStyle w:val="ResourceHeadnote"/>
      </w:pPr>
      <w:r>
        <w:t xml:space="preserve">On this class day, we consider various ways that judges control juries or overrule juries. We also briefly consider how judges find facts.</w:t>
      </w:r>
    </w:p>
    <w:p>
      <w:pPr>
        <w:pStyle w:val="ResourceHeadnote"/>
      </w:pPr>
      <w:r>
        <w:t xml:space="preserve">Jury instructions are one way judges control, or attempt to control, juries. Toward the end of a trial, the parties submit a copy of their proposed jury instructions to the judge. The parties can object to each other's submissions. The judge compiles the final instructions and reads them to the jury upon the close of all of the evidence, after the parties' closing arguments.</w:t>
      </w:r>
    </w:p>
    <w:p>
      <w:pPr>
        <w:pStyle w:val="ResourceHeadnote"/>
      </w:pPr>
      <w:r>
        <w:t xml:space="preserve">The next case concerns aspects of the jury instruction practice.</w:t>
      </w:r>
    </w:p>
    <w:p>
      <w:pPr>
        <w:pStyle w:val="HeadEnd"/>
      </w:pPr>
      <w:r>
        <w:t xml:space="preserve"> </w:t>
      </w:r>
    </w:p>
    <w:p>
      <w:pPr>
        <w:pStyle w:val="CaseHeader"/>
      </w:pPr>
      <w:r>
        <w:t xml:space="preserve">United States Court of Appeals for the Ninth Circuit</w:t>
      </w:r>
    </w:p>
    <w:p>
      <w:pPr>
        <w:pStyle w:val="CaseHeader"/>
      </w:pPr>
      <w:r>
        <w:t xml:space="preserve">219 F.3d 988</w:t>
      </w:r>
    </w:p>
    <w:p>
      <w:pPr>
        <w:pStyle w:val="CaseHeader"/>
      </w:pPr>
      <w:r>
        <w:t xml:space="preserve">No. 98-56157</w:t>
      </w:r>
    </w:p>
    <w:p>
      <w:pPr>
        <w:pStyle w:val="CaseHeader"/>
      </w:pPr>
      <w:r>
        <w:t xml:space="preserve">2000-07-20</w:t>
      </w:r>
    </w:p>
    <w:p>
      <w:pPr>
        <w:pStyle w:val="CaseBody"/>
      </w:pPr>
      <w:r>
        <w:rPr>
          <w:rStyle w:val="Elision"/>
        </w:rPr>
        <w:t xml:space="preserve">[ … ]</w:t>
      </w:r>
    </w:p>
    <w:p>
      <w:pPr>
        <w:pStyle w:val="CaseBody"/>
      </w:pPr>
      <w:r>
        <w:t xml:space="preserve">MICHAEL DALY HAWKINS, Circuit Judge:</w:t>
      </w:r>
    </w:p>
    <w:p>
      <w:pPr>
        <w:pStyle w:val="CaseBody"/>
      </w:pPr>
      <w:r>
        <w:rPr>
          <w:rStyle w:val="Elision"/>
        </w:rPr>
        <w:t xml:space="preserve">[ … ]</w:t>
      </w:r>
    </w:p>
    <w:p>
      <w:pPr>
        <w:pStyle w:val="CaseBody"/>
      </w:pPr>
      <w:r>
        <w:t xml:space="preserve">BACKGROUND</w:t>
      </w:r>
    </w:p>
    <w:p>
      <w:pPr>
        <w:pStyle w:val="CaseBody"/>
      </w:pPr>
      <w:r>
        <w:t xml:space="preserve">Ellen Kennedy died in 1996 of chronic myelogenous leukemia (“CML”), a rare form of cancer. She was 43 years old.</w:t>
      </w:r>
      <w:r>
        <w:t xml:space="preserve"> </w:t>
      </w:r>
      <w:r>
        <w:rPr>
          <w:rStyle w:val="Elision"/>
        </w:rPr>
        <w:t xml:space="preserve">[ … ]</w:t>
      </w:r>
      <w:r>
        <w:t xml:space="preserve">Mr. Kennedy worked as machinist for Southern California Edison Company (“Cal Edison”) at the company’s San Onofre Nuclear Generating Station (“SONGS”).</w:t>
      </w:r>
    </w:p>
    <w:p>
      <w:pPr>
        <w:pStyle w:val="CaseBody"/>
      </w:pPr>
      <w:r>
        <w:t xml:space="preserve">The plaintiffs sued Cal Edison in federal court</w:t>
      </w:r>
      <w:r>
        <w:rPr>
          <w:rStyle w:val="Elision"/>
        </w:rPr>
        <w:t xml:space="preserve">[ … ]</w:t>
      </w:r>
      <w:r>
        <w:t xml:space="preserve"> </w:t>
      </w:r>
      <w:r>
        <w:t xml:space="preserve">seeking damages for Ellen Kennedy’s wrongful death. The action alleged that her terminal CML resulted from negligence on the part of Cal Edison that resulted in her exposure to radiation from SONGS.</w:t>
      </w:r>
      <w:r>
        <w:t xml:space="preserve"> </w:t>
      </w:r>
      <w:r>
        <w:rPr>
          <w:rStyle w:val="Elision"/>
        </w:rPr>
        <w:t xml:space="preserve">[ … ]</w:t>
      </w:r>
    </w:p>
    <w:p>
      <w:pPr>
        <w:pStyle w:val="CaseBody"/>
      </w:pPr>
      <w:r>
        <w:t xml:space="preserve">In August 1997, the California Supreme Court issued its opinion in</w:t>
      </w:r>
      <w:r>
        <w:t xml:space="preserve"> </w:t>
      </w:r>
      <w:r>
        <w:rPr>
          <w:iCs/>
          <w:i/>
        </w:rPr>
        <w:t xml:space="preserve">Rutherford,</w:t>
      </w:r>
      <w:r>
        <w:t xml:space="preserve"> </w:t>
      </w:r>
      <w:r>
        <w:t xml:space="preserve">a products liability action brought by the estate of a worker who had been exposed to asbestos-containing products and subsequently died of lung cancer. The case, discussed</w:t>
      </w:r>
      <w:r>
        <w:t xml:space="preserve"> </w:t>
      </w:r>
      <w:r>
        <w:rPr>
          <w:iCs/>
          <w:i/>
        </w:rPr>
        <w:t xml:space="preserve">infra,</w:t>
      </w:r>
      <w:r>
        <w:t xml:space="preserve"> </w:t>
      </w:r>
      <w:r>
        <w:t xml:space="preserve">dealt in large part with the proper jury instructions to be given on causation when multiple potential causes of the injury exist. In light of the decision, Kennedy requested a causation instruction “consistent with</w:t>
      </w:r>
      <w:r>
        <w:t xml:space="preserve"> </w:t>
      </w:r>
      <w:r>
        <w:rPr>
          <w:iCs/>
          <w:i/>
        </w:rPr>
        <w:t xml:space="preserve">Rutherford.”</w:t>
      </w:r>
      <w:r>
        <w:t xml:space="preserve"> </w:t>
      </w:r>
      <w:r>
        <w:t xml:space="preserve">On November 14,1997, the district court denied Kennedy’s request. Kennedy requested a</w:t>
      </w:r>
      <w:r>
        <w:t xml:space="preserve"> </w:t>
      </w:r>
      <w:r>
        <w:rPr>
          <w:iCs/>
          <w:i/>
        </w:rPr>
        <w:t xml:space="preserve">Rutherford</w:t>
      </w:r>
      <w:r>
        <w:t xml:space="preserve"> </w:t>
      </w:r>
      <w:r>
        <w:t xml:space="preserve">instruction and submitted a proposal twice more before trial. Both requests were again denied.</w:t>
      </w:r>
    </w:p>
    <w:p>
      <w:pPr>
        <w:pStyle w:val="CaseBody"/>
      </w:pPr>
      <w:r>
        <w:t xml:space="preserve">On March 6, 1998, after a fact-intensive, five-week trial, the jury returned a unanimous verdict in favor of Cal Edison</w:t>
      </w:r>
      <w:r>
        <w:t xml:space="preserve"> </w:t>
      </w:r>
      <w:r>
        <w:rPr>
          <w:rStyle w:val="Elision"/>
        </w:rPr>
        <w:t xml:space="preserve">[ … ]</w:t>
      </w:r>
      <w:r>
        <w:t xml:space="preserve"> </w:t>
      </w:r>
      <w:r>
        <w:rPr>
          <w:rStyle w:val="Elision"/>
        </w:rPr>
        <w:t xml:space="preserve">[ … ]</w:t>
      </w:r>
    </w:p>
    <w:p>
      <w:pPr>
        <w:pStyle w:val="CaseBody"/>
      </w:pPr>
      <w:r>
        <w:rPr>
          <w:rStyle w:val="Elision"/>
        </w:rPr>
        <w:t xml:space="preserve">[ … ]</w:t>
      </w:r>
    </w:p>
    <w:p>
      <w:pPr>
        <w:pStyle w:val="CaseBody"/>
      </w:pPr>
      <w:r>
        <w:t xml:space="preserve">ANALYSIS</w:t>
      </w:r>
    </w:p>
    <w:p>
      <w:pPr>
        <w:pStyle w:val="CaseBody"/>
      </w:pPr>
      <w:r>
        <w:rPr>
          <w:rStyle w:val="ReplacementText"/>
        </w:rPr>
        <w:t xml:space="preserve">[The court first found that the Rutherford insturction was required.]</w:t>
      </w:r>
    </w:p>
    <w:p>
      <w:pPr>
        <w:pStyle w:val="CaseBody"/>
      </w:pPr>
      <w:r>
        <w:t xml:space="preserve">B. Correctness of Proffered Instruction and Obligation of the District Court</w:t>
      </w:r>
    </w:p>
    <w:p>
      <w:pPr>
        <w:pStyle w:val="CaseBody"/>
      </w:pPr>
      <w:r>
        <w:t xml:space="preserve">Having held that a</w:t>
      </w:r>
      <w:r>
        <w:t xml:space="preserve"> </w:t>
      </w:r>
      <w:r>
        <w:rPr>
          <w:iCs/>
          <w:i/>
        </w:rPr>
        <w:t xml:space="preserve">Rutherford</w:t>
      </w:r>
      <w:r>
        <w:t xml:space="preserve"> </w:t>
      </w:r>
      <w:r>
        <w:t xml:space="preserve">instruction was required, we now turn to the specific instruction proffered by Kennedy. At oral argument, appellees argued that the requested instruction was not a proper</w:t>
      </w:r>
      <w:r>
        <w:t xml:space="preserve"> </w:t>
      </w:r>
      <w:r>
        <w:rPr>
          <w:iCs/>
          <w:i/>
        </w:rPr>
        <w:t xml:space="preserve">Rutherford</w:t>
      </w:r>
      <w:r>
        <w:t xml:space="preserve"> </w:t>
      </w:r>
      <w:r>
        <w:t xml:space="preserve">instruction. We agree.</w:t>
      </w:r>
    </w:p>
    <w:p>
      <w:pPr>
        <w:pStyle w:val="CaseBody"/>
      </w:pPr>
      <w:r>
        <w:t xml:space="preserve">On two occasions, Kennedy proposed the following instruction,</w:t>
      </w:r>
      <w:r>
        <w:t xml:space="preserve"> </w:t>
      </w:r>
      <w:r>
        <w:rPr>
          <w:rStyle w:val="Elision"/>
        </w:rPr>
        <w:t xml:space="preserve">[ … ]</w:t>
      </w:r>
    </w:p>
    <w:p>
      <w:pPr>
        <w:pStyle w:val="BlockText"/>
      </w:pPr>
      <w:r>
        <w:t xml:space="preserve">In order to prove that radiation from the nuclear power plant was a substantial factor, Plaintiffs do not need to prove that it actually contributed to the development of Ellen Marie Kennedy’s cancer. If exposure to radiation from the nuclear power plant in reasonable medical probability contributed to her risk of developing cancer then such exposure was a substantial factor in causing her cancer.</w:t>
      </w:r>
    </w:p>
    <w:p>
      <w:pPr>
        <w:pStyle w:val="CaseBody"/>
      </w:pPr>
      <w:r>
        <w:t xml:space="preserve">The proposed instruction leaves out a small, but critical, phrase. It states that radiation from SONGS need only have “contributed” to Mrs. Kennedy’s risk of developing cancer. We read</w:t>
      </w:r>
      <w:r>
        <w:t xml:space="preserve"> </w:t>
      </w:r>
      <w:r>
        <w:rPr>
          <w:iCs/>
          <w:i/>
        </w:rPr>
        <w:t xml:space="preserve">Rutherford</w:t>
      </w:r>
      <w:r>
        <w:t xml:space="preserve"> </w:t>
      </w:r>
      <w:r>
        <w:t xml:space="preserve">to require more. Kennedy’s burden is not to show that exposure to radiation in reasonable medical probability “contributed” to a risk of cancer. Rather, it is to demonstrate that the exposure in reasonable medical probability was</w:t>
      </w:r>
      <w:r>
        <w:t xml:space="preserve"> </w:t>
      </w:r>
      <w:r>
        <w:rPr>
          <w:iCs/>
          <w:i/>
        </w:rPr>
        <w:t xml:space="preserve">“a substantial factor”</w:t>
      </w:r>
      <w:r>
        <w:t xml:space="preserve"> </w:t>
      </w:r>
      <w:r>
        <w:t xml:space="preserve">in contributing to the risk of cancer. The omission of this modifier is essential to a proper</w:t>
      </w:r>
      <w:r>
        <w:t xml:space="preserve"> </w:t>
      </w:r>
      <w:r>
        <w:rPr>
          <w:iCs/>
          <w:i/>
        </w:rPr>
        <w:t xml:space="preserve">Rutherford</w:t>
      </w:r>
      <w:r>
        <w:t xml:space="preserve"> </w:t>
      </w:r>
      <w:r>
        <w:t xml:space="preserve">instruction.</w:t>
      </w:r>
    </w:p>
    <w:p>
      <w:pPr>
        <w:pStyle w:val="CaseBody"/>
      </w:pPr>
      <w:r>
        <w:t xml:space="preserve">That the defendant’s product must, in reasonable medical probability, be a “substantial factor” in contributing to the risk of cancer was reiterated as necessary to the instruction three times by the</w:t>
      </w:r>
      <w:r>
        <w:t xml:space="preserve"> </w:t>
      </w:r>
      <w:r>
        <w:rPr>
          <w:iCs/>
          <w:i/>
        </w:rPr>
        <w:t xml:space="preserve">Rutherford</w:t>
      </w:r>
      <w:r>
        <w:t xml:space="preserve"> </w:t>
      </w:r>
      <w:r>
        <w:t xml:space="preserve">court.</w:t>
      </w:r>
      <w:r>
        <w:t xml:space="preserve"> </w:t>
      </w:r>
      <w:r>
        <w:rPr>
          <w:rStyle w:val="Elision"/>
        </w:rPr>
        <w:t xml:space="preserve">[ … ]</w:t>
      </w:r>
    </w:p>
    <w:p>
      <w:pPr>
        <w:pStyle w:val="CaseBody"/>
      </w:pPr>
      <w:r>
        <w:rPr>
          <w:rStyle w:val="Elision"/>
        </w:rPr>
        <w:t xml:space="preserve">[ … ]</w:t>
      </w:r>
    </w:p>
    <w:p>
      <w:pPr>
        <w:pStyle w:val="CaseBody"/>
      </w:pPr>
      <w:r>
        <w:rPr>
          <w:rStyle w:val="Elision"/>
        </w:rPr>
        <w:t xml:space="preserve">[ … ]</w:t>
      </w:r>
      <w:r>
        <w:t xml:space="preserve">The omission of the “substantial factor” language from Kennedy’s requested instruction, therefore, would have enabled the jury to have found that radiation from SONGS was the legal cause (i.e., a substantial factor in bringing about the injury</w:t>
      </w:r>
      <w:r>
        <w:rPr>
          <w:rStyle w:val="Elision"/>
        </w:rPr>
        <w:t xml:space="preserve">[ … ]</w:t>
      </w:r>
      <w:r>
        <w:t xml:space="preserve">), of Mrs. Kennedy’s death, even if the radiation played only an “infinitesimal” or “theoretical” part in contributing to her risk of CML. Such a result is inconsistent with</w:t>
      </w:r>
      <w:r>
        <w:t xml:space="preserve"> </w:t>
      </w:r>
      <w:r>
        <w:rPr>
          <w:iCs/>
          <w:i/>
        </w:rPr>
        <w:t xml:space="preserve">Rutherford.</w:t>
      </w:r>
    </w:p>
    <w:p>
      <w:pPr>
        <w:pStyle w:val="CaseBody"/>
      </w:pPr>
      <w:r>
        <w:t xml:space="preserve">That the proposed instructions were not entirely correct under</w:t>
      </w:r>
      <w:r>
        <w:t xml:space="preserve"> </w:t>
      </w:r>
      <w:r>
        <w:rPr>
          <w:iCs/>
          <w:i/>
        </w:rPr>
        <w:t xml:space="preserve">Rutherford</w:t>
      </w:r>
      <w:r>
        <w:t xml:space="preserve"> </w:t>
      </w:r>
      <w:r>
        <w:t xml:space="preserve">is insufficient to affirm the district court’s refusal to instruct the jury properly. Ordinarily, a district court does not err in refusing to give incorrect or misleading instructions.</w:t>
      </w:r>
      <w:r>
        <w:t xml:space="preserve"> </w:t>
      </w:r>
      <w:r>
        <w:rPr>
          <w:rStyle w:val="Elision"/>
        </w:rPr>
        <w:t xml:space="preserve">[ … ]</w:t>
      </w:r>
    </w:p>
    <w:p>
      <w:pPr>
        <w:pStyle w:val="CaseBody"/>
      </w:pPr>
      <w:r>
        <w:t xml:space="preserve">A district court, however, may have an obligation to correctly instruct the jury even after being presented with an arguably improper instruction that nonetheless directs its attention to an important issue. While this issue has not been expressly decided in this circuit, several of our sister circuits have held that such an obligation does exist.</w:t>
      </w:r>
      <w:r>
        <w:t xml:space="preserve"> </w:t>
      </w:r>
      <w:r>
        <w:rPr>
          <w:rStyle w:val="ReplacementText"/>
          <w:iCs/>
          <w:i/>
        </w:rPr>
        <w:t xml:space="preserve">[The court cited a multitude of examples.]</w:t>
      </w:r>
    </w:p>
    <w:p>
      <w:pPr>
        <w:pStyle w:val="CaseBody"/>
      </w:pPr>
      <w:r>
        <w:rPr>
          <w:rStyle w:val="Elision"/>
        </w:rPr>
        <w:t xml:space="preserve">[ … ]</w:t>
      </w:r>
    </w:p>
    <w:p>
      <w:pPr>
        <w:pStyle w:val="CaseBody"/>
      </w:pPr>
      <w:r>
        <w:t xml:space="preserve">We hold that when the district court is presented with an applicable instruction that raises an important issue of law or directs the court’s attention to a point upon which an instruction to the jury would be important, it is not relieved from the responsibility of giving a proper instruction simply because the party making the request has proposed an instruction that does not completely comply with the relevant law.</w:t>
      </w:r>
      <w:hyperlink w:anchor="Xda203877d79da4fa29a89a5eddb7005baa09fe0">
        <w:r>
          <w:rPr>
            <w:rStyle w:val="Elision"/>
          </w:rPr>
          <w:t xml:space="preserve">[ … ]</w:t>
        </w:r>
      </w:hyperlink>
    </w:p>
    <w:p>
      <w:pPr>
        <w:pStyle w:val="CaseBody"/>
      </w:pPr>
      <w:r>
        <w:t xml:space="preserve">C. Harmless Error Analysis</w:t>
      </w:r>
    </w:p>
    <w:p>
      <w:pPr>
        <w:pStyle w:val="CaseBody"/>
      </w:pPr>
      <w:r>
        <w:t xml:space="preserve">Harmless-error review applies to jury instructions in a civil case.</w:t>
      </w:r>
      <w:r>
        <w:t xml:space="preserve"> </w:t>
      </w:r>
      <w:r>
        <w:rPr>
          <w:rStyle w:val="Elision"/>
        </w:rPr>
        <w:t xml:space="preserve">[ … ]</w:t>
      </w:r>
      <w:r>
        <w:rPr>
          <w:rStyle w:val="Elision"/>
        </w:rPr>
        <w:t xml:space="preserve">[ … ]</w:t>
      </w:r>
      <w:r>
        <w:rPr>
          <w:rStyle w:val="Elision"/>
        </w:rPr>
        <w:t xml:space="preserve">[ … ]</w:t>
      </w:r>
      <w:r>
        <w:t xml:space="preserve"> </w:t>
      </w:r>
      <w:r>
        <w:rPr>
          <w:rStyle w:val="Elision"/>
        </w:rPr>
        <w:t xml:space="preserve">[ … ]</w:t>
      </w:r>
    </w:p>
    <w:p>
      <w:pPr>
        <w:pStyle w:val="CaseBody"/>
      </w:pPr>
      <w:r>
        <w:t xml:space="preserve">We hold the district court’s failure to give a proper</w:t>
      </w:r>
      <w:r>
        <w:t xml:space="preserve"> </w:t>
      </w:r>
      <w:r>
        <w:rPr>
          <w:iCs/>
          <w:i/>
        </w:rPr>
        <w:t xml:space="preserve">Rutherford</w:t>
      </w:r>
      <w:r>
        <w:t xml:space="preserve"> </w:t>
      </w:r>
      <w:r>
        <w:t xml:space="preserve">instruction was</w:t>
      </w:r>
      <w:r>
        <w:t xml:space="preserve"> </w:t>
      </w:r>
      <w:r>
        <w:rPr>
          <w:iCs/>
          <w:i/>
        </w:rPr>
        <w:t xml:space="preserve">not</w:t>
      </w:r>
      <w:r>
        <w:t xml:space="preserve"> </w:t>
      </w:r>
      <w:r>
        <w:t xml:space="preserve">harmless error. “An error in a trial court’s jury instructions relating to the parties’ respective burdens of proof ordinarily [requires] reversal.”</w:t>
      </w:r>
      <w:r>
        <w:t xml:space="preserve"> </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t xml:space="preserve">The decision of the district court is REVERSED, and the case is REMANDED for a new trial consistent with this opinion.</w:t>
      </w:r>
    </w:p>
    <w:p>
      <w:pPr>
        <w:pStyle w:val="CaseBody"/>
      </w:pPr>
      <w:r>
        <w:rPr>
          <w:rStyle w:val="Elision"/>
        </w:rPr>
        <w:t xml:space="preserve">[ … ]</w:t>
      </w:r>
    </w:p>
    <w:bookmarkStart w:id="199" w:name="_auto_toc_199"/>
    <w:bookmarkEnd w:id="199"/>
    <w:p>
      <w:pPr>
        <w:pStyle w:val="ResourceNumber"/>
      </w:pPr>
      <w:r>
        <w:t xml:space="preserve">17.4</w:t>
      </w:r>
    </w:p>
    <w:p>
      <w:pPr>
        <w:pStyle w:val="ResourceTitle"/>
      </w:pPr>
      <w:r>
        <w:t xml:space="preserve">Note following Kennedy</w:t>
      </w:r>
    </w:p>
    <w:p>
      <w:pPr>
        <w:pStyle w:val="HeadEnd"/>
      </w:pPr>
      <w:r>
        <w:t xml:space="preserve"> </w:t>
      </w:r>
    </w:p>
    <w:p>
      <w:pPr>
        <w:pStyle w:val="BodyText"/>
      </w:pPr>
      <w:r>
        <w:t xml:space="preserve">Standard practice is that a plaintiff waives the right to any objection on appeal that he, she, or they did not raise below. Had the plaintiffs in </w:t>
      </w:r>
      <w:r>
        <w:rPr>
          <w:iCs/>
          <w:i/>
        </w:rPr>
        <w:t xml:space="preserve">Kennedy</w:t>
      </w:r>
      <w:r>
        <w:t xml:space="preserve"> </w:t>
      </w:r>
      <w:r>
        <w:t xml:space="preserve">failed to request the </w:t>
      </w:r>
      <w:r>
        <w:rPr>
          <w:iCs/>
          <w:i/>
        </w:rPr>
        <w:t xml:space="preserve">Rutherford</w:t>
      </w:r>
      <w:r>
        <w:t xml:space="preserve"> </w:t>
      </w:r>
      <w:r>
        <w:t xml:space="preserve">instruction, they would have been unable to request it on appeal (or may have had to prove that the court committed "plain error" - a much more exacting task than proving that the error was not harmless). How strict should courts be with regard to this notion, that a failure to raise an objection below causes the objection's waiver upon appeal? Consider the following from</w:t>
      </w:r>
      <w:r>
        <w:t xml:space="preserve"> </w:t>
      </w:r>
      <w:r>
        <w:rPr>
          <w:iCs/>
          <w:i/>
        </w:rPr>
        <w:t xml:space="preserve">Turner Construction Co. v. Houlihan</w:t>
      </w:r>
      <w:r>
        <w:t xml:space="preserve">, 240 F.2d 435, 439 (1st Cir. 1957):</w:t>
      </w:r>
    </w:p>
    <w:p>
      <w:pPr>
        <w:pStyle w:val="BodyText"/>
      </w:pPr>
      <w:r>
        <w:t xml:space="preserve">"The first sentences of Rule 51 permits, but does not require, the filing of requests for instructions. If none are filed, the court must nevertheless charge the jury on the broad general fundamental rules of law applicable to the principal issues of fact in the case."</w:t>
      </w:r>
    </w:p>
    <w:p>
      <w:pPr>
        <w:pStyle w:val="BodyText"/>
      </w:pPr>
      <w:r>
        <w:t xml:space="preserve">Does </w:t>
      </w:r>
      <w:r>
        <w:rPr>
          <w:iCs/>
          <w:i/>
        </w:rPr>
        <w:t xml:space="preserve">Turner</w:t>
      </w:r>
      <w:r>
        <w:t xml:space="preserve"> </w:t>
      </w:r>
      <w:r>
        <w:t xml:space="preserve">indicate that the trial court would have been obligated to read a </w:t>
      </w:r>
      <w:r>
        <w:rPr>
          <w:iCs/>
          <w:i/>
        </w:rPr>
        <w:t xml:space="preserve">Rutherford</w:t>
      </w:r>
      <w:r>
        <w:t xml:space="preserve"> </w:t>
      </w:r>
      <w:r>
        <w:t xml:space="preserve">instruction regardless of whether the plaintiffs requested one? Is this good judicial policy?</w:t>
      </w:r>
    </w:p>
    <w:p>
      <w:pPr>
        <w:pStyle w:val="NodeEnd"/>
      </w:pPr>
      <w:r>
        <w:t xml:space="preserve"> </w:t>
      </w:r>
    </w:p>
    <w:p>
      <w:pPr>
        <w:pStyle w:val="NodeStart"/>
      </w:pPr>
      <w:r>
        <w:t xml:space="preserve"> </w:t>
      </w:r>
    </w:p>
    <w:p>
      <w:pPr>
        <w:pStyle w:val="HeadSeparator"/>
      </w:pPr>
      <w:r>
        <w:t xml:space="preserve"> </w:t>
      </w:r>
    </w:p>
    <w:bookmarkStart w:id="200" w:name="_auto_toc_200"/>
    <w:bookmarkEnd w:id="200"/>
    <w:p>
      <w:pPr>
        <w:pStyle w:val="ResourceNumber"/>
      </w:pPr>
      <w:r>
        <w:t xml:space="preserve">17.5</w:t>
      </w:r>
    </w:p>
    <w:p>
      <w:pPr>
        <w:pStyle w:val="ResourceTitle"/>
      </w:pPr>
      <w:r>
        <w:t xml:space="preserve">Lansford-Coaldale Joint Water Authority v. Tonolli Corp.</w:t>
      </w:r>
    </w:p>
    <w:p>
      <w:pPr>
        <w:pStyle w:val="HeadFieldSeparator"/>
      </w:pPr>
      <w:r>
        <w:t xml:space="preserve"> </w:t>
      </w:r>
    </w:p>
    <w:p>
      <w:pPr>
        <w:pStyle w:val="ResourceHeadnote"/>
      </w:pPr>
      <w:r>
        <w:t xml:space="preserve">When judges sit as triers of fact, either in a trial without a jury or when finding facts for, say, a preliminary injunction motion or a motion to dismiss for lack of personal or subject matter jurisdiction, the judge must follow certain procedures. For example, Fed. R. Civ. P. 52 provides that the court "</w:t>
      </w:r>
      <w:r>
        <w:t xml:space="preserve">must find the facts specially and state its conclusions of law separately." At least three policy considerations support this requirement: it (1) facilitates appellate review, (ii) makes application of the preclusion doctrine (covered later in the course) easier, and (iii) compels the trial judge to exercise greater care in making decisions.</w:t>
      </w:r>
    </w:p>
    <w:p>
      <w:pPr>
        <w:pStyle w:val="ResourceHeadnote"/>
      </w:pPr>
      <w:r>
        <w:t xml:space="preserve">On the last point, how much care must a judge take in making findings of fact and conclusions of law? The next case concerns this question.</w:t>
      </w:r>
    </w:p>
    <w:p>
      <w:pPr>
        <w:pStyle w:val="HeadEnd"/>
      </w:pPr>
      <w:r>
        <w:t xml:space="preserve"> </w:t>
      </w:r>
    </w:p>
    <w:p>
      <w:pPr>
        <w:pStyle w:val="CaseHeader"/>
      </w:pPr>
      <w:r>
        <w:t xml:space="preserve">United States Court of Appeals for the Third Circuit</w:t>
      </w:r>
    </w:p>
    <w:p>
      <w:pPr>
        <w:pStyle w:val="CaseHeader"/>
      </w:pPr>
      <w:r>
        <w:t xml:space="preserve">4 F.3d 1209</w:t>
      </w:r>
    </w:p>
    <w:p>
      <w:pPr>
        <w:pStyle w:val="CaseHeader"/>
      </w:pPr>
      <w:r>
        <w:t xml:space="preserve">Nos. 92-7605, 92-7671</w:t>
      </w:r>
    </w:p>
    <w:p>
      <w:pPr>
        <w:pStyle w:val="CaseHeader"/>
      </w:pPr>
      <w:r>
        <w:t xml:space="preserve">1993-09-17</w:t>
      </w:r>
    </w:p>
    <w:p>
      <w:pPr>
        <w:pStyle w:val="CaseBody"/>
      </w:pPr>
      <w:r>
        <w:rPr>
          <w:rStyle w:val="Elision"/>
        </w:rPr>
        <w:t xml:space="preserve">[ … ]</w:t>
      </w:r>
    </w:p>
    <w:p>
      <w:pPr>
        <w:pStyle w:val="CaseBody"/>
      </w:pPr>
      <w:r>
        <w:t xml:space="preserve">BECKER, Circuit Judge.</w:t>
      </w:r>
    </w:p>
    <w:p>
      <w:pPr>
        <w:pStyle w:val="CaseBody"/>
      </w:pPr>
      <w:r>
        <w:t xml:space="preserve">The plaintiff, the Lansford-Coaldale Joint Water Authority (“Authority”), provides public water in Carbon County, Pennsylvania. The Authority’s groundwater production and supply wells are adjacent to a site formerly used for lead smelting that is owned by Tonolli Pennsylvania (“Tonolli PA”). After learning that there had been releases of hazardous substances on the Tonolli site and that Tonolli PA had applied for a hazardous waste disposal permit, the Authority commissioned a study to determine whether there was or would be any contamination of its wells. Based on this study, the Authority brought suit against Tonolli PA, its sister corporation, Tonolli Canada, and its parent corporation, IFIM, alleging that they were owners or operators of the Tonolli PA facility and that hazardous discharges from their property posed a threat of future contamination to the Authority’s water supply.</w:t>
      </w:r>
      <w:r>
        <w:t xml:space="preserve"> </w:t>
      </w:r>
      <w:r>
        <w:rPr>
          <w:rStyle w:val="Elision"/>
        </w:rPr>
        <w:t xml:space="preserve">[ … ]</w:t>
      </w:r>
      <w:r>
        <w:t xml:space="preserve"> </w:t>
      </w:r>
      <w:r>
        <w:rPr>
          <w:rStyle w:val="ReplacementText"/>
        </w:rPr>
        <w:t xml:space="preserve">The</w:t>
      </w:r>
      <w:r>
        <w:t xml:space="preserve"> </w:t>
      </w:r>
      <w:r>
        <w:t xml:space="preserve">Authority sought to obtain both the costs it would incur due to the threat of future contamination, e.g., the costs of obtaining an alternative water supply, and the costs it would incur in monitoring and evaluation. At the conclusion of the trial, the district court made oral findings of fact and conclusions of law denying the Authority recovery on all claims. This appeal followed.</w:t>
      </w:r>
    </w:p>
    <w:p>
      <w:pPr>
        <w:pStyle w:val="CaseBody"/>
      </w:pPr>
      <w:r>
        <w:t xml:space="preserve">At the heart of the Authority’s appeal is an attack on the district court’s fact findings. First, the Authority asserts that the findings are tainted because they were made orally only a few hours after a long and complex trial and were principally drawn verbatim from Tonolli Canada’s proposed findings.</w:t>
      </w:r>
      <w:r>
        <w:t xml:space="preserve"> </w:t>
      </w:r>
      <w:r>
        <w:rPr>
          <w:rStyle w:val="Elision"/>
        </w:rPr>
        <w:t xml:space="preserve">[ … ]</w:t>
      </w:r>
    </w:p>
    <w:p>
      <w:pPr>
        <w:pStyle w:val="CaseBody"/>
      </w:pPr>
      <w:r>
        <w:t xml:space="preserve">We acknowledge that the district court might have made more precise findings had it taken the time to await the trial transcript and to draft a written opinion. Moreover, the findings might have been better had they not drawn so heavily on Tonolli Canada’s proposed findings. But the court’s oral findings offered the distinct advantage of fresh recollection and prompt justice. We therefore reject the Authority’s suggestion that the court’s findings are deficient because of the nature of their construction and delivery and hold that they did not violate the requirements of Fed.R.Civ.P. 52(a). Pursuant to that rule, we review them only for clear error.</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t xml:space="preserve">II. SCOPE OF REVIEW</w:t>
      </w:r>
    </w:p>
    <w:p>
      <w:pPr>
        <w:pStyle w:val="CaseBody"/>
      </w:pPr>
      <w:r>
        <w:t xml:space="preserve">Both the Authority and Tonolli Canada agree that the issues that surround the district court’s grant of judgment in favor of Tonolli Canada on both claims present mixed questions of law and fact. The general rule is that we break down the issues into their legal and factual components and</w:t>
      </w:r>
      <w:r>
        <w:t xml:space="preserve"> </w:t>
      </w:r>
      <w:r>
        <w:rPr>
          <w:rStyle w:val="Elision"/>
        </w:rPr>
        <w:t xml:space="preserve">[ … ]</w:t>
      </w:r>
      <w:r>
        <w:t xml:space="preserve">engage in plenary review of the legal components and deferential review of the factual components.</w:t>
      </w:r>
      <w:r>
        <w:t xml:space="preserve"> </w:t>
      </w:r>
      <w:r>
        <w:rPr>
          <w:rStyle w:val="Elision"/>
        </w:rPr>
        <w:t xml:space="preserve">[ … ]</w:t>
      </w:r>
      <w:r>
        <w:t xml:space="preserve"> </w:t>
      </w:r>
      <w:r>
        <w:t xml:space="preserve">There is disagreement, however, over the appropriate scope of review of the district court’s factual findings in this case. While ordinarily the factual components are reviewed only for clear error, the Authority contends that the district court’s factual findings here do not satisfy the purposes of Fed.R.Civ.P. 52(a) and hence should not be reviewed under a clearly erroneous standard.</w:t>
      </w:r>
    </w:p>
    <w:p>
      <w:pPr>
        <w:pStyle w:val="CaseBody"/>
      </w:pPr>
      <w:r>
        <w:t xml:space="preserve">The Authority complains that, despite the complexity of the case, the district court made its findings within a few hours after the trial ended instead of waiting for a transcript and taking the time to reflect and craft a written opinion. It also objects to the court’s having requested proposed findings from the parties only before and not after the trial.</w:t>
      </w:r>
      <w:r>
        <w:t xml:space="preserve"> </w:t>
      </w:r>
      <w:r>
        <w:rPr>
          <w:rStyle w:val="Elision"/>
        </w:rPr>
        <w:t xml:space="preserve">[ … ]</w:t>
      </w:r>
      <w:r>
        <w:t xml:space="preserve"> </w:t>
      </w:r>
      <w:r>
        <w:rPr>
          <w:rStyle w:val="Elision"/>
        </w:rPr>
        <w:t xml:space="preserve">[ … ]</w:t>
      </w:r>
      <w:r>
        <w:t xml:space="preserve"> </w:t>
      </w:r>
      <w:r>
        <w:rPr>
          <w:rStyle w:val="ReplacementText"/>
        </w:rPr>
        <w:t xml:space="preserve">The</w:t>
      </w:r>
      <w:r>
        <w:t xml:space="preserve"> </w:t>
      </w:r>
      <w:r>
        <w:t xml:space="preserve">Authority also argues that the district court’s findings are not entitled to deference on appeal because most of them were adopted verbatim from the defendant’s proposed findings of fact.</w:t>
      </w:r>
    </w:p>
    <w:p>
      <w:pPr>
        <w:pStyle w:val="CaseBody"/>
      </w:pPr>
      <w:r>
        <w:t xml:space="preserve">We reject the Authority’s contention that, because the district court issued its findings orally a few hours after the trial without the benefit of proposed findings submitted by the parties post-trial, the findings do not satisfy the purposes of Fed.R.Civ.P. 52(a). Rule 52(a) expressly authorizes oral findings.</w:t>
      </w:r>
      <w:r>
        <w:t xml:space="preserve"> </w:t>
      </w:r>
      <w:r>
        <w:rPr>
          <w:rStyle w:val="Elision"/>
        </w:rPr>
        <w:t xml:space="preserve">[ … ]</w:t>
      </w:r>
    </w:p>
    <w:p>
      <w:pPr>
        <w:pStyle w:val="CaseBody"/>
      </w:pPr>
      <w:r>
        <w:t xml:space="preserve">We do not deny the force of the Authority’s contention that the district court would have been well-served by requesting the parties to submit proposed factual findings after the close of trial and then articulating its own findings and legal reasoning in a carefully crafted opinion.</w:t>
      </w:r>
      <w:r>
        <w:t xml:space="preserve"> </w:t>
      </w:r>
      <w:r>
        <w:rPr>
          <w:rStyle w:val="Elision"/>
        </w:rPr>
        <w:t xml:space="preserve">[ … ]</w:t>
      </w:r>
      <w:r>
        <w:t xml:space="preserve"> </w:t>
      </w:r>
      <w:r>
        <w:t xml:space="preserve">However, the Authority ignores the benefits of the district court’s approach: by issuing oral findings on the day the trial ended, the district court served the interests of the parties and the legal system in speedy adjudication.</w:t>
      </w:r>
      <w:r>
        <w:t xml:space="preserve"> </w:t>
      </w:r>
      <w:r>
        <w:rPr>
          <w:rStyle w:val="Elision"/>
        </w:rPr>
        <w:t xml:space="preserve">[ … ]</w:t>
      </w:r>
      <w:r>
        <w:t xml:space="preserve"> </w:t>
      </w:r>
      <w:r>
        <w:t xml:space="preserve">In addition, by announcing its findings soon after the conclusion of the trial, the district court ensured that the record was fresh on its mind, an advantage a court lacks when making findings months later. Furthermore, the overwhelming demands on a district court’s time and resources also affects its ability to prepare extensive findings. For these reasons we reject the Authority’s suggestion that the district court’s oral findings are somehow suspect or tainted.</w:t>
      </w:r>
    </w:p>
    <w:p>
      <w:pPr>
        <w:pStyle w:val="CaseBody"/>
      </w:pPr>
      <w:r>
        <w:t xml:space="preserve">We similarly reject the Authority’s argument that the district court’s verbatim adoption of many of Tonolli Canada’s proposed factual findings contravened the purposes of Fed.R.Civ.P. 52(a) such that they do not warrant review under the clearly erroneous standard.</w:t>
      </w:r>
      <w:r>
        <w:t xml:space="preserve"> </w:t>
      </w:r>
      <w:r>
        <w:rPr>
          <w:rStyle w:val="Elision"/>
        </w:rPr>
        <w:t xml:space="preserve">[ … ]</w:t>
      </w:r>
    </w:p>
    <w:p>
      <w:pPr>
        <w:pStyle w:val="CaseBody"/>
      </w:pPr>
      <w:r>
        <w:rPr>
          <w:rStyle w:val="Elision"/>
        </w:rPr>
        <w:t xml:space="preserve">[ … ]</w:t>
      </w:r>
      <w:r>
        <w:t xml:space="preserve"> </w:t>
      </w:r>
      <w:r>
        <w:t xml:space="preserve">While we cannot dispute that a district court’s verbatim adoption of many of a party’s proposed findings does not always represent a desirable practice, we are satisfied that the district court’s findings here satisfy Rule 52(a) and should be upheld unless they are not supported by the evidence in the record. We note that we found no indication in the record that the district court was unfamiliar with the testimony and exhibits or that it was using the proposed findings as a crutch; if we had, we might view the matter differently. Rather, the record suggests to us that the district court’s findings reflected its informed and considered views.</w:t>
      </w:r>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201" w:name="_auto_toc_201"/>
    <w:bookmarkEnd w:id="201"/>
    <w:p>
      <w:pPr>
        <w:pStyle w:val="ResourceNumber"/>
      </w:pPr>
      <w:r>
        <w:t xml:space="preserve">17.6</w:t>
      </w:r>
    </w:p>
    <w:p>
      <w:pPr>
        <w:pStyle w:val="ResourceTitle"/>
      </w:pPr>
      <w:r>
        <w:t xml:space="preserve">Ætna Casualty &amp; Surety Co. v. Yeatts</w:t>
      </w:r>
    </w:p>
    <w:p>
      <w:pPr>
        <w:pStyle w:val="HeadFieldSeparator"/>
      </w:pPr>
      <w:r>
        <w:t xml:space="preserve"> </w:t>
      </w:r>
    </w:p>
    <w:p>
      <w:pPr>
        <w:pStyle w:val="ResourceHeadnote"/>
      </w:pPr>
      <w:r>
        <w:t xml:space="preserve">When a jury renders a verdict, a losing party can move that the court grant judgment as a matter of law (meaning that they will prevail despite the jury's verdict). Read Fed. R. Civ. P. 50 carefully. We will discuss in class what this rule requires a party to do to preserve the ability to move for judgment as a matter of law. We will also discuss the standard that the judge uses in ruling on the motion. In a nutshell, it is the summary judgment standard minus the burden-shifting baggage applied to the trial record as opposed to the summary judgment record.</w:t>
      </w:r>
    </w:p>
    <w:p>
      <w:pPr>
        <w:pStyle w:val="ResourceHeadnote"/>
      </w:pPr>
      <w:r>
        <w:t xml:space="preserve">Alternatively, or sometimes simultaneously, a losing party can move for a new trial under Fed. R. Civ. P. 59. A party making such a motion typically argues that (i) some mistake in the conduct of the trial requires that it be redone (this argument is rarely successful), or (ii) the verdict is against "the great weight of the evidence." Some, including me, find the availability of the second basis for a new trial puzzling. As we will discuss in class, if a trial judge cannot grant a motion for a judgment as a matter of law under Rule 50, that means that the judge believes that a rational jury could find the way this jury did. But the judge nevertheless has the power under Rule 59 to grant a new trial to see if a different jury will reach the same, concededly rational, decision as did the first jury. The next case illustrates this "against the great weight of the evidence" standard. As you read it, see if you can find any functional (as opposed to historical) justification for this rule.</w:t>
      </w:r>
    </w:p>
    <w:p>
      <w:pPr>
        <w:pStyle w:val="HeadEnd"/>
      </w:pPr>
      <w:r>
        <w:t xml:space="preserve"> </w:t>
      </w:r>
    </w:p>
    <w:p>
      <w:pPr>
        <w:pStyle w:val="CaseHeader"/>
      </w:pPr>
      <w:r>
        <w:t xml:space="preserve">United States Court of Appeals for the Fourth Circuit</w:t>
      </w:r>
    </w:p>
    <w:p>
      <w:pPr>
        <w:pStyle w:val="CaseHeader"/>
      </w:pPr>
      <w:r>
        <w:t xml:space="preserve">122 F.2d 350</w:t>
      </w:r>
    </w:p>
    <w:p>
      <w:pPr>
        <w:pStyle w:val="CaseHeader"/>
      </w:pPr>
      <w:r>
        <w:t xml:space="preserve">No. 4794</w:t>
      </w:r>
    </w:p>
    <w:p>
      <w:pPr>
        <w:pStyle w:val="CaseHeader"/>
      </w:pPr>
      <w:r>
        <w:t xml:space="preserve">1941-08-22</w:t>
      </w:r>
    </w:p>
    <w:p>
      <w:pPr>
        <w:pStyle w:val="CaseBody"/>
      </w:pPr>
      <w:r>
        <w:rPr>
          <w:rStyle w:val="Elision"/>
        </w:rPr>
        <w:t xml:space="preserve">[ … ]</w:t>
      </w:r>
    </w:p>
    <w:p>
      <w:pPr>
        <w:pStyle w:val="CaseBody"/>
      </w:pPr>
      <w:r>
        <w:t xml:space="preserve">PARKER, Circuit Judge.</w:t>
      </w:r>
    </w:p>
    <w:p>
      <w:pPr>
        <w:pStyle w:val="CaseBody"/>
      </w:pPr>
      <w:r>
        <w:t xml:space="preserve">This is the second appeal in a suit originally instituted to obtain a declaratory judgment with respect to the coverage of a policy of indemnity insurance.</w:t>
      </w:r>
      <w:r>
        <w:t xml:space="preserve"> </w:t>
      </w:r>
      <w:r>
        <w:rPr>
          <w:rStyle w:val="Elision"/>
        </w:rPr>
        <w:t xml:space="preserve">[ … ]</w:t>
      </w:r>
      <w:r>
        <w:t xml:space="preserve"> </w:t>
      </w:r>
      <w:r>
        <w:t xml:space="preserve">The company denied liability on the ground that the defendant Yeatts was engaged in the performance of a criminal abortion at the time he incurred the liability for which the recovery was had against him, and that such liability was expressly excluded from the coverage of the policy. The question as to whether the defendant Yeatts was engaged in such criminal conduct was submitted to the jury, and from verdict and judgment in his favor the plaintiff brings this appeal.</w:t>
      </w:r>
    </w:p>
    <w:p>
      <w:pPr>
        <w:pStyle w:val="CaseBody"/>
      </w:pPr>
      <w:r>
        <w:t xml:space="preserve">There was testimony below from which the jury would have been amply justified in finding in favor of the plaintiff insurance company on the issue submitted; but the defendant himself was examined as a witness and, if his testimony is believed, he was guilty of no criminal act.</w:t>
      </w:r>
      <w:r>
        <w:t xml:space="preserve"> </w:t>
      </w:r>
      <w:r>
        <w:rPr>
          <w:rStyle w:val="Elision"/>
        </w:rPr>
        <w:t xml:space="preserve">[ … ]</w:t>
      </w:r>
      <w:r>
        <w:t xml:space="preserve">After verdict, plaintiff moved</w:t>
      </w:r>
      <w:r>
        <w:t xml:space="preserve"> </w:t>
      </w:r>
      <w:r>
        <w:rPr>
          <w:rStyle w:val="Elision"/>
        </w:rPr>
        <w:t xml:space="preserve">[ … ]</w:t>
      </w:r>
      <w:r>
        <w:t xml:space="preserve"> </w:t>
      </w:r>
      <w:r>
        <w:t xml:space="preserve">for a new trial, on the ground that the verdict was contrary to the credible evidence in the case</w:t>
      </w:r>
      <w:r>
        <w:rPr>
          <w:rStyle w:val="ReplacementText"/>
        </w:rPr>
        <w:t xml:space="preserve">.</w:t>
      </w:r>
      <w:r>
        <w:t xml:space="preserve"> </w:t>
      </w:r>
      <w:r>
        <w:rPr>
          <w:rStyle w:val="Elision"/>
        </w:rPr>
        <w:t xml:space="preserve">[ … ]</w:t>
      </w:r>
    </w:p>
    <w:p>
      <w:pPr>
        <w:pStyle w:val="CaseBody"/>
      </w:pPr>
      <w:r>
        <w:t xml:space="preserve">Even if a motion for directed verdict had been made by plaintiff, it is clear that same should liave been denied as should, also, any motion</w:t>
      </w:r>
      <w:r>
        <w:t xml:space="preserve"> </w:t>
      </w:r>
      <w:r>
        <w:rPr>
          <w:rStyle w:val="ReplacementText"/>
        </w:rPr>
        <w:t xml:space="preserve">for</w:t>
      </w:r>
      <w:r>
        <w:t xml:space="preserve"> </w:t>
      </w:r>
      <w:r>
        <w:t xml:space="preserve">judgment non obstante veredicto based thereon; for it is too well settled to warrant discussion that, on such motion, the evidence must be taken in the light most favorable to the party against whom the directed verdict is asked and that all conflicts must be resolved in his favor. But here there was no motion for directed verdict to serve as a basis for the motion for judgment non obstante veredicto; and such judgment can be entered on the ground of the insufficiency of the evidence only where motion for directed verdict has been duly made. Rules of Civil Procedure 50(b),</w:t>
      </w:r>
      <w:r>
        <w:rPr>
          <w:rStyle w:val="Elision"/>
        </w:rPr>
        <w:t xml:space="preserve">[ … ]</w:t>
      </w:r>
    </w:p>
    <w:p>
      <w:pPr>
        <w:pStyle w:val="CaseBody"/>
      </w:pPr>
      <w:r>
        <w:t xml:space="preserve">The motion to set aside the verdict and grant a new trial was a matter of federal procedure, governed by Rule of Civil Procedure 59 and not subject in any way to the rules of state practice. On such a motion it is the duty of the judge to set aside the verdict and grant a new trial, if he is of opinion that the verdict is against the clear weight of the evidence, or is based upon evidence which is false, or will result in a miscarriage of justice, even though there may be substantial evidence which would prevent the direction of a verdict. The exercise of this power is not in derogation of the right of trial by-jury but is one of the historic safeguards of that right.</w:t>
      </w:r>
      <w:r>
        <w:t xml:space="preserve"> </w:t>
      </w:r>
      <w:r>
        <w:rPr>
          <w:rStyle w:val="Elision"/>
        </w:rPr>
        <w:t xml:space="preserve">[ … ]</w:t>
      </w:r>
      <w:r>
        <w:t xml:space="preserve">The matter was well put by Mr. Justice Mitchell, speaking for the Supreme Court of Pennsylvania</w:t>
      </w:r>
      <w:r>
        <w:rPr>
          <w:rStyle w:val="Elision"/>
        </w:rPr>
        <w:t xml:space="preserve">[ … ]</w:t>
      </w:r>
      <w:r>
        <w:t xml:space="preserve"> </w:t>
      </w:r>
      <w:r>
        <w:t xml:space="preserve">as follows: “The authority of the common pleas in the control and revision of excessive verdicts through the means of new trials was firmly settled in England before the foundation of this colony, and has always existed here without challenge under any of our constitutions. It is a power to examine the whole case on the law and the evidence, with a view to securing a result, not merely legal, but also not manifestly against justice, — a power exercised in pursuance of a sound judicial discretion,</w:t>
      </w:r>
      <w:r>
        <w:t xml:space="preserve"> </w:t>
      </w:r>
      <w:r>
        <w:rPr>
          <w:rStyle w:val="ReplacementText"/>
          <w:iCs/>
          <w:i/>
        </w:rPr>
        <w:t xml:space="preserve">without which</w:t>
      </w:r>
      <w:r>
        <w:rPr>
          <w:iCs/>
          <w:i/>
        </w:rPr>
        <w:t xml:space="preserve"> </w:t>
      </w:r>
      <w:r>
        <w:rPr>
          <w:iCs/>
          <w:i/>
        </w:rPr>
        <w:t xml:space="preserve">the jury system</w:t>
      </w:r>
      <w:r>
        <w:rPr>
          <w:iCs/>
          <w:i/>
        </w:rPr>
        <w:t xml:space="preserve"> </w:t>
      </w:r>
      <w:r>
        <w:rPr>
          <w:rStyle w:val="ReplacementText"/>
          <w:iCs/>
          <w:i/>
        </w:rPr>
        <w:t xml:space="preserve">would</w:t>
      </w:r>
      <w:r>
        <w:rPr>
          <w:iCs/>
          <w:i/>
        </w:rPr>
        <w:t xml:space="preserve">be a capricious and intolerable tyranny,</w:t>
      </w:r>
      <w:r>
        <w:t xml:space="preserve"> </w:t>
      </w:r>
      <w:r>
        <w:t xml:space="preserve">which no people could long endure. This court has had occasion more than once recently to to say that it was</w:t>
      </w:r>
      <w:r>
        <w:t xml:space="preserve"> </w:t>
      </w:r>
      <w:r>
        <w:rPr>
          <w:iCs/>
          <w:i/>
        </w:rPr>
        <w:t xml:space="preserve">a power the courts ought to exercise unflinchingly.”</w:t>
      </w:r>
      <w:r>
        <w:t xml:space="preserve"> </w:t>
      </w:r>
      <w:r>
        <w:t xml:space="preserve">(Italics supplied).</w:t>
      </w:r>
    </w:p>
    <w:p>
      <w:pPr>
        <w:pStyle w:val="CaseBody"/>
      </w:pPr>
      <w:r>
        <w:t xml:space="preserve">In the same case, Mr. Justice Williams, in a concurring opinion, traces the history of the exercise of this power and sums up his conclusion</w:t>
      </w:r>
      <w:r>
        <w:t xml:space="preserve"> </w:t>
      </w:r>
      <w:r>
        <w:rPr>
          <w:rStyle w:val="ReplacementText"/>
        </w:rPr>
        <w:t xml:space="preserve">[in a lot of verbiage]</w:t>
      </w:r>
    </w:p>
    <w:p>
      <w:pPr>
        <w:pStyle w:val="CaseBody"/>
      </w:pPr>
      <w:r>
        <w:rPr>
          <w:rStyle w:val="Elision"/>
        </w:rPr>
        <w:t xml:space="preserve">[ … ]</w:t>
      </w:r>
    </w:p>
    <w:p>
      <w:pPr>
        <w:pStyle w:val="CaseBody"/>
      </w:pPr>
      <w:r>
        <w:t xml:space="preserve">In 1757, Lord Mansfield in Bright v. Eynon, supra, had this to say with respect to the exercise of the power:</w:t>
      </w:r>
    </w:p>
    <w:p>
      <w:pPr>
        <w:pStyle w:val="CaseBody"/>
      </w:pPr>
      <w:r>
        <w:t xml:space="preserve">“Trials by jury in civil causes, could not subsist now without a power,</w:t>
      </w:r>
      <w:r>
        <w:t xml:space="preserve"> </w:t>
      </w:r>
      <w:r>
        <w:rPr>
          <w:iCs/>
          <w:i/>
        </w:rPr>
        <w:t xml:space="preserve">somewhere,</w:t>
      </w:r>
      <w:r>
        <w:t xml:space="preserve"> </w:t>
      </w:r>
      <w:r>
        <w:t xml:space="preserve">to grant new trials. * * * There are numberless</w:t>
      </w:r>
      <w:r>
        <w:t xml:space="preserve"> </w:t>
      </w:r>
      <w:r>
        <w:rPr>
          <w:iCs/>
          <w:i/>
        </w:rPr>
        <w:t xml:space="preserve">causes</w:t>
      </w:r>
      <w:r>
        <w:t xml:space="preserve"> </w:t>
      </w:r>
      <w:r>
        <w:t xml:space="preserve">of false verdicts,</w:t>
      </w:r>
      <w:r>
        <w:t xml:space="preserve"> </w:t>
      </w:r>
      <w:r>
        <w:rPr>
          <w:rStyle w:val="ReplacementText"/>
          <w:iCs/>
          <w:i/>
        </w:rPr>
        <w:t xml:space="preserve">for example</w:t>
      </w:r>
      <w:r>
        <w:t xml:space="preserve"> </w:t>
      </w:r>
      <w:r>
        <w:t xml:space="preserve">corruption or bad intention of the jurors. They may have heard too much of the matter before the trial; and imbibed prejudices without knowing it. The cause may be intricate: the examination may be so long as to distract and confound their attention. Most general verdicts include</w:t>
      </w:r>
      <w:r>
        <w:t xml:space="preserve"> </w:t>
      </w:r>
      <w:r>
        <w:rPr>
          <w:iCs/>
          <w:i/>
        </w:rPr>
        <w:t xml:space="preserve">legal consequences</w:t>
      </w:r>
      <w:r>
        <w:t xml:space="preserve"> </w:t>
      </w:r>
      <w:r>
        <w:t xml:space="preserve">as well as propositions of fact: in drawing these consequences the jury may mistake, and infer directly contrary to law. The parties may be</w:t>
      </w:r>
      <w:r>
        <w:t xml:space="preserve"> </w:t>
      </w:r>
      <w:r>
        <w:rPr>
          <w:iCs/>
          <w:i/>
        </w:rPr>
        <w:t xml:space="preserve">surprised</w:t>
      </w:r>
      <w:r>
        <w:t xml:space="preserve"> </w:t>
      </w:r>
      <w:r>
        <w:t xml:space="preserve">by a case falsely made at the trial, which they had no reason to expect, and therefore could not come prepared to answer. If</w:t>
      </w:r>
      <w:r>
        <w:t xml:space="preserve"> </w:t>
      </w:r>
      <w:r>
        <w:rPr>
          <w:iCs/>
          <w:i/>
        </w:rPr>
        <w:t xml:space="preserve">unjust</w:t>
      </w:r>
      <w:r>
        <w:t xml:space="preserve"> </w:t>
      </w:r>
      <w:r>
        <w:t xml:space="preserve">verdicts obtained under these and a thousand like circumstances, were to be conclusive for ever, the determination of civil property, in this method of trial, would be very precarious and unsatisfactory. It is absolutely</w:t>
      </w:r>
      <w:r>
        <w:t xml:space="preserve"> </w:t>
      </w:r>
      <w:r>
        <w:rPr>
          <w:iCs/>
          <w:i/>
        </w:rPr>
        <w:t xml:space="preserve">necessary to justice,</w:t>
      </w:r>
      <w:r>
        <w:t xml:space="preserve"> </w:t>
      </w:r>
      <w:r>
        <w:t xml:space="preserve">that there should, upon many occasions, be opportunities of</w:t>
      </w:r>
      <w:r>
        <w:t xml:space="preserve"> </w:t>
      </w:r>
      <w:r>
        <w:rPr>
          <w:iCs/>
          <w:i/>
        </w:rPr>
        <w:t xml:space="preserve">reconsidering</w:t>
      </w:r>
      <w:r>
        <w:t xml:space="preserve"> </w:t>
      </w:r>
      <w:r>
        <w:t xml:space="preserve">the cause by a new trial.”</w:t>
      </w:r>
    </w:p>
    <w:p>
      <w:pPr>
        <w:pStyle w:val="CaseBody"/>
      </w:pPr>
      <w:r>
        <w:t xml:space="preserve">In Mellin v. Taylor, supra, Chief Justice Tindal said: “I cannot conceive how the benefit of trial by jury can be in any way impaired by a cautious and prudent application of the corrective which is now applied for: on the contrary, I think that, without some power of this nature residing in the breast of the Court, the trial by jury would, in particular cases, be productive of injustice, and the institution itself would suffer in the opinion of the public.”</w:t>
      </w:r>
    </w:p>
    <w:p>
      <w:pPr>
        <w:pStyle w:val="CaseBody"/>
      </w:pPr>
      <w:r>
        <w:t xml:space="preserve">To the federal trial judge, the law gives ample power to see that justice is done in causes pending before him; and the responsibility attendant upon such power is his in full measure. While according due respect to the findings of the jury, he should not hesitate to set aside their verdict and grant a new trial in any case where the ends of justice so require.</w:t>
      </w:r>
    </w:p>
    <w:p>
      <w:pPr>
        <w:pStyle w:val="CaseBody"/>
      </w:pPr>
      <w:r>
        <w:rPr>
          <w:rStyle w:val="Elision"/>
        </w:rPr>
        <w:t xml:space="preserve">[ … ]</w:t>
      </w:r>
    </w:p>
    <w:p>
      <w:pPr>
        <w:pStyle w:val="CaseBody"/>
      </w:pPr>
      <w:r>
        <w:t xml:space="preserve">It is</w:t>
      </w:r>
      <w:r>
        <w:t xml:space="preserve"> </w:t>
      </w:r>
      <w:r>
        <w:rPr>
          <w:rStyle w:val="Elision"/>
        </w:rPr>
        <w:t xml:space="preserve">[ … ]</w:t>
      </w:r>
      <w:r>
        <w:t xml:space="preserve"> </w:t>
      </w:r>
      <w:r>
        <w:t xml:space="preserve">well settled</w:t>
      </w:r>
      <w:r>
        <w:rPr>
          <w:rStyle w:val="Elision"/>
        </w:rPr>
        <w:t xml:space="preserve">[ … ]</w:t>
      </w:r>
      <w:r>
        <w:t xml:space="preserve"> </w:t>
      </w:r>
      <w:r>
        <w:t xml:space="preserve">that the granting or refusing of a new trial is a matter resting in the sound discretion of the trial judge, and that his action thereon is not reviewable upon appeal, save in the most exceptional circumstances.</w:t>
      </w:r>
      <w:r>
        <w:rPr>
          <w:rStyle w:val="Elision"/>
        </w:rPr>
        <w:t xml:space="preserve">[ … ]</w:t>
      </w:r>
      <w:r>
        <w:t xml:space="preserve"> </w:t>
      </w:r>
      <w:r>
        <w:rPr>
          <w:rStyle w:val="Elision"/>
        </w:rPr>
        <w:t xml:space="preserve">[ … ]</w:t>
      </w:r>
    </w:p>
    <w:p>
      <w:pPr>
        <w:pStyle w:val="CaseBody"/>
      </w:pPr>
      <w:r>
        <w:t xml:space="preserve">While an examination of the record has led us to the conclusion that the trial judge might very properly have granted the motion for new trial, we cannot say that his denial of the motion amounted to an abuse of discretion on his part or that there are present any of the special circumstances which would subject his action to review by this court. The judgment appealed from will accordingly be affirmed.</w:t>
      </w:r>
    </w:p>
    <w:p>
      <w:pPr>
        <w:pStyle w:val="CaseBody"/>
      </w:pPr>
      <w:r>
        <w:t xml:space="preserve">Affirmed.</w:t>
      </w:r>
    </w:p>
    <w:p>
      <w:pPr>
        <w:pStyle w:val="NodeEnd"/>
      </w:pPr>
      <w:r>
        <w:t xml:space="preserve"> </w:t>
      </w:r>
    </w:p>
    <w:p>
      <w:pPr>
        <w:pStyle w:val="NodeStart"/>
      </w:pPr>
      <w:r>
        <w:t xml:space="preserve"> </w:t>
      </w:r>
    </w:p>
    <w:p>
      <w:pPr>
        <w:pStyle w:val="HeadSeparator"/>
      </w:pPr>
      <w:r>
        <w:t xml:space="preserve"> </w:t>
      </w:r>
    </w:p>
    <w:bookmarkStart w:id="202" w:name="_auto_toc_202"/>
    <w:bookmarkEnd w:id="202"/>
    <w:p>
      <w:pPr>
        <w:pStyle w:val="ResourceNumber"/>
      </w:pPr>
      <w:r>
        <w:t xml:space="preserve">17.7</w:t>
      </w:r>
    </w:p>
    <w:p>
      <w:pPr>
        <w:pStyle w:val="ResourceTitle"/>
      </w:pPr>
      <w:r>
        <w:t xml:space="preserve">Note following Yeatts</w:t>
      </w:r>
    </w:p>
    <w:p>
      <w:pPr>
        <w:pStyle w:val="HeadEnd"/>
      </w:pPr>
      <w:r>
        <w:t xml:space="preserve"> </w:t>
      </w:r>
    </w:p>
    <w:p>
      <w:pPr>
        <w:pStyle w:val="BodyText"/>
      </w:pPr>
      <w:r>
        <w:t xml:space="preserve">How many times can a court set aside a jury verdict on the grounds that it is against the weight of the evidence? What should happen if a new trial is declared and the jury returns a similar verdict? Does it matter if new evidence is introduced or new arguments are made? Should it? What should the stopping point be, or should a court be allowed to set aside verdicts indefinitely?</w:t>
      </w:r>
    </w:p>
    <w:p>
      <w:pPr>
        <w:pStyle w:val="NodeEnd"/>
      </w:pPr>
      <w:r>
        <w:t xml:space="preserve"> </w:t>
      </w:r>
    </w:p>
    <w:p>
      <w:pPr>
        <w:pStyle w:val="NodeStart"/>
      </w:pPr>
      <w:r>
        <w:t xml:space="preserve"> </w:t>
      </w:r>
    </w:p>
    <w:p>
      <w:pPr>
        <w:pStyle w:val="HeadSeparator"/>
      </w:pPr>
      <w:r>
        <w:t xml:space="preserve"> </w:t>
      </w:r>
    </w:p>
    <w:bookmarkStart w:id="203" w:name="_auto_toc_203"/>
    <w:bookmarkEnd w:id="203"/>
    <w:p>
      <w:pPr>
        <w:pStyle w:val="ResourceNumber"/>
      </w:pPr>
      <w:r>
        <w:t xml:space="preserve">17.8</w:t>
      </w:r>
    </w:p>
    <w:p>
      <w:pPr>
        <w:pStyle w:val="ResourceTitle"/>
      </w:pPr>
      <w:r>
        <w:t xml:space="preserve">Fisch v. Manger</w:t>
      </w:r>
    </w:p>
    <w:p>
      <w:pPr>
        <w:pStyle w:val="HeadFieldSeparator"/>
      </w:pPr>
      <w:r>
        <w:t xml:space="preserve"> </w:t>
      </w:r>
    </w:p>
    <w:p>
      <w:pPr>
        <w:pStyle w:val="ResourceHeadnote"/>
      </w:pPr>
      <w:r>
        <w:t xml:space="preserve">Another form of motion for a new trial concerns only the damages award. In this type of motion, the losing party argues to the judge that a new trial is necessary because the award is either too high (defendants) or too low (plaintiffs). If the judge agrees, instead of ordering a new trial, the judge may themselves determine a reasonable damages amount, then offer the</w:t>
      </w:r>
      <w:r>
        <w:t xml:space="preserve"> </w:t>
      </w:r>
      <w:r>
        <w:rPr>
          <w:iCs/>
          <w:i/>
        </w:rPr>
        <w:t xml:space="preserve">non-moving</w:t>
      </w:r>
      <w:r>
        <w:t xml:space="preserve"> </w:t>
      </w:r>
      <w:r>
        <w:t xml:space="preserve">party a choice: either accept the new, reasonable damages award, or prepare for a new trial.</w:t>
      </w:r>
    </w:p>
    <w:p>
      <w:pPr>
        <w:pStyle w:val="ResourceHeadnote"/>
      </w:pPr>
      <w:r>
        <w:t xml:space="preserve">The next case defines the terms "additur" and "remittitur" in this context. It also explains that while only the latter is constitutional in the federal system, state courts may permit either (can you figure out why?).</w:t>
      </w:r>
    </w:p>
    <w:p>
      <w:pPr>
        <w:pStyle w:val="HeadEnd"/>
      </w:pPr>
      <w:r>
        <w:t xml:space="preserve"> </w:t>
      </w:r>
    </w:p>
    <w:p>
      <w:pPr>
        <w:pStyle w:val="CaseHeader"/>
      </w:pPr>
      <w:r>
        <w:t xml:space="preserve">Supreme Court of New Jersey</w:t>
      </w:r>
    </w:p>
    <w:p>
      <w:pPr>
        <w:pStyle w:val="CaseHeader"/>
      </w:pPr>
      <w:r>
        <w:t xml:space="preserve">24 N.J. 66</w:t>
      </w:r>
    </w:p>
    <w:p>
      <w:pPr>
        <w:pStyle w:val="CaseHeader"/>
      </w:pPr>
      <w:r>
        <w:t xml:space="preserve">1957-04-01</w:t>
      </w:r>
    </w:p>
    <w:p>
      <w:pPr>
        <w:pStyle w:val="CaseBody"/>
      </w:pPr>
      <w:r>
        <w:rPr>
          <w:rStyle w:val="Elision"/>
        </w:rPr>
        <w:t xml:space="preserve">[ … ]</w:t>
      </w:r>
    </w:p>
    <w:p>
      <w:pPr>
        <w:pStyle w:val="CaseBody"/>
      </w:pPr>
      <w:r>
        <w:t xml:space="preserve">The opinion of the court was delivered by</w:t>
      </w:r>
    </w:p>
    <w:p>
      <w:pPr>
        <w:pStyle w:val="CaseBody"/>
      </w:pPr>
      <w:r>
        <w:t xml:space="preserve">Jacobs, J.</w:t>
      </w:r>
    </w:p>
    <w:p>
      <w:pPr>
        <w:pStyle w:val="CaseBody"/>
      </w:pPr>
      <w:r>
        <w:t xml:space="preserve">The plaintiff suffered serious injuries in an automobile accident and, after trial, received a jury verdict in the sum of $3,000. He applied for a new trial because of the inadequacy of the verdict but his application was denied when the defendants consented that the damages awarded to the plaintiff be increased to the sum of $7,500. The plaintiff appealed and we thereafter certified on our own motion.</w:t>
      </w:r>
    </w:p>
    <w:p>
      <w:pPr>
        <w:pStyle w:val="CaseBody"/>
      </w:pPr>
      <w:r>
        <w:t xml:space="preserve">On September 17, 1953 motorcycle officer Petras was on traffic duty at the intersection of Bunn’s Lane and Amboy Avenue in the Township of Woodbridge. He halted north- and south-bound traffic along Amboy Avenue to enable the crossing of school children. The plaintiffs car was the third in line traveling south along Amboy Avenue and his car came to a full stop as did the two cars ahead of him. He was then struck in the rear by a truck owned by the partnership defendant and driven by the individual defendant.</w:t>
      </w:r>
      <w:r>
        <w:t xml:space="preserve"> </w:t>
      </w:r>
      <w:r>
        <w:rPr>
          <w:rStyle w:val="Elision"/>
        </w:rPr>
        <w:t xml:space="preserve">[ … ]</w:t>
      </w:r>
      <w:r>
        <w:t xml:space="preserve">When the jury returned its unanimous verdict its foreman stated that it had found “negligence on the part of the truck driver.”</w:t>
      </w:r>
      <w:r>
        <w:t xml:space="preserve"> </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t xml:space="preserve">The plaintiff’s actual expenditures to doctors and nurses and for drugs and hospitalization exceeded $2,200. And although he received most of his normal earnings despite his temporary incapacity, there was a loss of wages approximating $620. While the jury’s verdict of $3,000 just about took care of the plaintiff’s actual monetary losses, it awarded substantially nothing for his suffering and permanent injuries.</w:t>
      </w:r>
      <w:r>
        <w:t xml:space="preserve"> </w:t>
      </w:r>
      <w:r>
        <w:rPr>
          <w:rStyle w:val="Elision"/>
        </w:rPr>
        <w:t xml:space="preserve">[ … ]</w:t>
      </w:r>
      <w:r>
        <w:t xml:space="preserve"> </w:t>
      </w:r>
      <w:r>
        <w:t xml:space="preserve">On June 28, 1956 the trial judge wrote to the parties advising that unless the defendants filed a consent in writing that the verdict be increased from $3,000 to $7,500, “then the verdict heretofore rendered will be set aside and a new trial granted limited to damages only.” The consent was filed by the defendants and on June 30, 1956 a formal order was entered dismissing the plaintiff’s motion for a new trial.</w:t>
      </w:r>
      <w:r>
        <w:t xml:space="preserve"> </w:t>
      </w:r>
      <w:r>
        <w:rPr>
          <w:rStyle w:val="Elision"/>
        </w:rPr>
        <w:t xml:space="preserve">[ … ]</w:t>
      </w:r>
    </w:p>
    <w:p>
      <w:pPr>
        <w:pStyle w:val="CaseBody"/>
      </w:pPr>
      <w:r>
        <w:t xml:space="preserve">The first point which he urges in support of his appeal is that once the trial court had concluded that the damages awarded by the verdict were inadquate it had no legal power whatever to condition the grant of a new trial upon the defendants’ failure to consent to a prescribed increase in the verdict.</w:t>
      </w:r>
      <w:r>
        <w:t xml:space="preserve"> </w:t>
      </w:r>
      <w:r>
        <w:rPr>
          <w:rStyle w:val="Elision"/>
        </w:rPr>
        <w:t xml:space="preserve">[ … ]</w:t>
      </w:r>
      <w:r>
        <w:t xml:space="preserve"> </w:t>
      </w:r>
      <w:r>
        <w:rPr>
          <w:rStyle w:val="Elision"/>
        </w:rPr>
        <w:t xml:space="preserve">[ … ]</w:t>
      </w:r>
      <w:r>
        <w:t xml:space="preserve"> </w:t>
      </w:r>
      <w:r>
        <w:t xml:space="preserve">The term</w:t>
      </w:r>
      <w:r>
        <w:t xml:space="preserve"> </w:t>
      </w:r>
      <w:r>
        <w:rPr>
          <w:iCs/>
          <w:i/>
        </w:rPr>
        <w:t xml:space="preserve">remittitur</w:t>
      </w:r>
      <w:r>
        <w:t xml:space="preserve"> </w:t>
      </w:r>
      <w:r>
        <w:t xml:space="preserve">is used to describe an order denying the defendant’s application for new trial on condition that the plaintiff consent to a specified reduction in the jury’s award, whereas the term</w:t>
      </w:r>
      <w:r>
        <w:t xml:space="preserve"> </w:t>
      </w:r>
      <w:r>
        <w:rPr>
          <w:iCs/>
          <w:i/>
        </w:rPr>
        <w:t xml:space="preserve">additur</w:t>
      </w:r>
      <w:r>
        <w:t xml:space="preserve"> </w:t>
      </w:r>
      <w:r>
        <w:t xml:space="preserve">is used to describe an order denying the plaintiff’s application for a new trial on condition that the defendant consent to a specified increase in the jury’s award. While it is now recognized that the two practices are logically and realistically indistinguishable,</w:t>
      </w:r>
      <w:r>
        <w:t xml:space="preserve"> </w:t>
      </w:r>
      <w:r>
        <w:rPr>
          <w:iCs/>
          <w:i/>
        </w:rPr>
        <w:t xml:space="preserve">remittiturs</w:t>
      </w:r>
      <w:r>
        <w:t xml:space="preserve"> </w:t>
      </w:r>
      <w:r>
        <w:t xml:space="preserve">have been recognized almost everywhere, whereas</w:t>
      </w:r>
      <w:r>
        <w:t xml:space="preserve"> </w:t>
      </w:r>
      <w:r>
        <w:rPr>
          <w:iCs/>
          <w:i/>
        </w:rPr>
        <w:t xml:space="preserve">additurs</w:t>
      </w:r>
      <w:r>
        <w:t xml:space="preserve"> </w:t>
      </w:r>
      <w:r>
        <w:t xml:space="preserve">are still outlawed in some, though by no means all, of the states.</w:t>
      </w:r>
      <w:r>
        <w:t xml:space="preserve"> </w:t>
      </w:r>
      <w:r>
        <w:rPr>
          <w:rStyle w:val="Elision"/>
        </w:rPr>
        <w:t xml:space="preserve">[ … ]</w:t>
      </w:r>
    </w:p>
    <w:p>
      <w:pPr>
        <w:pStyle w:val="CaseBody"/>
      </w:pPr>
      <w:r>
        <w:t xml:space="preserve">The English precedents prior to the American Devolution are somewhat obscure and they are discussed in the majority and minority opinions in</w:t>
      </w:r>
      <w:r>
        <w:t xml:space="preserve"> </w:t>
      </w:r>
      <w:r>
        <w:rPr>
          <w:iCs/>
          <w:i/>
        </w:rPr>
        <w:t xml:space="preserve">Dimick v. Schiedt,</w:t>
      </w:r>
      <w:r>
        <w:t xml:space="preserve"> </w:t>
      </w:r>
      <w:r>
        <w:t xml:space="preserve">293</w:t>
      </w:r>
      <w:r>
        <w:t xml:space="preserve"> </w:t>
      </w:r>
      <w:r>
        <w:rPr>
          <w:iCs/>
          <w:i/>
        </w:rPr>
        <w:t xml:space="preserve">U. S.</w:t>
      </w:r>
      <w:r>
        <w:t xml:space="preserve"> </w:t>
      </w:r>
      <w:r>
        <w:t xml:space="preserve">474</w:t>
      </w:r>
      <w:r>
        <w:rPr>
          <w:rStyle w:val="Elision"/>
        </w:rPr>
        <w:t xml:space="preserve">[ … ]</w:t>
      </w:r>
      <w:r>
        <w:t xml:space="preserve">(1935). There Justice Sutherland, speaking for a majority of five (with Justice Stone, joined by Chief Justice Hughes and Justices Brandéis and Cardozo, dissenting) held that although</w:t>
      </w:r>
      <w:r>
        <w:t xml:space="preserve"> </w:t>
      </w:r>
      <w:r>
        <w:rPr>
          <w:iCs/>
          <w:i/>
        </w:rPr>
        <w:t xml:space="preserve">remittitur</w:t>
      </w:r>
      <w:r>
        <w:t xml:space="preserve"> </w:t>
      </w:r>
      <w:r>
        <w:t xml:space="preserve">is permissible, in the federal courts,</w:t>
      </w:r>
      <w:r>
        <w:t xml:space="preserve"> </w:t>
      </w:r>
      <w:r>
        <w:rPr>
          <w:iCs/>
          <w:i/>
        </w:rPr>
        <w:t xml:space="preserve">additur</w:t>
      </w:r>
      <w:r>
        <w:t xml:space="preserve"> </w:t>
      </w:r>
      <w:r>
        <w:t xml:space="preserve">is prohibited by the force of the provision in the Seventh Amendment that “the right to trial by jury shall be preserved, and that 'no fact tried by a jury shall be otherwise re-examined by any court of the United States, than according to the rules of the common law.’”</w:t>
      </w:r>
      <w:r>
        <w:t xml:space="preserve"> </w:t>
      </w:r>
      <w:r>
        <w:rPr>
          <w:rStyle w:val="Elision"/>
        </w:rPr>
        <w:t xml:space="preserve">[ … ]</w:t>
      </w:r>
    </w:p>
    <w:p>
      <w:pPr>
        <w:pStyle w:val="BlockText"/>
      </w:pPr>
      <w:r>
        <w:rPr>
          <w:rStyle w:val="Elision"/>
        </w:rPr>
        <w:t xml:space="preserve">[ … ]</w:t>
      </w:r>
    </w:p>
    <w:p>
      <w:pPr>
        <w:pStyle w:val="BlockText"/>
      </w:pPr>
      <w:r>
        <w:rPr>
          <w:rStyle w:val="Elision"/>
        </w:rPr>
        <w:t xml:space="preserve">[ … ]</w:t>
      </w:r>
    </w:p>
    <w:p>
      <w:pPr>
        <w:pStyle w:val="CaseBody"/>
      </w:pPr>
      <w:r>
        <w:t xml:space="preserve">The majority opinion in</w:t>
      </w:r>
      <w:r>
        <w:t xml:space="preserve"> </w:t>
      </w:r>
      <w:r>
        <w:rPr>
          <w:iCs/>
          <w:i/>
        </w:rPr>
        <w:t xml:space="preserve">Dimick</w:t>
      </w:r>
      <w:r>
        <w:t xml:space="preserve"> </w:t>
      </w:r>
      <w:r>
        <w:t xml:space="preserve">has been the subject of much criticism and it is doubtful whether the Supreme Court would still subscribe to it; in any event,</w:t>
      </w:r>
      <w:r>
        <w:t xml:space="preserve"> </w:t>
      </w:r>
      <w:r>
        <w:rPr>
          <w:rStyle w:val="ReplacementText"/>
        </w:rPr>
        <w:t xml:space="preserve">the</w:t>
      </w:r>
      <w:r>
        <w:t xml:space="preserve"> </w:t>
      </w:r>
      <w:r>
        <w:t xml:space="preserve">Seventh Amendment differs somewhat from onr constitutional provision and has no application to proceedings in our state courts.</w:t>
      </w:r>
      <w:r>
        <w:t xml:space="preserve"> </w:t>
      </w:r>
      <w:r>
        <w:rPr>
          <w:rStyle w:val="Elision"/>
        </w:rPr>
        <w:t xml:space="preserve">[ … ]</w:t>
      </w:r>
      <w:r>
        <w:t xml:space="preserve">We must look primarily to our own history and precedents in ascertaining whether the highly desirable practices of</w:t>
      </w:r>
      <w:r>
        <w:t xml:space="preserve"> </w:t>
      </w:r>
      <w:r>
        <w:rPr>
          <w:iCs/>
          <w:i/>
        </w:rPr>
        <w:t xml:space="preserve">remittitur</w:t>
      </w:r>
      <w:r>
        <w:t xml:space="preserve"> </w:t>
      </w:r>
      <w:r>
        <w:t xml:space="preserve">and</w:t>
      </w:r>
      <w:r>
        <w:t xml:space="preserve"> </w:t>
      </w:r>
      <w:r>
        <w:rPr>
          <w:iCs/>
          <w:i/>
        </w:rPr>
        <w:t xml:space="preserve">additur</w:t>
      </w:r>
      <w:r>
        <w:t xml:space="preserve"> </w:t>
      </w:r>
      <w:r>
        <w:t xml:space="preserve">may be adhered to in our State without infringement of</w:t>
      </w:r>
      <w:r>
        <w:t xml:space="preserve"> </w:t>
      </w:r>
      <w:r>
        <w:rPr>
          <w:rStyle w:val="Elision"/>
        </w:rPr>
        <w:t xml:space="preserve">[ … ]</w:t>
      </w:r>
      <w:r>
        <w:t xml:space="preserve"> </w:t>
      </w:r>
      <w:r>
        <w:t xml:space="preserve">the</w:t>
      </w:r>
      <w:r>
        <w:t xml:space="preserve"> </w:t>
      </w:r>
      <w:r>
        <w:rPr>
          <w:rStyle w:val="ReplacementText"/>
        </w:rPr>
        <w:t xml:space="preserve">New Jersey State</w:t>
      </w:r>
      <w:r>
        <w:rPr>
          <w:iCs/>
          <w:i/>
        </w:rPr>
        <w:t xml:space="preserve">Constitution</w:t>
      </w:r>
      <w:r>
        <w:t xml:space="preserve"> </w:t>
      </w:r>
      <w:r>
        <w:rPr>
          <w:rStyle w:val="Elision"/>
        </w:rPr>
        <w:t xml:space="preserve">[ … ]</w:t>
      </w:r>
    </w:p>
    <w:p>
      <w:pPr>
        <w:pStyle w:val="CaseBody"/>
      </w:pPr>
      <w:r>
        <w:rPr>
          <w:rStyle w:val="Elision"/>
        </w:rPr>
        <w:t xml:space="preserve">[ … ]</w:t>
      </w:r>
    </w:p>
    <w:p>
      <w:pPr>
        <w:pStyle w:val="CaseBody"/>
      </w:pPr>
      <w:r>
        <w:t xml:space="preserve">The</w:t>
      </w:r>
      <w:r>
        <w:t xml:space="preserve"> </w:t>
      </w:r>
      <w:r>
        <w:rPr>
          <w:iCs/>
          <w:i/>
        </w:rPr>
        <w:t xml:space="preserve">remittitur</w:t>
      </w:r>
      <w:r>
        <w:t xml:space="preserve"> </w:t>
      </w:r>
      <w:r>
        <w:t xml:space="preserve">practice has been recognized in New Jersey since early days.</w:t>
      </w:r>
      <w:r>
        <w:t xml:space="preserve"> </w:t>
      </w:r>
      <w:r>
        <w:rPr>
          <w:rStyle w:val="Elision"/>
        </w:rPr>
        <w:t xml:space="preserve">[ … ]</w:t>
      </w:r>
      <w:r>
        <w:t xml:space="preserve"> </w:t>
      </w:r>
      <w:r>
        <w:t xml:space="preserve"> </w:t>
      </w:r>
      <w:r>
        <w:t xml:space="preserve">Not until 1916 was it questioned, but the Court of Errors and Appeals found little difficulty in sustaining it.</w:t>
      </w:r>
      <w:r>
        <w:t xml:space="preserve"> </w:t>
      </w:r>
      <w:r>
        <w:rPr>
          <w:rStyle w:val="Elision"/>
        </w:rPr>
        <w:t xml:space="preserve">[ … ]</w:t>
      </w:r>
      <w:r>
        <w:t xml:space="preserve"> </w:t>
      </w:r>
      <w:r>
        <w:t xml:space="preserve">During the following year, the Court of Errors and Appeals had occasion to deal with a negligence case in which the practice of</w:t>
      </w:r>
      <w:r>
        <w:t xml:space="preserve"> </w:t>
      </w:r>
      <w:r>
        <w:rPr>
          <w:iCs/>
          <w:i/>
        </w:rPr>
        <w:t xml:space="preserve">additur</w:t>
      </w:r>
      <w:r>
        <w:t xml:space="preserve"> </w:t>
      </w:r>
      <w:r>
        <w:t xml:space="preserve">had been invoked.</w:t>
      </w:r>
      <w:r>
        <w:t xml:space="preserve"> </w:t>
      </w:r>
      <w:r>
        <w:rPr>
          <w:rStyle w:val="Elision"/>
        </w:rPr>
        <w:t xml:space="preserve">[ … ]</w:t>
      </w:r>
      <w:r>
        <w:rPr>
          <w:rStyle w:val="Elision"/>
        </w:rPr>
        <w:t xml:space="preserve">[ … ]</w:t>
      </w:r>
      <w:r>
        <w:t xml:space="preserve"> </w:t>
      </w:r>
      <w:r>
        <w:rPr>
          <w:rStyle w:val="ReplacementText"/>
        </w:rPr>
        <w:t xml:space="preserve">Writing for the court in Gaffney v. Illingsworth, Chancellor Walker argued additur was analogous to remittitur and thus permissible under New Jersey law.</w:t>
      </w:r>
      <w:r>
        <w:rPr>
          <w:rStyle w:val="Elision"/>
        </w:rPr>
        <w:t xml:space="preserve">[ … ]</w:t>
      </w:r>
    </w:p>
    <w:p>
      <w:pPr>
        <w:pStyle w:val="BlockText"/>
      </w:pPr>
      <w:r>
        <w:rPr>
          <w:rStyle w:val="Elision"/>
        </w:rPr>
        <w:t xml:space="preserve">[ … ]</w:t>
      </w:r>
    </w:p>
    <w:p>
      <w:pPr>
        <w:pStyle w:val="CaseBody"/>
      </w:pPr>
      <w:r>
        <w:rPr>
          <w:rStyle w:val="Elision"/>
        </w:rPr>
        <w:t xml:space="preserve">[ … ]</w:t>
      </w:r>
    </w:p>
    <w:p>
      <w:pPr>
        <w:pStyle w:val="BlockText"/>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r>
        <w:t xml:space="preserve"> </w:t>
      </w:r>
      <w:r>
        <w:rPr>
          <w:rStyle w:val="ReplacementText"/>
        </w:rPr>
        <w:t xml:space="preserve">We</w:t>
      </w:r>
      <w:r>
        <w:t xml:space="preserve"> </w:t>
      </w:r>
      <w:r>
        <w:t xml:space="preserve">are satisfied that the practices of</w:t>
      </w:r>
      <w:r>
        <w:t xml:space="preserve"> </w:t>
      </w:r>
      <w:r>
        <w:rPr>
          <w:iCs/>
          <w:i/>
        </w:rPr>
        <w:t xml:space="preserve">remittitur</w:t>
      </w:r>
      <w:r>
        <w:t xml:space="preserve"> </w:t>
      </w:r>
      <w:r>
        <w:t xml:space="preserve">and</w:t>
      </w:r>
      <w:r>
        <w:t xml:space="preserve"> </w:t>
      </w:r>
      <w:r>
        <w:rPr>
          <w:iCs/>
          <w:i/>
        </w:rPr>
        <w:t xml:space="preserve">additur</w:t>
      </w:r>
      <w:r>
        <w:t xml:space="preserve"> </w:t>
      </w:r>
      <w:r>
        <w:t xml:space="preserve">violate none of</w:t>
      </w:r>
      <w:r>
        <w:t xml:space="preserve"> </w:t>
      </w:r>
      <w:r>
        <w:rPr>
          <w:rStyle w:val="ReplacementText"/>
        </w:rPr>
        <w:t xml:space="preserve">our</w:t>
      </w:r>
      <w:r>
        <w:t xml:space="preserve"> </w:t>
      </w:r>
      <w:r>
        <w:t xml:space="preserve">constitutional interdictions and, if fairly invoked, serve the laudable purpose of avoiding a further trial where substantial justice may be attained on the basis of the original trial.</w:t>
      </w:r>
      <w:r>
        <w:t xml:space="preserve"> </w:t>
      </w:r>
      <w:r>
        <w:rPr>
          <w:rStyle w:val="Elision"/>
        </w:rPr>
        <w:t xml:space="preserve">[ … ]</w:t>
      </w:r>
      <w:r>
        <w:t xml:space="preserve"> </w:t>
      </w:r>
      <w:r>
        <w:rPr>
          <w:rStyle w:val="Elision"/>
        </w:rPr>
        <w:t xml:space="preserve">[ … ]</w:t>
      </w:r>
      <w:r>
        <w:rPr>
          <w:rStyle w:val="Elision"/>
        </w:rPr>
        <w:t xml:space="preserve">[ … ]</w:t>
      </w:r>
      <w:r>
        <w:rPr>
          <w:rStyle w:val="ReplacementText"/>
        </w:rPr>
        <w:t xml:space="preserve">.</w:t>
      </w:r>
      <w:r>
        <w:rPr>
          <w:rStyle w:val="Elision"/>
        </w:rPr>
        <w:t xml:space="preserve">[ … ]</w:t>
      </w:r>
    </w:p>
    <w:p>
      <w:pPr>
        <w:pStyle w:val="CaseBody"/>
      </w:pPr>
      <w:r>
        <w:rPr>
          <w:rStyle w:val="ReplacementText"/>
        </w:rPr>
        <w:t xml:space="preserve">The Court proceeded to reverse the judgment on other grounds.</w:t>
      </w:r>
      <w:r>
        <w:rPr>
          <w:rStyle w:val="Elision"/>
        </w:rPr>
        <w:t xml:space="preserve">[ … ]</w:t>
      </w:r>
      <w:r>
        <w:t xml:space="preserve">.</w:t>
      </w:r>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204" w:name="_auto_toc_204"/>
    <w:bookmarkEnd w:id="204"/>
    <w:p>
      <w:pPr>
        <w:pStyle w:val="ResourceNumber"/>
      </w:pPr>
      <w:r>
        <w:t xml:space="preserve">17.9</w:t>
      </w:r>
    </w:p>
    <w:p>
      <w:pPr>
        <w:pStyle w:val="ResourceTitle"/>
      </w:pPr>
      <w:r>
        <w:t xml:space="preserve">Unitherm Food Systems, Inc. v. Swift-Eckrich, Inc.</w:t>
      </w:r>
    </w:p>
    <w:p>
      <w:pPr>
        <w:pStyle w:val="HeadFieldSeparator"/>
      </w:pPr>
      <w:r>
        <w:t xml:space="preserve"> </w:t>
      </w:r>
    </w:p>
    <w:p>
      <w:pPr>
        <w:pStyle w:val="ResourceHeadnote"/>
      </w:pPr>
      <w:r>
        <w:t xml:space="preserve">Fed. R. Civ. P. 50 requires that a party move for judgment as a matter of law prior to a jury's verdict to preserve its ability to do so after an adverse jury's verdict. But the rule says nothing about preserving the issue for appeal. Fed. R. Civ. P. 59 is similarly silent with respect to a failure to file new trial motions in the trial court. May a party who fails to file a motion for judgment as a matter of law or a motion for a new trial request either form of relief on appeal?</w:t>
      </w:r>
    </w:p>
    <w:p>
      <w:pPr>
        <w:pStyle w:val="ResourceHeadnote"/>
      </w:pPr>
      <w:r>
        <w:t xml:space="preserve">In the following case, in the trial court, before the case went to the jury, the defendant moved under Rule 50(a) for a directed verdict, arguing that the evidence presented was insufficient for the plaintiff to succeed. The trial judge deferred rulling on the motion, and the jury rendered a verdict in favor of the plaintiff. The defendant failed to file a renewed motion for judgment as a matter of law (Rule 50(b)) or a motion for a new trial based on insufficient evidence (Rule 59), but did appeal the case. The Court of Appeals for the Federal Circuit reached the issue of whether the verdict was against the great weight of the evidence, found that the verdict was against the great weight of the evidence, and ordered a new trial.</w:t>
      </w:r>
    </w:p>
    <w:p>
      <w:pPr>
        <w:pStyle w:val="HeadEnd"/>
      </w:pPr>
      <w:r>
        <w:t xml:space="preserve"> </w:t>
      </w:r>
    </w:p>
    <w:p>
      <w:pPr>
        <w:pStyle w:val="CaseHeader"/>
      </w:pPr>
      <w:r>
        <w:t xml:space="preserve">Supreme Court of the United States</w:t>
      </w:r>
    </w:p>
    <w:p>
      <w:pPr>
        <w:pStyle w:val="CaseHeader"/>
      </w:pPr>
      <w:r>
        <w:t xml:space="preserve">546 U.S. 394, 163 L. Ed. 2d 974, 126 S. Ct. 980, SCDB 2005-024, 2006 U.S. LEXIS 916</w:t>
      </w:r>
    </w:p>
    <w:p>
      <w:pPr>
        <w:pStyle w:val="CaseHeader"/>
      </w:pPr>
      <w:r>
        <w:t xml:space="preserve">No. 04-597</w:t>
      </w:r>
    </w:p>
    <w:p>
      <w:pPr>
        <w:pStyle w:val="CaseHeader"/>
      </w:pPr>
      <w:r>
        <w:t xml:space="preserve">2006-01-23</w:t>
      </w:r>
    </w:p>
    <w:p>
      <w:pPr>
        <w:pStyle w:val="CaseBody"/>
      </w:pPr>
      <w:r>
        <w:rPr>
          <w:rStyle w:val="Elision"/>
        </w:rPr>
        <w:t xml:space="preserve">[ … ]</w:t>
      </w:r>
    </w:p>
    <w:p>
      <w:pPr>
        <w:pStyle w:val="CaseBody"/>
      </w:pPr>
      <w:r>
        <w:t xml:space="preserve">Justice Thomas</w:t>
      </w:r>
    </w:p>
    <w:p>
      <w:pPr>
        <w:pStyle w:val="CaseBody"/>
      </w:pPr>
      <w:r>
        <w:rPr>
          <w:rStyle w:val="Elision"/>
        </w:rPr>
        <w:t xml:space="preserve">[ … ]</w:t>
      </w:r>
    </w:p>
    <w:p>
      <w:pPr>
        <w:pStyle w:val="CaseBody"/>
      </w:pPr>
      <w:r>
        <w:t xml:space="preserve">II</w:t>
      </w:r>
    </w:p>
    <w:p>
      <w:pPr>
        <w:pStyle w:val="CaseBody"/>
      </w:pPr>
      <w:r>
        <w:rPr>
          <w:rStyle w:val="ReplacementText"/>
        </w:rPr>
        <w:t xml:space="preserve">[The Court reviewed Rule 50.]</w:t>
      </w:r>
    </w:p>
    <w:p>
      <w:pPr>
        <w:pStyle w:val="CaseBody"/>
      </w:pPr>
      <w:r>
        <w:t xml:space="preserve">This Court has addressed the implications of a party’s failure to file a postverdict motion under Rule 50(b) on several occasions and in a variety of procedural contexts.</w:t>
      </w:r>
      <w:r>
        <w:rPr>
          <w:rStyle w:val="ReplacementText"/>
        </w:rPr>
        <w:t xml:space="preserve">[The Court surveyed a variety of cases in varying procedural postures in which the appellant failed to file an appropriate postverdict motion, and noted the firmly established rule that the Court of Appeals was thus barred from considering the sufficiency of the evidence vis-a-vis judgment as a law.]</w:t>
      </w:r>
    </w:p>
    <w:p>
      <w:pPr>
        <w:pStyle w:val="CaseBody"/>
      </w:pPr>
      <w:r>
        <w:t xml:space="preserve">The foregoing authorities lead us to reverse the judgment below. Respondent correctly points out that these authorities address whether an appellate court may enter judgment in the absence of a postverdict motion, as opposed to whether an appellate court may order a new trial (as the Federal Circuit did here). But this distinction is immaterial. This Court’s observations about the necessity of a postverdict motion under Rule 50(b), and the benefits of the district court’s input at that stage, apply with equal force whether a party is seeking judgment as a matter of law or simply a new trial. In</w:t>
      </w:r>
      <w:r>
        <w:t xml:space="preserve"> </w:t>
      </w:r>
      <w:r>
        <w:rPr>
          <w:iCs/>
          <w:i/>
        </w:rPr>
        <w:t xml:space="preserve">Cone,</w:t>
      </w:r>
      <w:r>
        <w:t xml:space="preserve"> </w:t>
      </w:r>
      <w:r>
        <w:t xml:space="preserve">this Court concluded that, because Rule 50(b) permits the district court to exercise its discretion to choose between ordering a new trial and entering judgment, its “appraisal of the bona fides of the claims asserted by the litigants is of great value in reaching a conclusion as to whether</w:t>
      </w:r>
      <w:r>
        <w:t xml:space="preserve"> </w:t>
      </w:r>
      <w:r>
        <w:rPr>
          <w:iCs/>
          <w:i/>
        </w:rPr>
        <w:t xml:space="preserve">anew trial</w:t>
      </w:r>
      <w:r>
        <w:t xml:space="preserve"> </w:t>
      </w:r>
      <w:r>
        <w:t xml:space="preserve">should be granted.” '</w:t>
      </w:r>
      <w:r>
        <w:t xml:space="preserve"> </w:t>
      </w:r>
      <w:r>
        <w:t xml:space="preserve">330 U. S., at 216</w:t>
      </w:r>
      <w:r>
        <w:t xml:space="preserve"> </w:t>
      </w:r>
      <w:r>
        <w:t xml:space="preserve">(emphasis added). Similarly, this Court has determined that a party may only pursue on appeal a particular avenue of relief available under Rule 50(b), namely, the entry of judgment</w:t>
      </w:r>
      <w:r>
        <w:t xml:space="preserve"> </w:t>
      </w:r>
      <w:r>
        <w:rPr>
          <w:iCs/>
          <w:i/>
        </w:rPr>
        <w:t xml:space="preserve">or a new trial,</w:t>
      </w:r>
      <w:r>
        <w:t xml:space="preserve"> </w:t>
      </w:r>
      <w:r>
        <w:t xml:space="preserve">when that party has complied with the Rule’s filing requirements by requesting that particular relief below.</w:t>
      </w:r>
      <w:r>
        <w:t xml:space="preserve"> </w:t>
      </w:r>
      <w:r>
        <w:rPr>
          <w:rStyle w:val="ReplacementText"/>
        </w:rPr>
        <w:t xml:space="preserve">[Therefore, a party who filed a Rule 50(a) motion but did not after the verdict file a rule 50(b) motion, rather only moving for a new trial, cannot obtain a new trial as a matter of law.]</w:t>
      </w:r>
    </w:p>
    <w:p>
      <w:pPr>
        <w:pStyle w:val="CaseBody"/>
      </w:pPr>
      <w:r>
        <w:rPr>
          <w:rStyle w:val="Elision"/>
        </w:rPr>
        <w:t xml:space="preserve">[ … ]</w:t>
      </w:r>
    </w:p>
    <w:p>
      <w:pPr>
        <w:pStyle w:val="CaseBody"/>
      </w:pPr>
      <w:r>
        <w:t xml:space="preserve">In short, respondent never sought a new trial before the District Court, and thus forfeited its right to do so on appeal.</w:t>
      </w:r>
      <w:r>
        <w:t xml:space="preserve"> </w:t>
      </w:r>
      <w:r>
        <w:rPr>
          <w:rStyle w:val="Elision"/>
        </w:rPr>
        <w:t xml:space="preserve">[ … ]</w:t>
      </w:r>
    </w:p>
    <w:p>
      <w:pPr>
        <w:pStyle w:val="CaseBody"/>
      </w:pPr>
      <w:r>
        <w:t xml:space="preserve">The text of Rule 50(b) confirms that respondent’s</w:t>
      </w:r>
      <w:r>
        <w:t xml:space="preserve"> </w:t>
      </w:r>
      <w:r>
        <w:rPr>
          <w:rStyle w:val="ReplacementText"/>
        </w:rPr>
        <w:t xml:space="preserve">[pre-verdict]</w:t>
      </w:r>
      <w:r>
        <w:t xml:space="preserve"> </w:t>
      </w:r>
      <w:r>
        <w:t xml:space="preserve">Rule 50(a) motion did not present the District Court with the option of ordering a new trial. That text provides that a district court may only order a new trial on the basis of issues raised in a preverdict Rule 50(a) motion when “ruling on a renewed motion” under Rule 50(b). Accordingly, even if the District Court was inclined to grant a new trial on the basis of arguments raised in respondent’s preverdict motion, it was without the power to do so under Rule 50(b) absent a postverdict motion pursuant to that Rule. Consequently, the Court of Appeals was similarly powerless.</w:t>
      </w:r>
    </w:p>
    <w:p>
      <w:pPr>
        <w:pStyle w:val="CaseBody"/>
      </w:pPr>
      <w:r>
        <w:t xml:space="preserve">Similarly, the text and application of Rule 50(a) support our determination that respondent may not challenge the sufficiency of the evidence on appeal on the basis of the District Court’s denial of its Rule 50(a) motion. The Rule provides that “the court</w:t>
      </w:r>
      <w:r>
        <w:t xml:space="preserve"> </w:t>
      </w:r>
      <w:r>
        <w:rPr>
          <w:iCs/>
          <w:i/>
        </w:rPr>
        <w:t xml:space="preserve">may</w:t>
      </w:r>
      <w:r>
        <w:t xml:space="preserve"> </w:t>
      </w:r>
      <w:r>
        <w:t xml:space="preserve">determine” that “there is no legally sufficient evidentiary basis for a reasonable jury to find for [a] party on [a given] issue,” and</w:t>
      </w:r>
      <w:r>
        <w:t xml:space="preserve"> </w:t>
      </w:r>
      <w:r>
        <w:rPr>
          <w:iCs/>
          <w:i/>
        </w:rPr>
        <w:t xml:space="preserve">“may</w:t>
      </w:r>
      <w:r>
        <w:t xml:space="preserve"> </w:t>
      </w:r>
      <w:r>
        <w:t xml:space="preserve">grant a motion for judgment as a matter of law against that party ....” (Emphasis added.) Thus, while a district court is permitted to enter judgment as a matter of law when it concludes that the evidence is legally insufficient, it is not required to do so. To the contrary, the district courts are, if anything, encouraged to submit the case to the jury, rather than granting such motions. As Wright and Miller explain:</w:t>
      </w:r>
    </w:p>
    <w:p>
      <w:pPr>
        <w:pStyle w:val="BlockText"/>
      </w:pPr>
      <w:r>
        <w:t xml:space="preserve">“Even at the close of all the evidence it may be desirable to refrain from granting a motion for judgment as a matter of law despite the fact that it would be possible for the district court to do so. If judgment as a matter of law is granted and the appellate court holds that the evidence in fact was sufficient to go to the jury, an entire new trial must be had. If, on the other hand, the trial court submits the case to the jury, though it thinks the evidence insufficient, final determination of the case is expedited greatly. If the jury agrees with the court’s appraisal of. the evidence, and returns a verdict for the party who moved for judgment as a matter of law, the case is at an end. If the jury brings in a different verdict, the trial court can grant a renewed motion for judgment as a matter of law. Then if the appellate court holds that the trial court was in error in its appraisal of the evidence, it can reverse and order judgment on the verdict of the jury, without any need for a new trial. For this reason the appellate courts repeatedly have said that it usually is desirable to take a verdict, and then pass on the sufficiency of the evidence on a post-verdict motion.” 9A Federal Practice §2533, at 319 (footnote omitted).</w:t>
      </w:r>
    </w:p>
    <w:p>
      <w:pPr>
        <w:pStyle w:val="CaseBody"/>
      </w:pPr>
      <w:r>
        <w:t xml:space="preserve">Thus, the District Court’s denial of respondent’s preverdict motion cannot form the basis of respondent’s appeal, because the denial of that motion was not error. It was merely an exercise of the District Court's discretion, in accordance with the text of the Rule and the accepted practice of permitting the jury to make an initial judgment about the sufficiency of the evidence. The only error here was counsel’s failure to file a postverdict motion pursuant to Rule 50(b).</w:t>
      </w:r>
      <w:hyperlink w:anchor="Xc6b1c0ede63ecc0109e9654655fb105b92fb5ad">
        <w:r>
          <w:rPr>
            <w:rStyle w:val="Elision"/>
          </w:rPr>
          <w:t xml:space="preserve">[ … ]</w:t>
        </w:r>
      </w:hyperlink>
    </w:p>
    <w:p>
      <w:pPr>
        <w:pStyle w:val="CaseBody"/>
      </w:pPr>
      <w:r>
        <w:rPr>
          <w:rStyle w:val="Elision"/>
        </w:rPr>
        <w:t xml:space="preserve">[ … ]</w:t>
      </w:r>
    </w:p>
    <w:p>
      <w:pPr>
        <w:pStyle w:val="CaseBody"/>
      </w:pPr>
      <w:r>
        <w:t xml:space="preserve">For the foregoing reasons, we hold that since respondent</w:t>
      </w:r>
      <w:r>
        <w:t xml:space="preserve"> </w:t>
      </w:r>
      <w:r>
        <w:rPr>
          <w:rStyle w:val="Elision"/>
        </w:rPr>
        <w:t xml:space="preserve">[ … ]</w:t>
      </w:r>
      <w:r>
        <w:t xml:space="preserve">failed to renew its preverdict motion as specified in Rule 50(b), there was no basis for review of respondent’s sufficiency of the evidence challenge in the Court of Appeals. The judgment of the Court of Appeals is reversed.</w:t>
      </w:r>
      <w:hyperlink w:anchor="X59fa04b3bef232a64a392b2115288c1560066a4">
        <w:r>
          <w:rPr>
            <w:rStyle w:val="Elision"/>
          </w:rPr>
          <w:t xml:space="preserve">[ … ]</w:t>
        </w:r>
      </w:hyperlink>
    </w:p>
    <w:p>
      <w:pPr>
        <w:pStyle w:val="CaseBody"/>
      </w:pPr>
      <w:r>
        <w:rPr>
          <w:iCs/>
          <w:i/>
        </w:rPr>
        <w:t xml:space="preserve">It is so ordered.</w:t>
      </w:r>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205" w:name="_auto_toc_205"/>
    <w:bookmarkEnd w:id="205"/>
    <w:p>
      <w:pPr>
        <w:pStyle w:val="ResourceNumber"/>
      </w:pPr>
      <w:r>
        <w:t xml:space="preserve">17.10</w:t>
      </w:r>
    </w:p>
    <w:p>
      <w:pPr>
        <w:pStyle w:val="ResourceTitle"/>
      </w:pPr>
      <w:r>
        <w:t xml:space="preserve">Time Limits on Renewed Motion Requirements</w:t>
      </w:r>
    </w:p>
    <w:p>
      <w:pPr>
        <w:pStyle w:val="HeadEnd"/>
      </w:pPr>
      <w:r>
        <w:t xml:space="preserve"> </w:t>
      </w:r>
    </w:p>
    <w:p>
      <w:pPr>
        <w:pStyle w:val="BodyText"/>
      </w:pPr>
      <w:r>
        <w:t xml:space="preserve">Litigants only have 28 days after the entry of judgment to file motions under Rule 50, 52, and 59. These deadlines cannot be modified by district courts. Fed. R. Civ. P. 6(b); s</w:t>
      </w:r>
      <w:r>
        <w:rPr>
          <w:iCs/>
          <w:i/>
        </w:rPr>
        <w:t xml:space="preserve">ee Hulson v. Atchison, Topeka &amp; Santa Fe Railway</w:t>
      </w:r>
      <w:r>
        <w:t xml:space="preserve">, 289 F.2d 726 (7th Cir. 1961).</w:t>
      </w:r>
    </w:p>
    <w:p>
      <w:pPr>
        <w:pStyle w:val="NodeEnd"/>
      </w:pPr>
      <w:r>
        <w:t xml:space="preserve"> </w:t>
      </w:r>
    </w:p>
    <w:p>
      <w:pPr>
        <w:pStyle w:val="NodeStart"/>
      </w:pPr>
      <w:r>
        <w:t xml:space="preserve"> </w:t>
      </w:r>
    </w:p>
    <w:p>
      <w:pPr>
        <w:pStyle w:val="HeadSeparator"/>
      </w:pPr>
      <w:r>
        <w:t xml:space="preserve"> </w:t>
      </w:r>
    </w:p>
    <w:bookmarkStart w:id="206" w:name="_auto_toc_206"/>
    <w:bookmarkEnd w:id="206"/>
    <w:p>
      <w:pPr>
        <w:pStyle w:val="ResourceNumber"/>
      </w:pPr>
      <w:r>
        <w:t xml:space="preserve">17.11</w:t>
      </w:r>
    </w:p>
    <w:p>
      <w:pPr>
        <w:pStyle w:val="ResourceTitle"/>
      </w:pPr>
      <w:r>
        <w:t xml:space="preserve">The Power to Set Aside a Judgment</w:t>
      </w:r>
    </w:p>
    <w:p>
      <w:pPr>
        <w:pStyle w:val="HeadFieldSeparator"/>
      </w:pPr>
      <w:r>
        <w:t xml:space="preserve"> </w:t>
      </w:r>
    </w:p>
    <w:p>
      <w:pPr>
        <w:pStyle w:val="ResourceHeadnote"/>
      </w:pPr>
      <w:r>
        <w:t xml:space="preserve">The following discussion summarizes some cases in which a party that lost a case requested that a court reopen it, sometimes years after the fact. Pay special attention to</w:t>
      </w:r>
      <w:r>
        <w:t xml:space="preserve"> </w:t>
      </w:r>
      <w:r>
        <w:rPr>
          <w:iCs/>
          <w:i/>
        </w:rPr>
        <w:t xml:space="preserve">Title</w:t>
      </w:r>
      <w:r>
        <w:t xml:space="preserve">. Also, note that</w:t>
      </w:r>
      <w:r>
        <w:t xml:space="preserve"> </w:t>
      </w:r>
      <w:r>
        <w:rPr>
          <w:iCs/>
          <w:i/>
        </w:rPr>
        <w:t xml:space="preserve">Hazel-Atlas</w:t>
      </w:r>
      <w:r>
        <w:t xml:space="preserve"> </w:t>
      </w:r>
      <w:r>
        <w:t xml:space="preserve">was an inherent power case, not explicitly a Rule 60(b) case.</w:t>
      </w:r>
    </w:p>
    <w:p>
      <w:pPr>
        <w:pStyle w:val="HeadEnd"/>
      </w:pPr>
      <w:r>
        <w:t xml:space="preserve"> </w:t>
      </w:r>
    </w:p>
    <w:p>
      <w:pPr>
        <w:pStyle w:val="BodyText"/>
      </w:pPr>
      <w:r>
        <w:t xml:space="preserve">In</w:t>
      </w:r>
      <w:r>
        <w:t xml:space="preserve"> </w:t>
      </w:r>
      <w:r>
        <w:rPr>
          <w:iCs/>
          <w:i/>
        </w:rPr>
        <w:t xml:space="preserve">Briones v. Riviera Hotel &amp; Casino</w:t>
      </w:r>
      <w:r>
        <w:t xml:space="preserve">, the Ninth Circuit held that failure to comply with filing deadlines could constitute excusable neglect under Rule 60(b). 116 F.3d 379 (9th Cir. 1997). Here, the plaintiff sued his former employer for unlawful discharge, but his case was dismissed because he failed to respond to a Rule 12(b) motion to dismiss. The plaintiff, who did not have legal representation and was not proficient in English, filed a motion for relief under Rule 60(b)(1) that was denied by the trial court. In reversing the trial court’s decision and remanding for further proceedings, the Ninth Circuit adopted the four-part test for determining whether neglect was excusable outlined in</w:t>
      </w:r>
      <w:r>
        <w:t xml:space="preserve"> </w:t>
      </w:r>
      <w:r>
        <w:rPr>
          <w:iCs/>
          <w:i/>
        </w:rPr>
        <w:t xml:space="preserve">Pioneer Inv. Servs. Co. v. Brunswick Assocs. Ltd. P’ship</w:t>
      </w:r>
      <w:r>
        <w:t xml:space="preserve">, 507 U.S. 380 (1993). The four factors to be considered are: (1) the danger of prejudice to the opposing party; (2) the length of the delay and its impact on the judicial proceedings; (3) the reason for the delay; and (4) whether the moving party acted in good faith. The Ninth Circuit, however, declined to treat failure to comply with an appeal filing deadline as excusable neglect when an attorney relied upon an erroneous filing date calculation made by his firm’s support staff. See</w:t>
      </w:r>
      <w:r>
        <w:t xml:space="preserve"> </w:t>
      </w:r>
      <w:r>
        <w:rPr>
          <w:iCs/>
          <w:i/>
        </w:rPr>
        <w:t xml:space="preserve">Pincay v. Andrews</w:t>
      </w:r>
      <w:r>
        <w:t xml:space="preserve">, 351 F.3d 947, 951-52 (9th Cir. 2003).</w:t>
      </w:r>
    </w:p>
    <w:p>
      <w:pPr>
        <w:pStyle w:val="BodyText"/>
      </w:pPr>
      <w:r>
        <w:t xml:space="preserve">In</w:t>
      </w:r>
      <w:r>
        <w:t xml:space="preserve"> </w:t>
      </w:r>
      <w:r>
        <w:rPr>
          <w:iCs/>
          <w:i/>
        </w:rPr>
        <w:t xml:space="preserve">Patrick v. Sedwick,</w:t>
      </w:r>
      <w:r>
        <w:t xml:space="preserve"> </w:t>
      </w:r>
      <w:r>
        <w:t xml:space="preserve">the Supreme Court of Alaska affirmed the denial of a motion for a new trial on the basis of newly discovered evidence, holding that newly discovered evidence must relate to facts that were in existence at the time of the initial trial. 413 P.2d 169 (Alaska 1966). Here, the plaintiff sued a physician for medical malpractice. Although the case was originally tried in October 1961, judgment was not entered in favor of the plaintiff until January 12, 1965. On January 22, 1965, the defendant filed a motion for a new trial, seeking a reduction in damages because of a new treatment discovered in 1963 that could address the plaintiff’s injuries. The court concluded a new trial was unwarranted, because the technique did not exist when the case was initially tried in October 1961.</w:t>
      </w:r>
    </w:p>
    <w:p>
      <w:pPr>
        <w:pStyle w:val="BodyText"/>
      </w:pPr>
      <w:r>
        <w:t xml:space="preserve">Generally, a trial will only be granted because of newly discovered evidence if the evidence in question: (1) would probably change the result in a new trial; (2) was discovered since the trial;  (3) could not have been discovered by due diligence before the trial; (4) is material; (5) is not merely cumulative or impeaching; and (6) relates to facts in existence at the time of the original decision. See</w:t>
      </w:r>
      <w:r>
        <w:t xml:space="preserve"> </w:t>
      </w:r>
      <w:r>
        <w:rPr>
          <w:iCs/>
          <w:i/>
        </w:rPr>
        <w:t xml:space="preserve">Am. Civil Liberties Union v. Dep’t of Def</w:t>
      </w:r>
      <w:r>
        <w:t xml:space="preserve">., 406 F.Supp.2d 330 (S.D.N.Y. 2005) (holding public reporting of CIA role in interrogating terrorism suspects insufficient for new trial on previously denied FOIA request because such reporting was cumulative and probably would not have changed the result).</w:t>
      </w:r>
    </w:p>
    <w:p>
      <w:pPr>
        <w:pStyle w:val="BodyText"/>
      </w:pPr>
      <w:r>
        <w:t xml:space="preserve">In</w:t>
      </w:r>
      <w:r>
        <w:t xml:space="preserve"> </w:t>
      </w:r>
      <w:r>
        <w:rPr>
          <w:iCs/>
          <w:i/>
        </w:rPr>
        <w:t xml:space="preserve">Title v. United States</w:t>
      </w:r>
      <w:r>
        <w:t xml:space="preserve">, the Ninth Circuit held that “a change in the judicial view of applicable law after a final judgment [is an insufficient] basis for vacating [a] judgment entered before the announcement of the change.” 263 F.2d 28, 31 (9th Cir. 1959). Title was denaturalized by a district court in July 1955. Two years later, the Supreme Court interpreted the immigration laws in a separate case. The Supreme Court's ruling demonstrated that Title's denaturalization was legally incorrect. Title moved to set aside the initial denaturalization judgment under Rules 60(b)(4) and 60(b)(5), but the Ninth Circuit concluded that subsequent changes in the law did not entitle him to relief.</w:t>
      </w:r>
    </w:p>
    <w:p>
      <w:pPr>
        <w:pStyle w:val="BodyText"/>
      </w:pPr>
      <w:r>
        <w:t xml:space="preserve">In</w:t>
      </w:r>
      <w:r>
        <w:t xml:space="preserve"> </w:t>
      </w:r>
      <w:r>
        <w:rPr>
          <w:iCs/>
          <w:i/>
        </w:rPr>
        <w:t xml:space="preserve">Hazel-Atlas Glass Co. v. Hartford-Empire Co</w:t>
      </w:r>
      <w:r>
        <w:t xml:space="preserve">., the Supreme Court held that a nine-year-old judgment in a patent dispute obtained on the basis of fraudulent expert testimony could be set aside using a court’s inherent power. The Court of Appeals declined to provide such relief because it concluded the plaintiff had not exercised sufficient diligence during the initial litigation. The Supreme Court disagreed, concluding that the plaintiff did exercise the required due diligence and that, even if such diligence were absent, relief was warranted to preserve the integrity of American public institutions. 322 U.S. 238, 245-46 (1944).</w:t>
      </w:r>
    </w:p>
    <w:p>
      <w:pPr>
        <w:pStyle w:val="BodyText"/>
      </w:pPr>
      <w:r>
        <w:t xml:space="preserve">The various circuits have adopted different tests for what constitutes a fraud on the court sufficient for a prior judgment to be set aside. The Third Circuit, for example, requires that an officer of the court intentionally and actually deceive the court. See</w:t>
      </w:r>
      <w:r>
        <w:t xml:space="preserve"> </w:t>
      </w:r>
      <w:r>
        <w:rPr>
          <w:iCs/>
          <w:i/>
        </w:rPr>
        <w:t xml:space="preserve">Herring v. United States</w:t>
      </w:r>
      <w:r>
        <w:t xml:space="preserve">, 424 F.3d 384 (3d Cir. 2005).</w:t>
      </w:r>
    </w:p>
    <w:p>
      <w:pPr>
        <w:pStyle w:val="BodyText"/>
      </w:pPr>
      <w:r>
        <w:t xml:space="preserve">In</w:t>
      </w:r>
      <w:r>
        <w:t xml:space="preserve"> </w:t>
      </w:r>
      <w:r>
        <w:rPr>
          <w:iCs/>
          <w:i/>
        </w:rPr>
        <w:t xml:space="preserve">Peacock Recs., Inc. v. Checker Recs., Inc.</w:t>
      </w:r>
      <w:r>
        <w:t xml:space="preserve">, the Seventh Circuit held that perjured testimony could not be weighed when evaluating a Rule 60(b) motion and concluded that judgments obtained in part because of perjured testimony should always be set aside. 365 F.2d 145, 147 (7th Cir. 1966). See also</w:t>
      </w:r>
      <w:r>
        <w:t xml:space="preserve"> </w:t>
      </w:r>
      <w:r>
        <w:rPr>
          <w:iCs/>
          <w:i/>
        </w:rPr>
        <w:t xml:space="preserve">Philos Techs., Inc. v. Philos &amp; D, Inc.</w:t>
      </w:r>
      <w:r>
        <w:t xml:space="preserve">, 802 F.2d 905 (7th Cir. 2015) (holding judgment can only be set aside after a clear and convincing showing of fraud).</w:t>
      </w:r>
    </w:p>
    <w:p>
      <w:pPr>
        <w:pStyle w:val="BodyText"/>
      </w:pPr>
      <w:r>
        <w:t xml:space="preserve">Rule 60(d) permits an independent action to challenge judgments older than one year. The Sixth Circuit uses a six-factor test for determining whether such relief should be granted: (1) a judgment which ought not, in equity and good conscience, to be enforced; (2) a good defense to the alleged cause of action on which the judgment is founded; (3) fraud, accident, or mistake that prevented the defendant in the judgment from obtaining the benefit of his defense; (4) the absence of fault or negligence on the part of the defendant; and (5) the absence of any adequate remedy at law.</w:t>
      </w:r>
      <w:r>
        <w:t xml:space="preserve"> </w:t>
      </w:r>
      <w:r>
        <w:rPr>
          <w:iCs/>
          <w:i/>
        </w:rPr>
        <w:t xml:space="preserve">Marcelli v. Walker</w:t>
      </w:r>
      <w:r>
        <w:t xml:space="preserve">, 313 Fed.Appx. 839 (6th Cir. 2009) (citations omitted).</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207" w:name="_auto_toc_207"/>
    <w:bookmarkEnd w:id="207"/>
    <w:p>
      <w:pPr>
        <w:pStyle w:val="ChapterNumber"/>
      </w:pPr>
      <w:r>
        <w:t xml:space="preserve">18</w:t>
      </w:r>
    </w:p>
    <w:p>
      <w:pPr>
        <w:pStyle w:val="ChapterTitle"/>
      </w:pPr>
      <w:r>
        <w:t xml:space="preserve">Day 18</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208" w:name="_auto_toc_208"/>
    <w:bookmarkEnd w:id="208"/>
    <w:p>
      <w:pPr>
        <w:pStyle w:val="ResourceNumber"/>
      </w:pPr>
      <w:r>
        <w:t xml:space="preserve">18.1</w:t>
      </w:r>
    </w:p>
    <w:p>
      <w:pPr>
        <w:pStyle w:val="ResourceTitle"/>
      </w:pPr>
      <w:r>
        <w:t xml:space="preserve">Rules and Statutes</w:t>
      </w:r>
    </w:p>
    <w:p>
      <w:pPr>
        <w:pStyle w:val="HeadFieldSeparator"/>
      </w:pPr>
      <w:r>
        <w:t xml:space="preserve"> </w:t>
      </w:r>
    </w:p>
    <w:p>
      <w:pPr>
        <w:pStyle w:val="ResourceHeadnote"/>
      </w:pPr>
      <w:r>
        <w:t xml:space="preserve">Read the following Federal Rules of Civil Procedure and statutes. You can access them via the internet.</w:t>
      </w:r>
    </w:p>
    <w:p>
      <w:pPr>
        <w:pStyle w:val="HeadEnd"/>
      </w:pPr>
      <w:r>
        <w:t xml:space="preserve"> </w:t>
      </w:r>
    </w:p>
    <w:p>
      <w:pPr>
        <w:numPr>
          <w:ilvl w:val="0"/>
          <w:numId w:val="1163"/>
        </w:numPr>
      </w:pPr>
      <w:r>
        <w:t xml:space="preserve">28 U.S.C.</w:t>
      </w:r>
      <w:r>
        <w:t xml:space="preserve"> </w:t>
      </w:r>
      <w:r>
        <w:t xml:space="preserve">§§</w:t>
      </w:r>
      <w:r>
        <w:t xml:space="preserve"> </w:t>
      </w:r>
      <w:r>
        <w:t xml:space="preserve">1291, 1292(a)(1), 1292(b), 1651, plus short explanation in "Explanation of Statutes" in the "Course Materials" Folder on Canvas</w:t>
      </w:r>
    </w:p>
    <w:p>
      <w:pPr>
        <w:numPr>
          <w:ilvl w:val="0"/>
          <w:numId w:val="1163"/>
        </w:numPr>
      </w:pPr>
      <w:r>
        <w:t xml:space="preserve">Fed. R. Civ. P. 54(b)</w:t>
      </w:r>
    </w:p>
    <w:p>
      <w:pPr>
        <w:numPr>
          <w:ilvl w:val="0"/>
          <w:numId w:val="1163"/>
        </w:numPr>
      </w:pPr>
      <w:r>
        <w:t xml:space="preserve">Fed. R. Civ. P. 23(f)</w:t>
      </w:r>
    </w:p>
    <w:p>
      <w:pPr>
        <w:pStyle w:val="FirstParagraph"/>
      </w:pPr>
      <w:r>
        <w:t xml:space="preserve">Note:  This class period focuses on questions surrounding appellate review:</w:t>
      </w:r>
      <w:r>
        <w:t xml:space="preserve"> </w:t>
      </w:r>
      <w:r>
        <w:rPr>
          <w:iCs/>
          <w:i/>
        </w:rPr>
        <w:t xml:space="preserve">when</w:t>
      </w:r>
      <w:r>
        <w:t xml:space="preserve"> </w:t>
      </w:r>
      <w:r>
        <w:t xml:space="preserve">can a litigant seek review of a lower court order?</w:t>
      </w:r>
      <w:r>
        <w:t xml:space="preserve"> </w:t>
      </w:r>
      <w:r>
        <w:rPr>
          <w:iCs/>
          <w:i/>
        </w:rPr>
        <w:t xml:space="preserve">Who</w:t>
      </w:r>
      <w:r>
        <w:t xml:space="preserve"> </w:t>
      </w:r>
      <w:r>
        <w:t xml:space="preserve">has the right to appeal for review?</w:t>
      </w:r>
      <w:r>
        <w:t xml:space="preserve"> </w:t>
      </w:r>
      <w:r>
        <w:rPr>
          <w:iCs/>
          <w:i/>
        </w:rPr>
        <w:t xml:space="preserve">How</w:t>
      </w:r>
      <w:r>
        <w:t xml:space="preserve"> </w:t>
      </w:r>
      <w:r>
        <w:t xml:space="preserve">should the reviewing court treat the initial decision, both in terms of jurisdiction, and standard of review? The answers to these and related questions affect all parts of the civil litigation system.</w:t>
      </w:r>
    </w:p>
    <w:p>
      <w:pPr>
        <w:pStyle w:val="NodeEnd"/>
      </w:pPr>
      <w:r>
        <w:t xml:space="preserve"> </w:t>
      </w:r>
    </w:p>
    <w:p>
      <w:pPr>
        <w:pStyle w:val="NodeStart"/>
      </w:pPr>
      <w:r>
        <w:t xml:space="preserve"> </w:t>
      </w:r>
    </w:p>
    <w:p>
      <w:pPr>
        <w:pStyle w:val="HeadSeparator"/>
      </w:pPr>
      <w:r>
        <w:t xml:space="preserve"> </w:t>
      </w:r>
    </w:p>
    <w:bookmarkStart w:id="209" w:name="_auto_toc_209"/>
    <w:bookmarkEnd w:id="209"/>
    <w:p>
      <w:pPr>
        <w:pStyle w:val="ResourceNumber"/>
      </w:pPr>
      <w:r>
        <w:t xml:space="preserve">18.2</w:t>
      </w:r>
    </w:p>
    <w:p>
      <w:pPr>
        <w:pStyle w:val="ResourceTitle"/>
      </w:pPr>
      <w:r>
        <w:t xml:space="preserve">The Final Order Rule</w:t>
      </w:r>
    </w:p>
    <w:p>
      <w:pPr>
        <w:pStyle w:val="HeadEnd"/>
      </w:pPr>
      <w:r>
        <w:t xml:space="preserve"> </w:t>
      </w:r>
    </w:p>
    <w:p>
      <w:pPr>
        <w:pStyle w:val="BodyText"/>
      </w:pPr>
      <w:r>
        <w:t xml:space="preserve">A previous entry discussed the standard of review that an appellate court will apply on appeal.  The remainder of the readings concern timing of the appeal and the identity of the appellant, i.e., who can appeal and when they can do so.</w:t>
      </w:r>
    </w:p>
    <w:p>
      <w:pPr>
        <w:pStyle w:val="BodyText"/>
      </w:pPr>
      <w:r>
        <w:t xml:space="preserve">A “final judgment,” for purposes of 28 U.S.C. §§ 1291-92, is one that is made after the trial court has concluded all events associated with a case, except any litigation regarding effectuation of a remedy that the trial court has awarded (such as enforcement of an injunction, or collection of an amount of money owed). As you will see, in the federal system, the general rule is that appeals are allowed only of "final decisions," which ordinarily means a "final judgment" (also referred to as a "final order").  Allowing appeal only of final decisions has its advantages. Allowing immediate review of</w:t>
      </w:r>
      <w:r>
        <w:t xml:space="preserve"> </w:t>
      </w:r>
      <w:r>
        <w:rPr>
          <w:iCs/>
          <w:i/>
        </w:rPr>
        <w:t xml:space="preserve">every</w:t>
      </w:r>
      <w:r>
        <w:t xml:space="preserve"> </w:t>
      </w:r>
      <w:r>
        <w:t xml:space="preserve">trial court ruling would be untenable, as it would cause endless stoppages in a trial. Trial courts are also typically correct in their rulings, so allowing an increased number of appeals would gain the judicial system little at the cost of administration. In addition, trial courts sometimes correct their own erroneous rulings, making appeals unnecessary.  And many erroneous decisions do not end up affecting the case outcome, in which case, again, an appeal would be unnecessary (and if one is nevertheless made, an application of the harmless error doctrine can resolve it).</w:t>
      </w:r>
    </w:p>
    <w:p>
      <w:pPr>
        <w:pStyle w:val="BodyText"/>
      </w:pPr>
      <w:r>
        <w:t xml:space="preserve">That said, a successful appeal under the final order rule could require a redo of the entire trial, which is a costly endeavor. An erroneous ruling by the trial court early on could infect the entirety of the proceedings that follow. A repeated trial will necessarily be held further in time from the events leading to the case and will be informed by the strategies, rulings, and proceedings of the first, erroneous trial. And as a result of the final order rule, different areas of legal practice, such as discovery, have formed without the clarity that appellate courts may have been able to provide.  An appeal from a non-final decison might have avoided all of these costs.  With all of this in mind, it is unsurprising that some states (particularly New York) have decided to allow their courts to hear so-called "interlocutory" appeals, i.e., appeals from orders issued prior to final judgment.</w:t>
      </w:r>
    </w:p>
    <w:p>
      <w:pPr>
        <w:pStyle w:val="BodyText"/>
      </w:pPr>
      <w:r>
        <w:t xml:space="preserve">We will study only federal appellate jurisdiction doctrine in this course.</w:t>
      </w:r>
    </w:p>
    <w:p>
      <w:pPr>
        <w:pStyle w:val="NodeEnd"/>
      </w:pPr>
      <w:r>
        <w:t xml:space="preserve"> </w:t>
      </w:r>
    </w:p>
    <w:p>
      <w:pPr>
        <w:pStyle w:val="NodeStart"/>
      </w:pPr>
      <w:r>
        <w:t xml:space="preserve"> </w:t>
      </w:r>
    </w:p>
    <w:p>
      <w:pPr>
        <w:pStyle w:val="HeadSeparator"/>
      </w:pPr>
      <w:r>
        <w:t xml:space="preserve"> </w:t>
      </w:r>
    </w:p>
    <w:bookmarkStart w:id="210" w:name="_auto_toc_210"/>
    <w:bookmarkEnd w:id="210"/>
    <w:p>
      <w:pPr>
        <w:pStyle w:val="ResourceNumber"/>
      </w:pPr>
      <w:r>
        <w:t xml:space="preserve">18.3</w:t>
      </w:r>
    </w:p>
    <w:p>
      <w:pPr>
        <w:pStyle w:val="ResourceTitle"/>
      </w:pPr>
      <w:r>
        <w:t xml:space="preserve">Liberty Mutual Insurance v. Wetzel</w:t>
      </w:r>
    </w:p>
    <w:p>
      <w:pPr>
        <w:pStyle w:val="HeadFieldSeparator"/>
      </w:pPr>
      <w:r>
        <w:t xml:space="preserve"> </w:t>
      </w:r>
    </w:p>
    <w:p>
      <w:pPr>
        <w:pStyle w:val="ResourceHeadnote"/>
      </w:pPr>
      <w:r>
        <w:t xml:space="preserve">This case introduces and applies the final decision rule in the federal court system. It then reviews most of the exceptions to this rule available in federal law.</w:t>
      </w:r>
    </w:p>
    <w:p>
      <w:pPr>
        <w:pStyle w:val="ResourceHeadnote"/>
      </w:pPr>
      <w:r>
        <w:t xml:space="preserve">Two questions to consider as you review this case:</w:t>
      </w:r>
    </w:p>
    <w:p>
      <w:pPr>
        <w:pStyle w:val="ResourceHeadnote"/>
      </w:pPr>
      <w:r>
        <w:t xml:space="preserve">1) Did either party raise the question of lack of appellate jurisdiction at any point during this appeal? What, if anything, does this say about how appellate jurisdiction works? Does this remind you of a doctrine we studied earlier in the course?</w:t>
      </w:r>
    </w:p>
    <w:p>
      <w:pPr>
        <w:pStyle w:val="ResourceHeadnote"/>
      </w:pPr>
      <w:r>
        <w:t xml:space="preserve">2) According to the</w:t>
      </w:r>
      <w:r>
        <w:t xml:space="preserve"> </w:t>
      </w:r>
      <w:r>
        <w:rPr>
          <w:iCs/>
          <w:i/>
        </w:rPr>
        <w:t xml:space="preserve">Liberty Mutual</w:t>
      </w:r>
      <w:r>
        <w:t xml:space="preserve"> </w:t>
      </w:r>
      <w:r>
        <w:t xml:space="preserve">decision, which court lacked appellate jurisdiction?</w:t>
      </w:r>
    </w:p>
    <w:p>
      <w:pPr>
        <w:pStyle w:val="HeadEnd"/>
      </w:pPr>
      <w:r>
        <w:t xml:space="preserve"> </w:t>
      </w:r>
    </w:p>
    <w:p>
      <w:pPr>
        <w:pStyle w:val="CaseHeader"/>
      </w:pPr>
      <w:r>
        <w:t xml:space="preserve">Supreme Court of the United States</w:t>
      </w:r>
    </w:p>
    <w:p>
      <w:pPr>
        <w:pStyle w:val="CaseHeader"/>
      </w:pPr>
      <w:r>
        <w:t xml:space="preserve">424 U.S. 737, 47 L. Ed. 2d 435, 96 S. Ct. 1202, 1976 U.S. LEXIS 139, SCDB 1975-057</w:t>
      </w:r>
    </w:p>
    <w:p>
      <w:pPr>
        <w:pStyle w:val="CaseHeader"/>
      </w:pPr>
      <w:r>
        <w:t xml:space="preserve">No. 74-1245</w:t>
      </w:r>
    </w:p>
    <w:p>
      <w:pPr>
        <w:pStyle w:val="CaseHeader"/>
      </w:pPr>
      <w:r>
        <w:t xml:space="preserve">1976-03-23</w:t>
      </w:r>
    </w:p>
    <w:p>
      <w:pPr>
        <w:pStyle w:val="CaseBody"/>
      </w:pPr>
      <w:r>
        <w:t xml:space="preserve">424 U.S. 737 (1976)</w:t>
      </w:r>
    </w:p>
    <w:p>
      <w:pPr>
        <w:pStyle w:val="CaseHeader"/>
      </w:pPr>
      <w:r>
        <w:t xml:space="preserve">LIBERTY MUTUAL INSURANCE CO.</w:t>
      </w:r>
      <w:r>
        <w:br/>
      </w:r>
      <w:r>
        <w:t xml:space="preserve">v.</w:t>
      </w:r>
      <w:r>
        <w:br/>
      </w:r>
      <w:r>
        <w:t xml:space="preserve">WETZEL ET AL.</w:t>
      </w:r>
    </w:p>
    <w:p>
      <w:pPr>
        <w:pStyle w:val="CaseBody"/>
      </w:pPr>
      <w:r>
        <w:t xml:space="preserve">No. 74-1245.</w:t>
      </w:r>
    </w:p>
    <w:p>
      <w:pPr>
        <w:pStyle w:val="CaseBody"/>
      </w:pPr>
      <w:r>
        <w:t xml:space="preserve">Supreme Court of United States.</w:t>
      </w:r>
    </w:p>
    <w:p>
      <w:pPr>
        <w:pStyle w:val="CaseBody"/>
      </w:pPr>
      <w:r>
        <w:t xml:space="preserve">Argued January 19, 1976.</w:t>
      </w:r>
    </w:p>
    <w:p>
      <w:pPr>
        <w:pStyle w:val="CaseBody"/>
      </w:pPr>
      <w:r>
        <w:t xml:space="preserve">Decided March 23, 1976.</w:t>
      </w:r>
    </w:p>
    <w:bookmarkStart w:id="232" w:name="Xe155eb02a6b57c8c69290c84c57886fc50530ac"/>
    <w:p>
      <w:pPr>
        <w:pStyle w:val="Heading2"/>
      </w:pPr>
      <w:r>
        <w:t xml:space="preserve">CERTIORARI TO THE UNITED STATES COURT OF APPEALS FOR THE THIRD CIRCUIT.</w:t>
      </w:r>
    </w:p>
    <w:p>
      <w:pPr>
        <w:pStyle w:val="CaseBody"/>
      </w:pPr>
      <w:r>
        <w:t xml:space="preserve">[738]</w:t>
      </w:r>
      <w:r>
        <w:rPr>
          <w:rStyle w:val="Elision"/>
        </w:rPr>
        <w:t xml:space="preserve">[ … ]</w:t>
      </w:r>
    </w:p>
    <w:p>
      <w:pPr>
        <w:pStyle w:val="CaseBody"/>
      </w:pPr>
      <w:r>
        <w:t xml:space="preserve">.</w:t>
      </w:r>
      <w:hyperlink w:anchor="Xc26fba2db85163f28b9613a9f3ff17751f40e82">
        <w:r>
          <w:rPr>
            <w:rStyle w:val="Elision"/>
            <w:vertAlign w:val="superscript"/>
          </w:rPr>
          <w:t xml:space="preserve">[ … ]</w:t>
        </w:r>
      </w:hyperlink>
    </w:p>
    <w:bookmarkEnd w:id="232"/>
    <w:bookmarkStart w:id="233" w:name="X75b4f939340c572bcb86c0d6a261dfb59dd919b"/>
    <w:p>
      <w:pPr>
        <w:pStyle w:val="Heading2"/>
      </w:pPr>
      <w:r>
        <w:rPr>
          <w:rStyle w:val="Elision"/>
        </w:rPr>
        <w:t xml:space="preserve">[ … ]</w:t>
      </w:r>
      <w:r>
        <w:t xml:space="preserve"> </w:t>
      </w:r>
      <w:r>
        <w:t xml:space="preserve">MR. JUSTICE REHNQUIST delivered the opinion of the Court.</w:t>
      </w:r>
    </w:p>
    <w:p>
      <w:pPr>
        <w:pStyle w:val="CaseBody"/>
      </w:pPr>
      <w:r>
        <w:t xml:space="preserve">Respondents filed a complaint in the United States District Court for the Western District of Pennsylvania in which they asserted that petitioner's employee insurance benefits and maternity leave regulations discriminated against women in violation of Title VII of the Civil Rights Act of 1964</w:t>
      </w:r>
      <w:r>
        <w:rPr>
          <w:rStyle w:val="Elision"/>
        </w:rPr>
        <w:t xml:space="preserve">[ … ]</w:t>
      </w:r>
      <w:r>
        <w:t xml:space="preserve">. The District Court ruled in favor of respondents on the issue of petitioner's liability under that Act, and petitioner appealed to the Court of Appeals for the Third Circuit. That court held that it had jurisdiction of petitioner's appeal under 28 U. S. C. § 1291, and proceeded to affirm on the merits the judgment of the District Court. We</w:t>
      </w:r>
      <w:r>
        <w:rPr>
          <w:rStyle w:val="Elision"/>
        </w:rPr>
        <w:t xml:space="preserve">[ … ]</w:t>
      </w:r>
      <w:r>
        <w:t xml:space="preserve"> </w:t>
      </w:r>
      <w:r>
        <w:t xml:space="preserve">granted certiorari</w:t>
      </w:r>
      <w:r>
        <w:rPr>
          <w:rStyle w:val="Elision"/>
        </w:rPr>
        <w:t xml:space="preserve">[ … ]</w:t>
      </w:r>
      <w:r>
        <w:t xml:space="preserve">, and heard argument on the merits. Though neither party has questioned the jurisdiction of the Court of Appeals to entertain the appeal, we are obligated to do so on our own motion if a question thereto exists.</w:t>
      </w:r>
      <w:r>
        <w:t xml:space="preserve"> </w:t>
      </w:r>
      <w:r>
        <w:rPr>
          <w:rStyle w:val="Elision"/>
        </w:rPr>
        <w:t xml:space="preserve">[ … ]</w:t>
      </w:r>
      <w:r>
        <w:t xml:space="preserve">Because we conclude that the District Court's order was not appealable to the Court of Appeals, we vacate the judgment of the Court of Appeals with instructions to dismiss petitioner's appeal from the order of the District Court.</w:t>
      </w:r>
    </w:p>
    <w:p>
      <w:pPr>
        <w:pStyle w:val="CaseBody"/>
      </w:pPr>
      <w:r>
        <w:t xml:space="preserve">Respondents' complaint, after alleging jurisdiction and facts deemed pertinent to their claim, prayed for a judgment against petitioner embodying the following relief:</w:t>
      </w:r>
    </w:p>
    <w:p>
      <w:pPr>
        <w:pStyle w:val="BlockText"/>
      </w:pPr>
      <w:r>
        <w:t xml:space="preserve">"(a) requiring that defendant establish non-discriminatory hiring, payment, opportunity, and promotional plans and programs;</w:t>
      </w:r>
    </w:p>
    <w:p>
      <w:pPr>
        <w:pStyle w:val="BlockText"/>
      </w:pPr>
      <w:r>
        <w:t xml:space="preserve">"(b) enjoining the continuance by defendant of the illegal acts and practices alleged herein;</w:t>
      </w:r>
    </w:p>
    <w:p>
      <w:pPr>
        <w:pStyle w:val="BlockText"/>
      </w:pPr>
      <w:r>
        <w:t xml:space="preserve">"(c) requiring that defendant pay over to plaintiffs and to the members of the class the damages sustained by plaintiffs and the members of the class by reason of defendant's illegal acts and practices, including adjusted backpay, with interest, and an additional equal amount as liquidated damages, and exemplary damages;</w:t>
      </w:r>
    </w:p>
    <w:p>
      <w:pPr>
        <w:pStyle w:val="BlockText"/>
      </w:pPr>
      <w:r>
        <w:t xml:space="preserve">"(d) requiring that defendant pay to plaintiffs and to the members of the class the costs of this suit and a reasonable attorneys' fee, with interest; and</w:t>
      </w:r>
    </w:p>
    <w:p>
      <w:pPr>
        <w:pStyle w:val="BlockText"/>
      </w:pPr>
      <w:r>
        <w:t xml:space="preserve">"(e) such other and further relief as the Court deems appropriate."</w:t>
      </w:r>
      <w:r>
        <w:t xml:space="preserve"> </w:t>
      </w:r>
      <w:r>
        <w:rPr>
          <w:rStyle w:val="Elision"/>
        </w:rPr>
        <w:t xml:space="preserve">[ … ]</w:t>
      </w:r>
    </w:p>
    <w:p>
      <w:pPr>
        <w:pStyle w:val="CaseBody"/>
      </w:pPr>
      <w:r>
        <w:t xml:space="preserve">After extensive discovery, respondents moved for partial summary judgment only as to the issue of liability. Fed. Rule Civ. Proc. 56 (c). The District Court on January 9, 1974, finding no issues of material fact in dispute,</w:t>
      </w:r>
      <w:r>
        <w:t xml:space="preserve"> </w:t>
      </w:r>
      <w:r>
        <w:rPr>
          <w:rStyle w:val="Elision"/>
        </w:rPr>
        <w:t xml:space="preserve">[ … ]</w:t>
      </w:r>
      <w:r>
        <w:t xml:space="preserve"> </w:t>
      </w:r>
      <w:r>
        <w:t xml:space="preserve">entered an order to the effect that petitioner's pregnancy-related policies violated Title VII of the Civil Rights Act of 1964. It also ruled that Liberty Mutual's hiring and promotion policies violated Title VII.</w:t>
      </w:r>
      <w:hyperlink w:anchor="Xcaab75ea0eb7084f3168b5a45eabedf092989f6">
        <w:r>
          <w:rPr>
            <w:rStyle w:val="Elision"/>
            <w:vertAlign w:val="superscript"/>
          </w:rPr>
          <w:t xml:space="preserve">[ … ]</w:t>
        </w:r>
      </w:hyperlink>
      <w:r>
        <w:t xml:space="preserve">Petitioner thereafter filed a motion for reconsideration which was denied by the District Court. Its order of February 20, 1974, denying the motion for reconsideration, contains the following concluding language:</w:t>
      </w:r>
    </w:p>
    <w:p>
      <w:pPr>
        <w:pStyle w:val="BlockText"/>
      </w:pPr>
      <w:r>
        <w:t xml:space="preserve">"In its Order the court stated it would enjoin the continuance of practices which the court found to be in violation of Title VII. The Plaintiffs were invited to submit the form of the injunction order and the Defendant has filed Notice of Appeal and asked for stay of any injunctive order. Under these circumstances the court will withhold the issuance of the injunctive order</w:t>
      </w:r>
      <w:r>
        <w:t xml:space="preserve"> </w:t>
      </w:r>
      <w:r>
        <w:rPr>
          <w:rStyle w:val="Elision"/>
        </w:rPr>
        <w:t xml:space="preserve">[ … ]</w:t>
      </w:r>
    </w:p>
    <w:p>
      <w:pPr>
        <w:pStyle w:val="CaseBody"/>
      </w:pPr>
      <w:r>
        <w:t xml:space="preserve">It is obvious from the District Court's order that respondents, although having received a favorable ruling on the issue of petitioner's liability to them, received none of the relief which they expressly prayed for in the portion of their complaint set forth above. They requested an injunction, but did not get one; they requested damages, but were not awarded any; they requested attorneys' fees, but received none.</w:t>
      </w:r>
    </w:p>
    <w:p>
      <w:pPr>
        <w:pStyle w:val="CaseBody"/>
      </w:pPr>
      <w:r>
        <w:t xml:space="preserve">Counsel for respondents when questioned during oral argument in this Court suggested that at least the District Court's order of February 20 amounted to a declaratory judgment on the issue of liability pursuant to the provisions of 28 U. S. C. § 2201. Had respondents sought</w:t>
      </w:r>
      <w:r>
        <w:t xml:space="preserve"> </w:t>
      </w:r>
      <w:r>
        <w:rPr>
          <w:iCs/>
          <w:i/>
        </w:rPr>
        <w:t xml:space="preserve">only</w:t>
      </w:r>
      <w:r>
        <w:t xml:space="preserve"> </w:t>
      </w:r>
      <w:r>
        <w:t xml:space="preserve">a declaratory judgment, and no other form of relief, we would of course have a different case. But even if we accept respondents' contention that the District Court's order was a declaratory judgment on the issue of liability, it nonetheless left unresolved respondents' requests for an injunction, for compensatory and exemplary damages, and for attorneys' fees. It finally disposed of none of respondents' prayers for relief.</w:t>
      </w:r>
    </w:p>
    <w:p>
      <w:pPr>
        <w:pStyle w:val="CaseBody"/>
      </w:pPr>
      <w:r>
        <w:t xml:space="preserve">The District Court and the Court of Appeals apparently took the view that because the District Court made the recital required by Fed. Rule Civ. Proc. 54 (b) that final judgment be entered on the issue of liability, and that there was no just reason for delay, the orders thereby became appealable as a final decision pursuant to 28 U. S. C. § 1291. We cannot agree with this application of the Rule and statute in question.</w:t>
      </w:r>
    </w:p>
    <w:p>
      <w:pPr>
        <w:pStyle w:val="CaseBody"/>
      </w:pPr>
      <w:r>
        <w:t xml:space="preserve">Rule 54 (b)</w:t>
      </w:r>
      <w:hyperlink w:anchor="X8849ccb390d88aafd05f995c0041a814a46bfc6">
        <w:r>
          <w:rPr>
            <w:rStyle w:val="Elision"/>
            <w:vertAlign w:val="superscript"/>
          </w:rPr>
          <w:t xml:space="preserve">[ … ]</w:t>
        </w:r>
      </w:hyperlink>
      <w:r>
        <w:t xml:space="preserve">"does not apply to a single claim</w:t>
      </w:r>
      <w:r>
        <w:t xml:space="preserve"> </w:t>
      </w:r>
      <w:r>
        <w:rPr>
          <w:rStyle w:val="Elision"/>
        </w:rPr>
        <w:t xml:space="preserve">[ … ]</w:t>
      </w:r>
      <w:r>
        <w:t xml:space="preserve">action . . . . It is limited expressly to multiple claims actions in which `one or more but less than all' of the multiple claims have been finally decided and are found otherwise to be ready for appeal."</w:t>
      </w:r>
      <w:r>
        <w:t xml:space="preserve"> </w:t>
      </w:r>
      <w:r>
        <w:rPr>
          <w:rStyle w:val="Elision"/>
        </w:rPr>
        <w:t xml:space="preserve">[ … ]</w:t>
      </w:r>
      <w:r>
        <w:t xml:space="preserve">Here, however, respondents set forth but a single claim: that petitioner's employee insurance benefits and maternity leave regulations discriminated against its women employees in violation of Title VII of the Civil Rights Act of 1964. They prayed for several different types of relief in the event that they sustained the allegations of their complaint</w:t>
      </w:r>
      <w:r>
        <w:rPr>
          <w:rStyle w:val="Elision"/>
        </w:rPr>
        <w:t xml:space="preserve">[ … ]</w:t>
      </w:r>
      <w:r>
        <w:t xml:space="preserve">, but t</w:t>
      </w:r>
      <w:r>
        <w:t xml:space="preserve">heir complaint advanced a single legal theory which was applied to only one set of facts</w:t>
      </w:r>
      <w:r>
        <w:rPr>
          <w:rStyle w:val="FootnoteReference"/>
        </w:rPr>
        <w:footnoteReference w:customMarkFollows="1" w:id="44"/>
        <w:t xml:space="preserve">*</w:t>
      </w:r>
      <w:r>
        <w:t xml:space="preserve">.</w:t>
      </w:r>
      <w:hyperlink w:anchor="X4a08a0dc180041b3d72dfdd3667fa0eda211f3e">
        <w:r>
          <w:rPr>
            <w:rStyle w:val="Elision"/>
            <w:vertAlign w:val="superscript"/>
          </w:rPr>
          <w:t xml:space="preserve">[ … ]</w:t>
        </w:r>
      </w:hyperlink>
      <w:r>
        <w:t xml:space="preserve"> </w:t>
      </w:r>
      <w:r>
        <w:t xml:space="preserve">Thus, despite the fact that the District Court undoubtedly made the findings required</w:t>
      </w:r>
      <w:r>
        <w:rPr>
          <w:rStyle w:val="Elision"/>
        </w:rPr>
        <w:t xml:space="preserve">[ … ]</w:t>
      </w:r>
      <w:r>
        <w:t xml:space="preserve">under the Rule, had it been applicable, those findings do not in a case such as this make the order appealable</w:t>
      </w:r>
      <w:r>
        <w:t xml:space="preserve"> </w:t>
      </w:r>
      <w:r>
        <w:rPr>
          <w:rStyle w:val="Elision"/>
        </w:rPr>
        <w:t xml:space="preserve">[ … ]</w:t>
      </w:r>
    </w:p>
    <w:p>
      <w:pPr>
        <w:pStyle w:val="CaseBody"/>
      </w:pPr>
      <w:r>
        <w:t xml:space="preserve">We turn to consider whether the District Court's order might have been appealed by petitioner to the Court of Appeals under any other theory. The order, viewed apart from its discussion of Rule 54 (b), constitutes a grant of partial summary judgment limited to the issue of petitioner's liability. Such judgments are</w:t>
      </w:r>
      <w:r>
        <w:t xml:space="preserve"> </w:t>
      </w:r>
      <w:r>
        <w:rPr>
          <w:rStyle w:val="Elision"/>
        </w:rPr>
        <w:t xml:space="preserve">[ … ]</w:t>
      </w:r>
      <w:r>
        <w:t xml:space="preserve"> </w:t>
      </w:r>
      <w:r>
        <w:t xml:space="preserve">interlocutory</w:t>
      </w:r>
      <w:r>
        <w:rPr>
          <w:rStyle w:val="Elision"/>
        </w:rPr>
        <w:t xml:space="preserve">[ … ]</w:t>
      </w:r>
      <w:r>
        <w:t xml:space="preserve"> </w:t>
      </w:r>
      <w:r>
        <w:t xml:space="preserve">and where assessment of damages or awarding of other relief remains to be resolved have never been considered to be "final" within the meaning of 28 U. S. C. § 1291.</w:t>
      </w:r>
      <w:r>
        <w:t xml:space="preserve"> </w:t>
      </w:r>
      <w:r>
        <w:rPr>
          <w:rStyle w:val="Elision"/>
        </w:rPr>
        <w:t xml:space="preserve">[ … ]</w:t>
      </w:r>
    </w:p>
    <w:p>
      <w:pPr>
        <w:pStyle w:val="CaseBody"/>
      </w:pPr>
      <w:r>
        <w:t xml:space="preserve">If the District Court had granted injunctive relief but had not ruled on respondents' other requests for relief, this interlocutory order would have been appealable under § 1292 (a) (1).</w:t>
      </w:r>
      <w:hyperlink w:anchor="Xc4b3d9efa8e88a2e0e4d9858c48918092521eff">
        <w:r>
          <w:rPr>
            <w:rStyle w:val="Elision"/>
            <w:vertAlign w:val="superscript"/>
          </w:rPr>
          <w:t xml:space="preserve">[ … ]</w:t>
        </w:r>
      </w:hyperlink>
      <w:r>
        <w:t xml:space="preserve">But, as noted above, the court did not issue an injunction. It might be argued that the order of the District Court, insofar as it failed to include the injunctive relief requested by respondents, is an interlocutory</w:t>
      </w:r>
      <w:r>
        <w:t xml:space="preserve"> </w:t>
      </w:r>
      <w:r>
        <w:rPr>
          <w:rStyle w:val="Elision"/>
        </w:rPr>
        <w:t xml:space="preserve">[ … ]</w:t>
      </w:r>
      <w:r>
        <w:t xml:space="preserve"> </w:t>
      </w:r>
      <w:r>
        <w:t xml:space="preserve">order refusing an injunction within the meaning of § 1292 (a) (1). But even if this would have allowed</w:t>
      </w:r>
      <w:r>
        <w:t xml:space="preserve"> </w:t>
      </w:r>
      <w:r>
        <w:rPr>
          <w:iCs/>
          <w:i/>
        </w:rPr>
        <w:t xml:space="preserve">respondents</w:t>
      </w:r>
      <w:r>
        <w:t xml:space="preserve"> </w:t>
      </w:r>
      <w:r>
        <w:t xml:space="preserve">to then obtain review in the Court of Appeals, there was no denial of any injunction sought by</w:t>
      </w:r>
      <w:r>
        <w:t xml:space="preserve"> </w:t>
      </w:r>
      <w:r>
        <w:rPr>
          <w:iCs/>
          <w:i/>
        </w:rPr>
        <w:t xml:space="preserve">petitioner</w:t>
      </w:r>
      <w:r>
        <w:t xml:space="preserve"> </w:t>
      </w:r>
      <w:r>
        <w:t xml:space="preserve">and it could not avail itself of that grant of jurisdiction.</w:t>
      </w:r>
    </w:p>
    <w:p>
      <w:pPr>
        <w:pStyle w:val="CaseBody"/>
      </w:pPr>
      <w:r>
        <w:t xml:space="preserve">Nor was this order appealable pursuant to 28 U. S. C. § 1292 (b).</w:t>
      </w:r>
      <w:hyperlink w:anchor="Xf7c548bae13255f88823b2a1d39a1d071263dee">
        <w:r>
          <w:rPr>
            <w:rStyle w:val="Elision"/>
            <w:vertAlign w:val="superscript"/>
          </w:rPr>
          <w:t xml:space="preserve">[ … ]</w:t>
        </w:r>
      </w:hyperlink>
      <w:r>
        <w:t xml:space="preserve">Although the District Court's findings made with a view to satisfying Rule 54 (b) might be viewed as substantial compliance with the certification requirement of that section, there is no showing in this record that petitioner made application to the Court of Appeals within the 10 days therein specified. And that court's holding that its jurisdiction was pursuant to § 1291 makes it clear that it thought itself obliged to consider on the merits petitioner's appeal. There can be no assurance that had the other requirements of § 1292 (b) been complied with, the Court of Appeals would have exercised its discretion to entertain the interlocutory appeal.</w:t>
      </w:r>
    </w:p>
    <w:p>
      <w:pPr>
        <w:pStyle w:val="CaseBody"/>
      </w:pPr>
      <w:r>
        <w:rPr>
          <w:rStyle w:val="Elision"/>
        </w:rPr>
        <w:t xml:space="preserve">[ … ]</w:t>
      </w:r>
    </w:p>
    <w:p>
      <w:pPr>
        <w:pStyle w:val="CaseBody"/>
      </w:pPr>
      <w:r>
        <w:t xml:space="preserve">The judgment of the Court of Appeals is therefore vacated, and the case is remanded with instructions to dismiss the petitioner's appeal.</w:t>
      </w:r>
    </w:p>
    <w:p>
      <w:pPr>
        <w:pStyle w:val="CaseBody"/>
      </w:pPr>
      <w:r>
        <w:rPr>
          <w:iCs/>
          <w:i/>
        </w:rPr>
        <w:t xml:space="preserve">It is so ordered.</w:t>
      </w:r>
    </w:p>
    <w:p>
      <w:pPr>
        <w:pStyle w:val="CaseBody"/>
      </w:pPr>
      <w:r>
        <w:rPr>
          <w:rStyle w:val="Elision"/>
        </w:rPr>
        <w:t xml:space="preserve">[ … ]</w:t>
      </w:r>
    </w:p>
    <w:p>
      <w:pPr>
        <w:pStyle w:val="CaseBody"/>
      </w:pPr>
      <w:hyperlink w:anchor="X4b1d9de884cd62813bedfd8508f42db2d8b4c4c">
        <w:r>
          <w:rPr>
            <w:rStyle w:val="Elision"/>
          </w:rPr>
          <w:t xml:space="preserve">[ … ]</w:t>
        </w:r>
      </w:hyperlink>
    </w:p>
    <w:p>
      <w:pPr>
        <w:pStyle w:val="CaseBody"/>
      </w:pPr>
      <w:r>
        <w:rPr>
          <w:rStyle w:val="Elision"/>
        </w:rPr>
        <w:t xml:space="preserve">[ … ]</w:t>
      </w:r>
    </w:p>
    <w:p>
      <w:pPr>
        <w:pStyle w:val="CaseBody"/>
      </w:pPr>
      <w:hyperlink w:anchor="X84ae320230f579c86f10ccb5006994029a7b7d3">
        <w:r>
          <w:rPr>
            <w:rStyle w:val="Elision"/>
          </w:rPr>
          <w:t xml:space="preserve">[ … ]</w:t>
        </w:r>
      </w:hyperlink>
    </w:p>
    <w:p>
      <w:pPr>
        <w:pStyle w:val="CaseBody"/>
      </w:pPr>
      <w:r>
        <w:rPr>
          <w:rStyle w:val="Elision"/>
        </w:rPr>
        <w:t xml:space="preserve">[ … ]</w:t>
      </w:r>
    </w:p>
    <w:bookmarkEnd w:id="233"/>
    <w:p>
      <w:pPr>
        <w:pStyle w:val="NodeEnd"/>
      </w:pPr>
      <w:r>
        <w:t xml:space="preserve"> </w:t>
      </w:r>
    </w:p>
    <w:p>
      <w:pPr>
        <w:pStyle w:val="NodeStart"/>
      </w:pPr>
      <w:r>
        <w:t xml:space="preserve"> </w:t>
      </w:r>
    </w:p>
    <w:p>
      <w:pPr>
        <w:pStyle w:val="HeadSeparator"/>
      </w:pPr>
      <w:r>
        <w:t xml:space="preserve"> </w:t>
      </w:r>
    </w:p>
    <w:bookmarkStart w:id="211" w:name="_auto_toc_211"/>
    <w:bookmarkEnd w:id="211"/>
    <w:p>
      <w:pPr>
        <w:pStyle w:val="ResourceNumber"/>
      </w:pPr>
      <w:r>
        <w:t xml:space="preserve">18.4</w:t>
      </w:r>
    </w:p>
    <w:p>
      <w:pPr>
        <w:pStyle w:val="ResourceTitle"/>
      </w:pPr>
      <w:r>
        <w:t xml:space="preserve">Notes following Liberty Mutual</w:t>
      </w:r>
    </w:p>
    <w:p>
      <w:pPr>
        <w:pStyle w:val="HeadEnd"/>
      </w:pPr>
      <w:r>
        <w:t xml:space="preserve"> </w:t>
      </w:r>
    </w:p>
    <w:p>
      <w:pPr>
        <w:numPr>
          <w:ilvl w:val="0"/>
          <w:numId w:val="1164"/>
        </w:numPr>
      </w:pPr>
      <w:r>
        <w:t xml:space="preserve">What caused the absence of finality in</w:t>
      </w:r>
      <w:r>
        <w:t xml:space="preserve"> </w:t>
      </w:r>
      <w:r>
        <w:rPr>
          <w:iCs/>
          <w:i/>
        </w:rPr>
        <w:t xml:space="preserve">Liberty Mutual?</w:t>
      </w:r>
      <w:r>
        <w:t xml:space="preserve"> </w:t>
      </w:r>
      <w:r>
        <w:t xml:space="preserve">Noncompliance with procedure? Jurisdictional problems? Why did the Court raise the defect sua sponte, and what additional dangers might such a practice from appellate courts create?</w:t>
      </w:r>
    </w:p>
    <w:p>
      <w:pPr>
        <w:numPr>
          <w:ilvl w:val="0"/>
          <w:numId w:val="1164"/>
        </w:numPr>
      </w:pPr>
      <w:r>
        <w:t xml:space="preserve">Goals of appellate review include getting the case right, promoting consistency in bodies of law, and providing citizens an opportunity to have their grievances heard. How does the final order rule interact with these goals?</w:t>
      </w:r>
    </w:p>
    <w:p>
      <w:pPr>
        <w:pStyle w:val="NodeEnd"/>
      </w:pPr>
      <w:r>
        <w:t xml:space="preserve"> </w:t>
      </w:r>
    </w:p>
    <w:p>
      <w:pPr>
        <w:pStyle w:val="NodeStart"/>
      </w:pPr>
      <w:r>
        <w:t xml:space="preserve"> </w:t>
      </w:r>
    </w:p>
    <w:p>
      <w:pPr>
        <w:pStyle w:val="HeadSeparator"/>
      </w:pPr>
      <w:r>
        <w:t xml:space="preserve"> </w:t>
      </w:r>
    </w:p>
    <w:bookmarkStart w:id="212" w:name="_auto_toc_212"/>
    <w:bookmarkEnd w:id="212"/>
    <w:p>
      <w:pPr>
        <w:pStyle w:val="ResourceNumber"/>
      </w:pPr>
      <w:r>
        <w:t xml:space="preserve">18.5</w:t>
      </w:r>
    </w:p>
    <w:p>
      <w:pPr>
        <w:pStyle w:val="ResourceTitle"/>
      </w:pPr>
      <w:r>
        <w:t xml:space="preserve">Sears, Roebuck &amp; Co. v. Mackey</w:t>
      </w:r>
    </w:p>
    <w:p>
      <w:pPr>
        <w:pStyle w:val="HeadFieldSeparator"/>
      </w:pPr>
      <w:r>
        <w:t xml:space="preserve"> </w:t>
      </w:r>
    </w:p>
    <w:p>
      <w:pPr>
        <w:pStyle w:val="ResourceHeadnote"/>
      </w:pPr>
      <w:r>
        <w:t xml:space="preserve">This case provides an example of the application of Fed. R. Civ. P. 54(b).</w:t>
      </w:r>
    </w:p>
    <w:p>
      <w:pPr>
        <w:pStyle w:val="HeadEnd"/>
      </w:pPr>
      <w:r>
        <w:t xml:space="preserve"> </w:t>
      </w:r>
    </w:p>
    <w:p>
      <w:pPr>
        <w:pStyle w:val="CaseHeader"/>
      </w:pPr>
      <w:r>
        <w:t xml:space="preserve">Supreme Court of the United States</w:t>
      </w:r>
    </w:p>
    <w:p>
      <w:pPr>
        <w:pStyle w:val="CaseHeader"/>
      </w:pPr>
      <w:r>
        <w:t xml:space="preserve">351 U.S. 427, 100 L. Ed. 2d 1297, 76 S. Ct. 895, SCDB 1955-093, 1956 U.S. LEXIS 1847</w:t>
      </w:r>
    </w:p>
    <w:p>
      <w:pPr>
        <w:pStyle w:val="CaseHeader"/>
      </w:pPr>
      <w:r>
        <w:t xml:space="preserve">No. 34</w:t>
      </w:r>
    </w:p>
    <w:p>
      <w:pPr>
        <w:pStyle w:val="CaseHeader"/>
      </w:pPr>
      <w:r>
        <w:t xml:space="preserve">1956-06-11</w:t>
      </w:r>
    </w:p>
    <w:p>
      <w:pPr>
        <w:pStyle w:val="CaseBody"/>
      </w:pPr>
      <w:r>
        <w:rPr>
          <w:rStyle w:val="Elision"/>
        </w:rPr>
        <w:t xml:space="preserve">[ … ]</w:t>
      </w:r>
    </w:p>
    <w:p>
      <w:pPr>
        <w:pStyle w:val="CaseBody"/>
      </w:pPr>
      <w:r>
        <w:t xml:space="preserve">Mr. Justice Burton</w:t>
      </w:r>
    </w:p>
    <w:p>
      <w:pPr>
        <w:pStyle w:val="CaseBody"/>
      </w:pPr>
      <w:r>
        <w:t xml:space="preserve">delivered the opinion of the Court.</w:t>
      </w:r>
    </w:p>
    <w:p>
      <w:pPr>
        <w:pStyle w:val="CaseBody"/>
      </w:pPr>
      <w:r>
        <w:t xml:space="preserve">This action, presenting multiple claims for relief, was brought by Mackey and another in the United States District Court for the Northern District of Illinois, Eastern Division, in 1953. The court expressly directed that judgment be entered for the defendant, Sears, Roebuck &amp; Co., on two, but less than all, of the claims presented. It also expressly determined that there was no just reason for delay in making the entry. After Mackey’s notice of appeal from that judgment to the Court of Appeals for the Seventh Circuit, Sears, Roebuck &amp; Co. moved to dismiss the appeal for lack of appellate jurisdiction. The Court of Appeals upheld its jurisdiction and denied the motion, relying upon 28 U. S. C. § 1291 and Rule 54 (b) of the Federal Rules of Civil Procedure, as amended in 1946. 218 F. 2d 295.</w:t>
      </w:r>
      <w:r>
        <w:t xml:space="preserve"> </w:t>
      </w:r>
      <w:r>
        <w:rPr>
          <w:rStyle w:val="Elision"/>
        </w:rPr>
        <w:t xml:space="preserve">[ … ]</w:t>
      </w:r>
      <w:r>
        <w:t xml:space="preserve"> </w:t>
      </w:r>
      <w:r>
        <w:t xml:space="preserve">For the reasons hereafter stated, we sustain the Court of Appeals and its appellate jurisdiction.</w:t>
      </w:r>
    </w:p>
    <w:p>
      <w:pPr>
        <w:pStyle w:val="CaseBody"/>
      </w:pPr>
      <w:r>
        <w:rPr>
          <w:rStyle w:val="Elision"/>
        </w:rPr>
        <w:t xml:space="preserve">[ … ]</w:t>
      </w:r>
    </w:p>
    <w:p>
      <w:pPr>
        <w:pStyle w:val="CaseBody"/>
      </w:pPr>
      <w:r>
        <w:t xml:space="preserve">The jurisdiction of the Court of Appeals to entertain Mackey’s appeal from the District Court’s judgment depends upon 28 U. S. C. § 1291</w:t>
      </w:r>
      <w:r>
        <w:rPr>
          <w:rStyle w:val="Elision"/>
        </w:rPr>
        <w:t xml:space="preserve">[ … ]</w:t>
      </w:r>
    </w:p>
    <w:p>
      <w:pPr>
        <w:pStyle w:val="CaseBody"/>
      </w:pPr>
      <w:r>
        <w:t xml:space="preserve">If Mackey’s complaint had contained only Count I, there is no doubt that a judgment striking out that count and thus dismissing, in its entirety, the claim there stated would be both a final and an appealable decision within the meaning of § 1291. Similarly, if his complaint had contained Counts I, II, III and IV, there is no doubt that a judgment striking out all four would be a final and appealable decision under § 1291. The controversy before us arises solely because, in this multiple claims action, the District Court has dismissed the claims stated in Counts I and II, but has left unadjudicated those stated in Counts III and IV.</w:t>
      </w:r>
      <w:hyperlink w:anchor="Xf126d23009e41dc46ba9d61944c532630c27a89">
        <w:r>
          <w:rPr>
            <w:rStyle w:val="Elision"/>
          </w:rPr>
          <w:t xml:space="preserve">[ … ]</w:t>
        </w:r>
      </w:hyperlink>
    </w:p>
    <w:p>
      <w:pPr>
        <w:pStyle w:val="CaseBody"/>
      </w:pPr>
      <w:r>
        <w:t xml:space="preserve">Before the adoption of the Federal Rules of Civil Procedure in 1939, such a situation was generally regarded as leaving the appellate court without jurisdiction</w:t>
      </w:r>
      <w:r>
        <w:rPr>
          <w:rStyle w:val="Elision"/>
        </w:rPr>
        <w:t xml:space="preserve">[ … ]</w:t>
      </w:r>
      <w:r>
        <w:t xml:space="preserve"> </w:t>
      </w:r>
      <w:r>
        <w:t xml:space="preserve">of an attempted appeal.</w:t>
      </w:r>
      <w:r>
        <w:t xml:space="preserve"> </w:t>
      </w:r>
      <w:r>
        <w:rPr>
          <w:rStyle w:val="Elision"/>
        </w:rPr>
        <w:t xml:space="preserve">[ … ]</w:t>
      </w:r>
      <w:r>
        <w:rPr>
          <w:rStyle w:val="Elision"/>
        </w:rPr>
        <w:t xml:space="preserve">[ … ]</w:t>
      </w:r>
    </w:p>
    <w:p>
      <w:pPr>
        <w:pStyle w:val="CaseBody"/>
      </w:pPr>
      <w:r>
        <w:t xml:space="preserve">With the Federal Rules of Civil Procedure, there came an increased opportunity for the liberal joinder of claims in multiple claims actions. This, in turn, demonstrated a need for relaxing the restrictions upon what should be treated as a judicial unit for purposes of appellate jurisdiction. Sound judicial administration did not require relaxation of the standard of finality in the disposition of the individual adjudicated claims for the purpose of their appealability. It did, however, demonstrate that, at least in multiple claims actions, some final decisions, on less than all of the claims, should be appealable without waiting for a final decision on</w:t>
      </w:r>
      <w:r>
        <w:t xml:space="preserve"> </w:t>
      </w:r>
      <w:r>
        <w:rPr>
          <w:iCs/>
          <w:i/>
        </w:rPr>
        <w:t xml:space="preserve">all</w:t>
      </w:r>
      <w:r>
        <w:t xml:space="preserve"> </w:t>
      </w:r>
      <w:r>
        <w:t xml:space="preserve">of the claims.</w:t>
      </w:r>
      <w:r>
        <w:t xml:space="preserve"> </w:t>
      </w:r>
      <w:r>
        <w:rPr>
          <w:rStyle w:val="Elision"/>
        </w:rPr>
        <w:t xml:space="preserve">[ … ]</w:t>
      </w:r>
    </w:p>
    <w:p>
      <w:pPr>
        <w:pStyle w:val="CaseBody"/>
      </w:pPr>
      <w:r>
        <w:t xml:space="preserve">Rule 54 (b) was amended, in 1946, to take effect in 1948.</w:t>
      </w:r>
      <w:hyperlink w:anchor="X289bc80564e8606b3e9deea221415af157d42d6">
        <w:r>
          <w:rPr>
            <w:rStyle w:val="Elision"/>
          </w:rPr>
          <w:t xml:space="preserve">[ … ]</w:t>
        </w:r>
      </w:hyperlink>
      <w:r>
        <w:t xml:space="preserve"> </w:t>
      </w:r>
      <w:r>
        <w:rPr>
          <w:rStyle w:val="Elision"/>
        </w:rPr>
        <w:t xml:space="preserve">[ … ]</w:t>
      </w:r>
    </w:p>
    <w:p>
      <w:pPr>
        <w:pStyle w:val="CaseBody"/>
      </w:pPr>
      <w:r>
        <w:t xml:space="preserve">In this form, it does not relax the finality required of each decision, as an individual claim, to render it appeal-able, but it does provide a practical means of permitting an appeal to be taken from one or more final decisions on individual claims, in multiple claims actions, without waiting for final decisions to be rendered on</w:t>
      </w:r>
      <w:r>
        <w:t xml:space="preserve"> </w:t>
      </w:r>
      <w:r>
        <w:rPr>
          <w:iCs/>
          <w:i/>
        </w:rPr>
        <w:t xml:space="preserve">all</w:t>
      </w:r>
      <w:r>
        <w:t xml:space="preserve"> </w:t>
      </w:r>
      <w:r>
        <w:t xml:space="preserve">the claims in the case. The amended rule does not apply to a single claim action nor to a multiple claims action in which all of the claims have been finally decided. It is limited expressly to multiple claims actions in which “one or more but less than all” of the multiple claims have been finally decided and are found otherwise to be ready for appeal.</w:t>
      </w:r>
    </w:p>
    <w:p>
      <w:pPr>
        <w:pStyle w:val="CaseBody"/>
      </w:pPr>
      <w:r>
        <w:t xml:space="preserve">To meet the demonstrated need for flexibility, the District Court is used as a “dispatcher.” It is permitted to determine, in the first instance, the appropriate</w:t>
      </w:r>
      <w:r>
        <w:t xml:space="preserve"> </w:t>
      </w:r>
      <w:r>
        <w:rPr>
          <w:iCs/>
          <w:i/>
        </w:rPr>
        <w:t xml:space="preserve">time when each “final decision”</w:t>
      </w:r>
      <w:r>
        <w:t xml:space="preserve"> </w:t>
      </w:r>
      <w:r>
        <w:t xml:space="preserve">upon “one or more but less than all” of the claims in a multiple claims action is ready for appeal. This arrangement already has lent welcome certainty to the appellate procedure. Its “negative effect” has met with uniform approval. The effect so referred to is the rule’s specific requirement that for “one or more but less than all” multiple claims to become appealable, the District Court must make both “an express determination that there is no just reason for delay” and “an express direction for the entry of judgment.” A party adversely affected by a final decision thus knows that his time for appeal will</w:t>
      </w:r>
      <w:r>
        <w:t xml:space="preserve"> </w:t>
      </w:r>
      <w:r>
        <w:rPr>
          <w:iCs/>
          <w:i/>
        </w:rPr>
        <w:t xml:space="preserve">not</w:t>
      </w:r>
      <w:r>
        <w:t xml:space="preserve"> </w:t>
      </w:r>
      <w:r>
        <w:t xml:space="preserve">run against him until this certification has been made.</w:t>
      </w:r>
      <w:hyperlink w:anchor="X1874a34595206f19a18dabb3edd967730a44686">
        <w:r>
          <w:rPr>
            <w:rStyle w:val="Elision"/>
          </w:rPr>
          <w:t xml:space="preserve">[ … ]</w:t>
        </w:r>
      </w:hyperlink>
    </w:p>
    <w:p>
      <w:pPr>
        <w:pStyle w:val="CaseBody"/>
      </w:pPr>
      <w:r>
        <w:t xml:space="preserve">In the instant case, the District Court made this certification, but Sears, Roebuck &amp; Co. nevertheless moved to dismiss the appeal for lack of appellate jurisdiction under § 1291.</w:t>
      </w:r>
      <w:r>
        <w:t xml:space="preserve"> </w:t>
      </w:r>
      <w:r>
        <w:rPr>
          <w:rStyle w:val="Elision"/>
        </w:rPr>
        <w:t xml:space="preserve">[ … ]</w:t>
      </w:r>
    </w:p>
    <w:p>
      <w:pPr>
        <w:pStyle w:val="CaseBody"/>
      </w:pPr>
      <w:r>
        <w:t xml:space="preserve">In the case before us, there is no doubt that each of the claims dismissed is a “claim for relief” within the meaning of Rule 54 (b), or that their dismissal constitutes a “final decision” on individual claims. Also, it cannot well be argued that the claims stated in Counts I and II are so inherently inseparable from, or closely related to, those stated in Counts III and IV that the District Court has abused its discretion in certifying that there exists no just reason for delay. They certainly</w:t>
      </w:r>
      <w:r>
        <w:t xml:space="preserve"> </w:t>
      </w:r>
      <w:r>
        <w:rPr>
          <w:iCs/>
          <w:i/>
        </w:rPr>
        <w:t xml:space="preserve">can</w:t>
      </w:r>
      <w:r>
        <w:t xml:space="preserve"> </w:t>
      </w:r>
      <w:r>
        <w:t xml:space="preserve">be decided independently of each other.</w:t>
      </w:r>
    </w:p>
    <w:p>
      <w:pPr>
        <w:pStyle w:val="CaseBody"/>
      </w:pPr>
      <w:r>
        <w:rPr>
          <w:rStyle w:val="Elision"/>
        </w:rPr>
        <w:t xml:space="preserve">[ … ]</w:t>
      </w:r>
    </w:p>
    <w:p>
      <w:pPr>
        <w:pStyle w:val="CaseBody"/>
      </w:pPr>
      <w:r>
        <w:t xml:space="preserve">The District Court</w:t>
      </w:r>
      <w:r>
        <w:t xml:space="preserve"> </w:t>
      </w:r>
      <w:r>
        <w:rPr>
          <w:iCs/>
          <w:i/>
        </w:rPr>
        <w:t xml:space="preserve">cannot,</w:t>
      </w:r>
      <w:r>
        <w:t xml:space="preserve"> </w:t>
      </w:r>
      <w:r>
        <w:t xml:space="preserve">in the exercise of its discretion, treat as “final” that which is not “final” within the meaning of § 1291. But the District Court</w:t>
      </w:r>
      <w:r>
        <w:t xml:space="preserve"> </w:t>
      </w:r>
      <w:r>
        <w:rPr>
          <w:iCs/>
          <w:i/>
        </w:rPr>
        <w:t xml:space="preserve">may,</w:t>
      </w:r>
      <w:r>
        <w:t xml:space="preserve"> </w:t>
      </w:r>
      <w:r>
        <w:t xml:space="preserve">by the exercise of its discretion in the interest of sound judicial administration, release for appeal final decisions upon one or more, but less than all, claims in multiple claims actions. The timing of such a release is, with good reason, vested by the rule primarily in the discretion of the District Court as the one most likely to be familiar with the case and with any justifiable reasons for delay. With equally good reason, any abuse of that discretion remains reviewable by the Court of Appeals.</w:t>
      </w:r>
    </w:p>
    <w:p>
      <w:pPr>
        <w:pStyle w:val="CaseBody"/>
      </w:pPr>
      <w:r>
        <w:rPr>
          <w:rStyle w:val="Elision"/>
        </w:rPr>
        <w:t xml:space="preserve">[ … ]</w:t>
      </w:r>
    </w:p>
    <w:p>
      <w:pPr>
        <w:pStyle w:val="CaseBody"/>
      </w:pPr>
      <w:r>
        <w:rPr>
          <w:rStyle w:val="Elision"/>
        </w:rPr>
        <w:t xml:space="preserve">[ … ]</w:t>
      </w:r>
    </w:p>
    <w:p>
      <w:pPr>
        <w:pStyle w:val="CaseBody"/>
      </w:pPr>
      <w:r>
        <w:t xml:space="preserve">Accordingly, the appellate jurisdiction of the Court of Appeals is sustained,</w:t>
      </w:r>
      <w:hyperlink w:anchor="X1857e9f2f633d05de3a80175cf03dfaef27efd5">
        <w:r>
          <w:rPr>
            <w:rStyle w:val="Elision"/>
          </w:rPr>
          <w:t xml:space="preserve">[ … ]</w:t>
        </w:r>
      </w:hyperlink>
      <w:r>
        <w:t xml:space="preserve"> </w:t>
      </w:r>
      <w:r>
        <w:t xml:space="preserve">and its judgment denying the motion to dismiss the appeal for lack of appellate jurisdiction is</w:t>
      </w:r>
    </w:p>
    <w:p>
      <w:pPr>
        <w:pStyle w:val="CaseBody"/>
      </w:pPr>
      <w:r>
        <w:rPr>
          <w:iCs/>
          <w:i/>
        </w:rPr>
        <w:t xml:space="preserve">Affirmed.</w:t>
      </w:r>
    </w:p>
    <w:p>
      <w:pPr>
        <w:pStyle w:val="CaseBody"/>
      </w:pPr>
      <w:hyperlink w:anchor="X6dd41a6d7ae064e90b9945e3279234a66bf0d0f">
        <w:r>
          <w:rPr>
            <w:rStyle w:val="Elision"/>
          </w:rPr>
          <w:t xml:space="preserve">[ … ]</w:t>
        </w:r>
      </w:hyperlink>
    </w:p>
    <w:p>
      <w:pPr>
        <w:pStyle w:val="CaseBody"/>
      </w:pPr>
      <w:r>
        <w:rPr>
          <w:rStyle w:val="Elision"/>
        </w:rPr>
        <w:t xml:space="preserve">[ … ]</w:t>
      </w:r>
    </w:p>
    <w:p>
      <w:pPr>
        <w:pStyle w:val="CaseBody"/>
      </w:pPr>
      <w:r>
        <w:rPr>
          <w:rStyle w:val="Elision"/>
        </w:rPr>
        <w:t xml:space="preserve">[ … ]</w:t>
      </w:r>
    </w:p>
    <w:p>
      <w:pPr>
        <w:pStyle w:val="CaseBody"/>
      </w:pPr>
      <w:r>
        <w:rPr>
          <w:rStyle w:val="ReplacementText"/>
        </w:rPr>
        <w:t xml:space="preserve">[A partial dissent and partial concurrence by Justice Frankfurter is omitted.]</w:t>
      </w:r>
    </w:p>
    <w:p>
      <w:pPr>
        <w:pStyle w:val="CaseBody"/>
      </w:pPr>
      <w:r>
        <w:rPr>
          <w:rStyle w:val="FootnoteReference"/>
        </w:rPr>
        <w:footnoteReference w:customMarkFollows="1" w:id="45"/>
        <w:t xml:space="preserve">*</w:t>
      </w:r>
    </w:p>
    <w:p>
      <w:pPr>
        <w:pStyle w:val="NodeEnd"/>
      </w:pPr>
      <w:r>
        <w:t xml:space="preserve"> </w:t>
      </w:r>
    </w:p>
    <w:p>
      <w:pPr>
        <w:pStyle w:val="NodeStart"/>
      </w:pPr>
      <w:r>
        <w:t xml:space="preserve"> </w:t>
      </w:r>
    </w:p>
    <w:p>
      <w:pPr>
        <w:pStyle w:val="HeadSeparator"/>
      </w:pPr>
      <w:r>
        <w:t xml:space="preserve"> </w:t>
      </w:r>
    </w:p>
    <w:bookmarkStart w:id="213" w:name="_auto_toc_213"/>
    <w:bookmarkEnd w:id="213"/>
    <w:p>
      <w:pPr>
        <w:pStyle w:val="ResourceNumber"/>
      </w:pPr>
      <w:r>
        <w:t xml:space="preserve">18.6</w:t>
      </w:r>
    </w:p>
    <w:p>
      <w:pPr>
        <w:pStyle w:val="ResourceTitle"/>
      </w:pPr>
      <w:r>
        <w:t xml:space="preserve">Note following Sears</w:t>
      </w:r>
    </w:p>
    <w:p>
      <w:pPr>
        <w:pStyle w:val="HeadEnd"/>
      </w:pPr>
      <w:r>
        <w:t xml:space="preserve"> </w:t>
      </w:r>
    </w:p>
    <w:p>
      <w:pPr>
        <w:pStyle w:val="BodyText"/>
      </w:pPr>
      <w:r>
        <w:t xml:space="preserve">Rule 54(b) allows a trial court to direct final judgment to some but not all of the claims in a case, allowing them to be appealed without the remaining claims being decided. The Supreme Court considered how to apply this scheme when the defendant counterclaims in</w:t>
      </w:r>
      <w:r>
        <w:t xml:space="preserve"> </w:t>
      </w:r>
      <w:r>
        <w:rPr>
          <w:iCs/>
          <w:i/>
        </w:rPr>
        <w:t xml:space="preserve">Curtiss-Wright Corp. v. General Electric Co.</w:t>
      </w:r>
      <w:r>
        <w:t xml:space="preserve">, 446 U.S. 1 (1980). Curtiss-Wright sued General Electric in diversity for a series of contract breaches, and General Electric filed a counterclaim. The District Court granted summary judgment on one of Curtiss-Wright’s claims and directed entry of final judgment under rule 54(b) as there was no “just reason for delay.” The Third Circuit reversed the lower court decision due to the existence of the counterclaim. The Supreme Court sided with the District Court, stating that the “mere presence” of the nonfrivolous counterclaim does not make Rule 54(b) certification inappropriate without an “interrelationship” between the decided claim and the remaining counterclaim. Though Chief Justice Burger noted that the Courts of Appeals had a duty to prevent piecemeal litigation, they should defer to the discretion of the District Courts and only overturn the decision to allow appeal of some but not all of the claims if it was “clearly unreasonable.” The Supreme Court did not lay down a strict test for deciding when some but not all claims can be certified under Rule 54(b), but factors that pointed to severability in</w:t>
      </w:r>
      <w:r>
        <w:t xml:space="preserve"> </w:t>
      </w:r>
      <w:r>
        <w:rPr>
          <w:iCs/>
          <w:i/>
        </w:rPr>
        <w:t xml:space="preserve">Curtiss-Wright</w:t>
      </w:r>
      <w:r>
        <w:t xml:space="preserve"> </w:t>
      </w:r>
      <w:r>
        <w:t xml:space="preserve">included the size of the certified claim (about $19 million), hardship induced on the plaintiff by delay (due to changes in market interest rates), and the fact that the primary claims would not be decided for an extended period of time. The Supreme Court has yet to lay down a strict test; the Fifth Circuit has ruled that 54(b) certification is unavailable if a District Court rules on an affirmative defense without making a decision based on liability, where fact issues remain outstanding, and where the District Court has resolved a threshold issue for a claim but not the claim itself. See</w:t>
      </w:r>
      <w:r>
        <w:t xml:space="preserve"> </w:t>
      </w:r>
      <w:r>
        <w:rPr>
          <w:iCs/>
          <w:i/>
        </w:rPr>
        <w:t xml:space="preserve">Tetra Technologies, Inc. v. Continental Ins. Co.</w:t>
      </w:r>
      <w:r>
        <w:t xml:space="preserve">, 755 F.3d 222, 230 (5th Cir. 2014).</w:t>
      </w:r>
    </w:p>
    <w:p>
      <w:pPr>
        <w:pStyle w:val="NodeEnd"/>
      </w:pPr>
      <w:r>
        <w:t xml:space="preserve"> </w:t>
      </w:r>
    </w:p>
    <w:p>
      <w:pPr>
        <w:pStyle w:val="NodeStart"/>
      </w:pPr>
      <w:r>
        <w:t xml:space="preserve"> </w:t>
      </w:r>
    </w:p>
    <w:p>
      <w:pPr>
        <w:pStyle w:val="HeadSeparator"/>
      </w:pPr>
      <w:r>
        <w:t xml:space="preserve"> </w:t>
      </w:r>
    </w:p>
    <w:bookmarkStart w:id="214" w:name="_auto_toc_214"/>
    <w:bookmarkEnd w:id="214"/>
    <w:p>
      <w:pPr>
        <w:pStyle w:val="ResourceNumber"/>
      </w:pPr>
      <w:r>
        <w:t xml:space="preserve">18.7</w:t>
      </w:r>
    </w:p>
    <w:p>
      <w:pPr>
        <w:pStyle w:val="ResourceTitle"/>
      </w:pPr>
      <w:r>
        <w:t xml:space="preserve">Cohen v. Beneficial Industrial Loan Corp.</w:t>
      </w:r>
    </w:p>
    <w:p>
      <w:pPr>
        <w:pStyle w:val="HeadFieldSeparator"/>
      </w:pPr>
      <w:r>
        <w:t xml:space="preserve"> </w:t>
      </w:r>
    </w:p>
    <w:p>
      <w:pPr>
        <w:pStyle w:val="ResourceHeadnote"/>
      </w:pPr>
      <w:r>
        <w:t xml:space="preserve">This case established what is called the "collateral order doctrine," also known as the "Cohen" exception to the final decision rule in the federal system.</w:t>
      </w:r>
    </w:p>
    <w:p>
      <w:pPr>
        <w:pStyle w:val="HeadEnd"/>
      </w:pPr>
      <w:r>
        <w:t xml:space="preserve"> </w:t>
      </w:r>
    </w:p>
    <w:p>
      <w:pPr>
        <w:pStyle w:val="CaseHeader"/>
      </w:pPr>
      <w:r>
        <w:t xml:space="preserve">Supreme Court of the United States</w:t>
      </w:r>
    </w:p>
    <w:p>
      <w:pPr>
        <w:pStyle w:val="CaseHeader"/>
      </w:pPr>
      <w:r>
        <w:t xml:space="preserve">337 U.S. 541, 93 L. Ed. 2d 1528, 69 S. Ct. 1221, SCDB 1948-101, 1949 U.S. LEXIS 2149</w:t>
      </w:r>
    </w:p>
    <w:p>
      <w:pPr>
        <w:pStyle w:val="CaseHeader"/>
      </w:pPr>
      <w:r>
        <w:t xml:space="preserve">NO. 442</w:t>
      </w:r>
    </w:p>
    <w:p>
      <w:pPr>
        <w:pStyle w:val="CaseHeader"/>
      </w:pPr>
      <w:r>
        <w:t xml:space="preserve">1949-06-20</w:t>
      </w:r>
    </w:p>
    <w:p>
      <w:pPr>
        <w:pStyle w:val="CaseBody"/>
      </w:pPr>
      <w:r>
        <w:t xml:space="preserve">337 U.S. 541 (1949)</w:t>
      </w:r>
    </w:p>
    <w:p>
      <w:pPr>
        <w:pStyle w:val="CaseHeader"/>
      </w:pPr>
      <w:r>
        <w:t xml:space="preserve">COHEN, EXECUTRIX, ET AL.</w:t>
      </w:r>
      <w:r>
        <w:br/>
      </w:r>
      <w:r>
        <w:t xml:space="preserve">v.</w:t>
      </w:r>
      <w:r>
        <w:br/>
      </w:r>
      <w:r>
        <w:t xml:space="preserve">BENEFICIAL INDUSTRIAL LOAN CORP. ET AL.</w:t>
      </w:r>
    </w:p>
    <w:p>
      <w:pPr>
        <w:pStyle w:val="CaseBody"/>
      </w:pPr>
      <w:r>
        <w:rPr>
          <w:rStyle w:val="Elision"/>
        </w:rPr>
        <w:t xml:space="preserve">[ … ]</w:t>
      </w:r>
    </w:p>
    <w:p>
      <w:pPr>
        <w:pStyle w:val="CaseBody"/>
      </w:pPr>
      <w:r>
        <w:rPr>
          <w:rStyle w:val="Elision"/>
        </w:rPr>
        <w:t xml:space="preserve">[ … ]</w:t>
      </w:r>
    </w:p>
    <w:bookmarkStart w:id="234" w:name="X9603f2e78f08f978e6645ffb1bda7a9a29ef84d"/>
    <w:p>
      <w:pPr>
        <w:pStyle w:val="Heading2"/>
      </w:pPr>
      <w:r>
        <w:t xml:space="preserve">MR. JUSTICE JACKSON delivered the opinion of the Court.</w:t>
      </w:r>
    </w:p>
    <w:p>
      <w:pPr>
        <w:pStyle w:val="CaseBody"/>
      </w:pPr>
      <w:r>
        <w:t xml:space="preserve">The ultimate question here is whether a federal court, having jurisdiction of a stockholder's derivative action only because the parties are of diverse citizenship, must apply a statute of the forum state which makes the plaintiff, if unsuccessful, liable for the reasonable expenses, including attorney's fees, of the defense and entitles the corporation to require security for their payment.</w:t>
      </w:r>
    </w:p>
    <w:p>
      <w:pPr>
        <w:pStyle w:val="CaseBody"/>
      </w:pPr>
      <w:r>
        <w:rPr>
          <w:rStyle w:val="Elision"/>
        </w:rPr>
        <w:t xml:space="preserve">[ … ]</w:t>
      </w:r>
    </w:p>
    <w:p>
      <w:pPr>
        <w:pStyle w:val="CaseBody"/>
      </w:pPr>
      <w:r>
        <w:t xml:space="preserve">The action was brought in 1943, and various proceedings had been taken therein when, in 1945, New Jersey enacted the statute which is here involved.</w:t>
      </w:r>
      <w:hyperlink w:anchor="X44aad2212c8219977703c3b32d7589b80ae41bb">
        <w:r>
          <w:rPr>
            <w:rStyle w:val="Elision"/>
            <w:vertAlign w:val="superscript"/>
          </w:rPr>
          <w:t xml:space="preserve">[ … ]</w:t>
        </w:r>
      </w:hyperlink>
      <w:r>
        <w:t xml:space="preserve"> </w:t>
      </w:r>
      <w:r>
        <w:t xml:space="preserve">Its general effect is to make a plaintiff having so small an interest liable for the reasonable expenses and attorney's fees of</w:t>
      </w:r>
      <w:r>
        <w:t xml:space="preserve"> </w:t>
      </w:r>
      <w:r>
        <w:rPr>
          <w:rStyle w:val="Elision"/>
        </w:rPr>
        <w:t xml:space="preserve">[ … ]</w:t>
      </w:r>
      <w:r>
        <w:t xml:space="preserve">the defense if he fails to make good his complaint and to entitle the corporation to indemnity before the case can be prosecuted. These conditions are made applicable to pending actions. The corporate defendant therefore moved to require security, pointed to its by-laws by which it might be required to indemnify the individual defendants, and averred that a bond of $125,000 would be appropriate.</w:t>
      </w:r>
    </w:p>
    <w:p>
      <w:pPr>
        <w:pStyle w:val="CaseBody"/>
      </w:pPr>
      <w:r>
        <w:t xml:space="preserve">The District Court was of the opinion that the state enactment is not applicable to such an action when pending in a federal court,</w:t>
      </w:r>
      <w:r>
        <w:t xml:space="preserve"> </w:t>
      </w:r>
      <w:r>
        <w:rPr>
          <w:rStyle w:val="Elision"/>
        </w:rPr>
        <w:t xml:space="preserve">[ … ]</w:t>
      </w:r>
    </w:p>
    <w:bookmarkEnd w:id="234"/>
    <w:bookmarkStart w:id="235" w:name="appealability."/>
    <w:p>
      <w:pPr>
        <w:pStyle w:val="Heading2"/>
      </w:pPr>
      <w:r>
        <w:t xml:space="preserve">APPEALABILITY.</w:t>
      </w:r>
    </w:p>
    <w:p>
      <w:pPr>
        <w:pStyle w:val="CaseBody"/>
      </w:pPr>
      <w:r>
        <w:t xml:space="preserve">At the threshold we are met with the question whether the District Court's order refusing to apply the statute was an appealable one. Title 28 U.S.C. § 1291 provides, as did its predecessors, for appeal only "from all final decisions of the district courts," except when direct appeal to this Court is provided.</w:t>
      </w:r>
      <w:r>
        <w:t xml:space="preserve"> </w:t>
      </w:r>
      <w:r>
        <w:rPr>
          <w:rStyle w:val="Elision"/>
        </w:rPr>
        <w:t xml:space="preserve">[ … ]</w:t>
      </w:r>
    </w:p>
    <w:p>
      <w:pPr>
        <w:pStyle w:val="CaseBody"/>
      </w:pPr>
      <w:r>
        <w:rPr>
          <w:rStyle w:val="Elision"/>
        </w:rPr>
        <w:t xml:space="preserve">[ … ]</w:t>
      </w:r>
      <w:r>
        <w:t xml:space="preserve">The effect of the statute is to disallow appeal from any decision which is tentative, informal or incomplete. Appeal gives the upper court a power of review, not one of intervention. So long as the matter remains open, unfinished or inconclusive, there may be no intrusion by appeal. But the District Court's action upon this application was concluded and closed and its decision final in that sense before the appeal was taken.</w:t>
      </w:r>
    </w:p>
    <w:p>
      <w:pPr>
        <w:pStyle w:val="CaseBody"/>
      </w:pPr>
      <w:r>
        <w:t xml:space="preserve">Nor does the statute permit appeals, even from fully consummated decisions, where they are but steps towards final judgment in which they will merge. The purpose is to combine in one review all stages of the proceeding that effectively may be reviewed and corrected if and when final judgment results. But this order of the District Court did not make any step toward final disposition of the merits of the case and will not be merged in final judgment. When that time comes, it will be too late effectively to review the present order, and the rights conferred by the statute, if it is applicable, will have been lost, probably irreparably. We conclude that the matters embraced in the decision appealed from are not of such an interlocutory nature as to affect, or to be affected by, decision of the merits of this case.</w:t>
      </w:r>
    </w:p>
    <w:p>
      <w:pPr>
        <w:pStyle w:val="CaseBody"/>
      </w:pPr>
      <w:r>
        <w:t xml:space="preserve">This decision appears to fall in that small class which finally determine claims of right separable from, and collateral to, rights asserted in the action, too important to be denied review and too independent of the cause itself to require that appellate consideration be deferred until the whole case is adjudicated. The Court has long given this provision of the statute this practical rather than a technical construction.</w:t>
      </w:r>
      <w:r>
        <w:t xml:space="preserve"> </w:t>
      </w:r>
      <w:r>
        <w:rPr>
          <w:rStyle w:val="Elision"/>
        </w:rPr>
        <w:t xml:space="preserve">[ … ]</w:t>
      </w:r>
    </w:p>
    <w:p>
      <w:pPr>
        <w:pStyle w:val="CaseBody"/>
      </w:pPr>
      <w:r>
        <w:t xml:space="preserve">We hold this order appealable because it is a final disposition of a claimed right which is not an ingredient</w:t>
      </w:r>
      <w:r>
        <w:rPr>
          <w:rStyle w:val="Elision"/>
        </w:rPr>
        <w:t xml:space="preserve">[ … ]</w:t>
      </w:r>
      <w:r>
        <w:t xml:space="preserve">of the cause of action and does not require consideration with it. But we do not mean that every order fixing security is subject to appeal. Here it is the right to security that presents a serious and unsettled question. If the right were admitted or clear and the order involved only an exercise of discretion as to the amount of security, a matter the statute makes subject to reconsideration from time to time, appealability would present a different question.</w:t>
      </w:r>
    </w:p>
    <w:p>
      <w:pPr>
        <w:pStyle w:val="CaseBody"/>
      </w:pPr>
      <w:r>
        <w:rPr>
          <w:rStyle w:val="Elision"/>
        </w:rPr>
        <w:t xml:space="preserve">[ … ]</w:t>
      </w:r>
    </w:p>
    <w:bookmarkEnd w:id="235"/>
    <w:bookmarkStart w:id="236" w:name="section-13"/>
    <w:p>
      <w:pPr>
        <w:pStyle w:val="Heading2"/>
      </w:pPr>
      <w:r>
        <w:rPr>
          <w:rStyle w:val="Elision"/>
        </w:rPr>
        <w:t xml:space="preserve">[ … ]</w:t>
      </w:r>
    </w:p>
    <w:bookmarkEnd w:id="236"/>
    <w:bookmarkStart w:id="237" w:name="X17fa4967405e21e1e3271ffdea2a7549fb8dd94"/>
    <w:p>
      <w:pPr>
        <w:pStyle w:val="Heading2"/>
      </w:pPr>
      <w:r>
        <w:rPr>
          <w:rStyle w:val="ReplacementText"/>
        </w:rPr>
        <w:t xml:space="preserve">Dissents by Justices Douglas and Rutledge are omitted.]</w:t>
      </w:r>
      <w:r>
        <w:rPr>
          <w:rStyle w:val="ReplacementText"/>
        </w:rPr>
        <w:t xml:space="preserve">[Dissents by Justices Douglas and Rutledge are omitted.]</w:t>
      </w:r>
    </w:p>
    <w:bookmarkEnd w:id="237"/>
    <w:p>
      <w:pPr>
        <w:pStyle w:val="NodeEnd"/>
      </w:pPr>
      <w:r>
        <w:t xml:space="preserve"> </w:t>
      </w:r>
    </w:p>
    <w:p>
      <w:pPr>
        <w:pStyle w:val="NodeStart"/>
      </w:pPr>
      <w:r>
        <w:t xml:space="preserve"> </w:t>
      </w:r>
    </w:p>
    <w:p>
      <w:pPr>
        <w:pStyle w:val="HeadSeparator"/>
      </w:pPr>
      <w:r>
        <w:t xml:space="preserve"> </w:t>
      </w:r>
    </w:p>
    <w:bookmarkStart w:id="215" w:name="_auto_toc_215"/>
    <w:bookmarkEnd w:id="215"/>
    <w:p>
      <w:pPr>
        <w:pStyle w:val="ResourceNumber"/>
      </w:pPr>
      <w:r>
        <w:t xml:space="preserve">18.8</w:t>
      </w:r>
    </w:p>
    <w:p>
      <w:pPr>
        <w:pStyle w:val="ResourceTitle"/>
      </w:pPr>
      <w:r>
        <w:t xml:space="preserve">Notes on the Collateral Order Doctrine</w:t>
      </w:r>
    </w:p>
    <w:p>
      <w:pPr>
        <w:pStyle w:val="HeadFieldSeparator"/>
      </w:pPr>
      <w:r>
        <w:t xml:space="preserve"> </w:t>
      </w:r>
    </w:p>
    <w:p>
      <w:pPr>
        <w:pStyle w:val="ResourceHeadnote"/>
      </w:pPr>
      <w:r>
        <w:rPr>
          <w:iCs/>
          <w:i/>
        </w:rPr>
        <w:t xml:space="preserve">Cohen</w:t>
      </w:r>
      <w:r>
        <w:t xml:space="preserve"> </w:t>
      </w:r>
      <w:r>
        <w:t xml:space="preserve">establishes the collateral order doctrine. Because some interlocutory decisions act as final judgments on certain issues, they are immediately appealable if (1) they conclusively determine the question, (2) the question is entirely separate from the merits of the action, and (3) the decision is effectively unappealable after the final judgment.</w:t>
      </w:r>
    </w:p>
    <w:p>
      <w:pPr>
        <w:pStyle w:val="HeadEnd"/>
      </w:pPr>
      <w:r>
        <w:t xml:space="preserve"> </w:t>
      </w:r>
    </w:p>
    <w:p>
      <w:pPr>
        <w:numPr>
          <w:ilvl w:val="0"/>
          <w:numId w:val="1165"/>
        </w:numPr>
      </w:pPr>
      <w:r>
        <w:t xml:space="preserve">The Supreme Court has found the collateral order doctrine to be unavailable despite hardship to the appeal-seeking party and the potential waste of resources in many situations since</w:t>
      </w:r>
      <w:r>
        <w:t xml:space="preserve"> </w:t>
      </w:r>
      <w:r>
        <w:rPr>
          <w:iCs/>
          <w:i/>
        </w:rPr>
        <w:t xml:space="preserve">Cohen</w:t>
      </w:r>
      <w:r>
        <w:t xml:space="preserve">. </w:t>
      </w:r>
      <w:r>
        <w:t xml:space="preserve"> </w:t>
      </w:r>
      <w:r>
        <w:t xml:space="preserve"> </w:t>
      </w:r>
      <w:r>
        <w:t xml:space="preserve">Note that such decisions do not close off the right to an appeal, just the right to an appeal prior to a final decision. Some examples include:</w:t>
      </w:r>
    </w:p>
    <w:p>
      <w:pPr>
        <w:numPr>
          <w:ilvl w:val="1"/>
          <w:numId w:val="1166"/>
        </w:numPr>
      </w:pPr>
      <w:r>
        <w:t xml:space="preserve">Disclosure orders adverse to attorney-client privilege.</w:t>
      </w:r>
      <w:r>
        <w:t xml:space="preserve"> </w:t>
      </w:r>
      <w:r>
        <w:rPr>
          <w:iCs/>
          <w:i/>
        </w:rPr>
        <w:t xml:space="preserve">Mohawk Industries v. Carpenter</w:t>
      </w:r>
      <w:r>
        <w:t xml:space="preserve">, 558 U.S. 100, 130 (2009).</w:t>
      </w:r>
    </w:p>
    <w:p>
      <w:pPr>
        <w:numPr>
          <w:ilvl w:val="1"/>
          <w:numId w:val="1166"/>
        </w:numPr>
      </w:pPr>
      <w:r>
        <w:t xml:space="preserve">An order to disqualify a party’s attorney.</w:t>
      </w:r>
      <w:r>
        <w:t xml:space="preserve"> </w:t>
      </w:r>
      <w:r>
        <w:rPr>
          <w:iCs/>
          <w:i/>
        </w:rPr>
        <w:t xml:space="preserve">Richardson-Merrell, Inc. v. Koller</w:t>
      </w:r>
      <w:r>
        <w:t xml:space="preserve"> </w:t>
      </w:r>
      <w:r>
        <w:t xml:space="preserve">472 U.S. 424 (1985).</w:t>
      </w:r>
    </w:p>
    <w:p>
      <w:pPr>
        <w:numPr>
          <w:ilvl w:val="1"/>
          <w:numId w:val="1166"/>
        </w:numPr>
      </w:pPr>
      <w:r>
        <w:t xml:space="preserve">A claim to immunity from civil process for a defendant who had been extradited to the United States.</w:t>
      </w:r>
      <w:r>
        <w:t xml:space="preserve"> </w:t>
      </w:r>
      <w:r>
        <w:rPr>
          <w:iCs/>
          <w:i/>
        </w:rPr>
        <w:t xml:space="preserve">Van Cauwenberghe v. Biard</w:t>
      </w:r>
      <w:r>
        <w:t xml:space="preserve">, 486 U.S. 517 (1988).</w:t>
      </w:r>
    </w:p>
    <w:p>
      <w:pPr>
        <w:numPr>
          <w:ilvl w:val="1"/>
          <w:numId w:val="1166"/>
        </w:numPr>
      </w:pPr>
      <w:r>
        <w:t xml:space="preserve">A denial of a motion to dismiss to enforce a forum-selection clause allegedly requiring that a case should be litigated in Italy, and not the United States.</w:t>
      </w:r>
      <w:r>
        <w:t xml:space="preserve"> </w:t>
      </w:r>
      <w:r>
        <w:rPr>
          <w:iCs/>
          <w:i/>
        </w:rPr>
        <w:t xml:space="preserve">Laure Lines S.R.L. v. Chasser</w:t>
      </w:r>
      <w:r>
        <w:t xml:space="preserve">, 490 U.S. 495 (1989).</w:t>
      </w:r>
    </w:p>
    <w:p>
      <w:pPr>
        <w:numPr>
          <w:ilvl w:val="1"/>
          <w:numId w:val="1166"/>
        </w:numPr>
      </w:pPr>
      <w:r>
        <w:t xml:space="preserve">Rejection of an immunity clause in a private settlement agreement.</w:t>
      </w:r>
      <w:r>
        <w:t xml:space="preserve"> </w:t>
      </w:r>
      <w:r>
        <w:rPr>
          <w:iCs/>
          <w:i/>
        </w:rPr>
        <w:t xml:space="preserve">Digital Equip. Corp. v. Desktop Direct, Inc.</w:t>
      </w:r>
      <w:r>
        <w:t xml:space="preserve">, 511 U.S. 863 (1994).</w:t>
      </w:r>
    </w:p>
    <w:p>
      <w:pPr>
        <w:numPr>
          <w:ilvl w:val="1"/>
          <w:numId w:val="1166"/>
        </w:numPr>
      </w:pPr>
      <w:r>
        <w:t xml:space="preserve">Sanctions imposed for discovery violations (FRCP 37) on an attorney who no longer represented the appealing party.</w:t>
      </w:r>
      <w:r>
        <w:t xml:space="preserve"> </w:t>
      </w:r>
      <w:r>
        <w:rPr>
          <w:iCs/>
          <w:i/>
        </w:rPr>
        <w:t xml:space="preserve">Cunningham v. Hamilton County</w:t>
      </w:r>
      <w:r>
        <w:t xml:space="preserve">, 527 U.S. 198 (1999).</w:t>
      </w:r>
    </w:p>
    <w:p>
      <w:pPr>
        <w:numPr>
          <w:ilvl w:val="1"/>
          <w:numId w:val="1166"/>
        </w:numPr>
      </w:pPr>
      <w:r>
        <w:t xml:space="preserve">Denial of class certification under FRCP 23, on the theory such a decision is “enmeshed in the factual and legal issues comprising a plaintiff’s cause of action.”</w:t>
      </w:r>
      <w:r>
        <w:t xml:space="preserve"> </w:t>
      </w:r>
      <w:r>
        <w:rPr>
          <w:iCs/>
          <w:i/>
        </w:rPr>
        <w:t xml:space="preserve">Coopers &amp; Lybrand v. Livesay,</w:t>
      </w:r>
      <w:r>
        <w:t xml:space="preserve"> </w:t>
      </w:r>
      <w:r>
        <w:t xml:space="preserve">437 U.S. 463, 468-69 (1978). Additionally, the Court noted that denial of certification can be effectively reviewed after a final judgment.  Note that the subsequent adoption of Fed. R. Civ. P. 23(f) has effectively overruled </w:t>
      </w:r>
      <w:r>
        <w:rPr>
          <w:iCs/>
          <w:i/>
        </w:rPr>
        <w:t xml:space="preserve">Coopers &amp; Lybrand</w:t>
      </w:r>
      <w:r>
        <w:t xml:space="preserve">.</w:t>
      </w:r>
    </w:p>
    <w:p>
      <w:pPr>
        <w:numPr>
          <w:ilvl w:val="0"/>
          <w:numId w:val="1165"/>
        </w:numPr>
      </w:pPr>
      <w:r>
        <w:t xml:space="preserve">What should the appeals court do if the parties</w:t>
      </w:r>
      <w:r>
        <w:t xml:space="preserve"> </w:t>
      </w:r>
      <w:r>
        <w:rPr>
          <w:iCs/>
          <w:i/>
        </w:rPr>
        <w:t xml:space="preserve">both</w:t>
      </w:r>
      <w:r>
        <w:t xml:space="preserve"> </w:t>
      </w:r>
      <w:r>
        <w:t xml:space="preserve">request an immediate appeal that would not be allowed by the</w:t>
      </w:r>
      <w:r>
        <w:t xml:space="preserve"> </w:t>
      </w:r>
      <w:r>
        <w:rPr>
          <w:iCs/>
          <w:i/>
        </w:rPr>
        <w:t xml:space="preserve">Cohen</w:t>
      </w:r>
      <w:r>
        <w:t xml:space="preserve"> </w:t>
      </w:r>
      <w:r>
        <w:t xml:space="preserve">exception?</w:t>
      </w:r>
    </w:p>
    <w:p>
      <w:pPr>
        <w:numPr>
          <w:ilvl w:val="0"/>
          <w:numId w:val="1165"/>
        </w:numPr>
      </w:pPr>
      <w:r>
        <w:t xml:space="preserve">The Supreme Court does allow immediate appeal when a party has been found in criminal contempt, reasoning that the issue is both extremely important and distinct from the underlying case.</w:t>
      </w:r>
      <w:r>
        <w:t xml:space="preserve"> </w:t>
      </w:r>
      <w:r>
        <w:rPr>
          <w:iCs/>
          <w:i/>
        </w:rPr>
        <w:t xml:space="preserve">See United States v. Ryan</w:t>
      </w:r>
      <w:r>
        <w:t xml:space="preserve">, 402 U.S. 530 (1971). During the Watergate scandal, the Supreme Court allowed an immediate appeal of an order for President Nixon to turn over tape recordings even in the absence of contempt (the President had not refused to comply with the order and was thus not held in contempt). To the Court, requiring the President to disobey an order so that he could appeal it would be both “unseemly” and create an opportunity for a hazardous constitutional confrontation.</w:t>
      </w:r>
      <w:r>
        <w:t xml:space="preserve"> </w:t>
      </w:r>
      <w:r>
        <w:rPr>
          <w:iCs/>
          <w:i/>
        </w:rPr>
        <w:t xml:space="preserve">See United. States v. Nixon</w:t>
      </w:r>
      <w:r>
        <w:t xml:space="preserve">, 418 U.S. 683, 690-92 (1974). Are there any other situations to which this reasoning could apply?</w:t>
      </w:r>
    </w:p>
    <w:p>
      <w:pPr>
        <w:numPr>
          <w:ilvl w:val="0"/>
          <w:numId w:val="1165"/>
        </w:numPr>
      </w:pPr>
      <w:r>
        <w:t xml:space="preserve">Because</w:t>
      </w:r>
      <w:r>
        <w:t xml:space="preserve"> </w:t>
      </w:r>
      <w:r>
        <w:rPr>
          <w:iCs/>
          <w:i/>
        </w:rPr>
        <w:t xml:space="preserve">Cohen</w:t>
      </w:r>
      <w:r>
        <w:t xml:space="preserve"> </w:t>
      </w:r>
      <w:r>
        <w:t xml:space="preserve">is a “practical construction” of 28 U.S.C. § 1291, does an intermediate court have discretion to decline to review an appeal?</w:t>
      </w:r>
    </w:p>
    <w:p>
      <w:pPr>
        <w:pStyle w:val="NodeEnd"/>
      </w:pPr>
      <w:r>
        <w:t xml:space="preserve"> </w:t>
      </w:r>
    </w:p>
    <w:p>
      <w:pPr>
        <w:pStyle w:val="NodeStart"/>
      </w:pPr>
      <w:r>
        <w:t xml:space="preserve"> </w:t>
      </w:r>
    </w:p>
    <w:p>
      <w:pPr>
        <w:pStyle w:val="HeadSeparator"/>
      </w:pPr>
      <w:r>
        <w:t xml:space="preserve"> </w:t>
      </w:r>
    </w:p>
    <w:bookmarkStart w:id="216" w:name="_auto_toc_216"/>
    <w:bookmarkEnd w:id="216"/>
    <w:p>
      <w:pPr>
        <w:pStyle w:val="ResourceNumber"/>
      </w:pPr>
      <w:r>
        <w:t xml:space="preserve">18.9</w:t>
      </w:r>
    </w:p>
    <w:p>
      <w:pPr>
        <w:pStyle w:val="ResourceTitle"/>
      </w:pPr>
      <w:r>
        <w:t xml:space="preserve">Video (10 min)</w:t>
      </w:r>
    </w:p>
    <w:p>
      <w:pPr>
        <w:pStyle w:val="HeadEnd"/>
      </w:pPr>
      <w:r>
        <w:t xml:space="preserve"> </w:t>
      </w:r>
    </w:p>
    <w:p>
      <w:pPr>
        <w:pStyle w:val="BodyText"/>
      </w:pPr>
      <w:r>
        <w:t xml:space="preserve">After you have finished the video, review the "Utterly Oversimplified" summary of Section 1 of the Sherman Antitrust Act and take a look at the supplier-utility-customer slide for this class period.  Then, watch the video found</w:t>
      </w:r>
      <w:r>
        <w:t xml:space="preserve"> </w:t>
      </w:r>
      <w:hyperlink r:id="rId238">
        <w:r>
          <w:rPr>
            <w:rStyle w:val="Hyperlink"/>
          </w:rPr>
          <w:t xml:space="preserve">here</w:t>
        </w:r>
      </w:hyperlink>
      <w:r>
        <w:t xml:space="preserve">. It is 10 minutes long.  It will help you to understand the setting for the next case.</w:t>
      </w:r>
    </w:p>
    <w:p>
      <w:pPr>
        <w:pStyle w:val="NodeEnd"/>
      </w:pPr>
      <w:r>
        <w:t xml:space="preserve"> </w:t>
      </w:r>
    </w:p>
    <w:p>
      <w:pPr>
        <w:pStyle w:val="NodeStart"/>
      </w:pPr>
      <w:r>
        <w:t xml:space="preserve"> </w:t>
      </w:r>
    </w:p>
    <w:p>
      <w:pPr>
        <w:pStyle w:val="HeadSeparator"/>
      </w:pPr>
      <w:r>
        <w:t xml:space="preserve"> </w:t>
      </w:r>
    </w:p>
    <w:bookmarkStart w:id="217" w:name="_auto_toc_217"/>
    <w:bookmarkEnd w:id="217"/>
    <w:p>
      <w:pPr>
        <w:pStyle w:val="ResourceNumber"/>
      </w:pPr>
      <w:r>
        <w:t xml:space="preserve">18.10</w:t>
      </w:r>
    </w:p>
    <w:p>
      <w:pPr>
        <w:pStyle w:val="ResourceTitle"/>
      </w:pPr>
      <w:r>
        <w:t xml:space="preserve">Atlantic City Electric Co. v. General Electric Co.</w:t>
      </w:r>
    </w:p>
    <w:p>
      <w:pPr>
        <w:pStyle w:val="HeadFieldSeparator"/>
      </w:pPr>
      <w:r>
        <w:t xml:space="preserve"> </w:t>
      </w:r>
    </w:p>
    <w:p>
      <w:pPr>
        <w:pStyle w:val="ResourceHeadnote"/>
      </w:pPr>
      <w:r>
        <w:t xml:space="preserve">This case provides an illustration of a circuit court's exercise of discretion under Section 1292(b).</w:t>
      </w:r>
    </w:p>
    <w:p>
      <w:pPr>
        <w:pStyle w:val="ResourceHeadnote"/>
      </w:pPr>
      <w:r>
        <w:t xml:space="preserve">As you read</w:t>
      </w:r>
      <w:r>
        <w:t xml:space="preserve"> </w:t>
      </w:r>
      <w:r>
        <w:rPr>
          <w:iCs/>
          <w:i/>
        </w:rPr>
        <w:t xml:space="preserve">Atlantic City</w:t>
      </w:r>
      <w:r>
        <w:t xml:space="preserve">, think about how FRCP 54(b) examines whether there is “no just reason for delay” and how such analysis might differ from analysis under 28 U.S.C. § 1292(b).</w:t>
      </w:r>
    </w:p>
    <w:p>
      <w:pPr>
        <w:pStyle w:val="HeadEnd"/>
      </w:pPr>
      <w:r>
        <w:t xml:space="preserve"> </w:t>
      </w:r>
    </w:p>
    <w:p>
      <w:pPr>
        <w:pStyle w:val="CaseHeader"/>
      </w:pPr>
      <w:r>
        <w:t xml:space="preserve">United States Court of Appeals for the Second Circuit</w:t>
      </w:r>
    </w:p>
    <w:p>
      <w:pPr>
        <w:pStyle w:val="CaseHeader"/>
      </w:pPr>
      <w:r>
        <w:t xml:space="preserve">337 F.2d 844</w:t>
      </w:r>
    </w:p>
    <w:p>
      <w:pPr>
        <w:pStyle w:val="CaseHeader"/>
      </w:pPr>
      <w:r>
        <w:t xml:space="preserve">1964-07-16</w:t>
      </w:r>
    </w:p>
    <w:p>
      <w:pPr>
        <w:pStyle w:val="CaseBody"/>
      </w:pPr>
      <w:r>
        <w:rPr>
          <w:rStyle w:val="Elision"/>
        </w:rPr>
        <w:t xml:space="preserve">[ … ]</w:t>
      </w:r>
    </w:p>
    <w:p>
      <w:pPr>
        <w:pStyle w:val="CaseBody"/>
      </w:pPr>
      <w:r>
        <w:t xml:space="preserve">PER CURIAM.</w:t>
      </w:r>
    </w:p>
    <w:p>
      <w:pPr>
        <w:pStyle w:val="CaseBody"/>
      </w:pPr>
      <w:r>
        <w:t xml:space="preserve">The district court has certified pursuant to section 1292(b), 28 U.S.C.A. that its order, sustaining objections to interrogatories designed to discover whether damages were actually sustained by plaintiffs who may have shifted such damages, if any, to their customers of electricity, involves a controlling question of law in these litigations and that there is substantial ground for differences of opinion. The court noted in its opinion that the Court of Appeals for the Seventh Circuit has permitted an appeal to be taken from a similar order.</w:t>
      </w:r>
      <w:r>
        <w:rPr>
          <w:rStyle w:val="FootnoteReference"/>
        </w:rPr>
        <w:footnoteReference w:customMarkFollows="1" w:id="171"/>
        <w:t xml:space="preserve">1</w:t>
      </w:r>
    </w:p>
    <w:p>
      <w:pPr>
        <w:pStyle w:val="CaseBody"/>
      </w:pPr>
      <w:r>
        <w:t xml:space="preserve">In sustaining the objections to the interrogatories posed, the district court has, in effect, foreclosed defendants from pre-trial discovery of facts relating to a defense that plaintiffs have “passed-on” to their customers any damages incurred by plaintiffs and hence are not entitled to recover to the extent that defendants can prove such passing-on.</w:t>
      </w:r>
    </w:p>
    <w:p>
      <w:pPr>
        <w:pStyle w:val="CaseBody"/>
      </w:pPr>
      <w:r>
        <w:t xml:space="preserve">Upon this application for leave to appeal it would not be appropriate to isolate and endeavor to decide before an appeal from any final judgment this particular question of law. Pre-trial leave to appeal applications must be decided against the background of the entire case. Many important questions of law will undoubtedly arise in these cases but the problem now confronting us is the feasibility and advisability of trying to decide this particular question in advance of trial.</w:t>
      </w:r>
    </w:p>
    <w:p>
      <w:pPr>
        <w:pStyle w:val="CaseBody"/>
      </w:pPr>
      <w:r>
        <w:t xml:space="preserve">If pre-trial discovery were allowed as defendants request it could easily develop into a multitude of full scale rate cases which could dwarf in time and testimony the already extensive pre-trial proeeedings. If the district court is in error, as to which no opinion is expressed, defendants will have full opportunity in the event of an adverse judgment, if based in whole or in part upon this error, to have it corrected upon appeal together with any other errors which may be urged. It is doubtful that any discoveries or hearings required to establish the extent of any damages, if the passing-on doctrine applies, would be more burdensome then than now. Since defendants’ rights to this defense are not being taken away or prejudiced on any ultimate appeal by denial of the pre-trial appeal now sought, we believe that the ultimate disposition of these cases would be delayed rather than advanced by granting this application.</w:t>
      </w:r>
    </w:p>
    <w:p>
      <w:pPr>
        <w:pStyle w:val="CaseBody"/>
      </w:pPr>
      <w:r>
        <w:t xml:space="preserve">Application denied.</w:t>
      </w:r>
    </w:p>
    <w:bookmarkStart w:id="218" w:name="_auto_toc_218"/>
    <w:bookmarkEnd w:id="218"/>
    <w:p>
      <w:pPr>
        <w:pStyle w:val="ResourceNumber"/>
      </w:pPr>
      <w:r>
        <w:t xml:space="preserve">18.11</w:t>
      </w:r>
    </w:p>
    <w:p>
      <w:pPr>
        <w:pStyle w:val="ResourceTitle"/>
      </w:pPr>
      <w:r>
        <w:t xml:space="preserve">La Buy v. Howes Leather Co.</w:t>
      </w:r>
    </w:p>
    <w:p>
      <w:pPr>
        <w:pStyle w:val="HeadFieldSeparator"/>
      </w:pPr>
      <w:r>
        <w:t xml:space="preserve"> </w:t>
      </w:r>
    </w:p>
    <w:p>
      <w:pPr>
        <w:pStyle w:val="ResourceHeadnote"/>
      </w:pPr>
      <w:r>
        <w:t xml:space="preserve">This case illustrates an outlet to the final decision doctrine when no other exception is available: the petition for a writ of mandamus under Section 1651.</w:t>
      </w:r>
    </w:p>
    <w:p>
      <w:pPr>
        <w:pStyle w:val="ResourceHeadnote"/>
      </w:pPr>
      <w:r>
        <w:t xml:space="preserve">Generally, there are at least two situations in which a court of appeals can issue a writ of mandamus. In the first, a "supervisory writ of mandamus," an appeals court corrects a practice in which a district court engages repeatedly, or in which (the appeals court fears) the district court might engage repeatedly unless the appellate court takes action.</w:t>
      </w:r>
      <w:r>
        <w:t xml:space="preserve"> </w:t>
      </w:r>
      <w:r>
        <w:rPr>
          <w:iCs/>
          <w:i/>
        </w:rPr>
        <w:t xml:space="preserve">La Buy</w:t>
      </w:r>
      <w:r>
        <w:t xml:space="preserve"> </w:t>
      </w:r>
      <w:r>
        <w:t xml:space="preserve">is an example of this kind of writ. This type of writ is powerful when used, but it is used only rarely, hopefully (I don't research in this area, so I do not know) because district courts do not frequently engage repeatedly in erroneous practices.</w:t>
      </w:r>
    </w:p>
    <w:p>
      <w:pPr>
        <w:pStyle w:val="ResourceHeadnote"/>
      </w:pPr>
      <w:r>
        <w:t xml:space="preserve">The second kind of mandamus writ concerns a party's argument that a transparently incorrect district court order will cause the party to suffer a serious harm that cannot be corrected later (what does this remind you of?). The next entry discusses this kind of writ. It is more common than the supervisory type.</w:t>
      </w:r>
    </w:p>
    <w:p>
      <w:pPr>
        <w:pStyle w:val="HeadEnd"/>
      </w:pPr>
      <w:r>
        <w:t xml:space="preserve"> </w:t>
      </w:r>
    </w:p>
    <w:p>
      <w:pPr>
        <w:pStyle w:val="CaseHeader"/>
      </w:pPr>
      <w:r>
        <w:t xml:space="preserve">Supreme Court of the United States</w:t>
      </w:r>
    </w:p>
    <w:p>
      <w:pPr>
        <w:pStyle w:val="CaseHeader"/>
      </w:pPr>
      <w:r>
        <w:t xml:space="preserve">352 U.S. 249, 1 L. Ed. 2d 290, 77 S. Ct. 309, 1957 U.S. LEXIS 1757, SCDB 1956-024</w:t>
      </w:r>
    </w:p>
    <w:p>
      <w:pPr>
        <w:pStyle w:val="CaseHeader"/>
      </w:pPr>
      <w:r>
        <w:t xml:space="preserve">No. 27</w:t>
      </w:r>
    </w:p>
    <w:p>
      <w:pPr>
        <w:pStyle w:val="CaseHeader"/>
      </w:pPr>
      <w:r>
        <w:t xml:space="preserve">1957-01-14</w:t>
      </w:r>
    </w:p>
    <w:p>
      <w:pPr>
        <w:pStyle w:val="CaseBody"/>
      </w:pPr>
      <w:r>
        <w:rPr>
          <w:rStyle w:val="Elision"/>
        </w:rPr>
        <w:t xml:space="preserve">[ … ]</w:t>
      </w:r>
    </w:p>
    <w:p>
      <w:pPr>
        <w:pStyle w:val="CaseBody"/>
      </w:pPr>
      <w:r>
        <w:t xml:space="preserve">Mr. Justice Clark</w:t>
      </w:r>
    </w:p>
    <w:p>
      <w:pPr>
        <w:pStyle w:val="CaseBody"/>
      </w:pPr>
      <w:r>
        <w:t xml:space="preserve">delivered the opinion of the Court.</w:t>
      </w:r>
    </w:p>
    <w:p>
      <w:pPr>
        <w:pStyle w:val="CaseBody"/>
      </w:pPr>
      <w:r>
        <w:t xml:space="preserve">These two consolidated cases present a question of the power of the Courts of Appeals to issue writs of mandamus to compel a District Judge to vacate his orders entered under Rule 53 (b) of the Federal Rules of Civil Procedure referring antitrust cases for trial before a master.</w:t>
      </w:r>
      <w:r>
        <w:t xml:space="preserve"> </w:t>
      </w:r>
      <w:r>
        <w:t xml:space="preserve">The petitioner, a United States District Judge sitting in the Northern District of Illinois,</w:t>
      </w:r>
      <w:r>
        <w:t xml:space="preserve"> </w:t>
      </w:r>
      <w:r>
        <w:rPr>
          <w:rStyle w:val="FootnoteReference"/>
        </w:rPr>
        <w:footnoteReference w:customMarkFollows="1" w:id="46"/>
        <w:t xml:space="preserve">*</w:t>
      </w:r>
      <w:r>
        <w:t xml:space="preserve">contends that the Courts of Appeals have no such power and that, even if they did, these cases were not appropriate ones for its exercise. The Court of Appeals for the Seventh Circuit has decided unanimously that it has such power and, by a divided court, that the circumstances surrounding the references by the petitioner required it to issue the mandamus about which he complains.</w:t>
      </w:r>
      <w:r>
        <w:t xml:space="preserve"> </w:t>
      </w:r>
      <w:r>
        <w:rPr>
          <w:rStyle w:val="Elision"/>
        </w:rPr>
        <w:t xml:space="preserve">[ … ]</w:t>
      </w:r>
      <w:r>
        <w:t xml:space="preserve"> </w:t>
      </w:r>
      <w:r>
        <w:rPr>
          <w:rStyle w:val="Elision"/>
        </w:rPr>
        <w:t xml:space="preserve">[ … ]</w:t>
      </w:r>
      <w:r>
        <w:t xml:space="preserve">We conclude that the Court of Appeals properly issued the writs of mandamus.</w:t>
      </w:r>
    </w:p>
    <w:p>
      <w:pPr>
        <w:pStyle w:val="CaseBody"/>
      </w:pPr>
      <w:r>
        <w:rPr>
          <w:iCs/>
          <w:i/>
        </w:rPr>
        <w:t xml:space="preserve">History of the Litigation.</w:t>
      </w:r>
      <w:r>
        <w:t xml:space="preserve"> </w:t>
      </w:r>
      <w:r>
        <w:t xml:space="preserve">— These petitions for mandamus, filed in the Court of Appeals, arose from two antitrust actions instituted in the District Court in 1950.</w:t>
      </w:r>
      <w:hyperlink w:anchor="X5dc63fbe21018c017695db722ccefadaccc9d5a">
        <w:r>
          <w:rPr>
            <w:rStyle w:val="Elision"/>
          </w:rPr>
          <w:t xml:space="preserve">[ … ]</w:t>
        </w:r>
      </w:hyperlink>
      <w:r>
        <w:t xml:space="preserve"> </w:t>
      </w:r>
      <w:r>
        <w:rPr>
          <w:iCs/>
          <w:i/>
        </w:rPr>
        <w:t xml:space="preserve">Rohlfing</w:t>
      </w:r>
      <w:r>
        <w:t xml:space="preserve"> </w:t>
      </w:r>
      <w:r>
        <w:t xml:space="preserve"> </w:t>
      </w:r>
      <w:r>
        <w:t xml:space="preserve"> </w:t>
      </w:r>
      <w:r>
        <w:t xml:space="preserve">involves 87 plaintiffs, all operators of independent retail shoe repair shops. The claim of these plaintiffs against the six named defendants — manufacturers, wholesalers, and retail mail order houses and chain operators — is identical. The claim asserted in the complaint is a conspiracy between the defendants "to monopolize and to attempt to monopolize” and fix the price of shoe repair supplies sold in interstate commerce in the Chicago area, in violation of the Sherman Act. The allegations also include a price discrimination charge under the Robinson-Patman Act.</w:t>
      </w:r>
      <w:r>
        <w:t xml:space="preserve"> </w:t>
      </w:r>
      <w:r>
        <w:rPr>
          <w:iCs/>
          <w:i/>
        </w:rPr>
        <w:t xml:space="preserve">Shaffer</w:t>
      </w:r>
      <w:r>
        <w:t xml:space="preserve"> </w:t>
      </w:r>
      <w:r>
        <w:t xml:space="preserve"> </w:t>
      </w:r>
      <w:r>
        <w:t xml:space="preserve"> </w:t>
      </w:r>
      <w:r>
        <w:t xml:space="preserve">involves six plaintiffs, all wholesalers of shoe repair supplies, and six defendants, including manufacturers and wholesalers of such supplies and a retail shoe shop chain operator. The allegations here also include charges of monopoly and price fixing under the Sherman Act and price discrimination in violation of the Robinson-Patman Act. Both complaints pray for injunctive relief, treble damages, and an accounting with respect to the discriminatory price differentials charged.</w:t>
      </w:r>
    </w:p>
    <w:p>
      <w:pPr>
        <w:pStyle w:val="CaseBody"/>
      </w:pPr>
      <w:r>
        <w:t xml:space="preserve">The record indicates that the cases had been burdensome to the petitioner. In</w:t>
      </w:r>
      <w:r>
        <w:t xml:space="preserve"> </w:t>
      </w:r>
      <w:r>
        <w:rPr>
          <w:iCs/>
          <w:i/>
        </w:rPr>
        <w:t xml:space="preserve">Roklfing</w:t>
      </w:r>
      <w:r>
        <w:t xml:space="preserve"> </w:t>
      </w:r>
      <w:r>
        <w:t xml:space="preserve">alone, 27 pages of the record are devoted to docket entries reflecting that petitioner had conducted many hearings on preliminary pleas and motions.</w:t>
      </w:r>
      <w:r>
        <w:t xml:space="preserve"> </w:t>
      </w:r>
      <w:r>
        <w:rPr>
          <w:rStyle w:val="Elision"/>
        </w:rPr>
        <w:t xml:space="preserve">[ … ]</w:t>
      </w:r>
      <w:r>
        <w:t xml:space="preserve"> </w:t>
      </w:r>
      <w:r>
        <w:t xml:space="preserve">It appears that several of the hearings were extended and included not only oral argument but submission of briefs, and resulted in the filing of opinions and memoranda by the petitioner. It is reasonable to conclude that much time would have been saved at the trial had petitioner heard the case because of his familiarity with the litigation.</w:t>
      </w:r>
    </w:p>
    <w:p>
      <w:pPr>
        <w:pStyle w:val="CaseBody"/>
      </w:pPr>
      <w:r>
        <w:rPr>
          <w:iCs/>
          <w:i/>
        </w:rPr>
        <w:t xml:space="preserve">The References to the Master.</w:t>
      </w:r>
      <w:r>
        <w:t xml:space="preserve"> </w:t>
      </w:r>
      <w:r>
        <w:t xml:space="preserve">— The references to the master were made under the authority of Rule 53 (b) of the Federal Rules of Civil Procedure.</w:t>
      </w:r>
      <w:hyperlink w:anchor="X4114b3fa3173a102c5eb26adaecb88b3997716b">
        <w:r>
          <w:rPr>
            <w:rStyle w:val="Elision"/>
          </w:rPr>
          <w:t xml:space="preserve">[ … ]</w:t>
        </w:r>
      </w:hyperlink>
      <w:r>
        <w:t xml:space="preserve"> </w:t>
      </w:r>
      <w:r>
        <w:rPr>
          <w:rStyle w:val="Elision"/>
        </w:rPr>
        <w:t xml:space="preserve">[ … ]</w:t>
      </w:r>
      <w:r>
        <w:t xml:space="preserve"> </w:t>
      </w:r>
      <w:r>
        <w:t xml:space="preserve">All parties were anxious for an early trial, but plaintiffs wished an adjournment until May. The</w:t>
      </w:r>
      <w:r>
        <w:t xml:space="preserve"> </w:t>
      </w:r>
      <w:r>
        <w:t xml:space="preserve">petitioner</w:t>
      </w:r>
      <w:r>
        <w:t xml:space="preserve"> </w:t>
      </w:r>
      <w:r>
        <w:rPr>
          <w:rStyle w:val="FootnoteReference"/>
        </w:rPr>
        <w:footnoteReference w:customMarkFollows="1" w:id="88"/>
        <w:t xml:space="preserve">**</w:t>
      </w:r>
      <w:r>
        <w:t xml:space="preserve">announced that “it has taken a long time to get this case at issue. I remember hearing more motions, I think, in this case than any case I have ever sat on in this court.” The plaintiffs estimated that the trial would take six weeks, whereupon petitioner stated he did not know when he could try the case “if it is going to take this long.” He asked if the parties could agree “to have a Master hear” it. The parties ignored this query and at a conference in chambers the next day petitioner entered the orders of reference</w:t>
      </w:r>
      <w:r>
        <w:t xml:space="preserve"> </w:t>
      </w:r>
      <w:r>
        <w:rPr>
          <w:iCs/>
          <w:i/>
        </w:rPr>
        <w:t xml:space="preserve">sua sponte.</w:t>
      </w:r>
      <w:r>
        <w:t xml:space="preserve"> </w:t>
      </w:r>
      <w:r>
        <w:t xml:space="preserve"> </w:t>
      </w:r>
      <w:r>
        <w:t xml:space="preserve"> </w:t>
      </w:r>
      <w:r>
        <w:t xml:space="preserve">The orders declared that the court was “confronted with an extremely congested calendar” and that “exception [sic] conditions exist for this reason” requiring the references. The eases were referred to the master “to take evidence and to report the same to this Court, together with his findings of fact and conclusions of law.” It was further ordered in each case that “the Master shall commence the trial of this cause” on a certain date and continue with diligence, and that the parties supply security for costs. While the parties had deposited some $8,000 costs, the record discloses that all parties objected to the references and filed motions to vacate them. Upon petitioner’s refusal to vacate the references, these mandamus actions were filed in the Court of Appeals seeking the issuance of writs ordering petitioner to do so. These applications were grounded on</w:t>
      </w:r>
      <w:r>
        <w:t xml:space="preserve"> </w:t>
      </w:r>
      <w:r>
        <w:t xml:space="preserve">28 U. S. C. § 1651</w:t>
      </w:r>
      <w:r>
        <w:t xml:space="preserve"> </w:t>
      </w:r>
      <w:r>
        <w:t xml:space="preserve">(a), the All Writs Act.</w:t>
      </w:r>
      <w:hyperlink w:anchor="X5c634502a93b3d6f78168677ba85500f0904cf8">
        <w:r>
          <w:rPr>
            <w:rStyle w:val="Elision"/>
          </w:rPr>
          <w:t xml:space="preserve">[ … ]</w:t>
        </w:r>
      </w:hyperlink>
      <w:r>
        <w:t xml:space="preserve">In his answer to the show cause orders issued by the Court of Appeals, petitioner amplified the reasons for the references, stating “that the cases were very complicated and complex, that they would take considerable time to try,” and that his “calendar was congested.” Declaring that the references amounted to “a refusal on his [petitioner’s] part, as a judge, to try the causes in due course,” the Court of Appeals concluded that “in view of the extraordinary nature of these causes” the references must be vacated “if we find that the orders were beyond the court’s power under the pertinent rule.”</w:t>
      </w:r>
      <w:r>
        <w:t xml:space="preserve"> </w:t>
      </w:r>
      <w:r>
        <w:rPr>
          <w:rStyle w:val="Elision"/>
        </w:rPr>
        <w:t xml:space="preserve">[ … ]</w:t>
      </w:r>
      <w:r>
        <w:t xml:space="preserve">. And, it being so found, the writs issued under the authority of the All Writs Act.</w:t>
      </w:r>
      <w:r>
        <w:rPr>
          <w:rStyle w:val="Elision"/>
        </w:rPr>
        <w:t xml:space="preserve">[ … ]</w:t>
      </w:r>
    </w:p>
    <w:p>
      <w:pPr>
        <w:pStyle w:val="CaseBody"/>
      </w:pPr>
      <w:r>
        <w:rPr>
          <w:iCs/>
          <w:i/>
        </w:rPr>
        <w:t xml:space="preserve">The Power of the Courts of Appeals.</w:t>
      </w:r>
      <w:r>
        <w:t xml:space="preserve"> </w:t>
      </w:r>
      <w:r>
        <w:t xml:space="preserve">— Petitioner contends that the power of the Courts of Appeals does not extend to the issuance of writs of mandamus to review interlocutory orders except in those cases where the review of the case on appeal after final judgment would be frustrated. Asserting that the orders of reference were in exercise of his jurisdiction under Rule 53 (b), petitioner urges that such action can be reviewed only on appeal and not by writ of mandamus, since by congressional enactment appellate review of a District Court’s orders may be had only after a final judgment. The question of naked power has long been settled by this Court.</w:t>
      </w:r>
      <w:r>
        <w:t xml:space="preserve"> </w:t>
      </w:r>
      <w:r>
        <w:rPr>
          <w:rStyle w:val="Elision"/>
        </w:rPr>
        <w:t xml:space="preserve">[ … ]</w:t>
      </w:r>
      <w:r>
        <w:rPr>
          <w:rStyle w:val="Elision"/>
        </w:rPr>
        <w:t xml:space="preserve">[ … ]</w:t>
      </w:r>
      <w:r>
        <w:t xml:space="preserve">. The recodification of the All Writs Act in 1948</w:t>
      </w:r>
      <w:r>
        <w:rPr>
          <w:rStyle w:val="Elision"/>
        </w:rPr>
        <w:t xml:space="preserve">[ … ]</w:t>
      </w:r>
      <w:r>
        <w:t xml:space="preserve">did not affect the power of the Courts of Appeals to issue writs of mandamus in aid of jurisdiction.</w:t>
      </w:r>
      <w:r>
        <w:rPr>
          <w:rStyle w:val="Elision"/>
        </w:rPr>
        <w:t xml:space="preserve">[ … ]</w:t>
      </w:r>
      <w:r>
        <w:t xml:space="preserve"> </w:t>
      </w:r>
      <w:r>
        <w:t xml:space="preserve">Since the Court of Appeals could at some stage of the antitrust proceedings entertain appeals in these cases, it has power in proper circumstances, as here, to issue writs of mandamus reaching them.</w:t>
      </w:r>
      <w:r>
        <w:t xml:space="preserve"> </w:t>
      </w:r>
      <w:r>
        <w:rPr>
          <w:rStyle w:val="Elision"/>
        </w:rPr>
        <w:t xml:space="preserve">[ … ]</w:t>
      </w:r>
      <w:r>
        <w:t xml:space="preserve"> </w:t>
      </w:r>
      <w:r>
        <w:t xml:space="preserve">This is not to say that the conclusion we reach on the facts of this case is intended, or can be used, to authorize the indiscriminate use of prerogative writs as a means of reviewing interlocutory orders. We pass on, then, to the only real question involved,</w:t>
      </w:r>
      <w:r>
        <w:t xml:space="preserve"> </w:t>
      </w:r>
      <w:r>
        <w:rPr>
          <w:iCs/>
          <w:i/>
        </w:rPr>
        <w:t xml:space="preserve">i. e.,</w:t>
      </w:r>
      <w:r>
        <w:t xml:space="preserve"> </w:t>
      </w:r>
      <w:r>
        <w:t xml:space="preserve">whether the exercise of the power by the Court of Appeals was proper in the cases now before us.</w:t>
      </w:r>
    </w:p>
    <w:p>
      <w:pPr>
        <w:pStyle w:val="CaseBody"/>
      </w:pPr>
      <w:r>
        <w:rPr>
          <w:iCs/>
          <w:i/>
        </w:rPr>
        <w:t xml:space="preserve">The Discretionary Use of the Writs.</w:t>
      </w:r>
      <w:r>
        <w:t xml:space="preserve"> </w:t>
      </w:r>
      <w:r>
        <w:t xml:space="preserve">— It appears from the docket entries to which we heretofore referred that the petitioner was well informed as to the nature of the antitrust litigation, the pleadings of the parties, and the gist of the plaintiffs’ claims. He was well aware of the theory of the defense and much of the proof which necessarily was outlined in the various requests for discovery, admissions, interrogatories, and depositions. He heard arguments on motions to dismiss, to compel testimony on depositions, and for summary judgment. In fact, petitioner’s knowledge of the cases at the time of the references, together with his long experience in the antitrust field, points to the conclusion that he could, dispose of the litigation with greater dispatch and less effort than anyone else. Nevertheless, he referred both suits to a master on the general issue. Furthermore, neither the existence of the alleged conspiracy nor the question of liability</w:t>
      </w:r>
      <w:r>
        <w:t xml:space="preserve"> </w:t>
      </w:r>
      <w:r>
        <w:rPr>
          <w:iCs/>
          <w:i/>
        </w:rPr>
        <w:t xml:space="preserve">vel non</w:t>
      </w:r>
      <w:r>
        <w:t xml:space="preserve"> </w:t>
      </w:r>
      <w:r>
        <w:t xml:space="preserve">had been determined in either case. These issues, as well as the damages, if any, and the question concerning the issuance of an injunction, were likewise included in the references. Under all of the circumstances, we believe the Court of Appeals was justified in finding the orders of reference were an abuse of the petitioner’s power under Rule 53 (b). They amounted to little less than an abdication of the judicial function depriving the parties of a trial before the court on the basic issues involved in the litigation.</w:t>
      </w:r>
    </w:p>
    <w:p>
      <w:pPr>
        <w:pStyle w:val="CaseBody"/>
      </w:pPr>
      <w:r>
        <w:rPr>
          <w:rStyle w:val="Elision"/>
        </w:rPr>
        <w:t xml:space="preserve">[ … ]</w:t>
      </w:r>
      <w:r>
        <w:t xml:space="preserve"> </w:t>
      </w:r>
      <w:r>
        <w:rPr>
          <w:rStyle w:val="Elision"/>
        </w:rPr>
        <w:t xml:space="preserve">[ … ]</w:t>
      </w:r>
    </w:p>
    <w:p>
      <w:pPr>
        <w:pStyle w:val="CaseBody"/>
      </w:pPr>
      <w:r>
        <w:t xml:space="preserve">It is also contended that the Seventh Circuit has erroneously construed the All Writs Act as “conferring on it a ‘roving commission’ to supervise interlocutory orders of the District Courts in advance of final decision.” Our examination of its opinions in this regard leads us to the conclusion that the Court of Appeals has exercised commendable self-restraint. It is true that mandamus should be resorted to only in extreme cases, since it places trial judges in the anomalous position of being litigants without counsel other than uncompensated volunteers. However, there is an end of patience and it clearly appears that the Court of Appeals has for years admonished the trial judges of the Seventh Circuit that the practice of making references “does not commend itself” and “. . . should seldom be made, and if at all only when unusual circumstances exist.”</w:t>
      </w:r>
      <w:r>
        <w:t xml:space="preserve"> </w:t>
      </w:r>
      <w:r>
        <w:rPr>
          <w:rStyle w:val="Elision"/>
        </w:rPr>
        <w:t xml:space="preserve">[ … ]</w:t>
      </w:r>
      <w:r>
        <w:t xml:space="preserve"> </w:t>
      </w:r>
      <w:r>
        <w:rPr>
          <w:rStyle w:val="Elision"/>
        </w:rPr>
        <w:t xml:space="preserve">[ … ]</w:t>
      </w:r>
      <w:r>
        <w:rPr>
          <w:rStyle w:val="Elision"/>
        </w:rPr>
        <w:t xml:space="preserve">[ … ]</w:t>
      </w:r>
    </w:p>
    <w:p>
      <w:pPr>
        <w:pStyle w:val="CaseBody"/>
      </w:pPr>
      <w:r>
        <w:t xml:space="preserve">We believe that supervisory control of the District Courts by the Courts of Appeals is necessary to proper judicial administration in the federal system. The All Writs Act confers on the Courts of Appeals the discretionary power to issue writs of mandamus in the exceptional circumstances existing here. Its judgment is therefore</w:t>
      </w:r>
    </w:p>
    <w:p>
      <w:pPr>
        <w:pStyle w:val="CaseBody"/>
      </w:pPr>
      <w:r>
        <w:rPr>
          <w:iCs/>
          <w:i/>
        </w:rPr>
        <w:t xml:space="preserve">Affirmed.</w:t>
      </w:r>
    </w:p>
    <w:p>
      <w:pPr>
        <w:pStyle w:val="CaseBody"/>
      </w:pPr>
      <w:r>
        <w:t xml:space="preserve">Mr. Justice Brennan,</w:t>
      </w:r>
    </w:p>
    <w:p>
      <w:pPr>
        <w:pStyle w:val="CaseBody"/>
      </w:pPr>
      <w:r>
        <w:t xml:space="preserve">with whom Mr. Justice Frankfurter, Mr. Justice Burton and Mr. Justice Harlan join,</w:t>
      </w:r>
    </w:p>
    <w:p>
      <w:pPr>
        <w:pStyle w:val="CaseBody"/>
      </w:pPr>
      <w:r>
        <w:t xml:space="preserve">dissenting.</w:t>
      </w:r>
      <w:r>
        <w:rPr>
          <w:rStyle w:val="FootnoteReference"/>
        </w:rPr>
        <w:footnoteReference w:customMarkFollows="1" w:id="114"/>
        <w:t xml:space="preserve">***</w:t>
      </w:r>
    </w:p>
    <w:p>
      <w:pPr>
        <w:pStyle w:val="CaseBody"/>
      </w:pPr>
      <w:r>
        <w:t xml:space="preserve">The issue here is not whether Judge La Buy’s order was reviewable by the Court of Appeals. The sole question is whether review should have awaited final decision in the cause or whether the order was reviewable before final decision by way of a petition under the All Writs Act for the issuance of a writ of mandamus addressed to it.</w:t>
      </w:r>
      <w:r>
        <w:t xml:space="preserve"> </w:t>
      </w:r>
      <w:r>
        <w:rPr>
          <w:rStyle w:val="Elision"/>
        </w:rPr>
        <w:t xml:space="preserve">[ … ]</w:t>
      </w:r>
    </w:p>
    <w:p>
      <w:pPr>
        <w:pStyle w:val="CaseBody"/>
      </w:pPr>
      <w:r>
        <w:rPr>
          <w:rStyle w:val="Elision"/>
        </w:rPr>
        <w:t xml:space="preserve">[ … ]</w:t>
      </w:r>
    </w:p>
    <w:p>
      <w:pPr>
        <w:pStyle w:val="CaseBody"/>
      </w:pPr>
      <w:r>
        <w:rPr>
          <w:rStyle w:val="Elision"/>
        </w:rPr>
        <w:t xml:space="preserve">[ … ]</w:t>
      </w:r>
      <w:r>
        <w:t xml:space="preserve"> </w:t>
      </w:r>
      <w:r>
        <w:t xml:space="preserve">I think this Court has today seriously undermined the longstanding statutory policy against piecemeal appeals.</w:t>
      </w:r>
      <w:r>
        <w:t xml:space="preserve"> </w:t>
      </w:r>
      <w:r>
        <w:rPr>
          <w:rStyle w:val="Elision"/>
        </w:rPr>
        <w:t xml:space="preserve">[ … ]</w:t>
      </w:r>
      <w:r>
        <w:t xml:space="preserve"> </w:t>
      </w:r>
      <w:r>
        <w:rPr>
          <w:rStyle w:val="Elision"/>
        </w:rPr>
        <w:t xml:space="preserve">[ … ]</w:t>
      </w:r>
    </w:p>
    <w:p>
      <w:pPr>
        <w:pStyle w:val="CaseBody"/>
      </w:pPr>
      <w:r>
        <w:t xml:space="preserve">What this Court is saying, therefore, is that the All Writs Act confers an independent appellate power in the Courts of Appeals to review interlocutory orders. I have always understood the law to be precisely to the contrary. The power granted to the Courts of Appeals by the All Writs Act is not an appellate power but merely an auxiliary power in aid of and to protect the appellate jurisdiction conferred by other provisions of law,</w:t>
      </w:r>
      <w:r>
        <w:t xml:space="preserve"> </w:t>
      </w:r>
      <w:r>
        <w:rPr>
          <w:iCs/>
          <w:i/>
        </w:rPr>
        <w:t xml:space="preserve">e. g.,</w:t>
      </w:r>
      <w:r>
        <w:t xml:space="preserve"> </w:t>
      </w:r>
      <w:r>
        <w:t xml:space="preserve">the power to review final decisions granted by</w:t>
      </w:r>
      <w:r>
        <w:t xml:space="preserve"> </w:t>
      </w:r>
      <w:r>
        <w:t xml:space="preserve">28 U. S. C. § 1291</w:t>
      </w:r>
      <w:r>
        <w:t xml:space="preserve">,</w:t>
      </w:r>
      <w:hyperlink w:anchor="Xc1d99beb54a0df7c213638c45d71d7ff8ba5078">
        <w:r>
          <w:rPr>
            <w:rStyle w:val="Elision"/>
          </w:rPr>
          <w:t xml:space="preserve">[ … ]</w:t>
        </w:r>
      </w:hyperlink>
      <w:r>
        <w:t xml:space="preserve">and to review specified exceptional classes of interlocutory orders granted by</w:t>
      </w:r>
      <w:r>
        <w:t xml:space="preserve"> </w:t>
      </w:r>
      <w:r>
        <w:t xml:space="preserve">28 U. S. C. § 1292</w:t>
      </w:r>
      <w:r>
        <w:t xml:space="preserve">.</w:t>
      </w:r>
      <w:hyperlink w:anchor="X07794f044b8e9dd2dcbffec112d01f4b9fd6762">
        <w:r>
          <w:rPr>
            <w:rStyle w:val="Elision"/>
          </w:rPr>
          <w:t xml:space="preserve">[ … ]</w:t>
        </w:r>
      </w:hyperlink>
      <w:r>
        <w:t xml:space="preserve">This holding that an independent appellate power is given by the All Writs Act not only discards the constraints upon the scope of the power to issue extraordinary writs</w:t>
      </w:r>
      <w:r>
        <w:t xml:space="preserve"> </w:t>
      </w:r>
      <w:r>
        <w:rPr>
          <w:rStyle w:val="Elision"/>
        </w:rPr>
        <w:t xml:space="preserve">[ … ]</w:t>
      </w:r>
      <w:r>
        <w:t xml:space="preserve">opens wide the crack in the door which, since the Judiciary Act of 1789, has shut out from intermediate appellate review all interlocutory actions of the District Courts not within the few exceptional classes now specified by the Congress in § 1292.</w:t>
      </w:r>
    </w:p>
    <w:p>
      <w:pPr>
        <w:pStyle w:val="CaseBody"/>
      </w:pPr>
      <w:r>
        <w:rPr>
          <w:rStyle w:val="Elision"/>
        </w:rPr>
        <w:t xml:space="preserve">[ … ]</w:t>
      </w:r>
    </w:p>
    <w:p>
      <w:pPr>
        <w:pStyle w:val="CaseBody"/>
      </w:pPr>
      <w:r>
        <w:rPr>
          <w:rStyle w:val="Elision"/>
        </w:rPr>
        <w:t xml:space="preserve">[ … ]</w:t>
      </w:r>
      <w:r>
        <w:rPr>
          <w:rStyle w:val="Elision"/>
        </w:rPr>
        <w:t xml:space="preserve">[ … ]</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t xml:space="preserve">The power of the Court of Appeals to correct any error in Judge La Buy’s reference is found exclusively in the power to review final decisions under § 1291. The Court of Appeals erred by assuming a nonexistent power under the All Writs Act to review this interlocutory order in advance of final decision. Insofar as the Court approves this error, I must respectfully dissent.</w:t>
      </w:r>
    </w:p>
    <w:bookmarkStart w:id="219" w:name="_auto_toc_219"/>
    <w:bookmarkEnd w:id="219"/>
    <w:p>
      <w:pPr>
        <w:pStyle w:val="ResourceNumber"/>
      </w:pPr>
      <w:r>
        <w:t xml:space="preserve">18.12</w:t>
      </w:r>
    </w:p>
    <w:p>
      <w:pPr>
        <w:pStyle w:val="ResourceTitle"/>
      </w:pPr>
      <w:r>
        <w:t xml:space="preserve">Note following La Buy</w:t>
      </w:r>
    </w:p>
    <w:p>
      <w:pPr>
        <w:pStyle w:val="HeadEnd"/>
      </w:pPr>
      <w:r>
        <w:t xml:space="preserve"> </w:t>
      </w:r>
    </w:p>
    <w:p>
      <w:pPr>
        <w:pStyle w:val="BodyText"/>
      </w:pPr>
      <w:r>
        <w:t xml:space="preserve">In</w:t>
      </w:r>
      <w:r>
        <w:t xml:space="preserve"> </w:t>
      </w:r>
      <w:r>
        <w:rPr>
          <w:iCs/>
          <w:i/>
        </w:rPr>
        <w:t xml:space="preserve">Cheney v. United States District Court</w:t>
      </w:r>
      <w:r>
        <w:t xml:space="preserve">, 542 U.S. 367 (2004), the Supreme Court reversed a holding declining to issue a writ of mandamus sought by the Vice President to halt discovery proceedings surrounding an Executive Branch task force. Specifically, the Supreme Court disagreed with the lower court that executive privilege was not a “necessary precondition” to mandamus and remanded for further consideration. The Supreme Court laid down a three part test for issuance of a writ of mandamus in</w:t>
      </w:r>
      <w:r>
        <w:t xml:space="preserve"> </w:t>
      </w:r>
      <w:r>
        <w:rPr>
          <w:iCs/>
          <w:i/>
        </w:rPr>
        <w:t xml:space="preserve">Cheney:</w:t>
      </w:r>
      <w:r>
        <w:t xml:space="preserve"> </w:t>
      </w:r>
      <w:r>
        <w:t xml:space="preserve">(1) there must be “no other adequate means” of obtaining the relief sought, (2) the party seeking mandamus must show that the right to relief is “clear and indisputable,” and (3) the issuing court must be satisfied that mandamus is “appropriate under the circumstances.”</w:t>
      </w:r>
      <w:r>
        <w:t xml:space="preserve"> </w:t>
      </w:r>
      <w:r>
        <w:rPr>
          <w:iCs/>
          <w:i/>
        </w:rPr>
        <w:t xml:space="preserve">Id</w:t>
      </w:r>
      <w:r>
        <w:t xml:space="preserve">. at 380-81. What do these three factors remind you of?</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220" w:name="_auto_toc_220"/>
    <w:bookmarkEnd w:id="220"/>
    <w:p>
      <w:pPr>
        <w:pStyle w:val="ChapterNumber"/>
      </w:pPr>
      <w:r>
        <w:t xml:space="preserve">19</w:t>
      </w:r>
    </w:p>
    <w:p>
      <w:pPr>
        <w:pStyle w:val="ChapterTitle"/>
      </w:pPr>
      <w:r>
        <w:t xml:space="preserve">Day 19</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221" w:name="_auto_toc_221"/>
    <w:bookmarkEnd w:id="221"/>
    <w:p>
      <w:pPr>
        <w:pStyle w:val="ResourceNumber"/>
      </w:pPr>
      <w:r>
        <w:t xml:space="preserve">19.1</w:t>
      </w:r>
    </w:p>
    <w:p>
      <w:pPr>
        <w:pStyle w:val="ResourceTitle"/>
      </w:pPr>
      <w:r>
        <w:t xml:space="preserve">Rules</w:t>
      </w:r>
    </w:p>
    <w:p>
      <w:pPr>
        <w:pStyle w:val="HeadFieldSeparator"/>
      </w:pPr>
      <w:r>
        <w:t xml:space="preserve"> </w:t>
      </w:r>
    </w:p>
    <w:p>
      <w:pPr>
        <w:pStyle w:val="ResourceHeadnote"/>
      </w:pPr>
      <w:r>
        <w:t xml:space="preserve">Read the following Federal Rules of Civil Procedure. You can access them via the internet or the supplemental handout provided on Canvas.</w:t>
      </w:r>
    </w:p>
    <w:p>
      <w:pPr>
        <w:pStyle w:val="HeadEnd"/>
      </w:pPr>
      <w:r>
        <w:t xml:space="preserve"> </w:t>
      </w:r>
    </w:p>
    <w:p>
      <w:pPr>
        <w:numPr>
          <w:ilvl w:val="0"/>
          <w:numId w:val="1167"/>
        </w:numPr>
      </w:pPr>
      <w:r>
        <w:t xml:space="preserve">Fed. R. Civ. P. 13(a-c, g-i)</w:t>
      </w:r>
    </w:p>
    <w:p>
      <w:pPr>
        <w:numPr>
          <w:ilvl w:val="0"/>
          <w:numId w:val="1167"/>
        </w:numPr>
      </w:pPr>
      <w:r>
        <w:t xml:space="preserve">Fed. R. Civ. P. 14(a-b)</w:t>
      </w:r>
    </w:p>
    <w:p>
      <w:pPr>
        <w:numPr>
          <w:ilvl w:val="0"/>
          <w:numId w:val="1167"/>
        </w:numPr>
      </w:pPr>
      <w:r>
        <w:t xml:space="preserve">Fed. R. Civ. P. 18</w:t>
      </w:r>
    </w:p>
    <w:p>
      <w:pPr>
        <w:numPr>
          <w:ilvl w:val="0"/>
          <w:numId w:val="1167"/>
        </w:numPr>
      </w:pPr>
      <w:r>
        <w:t xml:space="preserve">Fed. R. Civ. P. 20(a)</w:t>
      </w:r>
    </w:p>
    <w:p>
      <w:pPr>
        <w:numPr>
          <w:ilvl w:val="0"/>
          <w:numId w:val="1167"/>
        </w:numPr>
      </w:pPr>
      <w:r>
        <w:t xml:space="preserve">Fed. R. Civ. P. 42</w:t>
      </w:r>
    </w:p>
    <w:p>
      <w:pPr>
        <w:numPr>
          <w:ilvl w:val="0"/>
          <w:numId w:val="1167"/>
        </w:numPr>
      </w:pPr>
      <w:r>
        <w:t xml:space="preserve">Fed. R. Civ. P. 24</w:t>
      </w:r>
    </w:p>
    <w:p>
      <w:pPr>
        <w:pStyle w:val="NodeEnd"/>
      </w:pPr>
      <w:r>
        <w:t xml:space="preserve"> </w:t>
      </w:r>
    </w:p>
    <w:p>
      <w:pPr>
        <w:pStyle w:val="NodeStart"/>
      </w:pPr>
      <w:r>
        <w:t xml:space="preserve"> </w:t>
      </w:r>
    </w:p>
    <w:p>
      <w:pPr>
        <w:pStyle w:val="HeadSeparator"/>
      </w:pPr>
      <w:r>
        <w:t xml:space="preserve"> </w:t>
      </w:r>
    </w:p>
    <w:bookmarkStart w:id="222" w:name="_auto_toc_222"/>
    <w:bookmarkEnd w:id="222"/>
    <w:p>
      <w:pPr>
        <w:pStyle w:val="ResourceNumber"/>
      </w:pPr>
      <w:r>
        <w:t xml:space="preserve">19.2</w:t>
      </w:r>
    </w:p>
    <w:p>
      <w:pPr>
        <w:pStyle w:val="ResourceTitle"/>
      </w:pPr>
      <w:r>
        <w:t xml:space="preserve">Slides on Complex Litigation</w:t>
      </w:r>
    </w:p>
    <w:p>
      <w:pPr>
        <w:pStyle w:val="HeadEnd"/>
      </w:pPr>
      <w:r>
        <w:t xml:space="preserve"> </w:t>
      </w:r>
    </w:p>
    <w:p>
      <w:pPr>
        <w:pStyle w:val="BodyText"/>
      </w:pPr>
      <w:r>
        <w:t xml:space="preserve">Please review the slides linked</w:t>
      </w:r>
      <w:r>
        <w:t xml:space="preserve"> </w:t>
      </w:r>
      <w:hyperlink r:id="rId239">
        <w:r>
          <w:rPr>
            <w:rStyle w:val="Hyperlink"/>
          </w:rPr>
          <w:t xml:space="preserve">here</w:t>
        </w:r>
      </w:hyperlink>
      <w:r>
        <w:t xml:space="preserve"> </w:t>
      </w:r>
      <w:r>
        <w:t xml:space="preserve">(Powerpoint file) on complex and multiparty litigation.</w:t>
      </w:r>
    </w:p>
    <w:p>
      <w:pPr>
        <w:pStyle w:val="NodeEnd"/>
      </w:pPr>
      <w:r>
        <w:t xml:space="preserve"> </w:t>
      </w:r>
    </w:p>
    <w:p>
      <w:pPr>
        <w:pStyle w:val="NodeStart"/>
      </w:pPr>
      <w:r>
        <w:t xml:space="preserve"> </w:t>
      </w:r>
    </w:p>
    <w:p>
      <w:pPr>
        <w:pStyle w:val="HeadSeparator"/>
      </w:pPr>
      <w:r>
        <w:t xml:space="preserve"> </w:t>
      </w:r>
    </w:p>
    <w:bookmarkStart w:id="223" w:name="_auto_toc_223"/>
    <w:bookmarkEnd w:id="223"/>
    <w:p>
      <w:pPr>
        <w:pStyle w:val="ResourceNumber"/>
      </w:pPr>
      <w:r>
        <w:t xml:space="preserve">19.3</w:t>
      </w:r>
    </w:p>
    <w:p>
      <w:pPr>
        <w:pStyle w:val="ResourceTitle"/>
      </w:pPr>
      <w:r>
        <w:t xml:space="preserve">United States ex rel. D’Agostino Excavators, Inc. v. Heyward-Robinson Co.</w:t>
      </w:r>
    </w:p>
    <w:p>
      <w:pPr>
        <w:pStyle w:val="HeadFieldSeparator"/>
      </w:pPr>
      <w:r>
        <w:t xml:space="preserve"> </w:t>
      </w:r>
    </w:p>
    <w:p>
      <w:pPr>
        <w:pStyle w:val="ResourceHeadnote"/>
      </w:pPr>
      <w:r>
        <w:t xml:space="preserve">This case concerns whether an allegedly related set of events constitutes a single "transaction or occurrence" for purposes of Fed. R. Civ. P. 13.</w:t>
      </w:r>
    </w:p>
    <w:p>
      <w:pPr>
        <w:pStyle w:val="ResourceHeadnote"/>
      </w:pPr>
      <w:r>
        <w:t xml:space="preserve">This case was decided before the enactment of Section 1367 (which, if you recall, codified the doctrine of what we now call supplemental jurisdiction). Under Fifth Circuit precedent at this time, a compulsory counterclaim did not have to have an independent basis of subject matter jurisdiction, but a permissive counterclaim did have to have such an independent basis. Thus, the question of whether the disputes over the two construction sites at issue in this case constituted a single transaction or occurrence determined whether there was subject matter jurisdiction over the defendant's counterclaim.</w:t>
      </w:r>
    </w:p>
    <w:p>
      <w:pPr>
        <w:pStyle w:val="ResourceHeadnote"/>
      </w:pPr>
      <w:r>
        <w:t xml:space="preserve">As an aside: the counterclaim is a relatively new instrument, as it did not exist at common law, though it has predecessors in equity. These remedies, called set-off and recoupment, were limited, though, as a defendant could not assert a claim to affirmative relief. This limitation was rescinded in England under the Judicature Act of 1873, and American states gradually began to follow suit.</w:t>
      </w:r>
    </w:p>
    <w:p>
      <w:pPr>
        <w:pStyle w:val="HeadEnd"/>
      </w:pPr>
      <w:r>
        <w:t xml:space="preserve"> </w:t>
      </w:r>
    </w:p>
    <w:p>
      <w:pPr>
        <w:pStyle w:val="CaseHeader"/>
      </w:pPr>
      <w:r>
        <w:t xml:space="preserve">United States Court of Appeals for the Second Circuit</w:t>
      </w:r>
    </w:p>
    <w:p>
      <w:pPr>
        <w:pStyle w:val="CaseHeader"/>
      </w:pPr>
      <w:r>
        <w:t xml:space="preserve">430 F.2d 1077</w:t>
      </w:r>
    </w:p>
    <w:p>
      <w:pPr>
        <w:pStyle w:val="CaseHeader"/>
      </w:pPr>
      <w:r>
        <w:t xml:space="preserve">No. 766, Docket 34513</w:t>
      </w:r>
    </w:p>
    <w:p>
      <w:pPr>
        <w:pStyle w:val="CaseHeader"/>
      </w:pPr>
      <w:r>
        <w:t xml:space="preserve">1970-07-24</w:t>
      </w:r>
    </w:p>
    <w:p>
      <w:pPr>
        <w:pStyle w:val="CaseBody"/>
      </w:pPr>
      <w:r>
        <w:t xml:space="preserve">430 F.2d 1077 (1970)</w:t>
      </w:r>
    </w:p>
    <w:p>
      <w:pPr>
        <w:pStyle w:val="CaseHeader"/>
      </w:pPr>
      <w:r>
        <w:t xml:space="preserve">UNITED STATES of America, for the Use and Benefit of D'AGOSTINO EXCAVATORS, INC., Plaintiff-Appellee,</w:t>
      </w:r>
      <w:r>
        <w:br/>
      </w:r>
      <w:r>
        <w:t xml:space="preserve">v.</w:t>
      </w:r>
      <w:r>
        <w:br/>
      </w:r>
      <w:r>
        <w:t xml:space="preserve">The HEYWARD-ROBINSON COMPANY, Inc. and Maryland Casualty Company, Defendants-Appellants.</w:t>
      </w:r>
    </w:p>
    <w:p>
      <w:pPr>
        <w:pStyle w:val="CaseBody"/>
      </w:pPr>
      <w:r>
        <w:rPr>
          <w:rStyle w:val="Elision"/>
        </w:rPr>
        <w:t xml:space="preserve">[ … ]</w:t>
      </w:r>
    </w:p>
    <w:p>
      <w:pPr>
        <w:pStyle w:val="CaseBody"/>
      </w:pPr>
      <w:r>
        <w:t xml:space="preserve">United States Court of Appeals, Second Circuit.</w:t>
      </w:r>
    </w:p>
    <w:p>
      <w:pPr>
        <w:pStyle w:val="CaseBody"/>
      </w:pPr>
      <w:r>
        <w:rPr>
          <w:rStyle w:val="Elision"/>
        </w:rPr>
        <w:t xml:space="preserve">[ … ]</w:t>
      </w:r>
    </w:p>
    <w:bookmarkStart w:id="240" w:name="frederick-van-pelt-bryan-district-judge."/>
    <w:p>
      <w:pPr>
        <w:pStyle w:val="Heading2"/>
      </w:pPr>
      <w:r>
        <w:t xml:space="preserve">FREDERICK van PELT BRYAN, District Judge.</w:t>
      </w:r>
    </w:p>
    <w:p>
      <w:pPr>
        <w:pStyle w:val="CaseBody"/>
      </w:pPr>
      <w:r>
        <w:t xml:space="preserve">This is an appeal from a judgment for the plaintiff entered in the United States District Court for the District of Connecticut</w:t>
      </w:r>
      <w:r>
        <w:rPr>
          <w:rStyle w:val="Elision"/>
        </w:rPr>
        <w:t xml:space="preserve">[ … ]</w:t>
      </w:r>
    </w:p>
    <w:p>
      <w:pPr>
        <w:pStyle w:val="CaseBody"/>
      </w:pPr>
      <w:r>
        <w:t xml:space="preserve">The action involves two subcontracts for excavation work between D'Agostino Excavators, Inc. (D'Agostino) and The Heyward-Robinson Company, Inc. (Heyward) as prime contractor on two construction jobs in Connecticut. One of the prime contracts, for the construction of barracks at the Naval Submarine Base in New London, Groton, was with the federal government (the Navy job). The other, a non-federal job, was for the construction of a plant for Stelma, Inc. at Stamford (the Stelma job).</w:t>
      </w:r>
    </w:p>
    <w:p>
      <w:pPr>
        <w:pStyle w:val="CaseBody"/>
      </w:pPr>
      <w:r>
        <w:t xml:space="preserve">D'Agostino brought this action against Heyward</w:t>
      </w:r>
      <w:r>
        <w:t xml:space="preserve"> </w:t>
      </w:r>
      <w:r>
        <w:rPr>
          <w:rStyle w:val="Elision"/>
        </w:rPr>
        <w:t xml:space="preserve">[ … ]</w:t>
      </w:r>
      <w:r>
        <w:t xml:space="preserve"> </w:t>
      </w:r>
      <w:r>
        <w:t xml:space="preserve">under the Miller Act</w:t>
      </w:r>
      <w:r>
        <w:rPr>
          <w:rStyle w:val="ReplacementText"/>
        </w:rPr>
        <w:t xml:space="preserve">. which provides a federally created cause of action to a subcontractor who alleges that a prime contractor wrongfully denied payment for completed work,</w:t>
      </w:r>
      <w:r>
        <w:t xml:space="preserve"> </w:t>
      </w:r>
      <w:r>
        <w:t xml:space="preserve">to recover payments alleged to be due on the Navy job. Heyward answered, denying liability on the Navy job and counterclaiming for alleged overpayments and extra costs of completing both the Navy job and the Stelma job. In reply, D'Agostino denied liability on the Heyward counterclaims and interposed a reply counterclaim to recover from Heyward monies alleged to be due on the Stelma job.</w:t>
      </w:r>
    </w:p>
    <w:p>
      <w:pPr>
        <w:pStyle w:val="CaseBody"/>
      </w:pPr>
      <w:r>
        <w:t xml:space="preserve">At the trial, the two subcontracts in suit were treated together. D'Agostino claimed that Heyward had breached both subcontracts by failing to make progress payments as required and that substantial sums were owing to it from Heyward on both jobs. Heyward claimed that D'Agostino had breached both subcontracts by permitting its compensation and employee liability insurance to lapse; that, as a result, Heyward on October 19, 1965 had terminated both; and that D'Agostino was liable for overpayments and costs of completion on both.</w:t>
      </w:r>
    </w:p>
    <w:p>
      <w:pPr>
        <w:pStyle w:val="CaseBody"/>
      </w:pPr>
      <w:r>
        <w:t xml:space="preserve">The issue as to whether Heyward had breached the subcontracts prior to October 19, 1965, when Heyward claimed to have terminated them, was submitted to the jury as a special question. The jury found that Heyward had breached the subcontracts prior to that date.</w:t>
      </w:r>
    </w:p>
    <w:p>
      <w:pPr>
        <w:pStyle w:val="CaseBody"/>
      </w:pPr>
      <w:r>
        <w:rPr>
          <w:rStyle w:val="Elision"/>
        </w:rPr>
        <w:t xml:space="preserve">[ … ]</w:t>
      </w:r>
      <w:r>
        <w:t xml:space="preserve">The jury found</w:t>
      </w:r>
      <w:r>
        <w:rPr>
          <w:rStyle w:val="Elision"/>
        </w:rPr>
        <w:t xml:space="preserve">[ … ]</w:t>
      </w:r>
      <w:r>
        <w:t xml:space="preserve"> </w:t>
      </w:r>
      <w:r>
        <w:t xml:space="preserve">that the net amount owed by Heyward to D'Agostino on both jobs was $63,988.36. Judgment against Heyward was rendered accordingly. Under a formula agreed to by the parties, it was determined that the amount due to D'Agostino on the Navy job was $40,771.46</w:t>
      </w:r>
      <w:r>
        <w:rPr>
          <w:rStyle w:val="Elision"/>
        </w:rPr>
        <w:t xml:space="preserve">[ … ]</w:t>
      </w:r>
      <w:r>
        <w:t xml:space="preserve">.</w:t>
      </w:r>
    </w:p>
    <w:p>
      <w:pPr>
        <w:pStyle w:val="CaseBody"/>
      </w:pPr>
      <w:r>
        <w:rPr>
          <w:rStyle w:val="Elision"/>
        </w:rPr>
        <w:t xml:space="preserve">[ … ]</w:t>
      </w:r>
    </w:p>
    <w:bookmarkEnd w:id="240"/>
    <w:bookmarkStart w:id="241" w:name="i.-1"/>
    <w:p>
      <w:pPr>
        <w:pStyle w:val="Heading2"/>
      </w:pPr>
      <w:r>
        <w:t xml:space="preserve">I.</w:t>
      </w:r>
    </w:p>
    <w:p>
      <w:pPr>
        <w:pStyle w:val="CaseBody"/>
      </w:pPr>
      <w:r>
        <w:t xml:space="preserve">Appellants' initial contention is that the District Court had no jurisdiction over the counterclaims on the Stelma job. They therefore contend that the Stelma claims must be dismissed and that since D'Agostino's claims on the Navy and Stelma jobs were presented to the jury as inseparable, the judgment below must be reversed.</w:t>
      </w:r>
    </w:p>
    <w:p>
      <w:pPr>
        <w:pStyle w:val="CaseBody"/>
      </w:pPr>
      <w:r>
        <w:t xml:space="preserve">Appellants urge that the Stelma counterclaims are not compulsory counterclaims over which the federal court acquired jurisdiction ancillary to the jurisdiction which it had over D'Agostino's Miller Act claim stated in the complaint. They say that these are permissive counterclaims over which the court had no ancillary jurisdiction and which lacked the required independent basis of federal jurisdiction.</w:t>
      </w:r>
    </w:p>
    <w:p>
      <w:pPr>
        <w:pStyle w:val="CaseBody"/>
      </w:pPr>
      <w:r>
        <w:t xml:space="preserve">This jurisdictional issue is raised for the first time in this Court. In the Court below appellants affirmatively urged that the Stelma counterclaims were compulsory. Nevertheless, it is well settled that lack of federal jurisdiction may be raised for the first time on appeal, even by a party who originally asserted that jurisdiction existed or by the Court sua sponte.</w:t>
      </w:r>
      <w:r>
        <w:t xml:space="preserve"> </w:t>
      </w:r>
      <w:r>
        <w:rPr>
          <w:rStyle w:val="Elision"/>
        </w:rPr>
        <w:t xml:space="preserve">[ … ]</w:t>
      </w:r>
      <w:r>
        <w:t xml:space="preserve">. We turn, then, to the jurisdictional issue.</w:t>
      </w:r>
    </w:p>
    <w:p>
      <w:pPr>
        <w:pStyle w:val="CaseBody"/>
      </w:pPr>
      <w:r>
        <w:t xml:space="preserve">It is apparent from the record that there is no independent basis of federal jurisdiction over the Stelma counterclaims. Both D'Agostino and Heyward are New York corporations with offices in New York. There is thus no diversity jurisdiction. Clearly there is no jurisdiction under the Miller Act over these counterclaims since the Stelma contract did not involve public work for the federal government.</w:t>
      </w:r>
    </w:p>
    <w:p>
      <w:pPr>
        <w:pStyle w:val="CaseBody"/>
      </w:pPr>
      <w:r>
        <w:t xml:space="preserve">The question is whether the Stelma counterclaims are compulsory or are permissive. Under the rule in this circuit, if they are permissive there is no Federal jurisdiction over them unless they rest on independent jurisdictional grounds.</w:t>
      </w:r>
      <w:r>
        <w:rPr>
          <w:rStyle w:val="Elision"/>
        </w:rPr>
        <w:t xml:space="preserve">[ … ]</w:t>
      </w:r>
      <w:r>
        <w:t xml:space="preserve"> </w:t>
      </w:r>
      <w:r>
        <w:t xml:space="preserve">On the other hand, if they are compulsory counterclaims, they are</w:t>
      </w:r>
      <w:r>
        <w:t xml:space="preserve"> </w:t>
      </w:r>
      <w:r>
        <w:rPr>
          <w:rStyle w:val="ReplacementText"/>
        </w:rPr>
        <w:t xml:space="preserve">supplemental</w:t>
      </w:r>
      <w:r>
        <w:t xml:space="preserve"> </w:t>
      </w:r>
      <w:r>
        <w:t xml:space="preserve">to the claim asserted in the complaint and no independent basis of Federal jurisdiction is required.</w:t>
      </w:r>
      <w:r>
        <w:rPr>
          <w:rStyle w:val="Elision"/>
        </w:rPr>
        <w:t xml:space="preserve">[ … ]</w:t>
      </w:r>
    </w:p>
    <w:p>
      <w:pPr>
        <w:pStyle w:val="CaseBody"/>
      </w:pPr>
      <w:r>
        <w:t xml:space="preserve">Under Rule 13(a) Fed.R.Civ.P. a counterclaim is compulsory "if it arises out of the transaction or occurrence that is the subject matter of the opposing party's claim." In United Artists Corp. v. Masterpiece Productions,</w:t>
      </w:r>
      <w:r>
        <w:t xml:space="preserve"> </w:t>
      </w:r>
      <w:r>
        <w:rPr>
          <w:iCs/>
          <w:i/>
        </w:rPr>
        <w:t xml:space="preserve">supra,</w:t>
      </w:r>
      <w:r>
        <w:t xml:space="preserve"> </w:t>
      </w:r>
      <w:r>
        <w:t xml:space="preserve">Chief Judge Clark said:</w:t>
      </w:r>
    </w:p>
    <w:p>
      <w:pPr>
        <w:pStyle w:val="BlockText"/>
      </w:pPr>
      <w:r>
        <w:t xml:space="preserve">In practice this criterion has been broadly interpreted to require not an absolute identity of factual backgrounds for the two claims, but only a logical relationship between them.</w:t>
      </w:r>
      <w:r>
        <w:t xml:space="preserve"> </w:t>
      </w:r>
      <w:r>
        <w:rPr>
          <w:rStyle w:val="Elision"/>
        </w:rPr>
        <w:t xml:space="preserve">[ … ]</w:t>
      </w:r>
      <w:r>
        <w:t xml:space="preserve"> </w:t>
      </w:r>
      <w:r>
        <w:t xml:space="preserve">"`Transaction' is a word of flexible meaning. It may comprehend a series of many occurrences, depending not so much upon the immediateness of their connection as upon their logical relationship."</w:t>
      </w:r>
      <w:r>
        <w:rPr>
          <w:rStyle w:val="Elision"/>
        </w:rPr>
        <w:t xml:space="preserve">[ … ]</w:t>
      </w:r>
    </w:p>
    <w:p>
      <w:pPr>
        <w:pStyle w:val="CaseBody"/>
      </w:pPr>
      <w:r>
        <w:rPr>
          <w:rStyle w:val="Elision"/>
        </w:rPr>
        <w:t xml:space="preserve">[ … ]</w:t>
      </w:r>
    </w:p>
    <w:p>
      <w:pPr>
        <w:pStyle w:val="CaseBody"/>
      </w:pPr>
      <w:r>
        <w:t xml:space="preserve">Thus "* * * courts should give the phrase `transaction or occurrence that is the subject matter' of the suit a broad realistic interpretation in the interest of avoiding a multiplicity of suits."</w:t>
      </w:r>
      <w:r>
        <w:t xml:space="preserve"> </w:t>
      </w:r>
      <w:r>
        <w:rPr>
          <w:rStyle w:val="Elision"/>
        </w:rPr>
        <w:t xml:space="preserve">[ … ]</w:t>
      </w:r>
      <w:r>
        <w:t xml:space="preserve">. As the Supreme Court said in</w:t>
      </w:r>
      <w:r>
        <w:t xml:space="preserve"> </w:t>
      </w:r>
      <w:r>
        <w:rPr>
          <w:iCs/>
          <w:i/>
        </w:rPr>
        <w:t xml:space="preserve">Pickard:</w:t>
      </w:r>
    </w:p>
    <w:p>
      <w:pPr>
        <w:pStyle w:val="BlockText"/>
      </w:pPr>
      <w:r>
        <w:t xml:space="preserve">The requirement that counterclaims arising out of the same transaction or occurrence as the opposing party's claim "shall" be stated in the pleadings was designed to prevent multiplicity of actions and to achieve resolution in a single lawsuit of all disputes arising out of common matters.</w:t>
      </w:r>
      <w:r>
        <w:t xml:space="preserve"> </w:t>
      </w:r>
      <w:r>
        <w:rPr>
          <w:rStyle w:val="Elision"/>
        </w:rPr>
        <w:t xml:space="preserve">[ … ]</w:t>
      </w:r>
    </w:p>
    <w:p>
      <w:pPr>
        <w:pStyle w:val="CaseBody"/>
      </w:pPr>
      <w:r>
        <w:t xml:space="preserve">In the case at bar the counterclaims were compulsory within the meaning of Rule 13(a). There was such a close and logical relationship between the claims on the Navy and Stelma jobs that the Stelma counterclaims arose out of the same "transaction or occurrence" as those terms are now broadly defined. Both subcontracts were entered into by the same parties for the same type of work and carried on during substantially the same period. Heyward had the right to terminate both subcontracts in the event of a breach by D'Agostino of either. Heyward also had the right to withhold monies due on one to apply</w:t>
      </w:r>
      <w:r>
        <w:t xml:space="preserve"> </w:t>
      </w:r>
      <w:r>
        <w:rPr>
          <w:rStyle w:val="Elision"/>
        </w:rPr>
        <w:t xml:space="preserve">[ … ]</w:t>
      </w:r>
      <w:r>
        <w:t xml:space="preserve"> </w:t>
      </w:r>
      <w:r>
        <w:t xml:space="preserve">against any damages suffered on the other. Progress payments made by Heyward were not allocated as between jobs and were made on a lump sum basis for both as though for a single account.</w:t>
      </w:r>
    </w:p>
    <w:p>
      <w:pPr>
        <w:pStyle w:val="CaseBody"/>
      </w:pPr>
      <w:r>
        <w:t xml:space="preserve">A single insurance policy covered both jobs. The letters of Heyward to D'Agostino of October 8 and 19, 1965 threatening termination and terminating both jobs, allegedly because of the cancellation by D'Agostino of this joint insurance coverage and failure to properly man both projects, treated both jobs together. These letters formed the basis of one of Heyward's major claims at the trial.</w:t>
      </w:r>
    </w:p>
    <w:p>
      <w:pPr>
        <w:pStyle w:val="CaseBody"/>
      </w:pPr>
      <w:r>
        <w:t xml:space="preserve">The controversy between the parties which gave rise to this litigation was with respect to both jobs and arose from occurrences affecting both. Indeed, it would seem to have been impossible for Heyward to have fully litigated the claims against it on the Navy job without including the Stelma job, because the payments it made to D'Agostino could not be allocated between the two jobs.</w:t>
      </w:r>
    </w:p>
    <w:p>
      <w:pPr>
        <w:pStyle w:val="CaseBody"/>
      </w:pPr>
      <w:r>
        <w:t xml:space="preserve">As the appellants themselves point out in their brief, the "Stelma and Navy claims were so interwoven at the trial that they are now absolutely incapable of separation." The proof as to payments and alleged defaults in payments was made without any differentiation between the two claims and neither of the parties was able to offer any evidence of apportionment. Finally, the evidence as to the breaches of contract claimed by the respective parties related in the main to both contracts rather than to one or the other.</w:t>
      </w:r>
    </w:p>
    <w:p>
      <w:pPr>
        <w:pStyle w:val="CaseBody"/>
      </w:pPr>
      <w:r>
        <w:t xml:space="preserve">The jurisdictional question so belatedly raised by the appellants must be viewed in light of the record as a whole. So viewed, it is plain that the Stelma counterclaims bare a logical and immediate relationship to the claims on the Navy job. Thus they arose out of the "transaction or occurrence which is the subject matter" of the suit instituted by D'Agostino on the Navy job and are compulsory counterclaims under Rule 13 (a). The Stelma counterclaims were thus ancillary to the claims asserted in the complaint over which the Federal Court had acquired jurisdiction under the Miller Act, and there is jurisdiction over them.</w:t>
      </w:r>
      <w:r>
        <w:t xml:space="preserve"> </w:t>
      </w:r>
      <w:r>
        <w:rPr>
          <w:rStyle w:val="Elision"/>
        </w:rPr>
        <w:t xml:space="preserve">[ … ]</w:t>
      </w:r>
    </w:p>
    <w:bookmarkEnd w:id="241"/>
    <w:bookmarkStart w:id="242" w:name="section-14"/>
    <w:p>
      <w:pPr>
        <w:pStyle w:val="Heading2"/>
      </w:pPr>
      <w:r>
        <w:rPr>
          <w:rStyle w:val="Elision"/>
        </w:rPr>
        <w:t xml:space="preserve">[ … ]</w:t>
      </w:r>
    </w:p>
    <w:bookmarkEnd w:id="242"/>
    <w:bookmarkStart w:id="243" w:name="friendly-circuit-judge-concurring."/>
    <w:p>
      <w:pPr>
        <w:pStyle w:val="Heading2"/>
      </w:pPr>
      <w:r>
        <w:t xml:space="preserve">FRIENDLY, Circuit Judge (concurring).</w:t>
      </w:r>
      <w:r>
        <w:rPr>
          <w:rStyle w:val="FootnoteReference"/>
        </w:rPr>
        <w:footnoteReference w:customMarkFollows="1" w:id="47"/>
        <w:t xml:space="preserve">*</w:t>
      </w:r>
    </w:p>
    <w:p>
      <w:pPr>
        <w:pStyle w:val="CaseBody"/>
      </w:pPr>
      <w:r>
        <w:t xml:space="preserve">I cannot agree that, as maintained in Part I of the majority opinion, the counterclaim relating to the Stelma job was compulsory under F.R.Civ.P. 13(a). Of course, it is tempting to stretch a point when a jurisdictional objection is so belatedly raised by the very party who clamored for the exercise of jurisdiction until the decision went against it. But we must consider the question as if Heyward had not pleaded the Stelma counterclaim and proceeded to sue D'Agostino in some other court for failure to perform that subcontract, and D'Agostino then claimed that Heyward's failure to bring the Stelma transaction into this Miller Act suit barred the later action. Despite the desirability of requiring that all claims which in fact arise "out of the transaction or occurrence that is the subject matter of the opposing party's claim" be litigated in a single action, courts must be wary of extending these words in a way that could cause unexpectedly harsh results.</w:t>
      </w:r>
    </w:p>
    <w:p>
      <w:pPr>
        <w:pStyle w:val="CaseBody"/>
      </w:pPr>
      <w:r>
        <w:t xml:space="preserve">Even on a liberal notion of "logical relation,"</w:t>
      </w:r>
      <w:r>
        <w:t xml:space="preserve"> </w:t>
      </w:r>
      <w:r>
        <w:rPr>
          <w:rStyle w:val="Elision"/>
        </w:rPr>
        <w:t xml:space="preserve">[ … ]</w:t>
      </w:r>
      <w:r>
        <w:t xml:space="preserve">I am unable to perceive how Heyward's claim for breach of the Stelma subcontract arose "out of the transaction or occurrence" to wit, the Navy subcontract, that was the subject matter of D'Agostino's Miller Act claim. Whatever historical interest there may be in the circumstances that the two subcontracts were entered into between the same parties for the same type of work and were carried on during substantially the same period, these facts seem to me to be lacking in legal significance. So likewise do D'Agostino's having furnished a single insurance policy to cover both jobs and Heyward's having cancelled the subcontracts in one letter rather than two. The boiler-plate in each subcontract, whereby "if one or more other contracts, now or hereafter, exist between the parties," a breach of any such contract by D'Agostino might, at Heyward's option, be considered a breach of the contract at issue and Heyward might terminate any or all contracts so breached and withhold moneys due on any contract and apply these to damages on any other, might meet the [1088] test if Heyward had availed itself of these rights, but it did not.</w:t>
      </w:r>
    </w:p>
    <w:p>
      <w:pPr>
        <w:pStyle w:val="CaseBody"/>
      </w:pPr>
      <w:r>
        <w:t xml:space="preserve">All that is left is that, as the trial proceeded, it turned out that some of Heyward's payments were not earmarked as between the two subcontracts. However, the determination whether a counterclaim is compulsory must be made at the pleading stage. The complaint was specific on how much Heyward owed on the Navy subcontract, and the counterclaims were equally so on how much D'Agostino owed for failure to complete this and how much it owed for failure to complete the Stelma subcontract. To say that the failure to earmark some payments made it impossible to try the claims separately ignores the law on application of payments. If Heyward did not specify the application of its payments, as it could, and D'Agostino had not made an application of them, as it could in default of specification by Heyward, the court would do this.</w:t>
      </w:r>
      <w:r>
        <w:t xml:space="preserve"> </w:t>
      </w:r>
      <w:r>
        <w:rPr>
          <w:rStyle w:val="Elision"/>
        </w:rPr>
        <w:t xml:space="preserve">[ … ]</w:t>
      </w:r>
    </w:p>
    <w:p>
      <w:pPr>
        <w:pStyle w:val="CaseBody"/>
      </w:pPr>
      <w:r>
        <w:rPr>
          <w:rStyle w:val="Elision"/>
        </w:rPr>
        <w:t xml:space="preserve">[ … ]</w:t>
      </w:r>
    </w:p>
    <w:p>
      <w:pPr>
        <w:pStyle w:val="CaseBody"/>
      </w:pPr>
      <w:r>
        <w:rPr>
          <w:rStyle w:val="Elision"/>
        </w:rPr>
        <w:t xml:space="preserve">[ … ]</w:t>
      </w:r>
      <w:r>
        <w:t xml:space="preserve">,</w:t>
      </w:r>
      <w:r>
        <w:t xml:space="preserve"> </w:t>
      </w:r>
      <w:r>
        <w:rPr>
          <w:rStyle w:val="Elision"/>
        </w:rPr>
        <w:t xml:space="preserve">[ … ]</w:t>
      </w:r>
    </w:p>
    <w:p>
      <w:pPr>
        <w:pStyle w:val="CaseBody"/>
      </w:pPr>
      <w:hyperlink w:anchor="X3255b35f5a1b90793913c0d3b23fb44338270bb">
        <w:r>
          <w:rPr>
            <w:rStyle w:val="Elision"/>
          </w:rPr>
          <w:t xml:space="preserve">[ … ]</w:t>
        </w:r>
      </w:hyperlink>
    </w:p>
    <w:bookmarkEnd w:id="243"/>
    <w:p>
      <w:pPr>
        <w:pStyle w:val="NodeEnd"/>
      </w:pPr>
      <w:r>
        <w:t xml:space="preserve"> </w:t>
      </w:r>
    </w:p>
    <w:p>
      <w:pPr>
        <w:pStyle w:val="NodeStart"/>
      </w:pPr>
      <w:r>
        <w:t xml:space="preserve"> </w:t>
      </w:r>
    </w:p>
    <w:p>
      <w:pPr>
        <w:pStyle w:val="HeadSeparator"/>
      </w:pPr>
      <w:r>
        <w:t xml:space="preserve"> </w:t>
      </w:r>
    </w:p>
    <w:bookmarkStart w:id="224" w:name="_auto_toc_224"/>
    <w:bookmarkEnd w:id="224"/>
    <w:p>
      <w:pPr>
        <w:pStyle w:val="ResourceNumber"/>
      </w:pPr>
      <w:r>
        <w:t xml:space="preserve">19.4</w:t>
      </w:r>
    </w:p>
    <w:p>
      <w:pPr>
        <w:pStyle w:val="ResourceTitle"/>
      </w:pPr>
      <w:r>
        <w:t xml:space="preserve">Notes following Heyward-Robinson</w:t>
      </w:r>
    </w:p>
    <w:p>
      <w:pPr>
        <w:pStyle w:val="HeadEnd"/>
      </w:pPr>
      <w:r>
        <w:t xml:space="preserve"> </w:t>
      </w:r>
    </w:p>
    <w:p>
      <w:pPr>
        <w:numPr>
          <w:ilvl w:val="0"/>
          <w:numId w:val="1168"/>
        </w:numPr>
      </w:pPr>
      <w:r>
        <w:t xml:space="preserve">Is Rule 13(a)’s requirement that a party assert a counterclaim overly harsh? Is there another standard that could be used?</w:t>
      </w:r>
    </w:p>
    <w:p>
      <w:pPr>
        <w:numPr>
          <w:ilvl w:val="0"/>
          <w:numId w:val="1168"/>
        </w:numPr>
      </w:pPr>
      <w:r>
        <w:t xml:space="preserve">A key inquiry under Rule 13(a) is what qualifies as a “transaction or occurrence.” A classic test is outlined in Judge Friendly’s concurring opinion in</w:t>
      </w:r>
      <w:r>
        <w:t xml:space="preserve"> </w:t>
      </w:r>
      <w:r>
        <w:rPr>
          <w:iCs/>
          <w:i/>
        </w:rPr>
        <w:t xml:space="preserve">Moore v. New York Cotton Exchange</w:t>
      </w:r>
      <w:r>
        <w:t xml:space="preserve">,</w:t>
      </w:r>
      <w:r>
        <w:t xml:space="preserve"> </w:t>
      </w:r>
      <w:r>
        <w:t xml:space="preserve">296 F. 61 (1925), aff'd,</w:t>
      </w:r>
      <w:r>
        <w:t xml:space="preserve"> </w:t>
      </w:r>
      <w:r>
        <w:t xml:space="preserve">270 U.S. 593 (1926). Friendly refers to the event in question as “an important part of the transaction constituting the subject-matter of the counterclaim.” He continues: “It is the one circumstance without which neither party would have found it necessary to speak relief. Essential facts alleged by appellant enter into and constitute in part the cause of action set forth in the counterclaim.” Under this test, the counterclaim need not be “precisely identical” to the original claim, and it can introduce new facts and allegations. Is this similar to the test under</w:t>
      </w:r>
      <w:r>
        <w:t xml:space="preserve"> </w:t>
      </w:r>
      <w:r>
        <w:rPr>
          <w:iCs/>
          <w:i/>
        </w:rPr>
        <w:t xml:space="preserve">Gibbs</w:t>
      </w:r>
      <w:r>
        <w:t xml:space="preserve"> </w:t>
      </w:r>
      <w:r>
        <w:t xml:space="preserve">for asserting supplemental jurisdiction?</w:t>
      </w:r>
    </w:p>
    <w:p>
      <w:pPr>
        <w:numPr>
          <w:ilvl w:val="0"/>
          <w:numId w:val="1168"/>
        </w:numPr>
      </w:pPr>
      <w:r>
        <w:t xml:space="preserve">Four related but different tests appear to have risen out of judicial decisions for determining whether a claim arises out of the same “transaction or occurrence” for Rule 13(a)’s purposes:</w:t>
      </w:r>
    </w:p>
    <w:p>
      <w:pPr>
        <w:numPr>
          <w:ilvl w:val="1"/>
          <w:numId w:val="1169"/>
        </w:numPr>
      </w:pPr>
      <w:r>
        <w:t xml:space="preserve">Are the issues of fact and law raised by the claim and counterclaim substantially similar?</w:t>
      </w:r>
    </w:p>
    <w:p>
      <w:pPr>
        <w:numPr>
          <w:ilvl w:val="1"/>
          <w:numId w:val="1169"/>
        </w:numPr>
      </w:pPr>
      <w:r>
        <w:t xml:space="preserve">Would claim preclusion bar a subsequent suit on the defendant’s counterclaim in the absence of Rule 13(a)’s compulsory counterclaim rule? (This "test" is either pointless or circular because, as we will learn next week, those jurisdictions who would have applied claim preclusion to extinguish counterclaims in the absence of a Rule 13 analog would have done so only if the counterclaim arose from the same transaction or occurrence as the original claim.)</w:t>
      </w:r>
    </w:p>
    <w:p>
      <w:pPr>
        <w:numPr>
          <w:ilvl w:val="1"/>
          <w:numId w:val="1169"/>
        </w:numPr>
      </w:pPr>
      <w:r>
        <w:t xml:space="preserve">Will the same evidence be used to refute or support both the claim and counterclaim?</w:t>
      </w:r>
    </w:p>
    <w:p>
      <w:pPr>
        <w:numPr>
          <w:ilvl w:val="1"/>
          <w:numId w:val="1169"/>
        </w:numPr>
      </w:pPr>
      <w:r>
        <w:t xml:space="preserve">Is there a logical relation between the claim and counterclaim?</w:t>
      </w:r>
    </w:p>
    <w:p>
      <w:pPr>
        <w:numPr>
          <w:ilvl w:val="0"/>
          <w:numId w:val="1168"/>
        </w:numPr>
      </w:pPr>
      <w:r>
        <w:t xml:space="preserve">Prior to 28 U.S.C. § 1367, in some jurisdictions, a compulsory counterclaim fell under ancillary jurisdiction and, thus, did not require subject matter jurisdiction independent of the initial claim. In some jurisdictions, a permissive counterclaim, however, did require independent subject matter jurisdiction. Were the compulsory counterclaim rule and § 1367 created for similar reasons? After § 1367’s enactment, some circuits have held that supplemental jurisdiction grants subject matter jurisdiction over any counterclaim, either permissive or compulsory. Some, in rulings I find puzzling, have held that a party may not invoke 1367 to support subject matter jurisdiction over counterclaims. We will assume for the purposes of this class that the latter line of cases are wrong, so that you may apply section 1367 to compulsory or permissive counterclaims (recalling that, as we discussed very briefly in Class 3, the phrase "case or controversy" in section 1367 is likely broader than "transaction or occurrence").</w:t>
      </w:r>
    </w:p>
    <w:p>
      <w:pPr>
        <w:pStyle w:val="NodeEnd"/>
      </w:pPr>
      <w:r>
        <w:t xml:space="preserve"> </w:t>
      </w:r>
    </w:p>
    <w:p>
      <w:pPr>
        <w:pStyle w:val="NodeStart"/>
      </w:pPr>
      <w:r>
        <w:t xml:space="preserve"> </w:t>
      </w:r>
    </w:p>
    <w:p>
      <w:pPr>
        <w:pStyle w:val="HeadSeparator"/>
      </w:pPr>
      <w:r>
        <w:t xml:space="preserve"> </w:t>
      </w:r>
    </w:p>
    <w:bookmarkStart w:id="225" w:name="_auto_toc_225"/>
    <w:bookmarkEnd w:id="225"/>
    <w:p>
      <w:pPr>
        <w:pStyle w:val="ResourceNumber"/>
      </w:pPr>
      <w:r>
        <w:t xml:space="preserve">19.5</w:t>
      </w:r>
    </w:p>
    <w:p>
      <w:pPr>
        <w:pStyle w:val="ResourceTitle"/>
      </w:pPr>
      <w:r>
        <w:t xml:space="preserve">Note on Consequences of Failure to Assert a Counterclaim</w:t>
      </w:r>
    </w:p>
    <w:p>
      <w:pPr>
        <w:pStyle w:val="HeadEnd"/>
      </w:pPr>
      <w:r>
        <w:t xml:space="preserve"> </w:t>
      </w:r>
    </w:p>
    <w:p>
      <w:pPr>
        <w:pStyle w:val="BodyText"/>
      </w:pPr>
      <w:r>
        <w:t xml:space="preserve">What happens when a defendant fails to assert a compulsory counterclaim? Everyone agrees that it cannot be raised in a subsequent case, though the source of this rule is up for debate. What do you think the source might be – preclusion? Waiver? Estoppel? Rule 13 itself?</w:t>
      </w:r>
    </w:p>
    <w:p>
      <w:pPr>
        <w:pStyle w:val="BodyText"/>
      </w:pPr>
      <w:r>
        <w:t xml:space="preserve">What should happen if a defendant fails to respond in any way (defaults) in a case in which it has a compulsory counterclaim? Should your conclusion change based on the various doctrinal requirements of notice and opportunity to be heard?</w:t>
      </w:r>
    </w:p>
    <w:p>
      <w:pPr>
        <w:pStyle w:val="BodyText"/>
      </w:pPr>
      <w:r>
        <w:t xml:space="preserve">Could a defendant who has failed to assert a compulsory counterclaim assert it later in</w:t>
      </w:r>
      <w:r>
        <w:t xml:space="preserve"> </w:t>
      </w:r>
      <w:r>
        <w:rPr>
          <w:iCs/>
          <w:i/>
        </w:rPr>
        <w:t xml:space="preserve">state</w:t>
      </w:r>
      <w:r>
        <w:t xml:space="preserve"> </w:t>
      </w:r>
      <w:r>
        <w:t xml:space="preserve">court?</w:t>
      </w:r>
    </w:p>
    <w:p>
      <w:pPr>
        <w:pStyle w:val="NodeEnd"/>
      </w:pPr>
      <w:r>
        <w:t xml:space="preserve"> </w:t>
      </w:r>
    </w:p>
    <w:p>
      <w:pPr>
        <w:pStyle w:val="NodeStart"/>
      </w:pPr>
      <w:r>
        <w:t xml:space="preserve"> </w:t>
      </w:r>
    </w:p>
    <w:p>
      <w:pPr>
        <w:pStyle w:val="HeadSeparator"/>
      </w:pPr>
      <w:r>
        <w:t xml:space="preserve"> </w:t>
      </w:r>
    </w:p>
    <w:bookmarkStart w:id="226" w:name="_auto_toc_226"/>
    <w:bookmarkEnd w:id="226"/>
    <w:p>
      <w:pPr>
        <w:pStyle w:val="ResourceNumber"/>
      </w:pPr>
      <w:r>
        <w:t xml:space="preserve">19.6</w:t>
      </w:r>
    </w:p>
    <w:p>
      <w:pPr>
        <w:pStyle w:val="ResourceTitle"/>
      </w:pPr>
      <w:r>
        <w:t xml:space="preserve">Smuck v. Hobson</w:t>
      </w:r>
    </w:p>
    <w:p>
      <w:pPr>
        <w:pStyle w:val="HeadFieldSeparator"/>
      </w:pPr>
      <w:r>
        <w:t xml:space="preserve"> </w:t>
      </w:r>
    </w:p>
    <w:p>
      <w:pPr>
        <w:pStyle w:val="ResourceHeadnote"/>
      </w:pPr>
      <w:r>
        <w:t xml:space="preserve">FRCP 24 governs intervention, which allows a third party to insert itself into a lawsuit. Originally seen in courts of admiralty, intervenors can join a lawsuit (under certain conditions) to assert their own interest in the proceedings. Though courts typically were wary of intervenors, who could, in many cases, have brought their own lawsuit, the growing complexity of litigation, along with an increasing number of cases mixing private and public interests, led to the adoption of Rule 24 and the broadening of the scope of intervention. See generally, David L. Shapiro,</w:t>
      </w:r>
      <w:r>
        <w:t xml:space="preserve"> </w:t>
      </w:r>
      <w:r>
        <w:rPr>
          <w:iCs/>
          <w:i/>
        </w:rPr>
        <w:t xml:space="preserve">Some Thoughts on Intervention Before Courts, Agencies, and Arbitrators</w:t>
      </w:r>
      <w:r>
        <w:t xml:space="preserve">, 81 Harv. L. Rev. 721 (1968).</w:t>
      </w:r>
    </w:p>
    <w:p>
      <w:pPr>
        <w:pStyle w:val="HeadEnd"/>
      </w:pPr>
      <w:r>
        <w:t xml:space="preserve"> </w:t>
      </w:r>
    </w:p>
    <w:p>
      <w:pPr>
        <w:pStyle w:val="CaseHeader"/>
      </w:pPr>
      <w:r>
        <w:t xml:space="preserve">United States Court of Appeals for the District of Columbia Circuit</w:t>
      </w:r>
    </w:p>
    <w:p>
      <w:pPr>
        <w:pStyle w:val="CaseHeader"/>
      </w:pPr>
      <w:r>
        <w:t xml:space="preserve">408 F.2d 175</w:t>
      </w:r>
    </w:p>
    <w:p>
      <w:pPr>
        <w:pStyle w:val="CaseHeader"/>
      </w:pPr>
      <w:r>
        <w:t xml:space="preserve">Nos. 21167, 21168</w:t>
      </w:r>
    </w:p>
    <w:p>
      <w:pPr>
        <w:pStyle w:val="CaseHeader"/>
      </w:pPr>
      <w:r>
        <w:t xml:space="preserve">1969-01-21</w:t>
      </w:r>
    </w:p>
    <w:p>
      <w:pPr>
        <w:pStyle w:val="CaseBody"/>
      </w:pPr>
      <w:r>
        <w:rPr>
          <w:rStyle w:val="Elision"/>
        </w:rPr>
        <w:t xml:space="preserve">[ … ]</w:t>
      </w:r>
    </w:p>
    <w:p>
      <w:pPr>
        <w:pStyle w:val="CaseBody"/>
      </w:pPr>
      <w:r>
        <w:t xml:space="preserve">BAZELON, Chief Judge, joined by LEVENTHAL and ROBINSON, Circuit Juáges, in Part I; and by McGOWAN, LEVENTHAL and ROBINSON, Circuit Judges, in Parts II, III, and IV:</w:t>
      </w:r>
    </w:p>
    <w:p>
      <w:pPr>
        <w:pStyle w:val="CaseBody"/>
      </w:pPr>
      <w:r>
        <w:t xml:space="preserve">These appeals challenge the findings of the trial court that the Board of Education has in a variety of ways violated the Constitution in administering the District of Columbia schools.</w:t>
      </w:r>
      <w:hyperlink w:anchor="Xc7dfc69e92dba308c842f86b908c9fd3390485b">
        <w:r>
          <w:rPr>
            <w:rStyle w:val="Elision"/>
          </w:rPr>
          <w:t xml:space="preserve">[ … ]</w:t>
        </w:r>
      </w:hyperlink>
      <w:r>
        <w:t xml:space="preserve"> </w:t>
      </w:r>
      <w:r>
        <w:t xml:space="preserve">Among the facts that distinguish this case from the normal grist of appellate courts is the absence of the Board of Education as an appellant. Instead, the would-be appellants are Dr. Carl F. Hansen, the resigned superintendent of District schools, who appeals in his former official capacity and as an individual; Carl C. Smuck, a member of the Board of</w:t>
      </w:r>
      <w:r>
        <w:rPr>
          <w:rStyle w:val="Elision"/>
        </w:rPr>
        <w:t xml:space="preserve">[ … ]</w:t>
      </w:r>
      <w:r>
        <w:t xml:space="preserve"> </w:t>
      </w:r>
      <w:r>
        <w:t xml:space="preserve">Education, who appeals in that capacity; and the parents of certain school children who have attempted to intervene in order to register on appeal their “dissent” from the order below.</w:t>
      </w:r>
    </w:p>
    <w:p>
      <w:pPr>
        <w:pStyle w:val="CaseBody"/>
      </w:pPr>
      <w:r>
        <w:t xml:space="preserve">The school board’s decision not to appeal inevitably adds a quality of artificiality to any proceedings in this Court. But the importance of the constitutional issues as stake requires an examination of whether these appellants should, despite the absence of the protagonist at trial, be given their day in a higher court. Moreover, our reluctance to review an order unchallenged by the principal defendant below is in some measure tempered by the fact that the present appointed school board has been superseded by a new Board of Education elected last fall.</w:t>
      </w:r>
      <w:hyperlink w:anchor="Xfe1d9d758c239e9e2ab1f8fc9f73e960d3c6b84">
        <w:r>
          <w:rPr>
            <w:rStyle w:val="Elision"/>
          </w:rPr>
          <w:t xml:space="preserve">[ … ]</w:t>
        </w:r>
      </w:hyperlink>
      <w:r>
        <w:t xml:space="preserve">The most fundamental considerations demand that this new board should have the fullest discretion permitted by the Constitution to reshape educational policy within the District. This Court cannot ignore the importance of assuring that the new school board should not be strait jacketed by. an order not rooted in constitutional requirements. We conclude that the parents were prop</w:t>
      </w:r>
      <w:r>
        <w:rPr>
          <w:rStyle w:val="Elision"/>
        </w:rPr>
        <w:t xml:space="preserve">[ … ]</w:t>
      </w:r>
      <w:r>
        <w:t xml:space="preserve">erly allowed to intervene of right in order to appeal those provisions of the decree which curtail the freedom of the school board to exercise its discretion in deciding upon educational policy.</w:t>
      </w:r>
    </w:p>
    <w:p>
      <w:pPr>
        <w:pStyle w:val="CaseBody"/>
      </w:pPr>
      <w:r>
        <w:rPr>
          <w:rStyle w:val="Elision"/>
        </w:rPr>
        <w:t xml:space="preserve">[ … ]</w:t>
      </w:r>
    </w:p>
    <w:p>
      <w:pPr>
        <w:pStyle w:val="CaseBody"/>
      </w:pPr>
      <w:r>
        <w:t xml:space="preserve">I.</w:t>
      </w:r>
      <w:r>
        <w:t xml:space="preserve"> </w:t>
      </w:r>
      <w:r>
        <w:rPr>
          <w:rStyle w:val="ReplacementText"/>
        </w:rPr>
        <w:t xml:space="preserve">The Motions to Intervene</w:t>
      </w:r>
    </w:p>
    <w:p>
      <w:pPr>
        <w:pStyle w:val="CaseBody"/>
      </w:pPr>
      <w:r>
        <w:t xml:space="preserve">The Board of Education, as a corollary of its decision to accept the order below, directed Dr. Hansen not to appeal. Nevertheless, after his resignation was submitted and accepted by the board, Dr. Hansen noted his appeal as Superintendent of Schools. Whatever standing he might have possessed to appeal as a named defendant in the original suit, however, disappeared when Dr. Hansen left his official position.</w:t>
      </w:r>
      <w:hyperlink w:anchor="X0c8ff832d82516523f306040575c0750c0a3c74">
        <w:r>
          <w:rPr>
            <w:rStyle w:val="Elision"/>
          </w:rPr>
          <w:t xml:space="preserve">[ … ]</w:t>
        </w:r>
      </w:hyperlink>
      <w:r>
        <w:t xml:space="preserve">Presumably because he was aware of this, he subsequently moved to intervene under Rule 24(a) of the Rules of Civil Procedure in order to appeal as an individual. Although the trial judge found several reasons why such intervention should be denied, the motion was granted “in order to give the Court of Appeals an opportunity to pass on the intervention questions raised here</w:t>
      </w:r>
      <w:r>
        <w:t xml:space="preserve"> </w:t>
      </w:r>
      <w:r>
        <w:rPr>
          <w:rStyle w:val="Elision"/>
        </w:rPr>
        <w:t xml:space="preserve">[ … ]</w:t>
      </w:r>
      <w:r>
        <w:rPr>
          <w:rStyle w:val="Elision"/>
        </w:rPr>
        <w:t xml:space="preserve">[ … ]</w:t>
      </w:r>
      <w:r>
        <w:t xml:space="preserve">. And while it may or may not be true that but for the decision Dr. Hansen would still be Superintendent of Schools, the fact is that he did resign. He does not claim that a reversal or modification of the order by this Court would make his return to office likely. Consequently, the supposed impact of the decision upon his tenure is irrelevant insofar as an appeal is concerned, since a reversal would have no effect. Dr. Hansen thus has no “interest relating to the property or transaction which is the subject of the action” sufficient for Rule 24(a), and intervention is therefore unwarranted.</w:t>
      </w:r>
    </w:p>
    <w:p>
      <w:pPr>
        <w:pStyle w:val="CaseBody"/>
      </w:pPr>
      <w:r>
        <w:t xml:space="preserve">We also find that Mr. Smuck has no appealable interest as a member of the Board of Education. While he was in that capacity a named defendant, the Board of Education was undeniably the principal figure and could have been sued .alone as a collective entity. Appellant Smuck had a fair opportunity to participate in its defense, and in the decision not to appeal. Having done so, he has no separate interest as an individual in the litigation.</w:t>
      </w:r>
      <w:hyperlink w:anchor="X7f0ce389703edde933ab6f00042eb7707eaf4fd">
        <w:r>
          <w:rPr>
            <w:rStyle w:val="Elision"/>
          </w:rPr>
          <w:t xml:space="preserve">[ … ]</w:t>
        </w:r>
      </w:hyperlink>
      <w:r>
        <w:t xml:space="preserve">The order directs the board to take certain actions. But since its decisions are made by vote as a collective whole, there is no apparent way in which Smuck as an individual could violate the decree and thereby become subject to enforcement proceedings.</w:t>
      </w:r>
    </w:p>
    <w:p>
      <w:pPr>
        <w:pStyle w:val="CaseBody"/>
      </w:pPr>
      <w:r>
        <w:t xml:space="preserve">The motion to intervene by the parents presents a more difficult problem requiring a correspondingly more detailed examination of the requirements for intervention of right. As amended in 1966, Rule 24(a) (2) permits such intervention</w:t>
      </w:r>
    </w:p>
    <w:p>
      <w:pPr>
        <w:pStyle w:val="BlockText"/>
      </w:pPr>
      <w:r>
        <w:t xml:space="preserve">when the applicant claims an interest relating to the property or transaction which is the subject of the action and he is so situated that the disposition of the action may as a practical matter impair or impede his ability to protect that interest, unless the applicant’s interest is adequately represented by existing parties.</w:t>
      </w:r>
    </w:p>
    <w:p>
      <w:pPr>
        <w:pStyle w:val="CaseBody"/>
      </w:pPr>
      <w:r>
        <w:rPr>
          <w:rStyle w:val="Elision"/>
        </w:rPr>
        <w:t xml:space="preserve">[ … ]</w:t>
      </w:r>
      <w:r>
        <w:t xml:space="preserve"> </w:t>
      </w:r>
      <w:r>
        <w:rPr>
          <w:rStyle w:val="Elision"/>
        </w:rPr>
        <w:t xml:space="preserve">[ … ]</w:t>
      </w:r>
      <w:r>
        <w:t xml:space="preserve"> </w:t>
      </w:r>
      <w:r>
        <w:rPr>
          <w:rStyle w:val="Elision"/>
        </w:rPr>
        <w:t xml:space="preserve">[ … ]</w:t>
      </w:r>
    </w:p>
    <w:p>
      <w:pPr>
        <w:pStyle w:val="CaseBody"/>
      </w:pPr>
      <w:r>
        <w:t xml:space="preserve">The effort to extract substance from the conclusory phrase “interest” or “</w:t>
      </w:r>
      <w:r>
        <w:rPr>
          <w:rStyle w:val="ReplacementText"/>
        </w:rPr>
        <w:t xml:space="preserve">legally</w:t>
      </w:r>
      <w:r>
        <w:t xml:space="preserve"> </w:t>
      </w:r>
      <w:r>
        <w:t xml:space="preserve">protectable interest” is of limited promise. Parents unquestionably have a sufficient “interest” in the education of their children to justify the initiation of a lawsuit in appropriate circumstances</w:t>
      </w:r>
      <w:hyperlink w:anchor="Xa049d52f9ffa1e8e687e2f3c4bdfc2b9565f787">
        <w:r>
          <w:rPr>
            <w:rStyle w:val="Elision"/>
          </w:rPr>
          <w:t xml:space="preserve">[ … ]</w:t>
        </w:r>
      </w:hyperlink>
      <w:r>
        <w:t xml:space="preserve">, as indeed was the case for the plaintiff-appellee parents here. But in the context of intervention</w:t>
      </w:r>
      <w:r>
        <w:t xml:space="preserve"> </w:t>
      </w:r>
      <w:r>
        <w:rPr>
          <w:rStyle w:val="Elision"/>
        </w:rPr>
        <w:t xml:space="preserve">[ … ]</w:t>
      </w:r>
      <w:r>
        <w:t xml:space="preserve">the question is not whether a lawsuit should be begun, but whether already initiated litigation should be extended to include additional parties.</w:t>
      </w:r>
      <w:r>
        <w:rPr>
          <w:rStyle w:val="Elision"/>
        </w:rPr>
        <w:t xml:space="preserve">[ … ]</w:t>
      </w:r>
      <w:r>
        <w:t xml:space="preserve"> </w:t>
      </w:r>
      <w:r>
        <w:t xml:space="preserve">The 1966 amendments to Rule 24(a) have facilitated this, the true inquiry, by eliminating the temptation or need for tangential expeditions in search of “property” or someone “bound by a judgment.” It would be unfortunate to allow the inquiry to be led once again astray by a myopic fixation upon “interest.” Rather, as Judge Leventhal recently concluded for this Court, “[A] more instructive approach is to let our construction be guided by the policies behind the ‘interest’ requirement. * * * [T]he ‘interest’ test is primarily a practical guide to disposing of lawsuits by involving as many apparently concerned persons as is compatible with efficiency and due process.”</w:t>
      </w:r>
      <w:hyperlink w:anchor="Xf83d017d38ad90f753185b9b7c6b539debd1207">
        <w:r>
          <w:rPr>
            <w:rStyle w:val="Elision"/>
          </w:rPr>
          <w:t xml:space="preserve">[ … ]</w:t>
        </w:r>
      </w:hyperlink>
    </w:p>
    <w:p>
      <w:pPr>
        <w:pStyle w:val="CaseBody"/>
      </w:pPr>
      <w:r>
        <w:t xml:space="preserve">The decision</w:t>
      </w:r>
      <w:r>
        <w:rPr>
          <w:rStyle w:val="Elision"/>
        </w:rPr>
        <w:t xml:space="preserve">[ … ]</w:t>
      </w:r>
      <w:r>
        <w:t xml:space="preserve"> </w:t>
      </w:r>
      <w:r>
        <w:t xml:space="preserve">whether intervention of right is warranted thus involves an accommodation between two potentially conflicting</w:t>
      </w:r>
      <w:r>
        <w:t xml:space="preserve"> </w:t>
      </w:r>
      <w:r>
        <w:rPr>
          <w:rStyle w:val="ReplacementText"/>
          <w:iCs/>
          <w:i/>
        </w:rPr>
        <w:t xml:space="preserve">goals: to</w:t>
      </w:r>
      <w:r>
        <w:t xml:space="preserve"> </w:t>
      </w:r>
      <w:r>
        <w:t xml:space="preserve">achieve judicial</w:t>
      </w:r>
      <w:r>
        <w:t xml:space="preserve"> </w:t>
      </w:r>
      <w:r>
        <w:rPr>
          <w:rStyle w:val="ReplacementText"/>
        </w:rPr>
        <w:t xml:space="preserve">of</w:t>
      </w:r>
      <w:r>
        <w:t xml:space="preserve"> </w:t>
      </w:r>
      <w:r>
        <w:t xml:space="preserve">economies of scale by resolving related issues in a single lawsuit, ándito prevent the single lawsuit from becoming fruitlessly complex or unending. Since this •task will depend upon the contours of the particular controversy, general rules and past decisions cannot provide</w:t>
      </w:r>
      <w:r>
        <w:t xml:space="preserve"> </w:t>
      </w:r>
      <w:r>
        <w:rPr>
          <w:iCs/>
          <w:i/>
        </w:rPr>
        <w:t xml:space="preserve">uni-''</w:t>
      </w:r>
      <w:r>
        <w:t xml:space="preserve"> </w:t>
      </w:r>
      <w:r>
        <w:t xml:space="preserve">formly dependable guides.</w:t>
      </w:r>
      <w:r>
        <w:rPr>
          <w:rStyle w:val="FootnoteReference"/>
        </w:rPr>
        <w:footnoteReference w:customMarkFollows="1" w:id="257"/>
        <w:t xml:space="preserve">13</w:t>
      </w:r>
      <w:r>
        <w:t xml:space="preserve"> </w:t>
      </w:r>
      <w:r>
        <w:t xml:space="preserve">The Supreme Court, in its only full-dress examination of Rule 24(a) since the 1966 amendments, found that a gas distributor was entitled to intervention of right although its only “interest” was the economic harm it claimed would follow from an allegedly inadequate plan for divestiture approved by the Government in an antitrust proceeding.</w:t>
      </w:r>
      <w:r>
        <w:t xml:space="preserve"> </w:t>
      </w:r>
      <w:r>
        <w:t xml:space="preserve">While conceding that the Court’s opinion granting intervention in</w:t>
      </w:r>
      <w:r>
        <w:t xml:space="preserve"> </w:t>
      </w:r>
      <w:r>
        <w:rPr>
          <w:rStyle w:val="ReplacementText"/>
        </w:rPr>
        <w:t xml:space="preserve">that case</w:t>
      </w:r>
      <w:r>
        <w:t xml:space="preserve">“is certainly susceptible of a very-, broad reading,”</w:t>
      </w:r>
      <w:r>
        <w:rPr>
          <w:rStyle w:val="Elision"/>
        </w:rPr>
        <w:t xml:space="preserve">[ … ]</w:t>
      </w:r>
      <w:r>
        <w:t xml:space="preserve"> </w:t>
      </w:r>
      <w:r>
        <w:t xml:space="preserve">there is no apparent reason why an “economic interest” should always be necessary to justify intervention. The goal of “disposing of lawsuits by involving as many apparently concerned persons as is compatible with efficiency and due process” may in certain circumstances be met by allowing parents whose only “interest” is the education of their children to intervene. In determining whether such circumstances are present, the first requirement of Rule 24(a) (2), that of an “interest” in the transaction, may be a less useful point of departure than the second and third requirements, that the applicant may be impeded in protecting his interest by the action and that his interest is not adequately represented by others.</w:t>
      </w:r>
    </w:p>
    <w:p>
      <w:pPr>
        <w:pStyle w:val="CaseBody"/>
      </w:pPr>
      <w:r>
        <w:t xml:space="preserve">This does not imply that the need for an “interest” in the controversy should or can be read out of the rule. But the requirement should be viewed as a prerequisite rather than relied upon as a determinative criterion for intervention.</w:t>
      </w:r>
      <w:r>
        <w:t xml:space="preserve"> </w:t>
      </w:r>
      <w:r>
        <w:rPr>
          <w:rStyle w:val="Elision"/>
        </w:rPr>
        <w:t xml:space="preserve">[ … ]</w:t>
      </w:r>
      <w:r>
        <w:t xml:space="preserve">If barriers are needed to limit extension of the right to intervene, the criteria , of practical harm to the applicant and the adequacy of representation by others are better suited to the task. If those requirements are met, the nature of his “interest” may play a role in determining the sort of intervention which should be allowed — whether, for example, he should be permitted to contest all issues, and whether he should enjoy all the prerogatives of a party litigant.</w:t>
      </w:r>
      <w:hyperlink w:anchor="Xae1b4a68cbed0be71e44a28925e02508ad9c283">
        <w:r>
          <w:rPr>
            <w:rStyle w:val="Elision"/>
          </w:rPr>
          <w:t xml:space="preserve">[ … ]</w:t>
        </w:r>
      </w:hyperlink>
    </w:p>
    <w:p>
      <w:pPr>
        <w:pStyle w:val="CaseBody"/>
      </w:pPr>
      <w:r>
        <w:t xml:space="preserve">Both courts and legislatures have recognized as appropriate the concern for their children’s welfare which the parents here seek to protect by intervention.</w:t>
      </w:r>
      <w:hyperlink w:anchor="X9754063ce8cb75cf9d3f7377df89d68850477e6">
        <w:r>
          <w:rPr>
            <w:rStyle w:val="Elision"/>
          </w:rPr>
          <w:t xml:space="preserve">[ … ]</w:t>
        </w:r>
      </w:hyperlink>
      <w:r>
        <w:t xml:space="preserve">While the artificiality of an appeal without the Board of Education cannot be ignored, neither can the importance of the constitutional issues decided below. The relevance of substantial and unsettled questions of law has been recognized in allowing intervention to perfect an appeal.</w:t>
      </w:r>
      <w:hyperlink w:anchor="Xf28a535a2e9a1bb27be07fc3af5324486ddcdcc">
        <w:r>
          <w:rPr>
            <w:rStyle w:val="Elision"/>
          </w:rPr>
          <w:t xml:space="preserve">[ … ]</w:t>
        </w:r>
      </w:hyperlink>
      <w:r>
        <w:t xml:space="preserve"> </w:t>
      </w:r>
      <w:r>
        <w:rPr>
          <w:rStyle w:val="Elision"/>
        </w:rPr>
        <w:t xml:space="preserve">[ … ]</w:t>
      </w:r>
      <w:r>
        <w:t xml:space="preserve"> </w:t>
      </w:r>
      <w:r>
        <w:t xml:space="preserve">We conclude that the interests asserted by the intervenors are sufficient to justify an examination of whether the two remaining requirements for intervention are met.</w:t>
      </w:r>
    </w:p>
    <w:p>
      <w:pPr>
        <w:pStyle w:val="CaseBody"/>
      </w:pPr>
      <w:r>
        <w:t xml:space="preserve">Rule 24(a) as amended requires not that the applicant would be “bound” by a judgment in the action, but only that “disposition of the action may as a practical matter impair or impede his ability to protect that interest.”</w:t>
      </w:r>
      <w:r>
        <w:t xml:space="preserve"> </w:t>
      </w:r>
      <w:r>
        <w:rPr>
          <w:rStyle w:val="ReplacementText"/>
        </w:rPr>
        <w:t xml:space="preserve">The</w:t>
      </w:r>
      <w:r>
        <w:t xml:space="preserve"> </w:t>
      </w:r>
      <w:r>
        <w:t xml:space="preserve">appellants in this case would face a hopeless task in a later suit. The intervening parents assert that the Board of Education should be free</w:t>
      </w:r>
      <w:r>
        <w:t xml:space="preserve"> </w:t>
      </w:r>
      <w:r>
        <w:rPr>
          <w:rStyle w:val="ReplacementText"/>
        </w:rPr>
        <w:t xml:space="preserve">to</w:t>
      </w:r>
      <w:r>
        <w:t xml:space="preserve"> </w:t>
      </w:r>
      <w:r>
        <w:t xml:space="preserve">make policy decisions concerning such matters as pupil and faculty assignments without the constraints imposed by the decision below. If allowed to intervene, they hope to show that the past practices condemned by the trial court did not violate the Constitution and hence that the decree should be vacated.</w:t>
      </w:r>
      <w:r>
        <w:t xml:space="preserve"> </w:t>
      </w:r>
      <w:r>
        <w:rPr>
          <w:rStyle w:val="ReplacementText"/>
        </w:rPr>
        <w:t xml:space="preserve">Should their efforts</w:t>
      </w:r>
      <w:r>
        <w:t xml:space="preserve"> </w:t>
      </w:r>
      <w:r>
        <w:t xml:space="preserve">succeed, the Board of Education</w:t>
      </w:r>
      <w:r>
        <w:t xml:space="preserve"> </w:t>
      </w:r>
      <w:r>
        <w:rPr>
          <w:rStyle w:val="ReplacementText"/>
        </w:rPr>
        <w:t xml:space="preserve">will</w:t>
      </w:r>
      <w:r>
        <w:t xml:space="preserve"> </w:t>
      </w:r>
      <w:r>
        <w:t xml:space="preserve">be freed of certain constraints upon its exercise of discretion in establishing educational policy. But if the right to intervene is denied and the decision below becomes final, there is no apparent way for the parents to pursue their interests in a subsequent lawsuit. True, they could assert that the new policies adopted by the Board of Education in compliance with the order below are unconstitutional. But this would be a sterner</w:t>
      </w:r>
      <w:r>
        <w:rPr>
          <w:rStyle w:val="Elision"/>
        </w:rPr>
        <w:t xml:space="preserve">[ … ]</w:t>
      </w:r>
      <w:r>
        <w:t xml:space="preserve"> </w:t>
      </w:r>
      <w:r>
        <w:t xml:space="preserve">challenge than they would face as intervenors here,</w:t>
      </w:r>
      <w:r>
        <w:rPr>
          <w:rStyle w:val="Elision"/>
        </w:rPr>
        <w:t xml:space="preserve">[ … ]</w:t>
      </w:r>
      <w:r>
        <w:t xml:space="preserve"> </w:t>
      </w:r>
      <w:r>
        <w:t xml:space="preserve">although the new policies might not be constitutionally required, they might also not be unconstitutional. Indeed,</w:t>
      </w:r>
      <w:r>
        <w:t xml:space="preserve"> </w:t>
      </w:r>
      <w:r>
        <w:rPr>
          <w:rStyle w:val="ReplacementText"/>
        </w:rPr>
        <w:t xml:space="preserve">the</w:t>
      </w:r>
      <w:r>
        <w:t xml:space="preserve"> </w:t>
      </w:r>
      <w:r>
        <w:t xml:space="preserve">very premise for the intervenors’ attack on the trial court decision is that school authorities can exercise wide discretion without encountering affirmative constitutional duties or negative prohibitions. While the scope of this discretion is uncertain, its existence is not: some policies may be constitutionally permissible, and hence immune to attack in a fresh lawsuit, which are not constitutionally required. Since this is so, the intervenors have borne their burden to show that their interests would “as a practical matter” be affected by a final disposition of this case without appeal.</w:t>
      </w:r>
    </w:p>
    <w:p>
      <w:pPr>
        <w:pStyle w:val="CaseBody"/>
      </w:pPr>
      <w:r>
        <w:t xml:space="preserve">The remaining requirement for intervention is that the applicant not be adequately represented by others. No question is raised here but that the Board of Education adequately represented the intervenors at the trial below; the issue rather whether the parents were</w:t>
      </w:r>
      <w:r>
        <w:t xml:space="preserve"> </w:t>
      </w:r>
      <w:r>
        <w:rPr>
          <w:rStyle w:val="ReplacementText"/>
        </w:rPr>
        <w:t xml:space="preserve">adequately</w:t>
      </w:r>
      <w:r>
        <w:t xml:space="preserve"> </w:t>
      </w:r>
      <w:r>
        <w:t xml:space="preserve">represented by the school decision not to appeal. The presumed good faith of the board in reaching this decision is not conclusive. “[B]ad faith is not always a prerequisite to intervention,”</w:t>
      </w:r>
      <w:r>
        <w:t xml:space="preserve"> </w:t>
      </w:r>
      <w:hyperlink w:anchor="X161dcd9849a5bc197ce63ea483147d1ec803542">
        <w:r>
          <w:rPr>
            <w:rStyle w:val="Elision"/>
          </w:rPr>
          <w:t xml:space="preserve">[ … ]</w:t>
        </w:r>
      </w:hyperlink>
      <w:r>
        <w:t xml:space="preserve">nor is it necessary that the interests of the intervenor and his putative champion already a party be “wholly ‘adverse.’ ”</w:t>
      </w:r>
      <w:r>
        <w:t xml:space="preserve"> </w:t>
      </w:r>
      <w:hyperlink w:anchor="Xef440e616421e999c4ac825fd42564a5e5a5be8">
        <w:r>
          <w:rPr>
            <w:rStyle w:val="Elision"/>
          </w:rPr>
          <w:t xml:space="preserve">[ … ]</w:t>
        </w:r>
      </w:hyperlink>
      <w:r>
        <w:t xml:space="preserve">As the conditional wording of Rule 24(a) (2) suggests in permitting intervention “unless the applicant’s interest is adequately represented by existing parties,” “the burden [is] on those opposing intervention to show the adequacy of the existing representation.”</w:t>
      </w:r>
      <w:r>
        <w:t xml:space="preserve"> </w:t>
      </w:r>
      <w:hyperlink w:anchor="X142d7c5257d668b9ff9a27c0353c28c14a13d97">
        <w:r>
          <w:rPr>
            <w:rStyle w:val="Elision"/>
          </w:rPr>
          <w:t xml:space="preserve">[ … ]</w:t>
        </w:r>
      </w:hyperlink>
      <w:r>
        <w:t xml:space="preserve"> </w:t>
      </w:r>
      <w:r>
        <w:t xml:space="preserve">In this case, the interests of the parents who wish to intervene in order to appeal do not coincide with those of the Board of Education. The school board represents all parents within the District. The intervening appellants may have more parochial interests centering upon the education of their own children. While they cannot of course ask the Board to favor their children unconstitutionally at the expense of others, they like other parents can seek the adoption of policies beneficial to their own children. Moreover, considerations of publicity, cost, and delay may not have the same weight for the parents as for the school board in the context of a decision to appeal. And the Board of Education, buffeted as it like other school boards is by conflicting public demands, may possibly have less interest in preserving its own untrammeled discretion than do the parents. It is not necessary to accuse the board of bad faith in deciding not to appeal or of a lack of vigor in defending the suit below in order to recognize that a restrictive court order may be a not wholly unwelcome haven.</w:t>
      </w:r>
    </w:p>
    <w:p>
      <w:pPr>
        <w:pStyle w:val="CaseBody"/>
      </w:pPr>
      <w:r>
        <w:rPr>
          <w:rStyle w:val="Elision"/>
        </w:rPr>
        <w:t xml:space="preserve">[ … ]</w:t>
      </w:r>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227" w:name="_auto_toc_227"/>
    <w:bookmarkEnd w:id="227"/>
    <w:p>
      <w:pPr>
        <w:pStyle w:val="ResourceNumber"/>
      </w:pPr>
      <w:r>
        <w:t xml:space="preserve">19.7</w:t>
      </w:r>
    </w:p>
    <w:p>
      <w:pPr>
        <w:pStyle w:val="ResourceTitle"/>
      </w:pPr>
      <w:r>
        <w:t xml:space="preserve">Excerpts from Subrin et al. on Finality and Preclusion</w:t>
      </w:r>
    </w:p>
    <w:p>
      <w:pPr>
        <w:pStyle w:val="HeadFieldSeparator"/>
      </w:pPr>
      <w:r>
        <w:t xml:space="preserve"> </w:t>
      </w:r>
    </w:p>
    <w:p>
      <w:pPr>
        <w:pStyle w:val="ResourceHeadnote"/>
      </w:pPr>
      <w:r>
        <w:t xml:space="preserve">With this reading, we start a new module on a set of doctrines called "preclusion." Preclusion comes in two flavors.</w:t>
      </w:r>
    </w:p>
    <w:p>
      <w:pPr>
        <w:pStyle w:val="ResourceHeadnote"/>
      </w:pPr>
      <w:r>
        <w:t xml:space="preserve">1)</w:t>
      </w:r>
      <w:r>
        <w:t xml:space="preserve"> </w:t>
      </w:r>
      <w:r>
        <w:rPr>
          <w:bCs/>
          <w:b/>
        </w:rPr>
        <w:t xml:space="preserve">Claim preclusion:</w:t>
      </w:r>
      <w:r>
        <w:t xml:space="preserve"> </w:t>
      </w:r>
      <w:r>
        <w:t xml:space="preserve">This doctrine prevents a litigant who had an obligation to assert a theory of relief in lawsuit #1 that has gone to judgment in the trial court from asserting that theory of relief in a subsequent lawsuit, lawsuit #2. Ordinarily, the "obligation" arises from the fact that the litigant has asserted a theory of relief in lawsuit #1 related in some way (e.g., stemming from the same transaction or occurrence) to what they would like to assert in lawsuit #2. Some refer to claim preclusion as "res judicata," but avoid this term because it is sometimes used to refer to both claim and issue preclusion jointly. Note that claim preclusion applies regardless of whether the litigant prevailed or lost in lawsuit #1.</w:t>
      </w:r>
    </w:p>
    <w:p>
      <w:pPr>
        <w:pStyle w:val="ResourceHeadnote"/>
      </w:pPr>
      <w:r>
        <w:t xml:space="preserve">2)</w:t>
      </w:r>
      <w:r>
        <w:t xml:space="preserve"> </w:t>
      </w:r>
      <w:r>
        <w:rPr>
          <w:bCs/>
          <w:b/>
        </w:rPr>
        <w:t xml:space="preserve">Issue preclusion:</w:t>
      </w:r>
      <w:r>
        <w:t xml:space="preserve"> </w:t>
      </w:r>
      <w:r>
        <w:t xml:space="preserve">This doctrine prevents a litigant who has litigated and lost on an issue (an "issue" is much narrower than a claim or even an element of a cause of action), almost always a factual issue, in lawsuit #1 from relitigating that issue in lawsuit #2. Issue preclusion is sometimes called "estoppel" or "collateral estoppel."</w:t>
      </w:r>
    </w:p>
    <w:p>
      <w:pPr>
        <w:pStyle w:val="ResourceHeadnote"/>
      </w:pPr>
      <w:r>
        <w:t xml:space="preserve">To begin, read the following excerpts from</w:t>
      </w:r>
      <w:r>
        <w:t xml:space="preserve"> </w:t>
      </w:r>
      <w:r>
        <w:rPr>
          <w:iCs/>
          <w:i/>
        </w:rPr>
        <w:t xml:space="preserve">Civil Procedure: Doctrine, Practice and Context</w:t>
      </w:r>
      <w:r>
        <w:t xml:space="preserve"> </w:t>
      </w:r>
      <w:r>
        <w:t xml:space="preserve">by Subrin et al., found</w:t>
      </w:r>
      <w:r>
        <w:t xml:space="preserve"> </w:t>
      </w:r>
      <w:hyperlink r:id="rId244">
        <w:r>
          <w:rPr>
            <w:rStyle w:val="Hyperlink"/>
          </w:rPr>
          <w:t xml:space="preserve">here</w:t>
        </w:r>
      </w:hyperlink>
      <w:r>
        <w:t xml:space="preserve"> </w:t>
      </w:r>
      <w:r>
        <w:t xml:space="preserve">(pdf). It introduces both doctrines and provides our primary teaching case for claim preclusion.</w:t>
      </w:r>
    </w:p>
    <w:p>
      <w:pPr>
        <w:pStyle w:val="ResourceHeadnote"/>
      </w:pPr>
      <w:r>
        <w:t xml:space="preserve">Note: In my view, the court's dictum in</w:t>
      </w:r>
      <w:r>
        <w:t xml:space="preserve"> </w:t>
      </w:r>
      <w:r>
        <w:rPr>
          <w:iCs/>
          <w:i/>
        </w:rPr>
        <w:t xml:space="preserve">Gonzalez</w:t>
      </w:r>
      <w:r>
        <w:t xml:space="preserve"> </w:t>
      </w:r>
      <w:r>
        <w:t xml:space="preserve">on the "claim" element of claim preclusion is incorrect. See if you can figure out why.</w:t>
      </w:r>
    </w:p>
    <w:p>
      <w:pPr>
        <w:pStyle w:val="ResourceHeadnote"/>
      </w:pPr>
      <w:r>
        <w:t xml:space="preserve">Finally, to invoke claim preclusion, a litigant must demonstrate the following elements</w:t>
      </w:r>
    </w:p>
    <w:p>
      <w:pPr>
        <w:pStyle w:val="ResourceHeadnote"/>
      </w:pPr>
      <w:r>
        <w:t xml:space="preserve">***** Same "claim"</w:t>
      </w:r>
    </w:p>
    <w:p>
      <w:pPr>
        <w:pStyle w:val="ResourceHeadnote"/>
      </w:pPr>
      <w:r>
        <w:t xml:space="preserve">***** Same party or in privity</w:t>
      </w:r>
    </w:p>
    <w:p>
      <w:pPr>
        <w:pStyle w:val="ResourceHeadnote"/>
      </w:pPr>
      <w:r>
        <w:t xml:space="preserve">***** A judgment that is both (a) final, and (b) "on the merits"</w:t>
      </w:r>
    </w:p>
    <w:p>
      <w:pPr>
        <w:pStyle w:val="ResourceHeadnote"/>
      </w:pPr>
      <w:r>
        <w:t xml:space="preserve">***** Certain stealth elements that no one ever mentions</w:t>
      </w:r>
    </w:p>
    <w:p>
      <w:pPr>
        <w:pStyle w:val="HeadEnd"/>
      </w:pPr>
      <w:r>
        <w:t xml:space="preserve"> </w:t>
      </w:r>
    </w:p>
    <w:p>
      <w:pPr>
        <w:pStyle w:val="BodyText"/>
      </w:pPr>
      <w:r>
        <w:t xml:space="preserve">Note 1 on page 786 of Subrin et al. is optional.</w:t>
      </w:r>
    </w:p>
    <w:p>
      <w:pPr>
        <w:pStyle w:val="BodyText"/>
      </w:pPr>
      <w:r>
        <w:t xml:space="preserve">The "Review Problem" on page 787 of Subrin et al. is optional.</w:t>
      </w:r>
    </w:p>
    <w:p>
      <w:pPr>
        <w:pStyle w:val="BodyText"/>
      </w:pPr>
      <w:r>
        <w:t xml:space="preserve">Citation:</w:t>
      </w:r>
      <w:r>
        <w:t xml:space="preserve"> </w:t>
      </w:r>
      <w:r>
        <w:rPr>
          <w:bCs/>
          <w:b/>
        </w:rPr>
        <w:t xml:space="preserve">Stephen Subrin, Martha Minow, Thomas Main, Mark Brodin,</w:t>
      </w:r>
      <w:r>
        <w:t xml:space="preserve"> </w:t>
      </w:r>
      <w:r>
        <w:rPr>
          <w:bCs/>
          <w:b/>
        </w:rPr>
        <w:t xml:space="preserve">Civil Procedure: Doctrine, Practice, and Context</w:t>
      </w:r>
      <w:r>
        <w:t xml:space="preserve">, 765-69, 776-87, (3d ed. 2008).</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228" w:name="_auto_toc_228"/>
    <w:bookmarkEnd w:id="228"/>
    <w:p>
      <w:pPr>
        <w:pStyle w:val="ChapterNumber"/>
      </w:pPr>
      <w:r>
        <w:t xml:space="preserve">20</w:t>
      </w:r>
    </w:p>
    <w:p>
      <w:pPr>
        <w:pStyle w:val="ChapterTitle"/>
      </w:pPr>
      <w:r>
        <w:t xml:space="preserve">Day 20</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229" w:name="_auto_toc_229"/>
    <w:bookmarkEnd w:id="229"/>
    <w:p>
      <w:pPr>
        <w:pStyle w:val="ResourceNumber"/>
      </w:pPr>
      <w:r>
        <w:t xml:space="preserve">20.1</w:t>
      </w:r>
    </w:p>
    <w:p>
      <w:pPr>
        <w:pStyle w:val="ResourceTitle"/>
      </w:pPr>
      <w:r>
        <w:t xml:space="preserve">Jones v. Morris Plan Bank</w:t>
      </w:r>
    </w:p>
    <w:p>
      <w:pPr>
        <w:pStyle w:val="HeadFieldSeparator"/>
      </w:pPr>
      <w:r>
        <w:t xml:space="preserve"> </w:t>
      </w:r>
    </w:p>
    <w:p>
      <w:pPr>
        <w:pStyle w:val="ResourceHeadnote"/>
      </w:pPr>
      <w:r>
        <w:t xml:space="preserve">This claim preclusion case illustrates the modern application of the word "claim."</w:t>
      </w:r>
    </w:p>
    <w:p>
      <w:pPr>
        <w:pStyle w:val="HeadEnd"/>
      </w:pPr>
      <w:r>
        <w:t xml:space="preserve"> </w:t>
      </w:r>
    </w:p>
    <w:p>
      <w:pPr>
        <w:pStyle w:val="CaseHeader"/>
      </w:pPr>
      <w:r>
        <w:t xml:space="preserve">Supreme Court of Appeals of Virginia</w:t>
      </w:r>
    </w:p>
    <w:p>
      <w:pPr>
        <w:pStyle w:val="CaseHeader"/>
      </w:pPr>
      <w:r>
        <w:t xml:space="preserve">168 Va. 284</w:t>
      </w:r>
    </w:p>
    <w:p>
      <w:pPr>
        <w:pStyle w:val="CaseHeader"/>
      </w:pPr>
      <w:r>
        <w:t xml:space="preserve">1937-06-10</w:t>
      </w:r>
    </w:p>
    <w:p>
      <w:pPr>
        <w:pStyle w:val="CaseBody"/>
      </w:pPr>
      <w:r>
        <w:rPr>
          <w:rStyle w:val="Elision"/>
        </w:rPr>
        <w:t xml:space="preserve">[ … ]</w:t>
      </w:r>
    </w:p>
    <w:p>
      <w:pPr>
        <w:pStyle w:val="CaseBody"/>
      </w:pPr>
      <w:r>
        <w:t xml:space="preserve">Gregory, J.,</w:t>
      </w:r>
    </w:p>
    <w:p>
      <w:pPr>
        <w:pStyle w:val="CaseBody"/>
      </w:pPr>
      <w:r>
        <w:t xml:space="preserve">delivered the opinion of the court.</w:t>
      </w:r>
    </w:p>
    <w:p>
      <w:pPr>
        <w:pStyle w:val="CaseBody"/>
      </w:pPr>
      <w:r>
        <w:t xml:space="preserve">William B. Jones instituted an action for damages against the Morris Plan Bank of Portsmouth for the conversion of his automobile.</w:t>
      </w:r>
      <w:r>
        <w:rPr>
          <w:rStyle w:val="Elision"/>
        </w:rPr>
        <w:t xml:space="preserve">[ … ]</w:t>
      </w:r>
    </w:p>
    <w:p>
      <w:pPr>
        <w:pStyle w:val="CaseBody"/>
      </w:pPr>
      <w:r>
        <w:t xml:space="preserve">After the plaintiff had introduced all of his evidence and before the defendant had introduced any evidence on its behalf, the latter’s counsel moved to strike the evidence of the plaintiff and the court sustained the motion. A verdict for the defendant resulted.</w:t>
      </w:r>
    </w:p>
    <w:p>
      <w:pPr>
        <w:pStyle w:val="CaseBody"/>
      </w:pPr>
      <w:r>
        <w:t xml:space="preserve">The facts are that the plaintiff purchased from J. A. Parker, a dealer in automobiles, a Plymouth sedan, agreeing to pay therefor $595. He paid a part of the purchase price by the delivery of a used car to Parker of the agreed value of $245 and after crediting that amount on the purchase price and adding a finance charge of $78.40, there remained an unpaid balance due the dealer of $428. This latter amount was payable in 12 monthly installments of $35.70 each and evidenced by one note in the principal sum of $428.40. The note contained this provision: “The whole amount of this note (less any payments made hereon) becomes immediately due and payable in the event of nonpayment at maturity of any installment thereof.” The note was secured by the usual conditional sales contract used in like transactions, in which it was agreed that the title to the car would be retained by the dealer until the entire purchase price was paid in full. One of the provisions in the contract reads thus: “Said note or this contract may be negotiated or assigned or the payment thereof renewed or extended without passing title of said goods to purchaser.” Under this provision the contract was assigned to the defendant on the same day it was executed and the note was indorsed by Parker and delivered to the defendant at the same time.</w:t>
      </w:r>
    </w:p>
    <w:p>
      <w:pPr>
        <w:pStyle w:val="CaseBody"/>
      </w:pPr>
      <w:r>
        <w:t xml:space="preserve">Installment payments due on the note for May and June were not made when payable and for them an action was instituted in the Civil and Police Court of the city of Suffolk. No appearance was made by the defendant (Jones) in that action and judgment was obtained against him for the two payments. Execution issued upon the judgment and it was satisfied while in the hands of the sergeant of said city, by Jones, the plaintiff here, paying the full amount of the execution to the said sergeant.</w:t>
      </w:r>
    </w:p>
    <w:p>
      <w:pPr>
        <w:pStyle w:val="CaseBody"/>
      </w:pPr>
      <w:r>
        <w:t xml:space="preserve">Later the defendant instituted another action against Jones in the same court for the July installment which had become due and was unpaid, and to that action Jones filed a plea of</w:t>
      </w:r>
      <w:r>
        <w:t xml:space="preserve"> </w:t>
      </w:r>
      <w:r>
        <w:rPr>
          <w:iCs/>
          <w:i/>
        </w:rPr>
        <w:t xml:space="preserve">res adjudicata,</w:t>
      </w:r>
      <w:r>
        <w:t xml:space="preserve"> </w:t>
      </w:r>
      <w:r>
        <w:t xml:space="preserve">whereupon the defendant here (Morris Plan Bank of Portsmouth) took a non-suit.</w:t>
      </w:r>
    </w:p>
    <w:p>
      <w:pPr>
        <w:pStyle w:val="CaseBody"/>
      </w:pPr>
      <w:r>
        <w:t xml:space="preserve">On September 7, 1935, after the plaintiff had parked the automobile in the street in front of his home and had the key in his possession, the defendant, in the night time, through its agent, took possession of the automobile without the consent of the plaintiff and later sold it and applied the proceeds upon the note.</w:t>
      </w:r>
    </w:p>
    <w:p>
      <w:pPr>
        <w:pStyle w:val="CaseBody"/>
      </w:pPr>
      <w:r>
        <w:t xml:space="preserve">Afterwards, the plaintiff instituted the present action for conversion to recover damages for the loss of the automobile. His action in the court below was founded upon the theory that when the May and June installments became due and were unpaid, then under the acceleration clause in the note, the entire balance due thereon matured and at once became due and the defendant having elected to sue him for only two installments instead of the entire amount of the note, and having obtained a judgment for the two installments and satisfaction of the execution issued thereon, it waived its right to collect the balance. He also contends that the note was satisfied in the manner narrated and that the conditional sales contract, the sole purpose of which was to secure the payment of the note, served its purpose and ceased to exist, and, therefore, the title to the automobile was no longer retained, but upon the satisfaction of the note, passed to the plaintiff and was his property when the agent of the defendant removed it and converted it to its own use.</w:t>
      </w:r>
    </w:p>
    <w:p>
      <w:pPr>
        <w:pStyle w:val="CaseBody"/>
      </w:pPr>
      <w:r>
        <w:t xml:space="preserve">The position of the defendant is that in an action for conversion it is essential that the plaintiff establish his ownership of the property at the time of the conversion. It asserts that the title to the automobile, which was the subject of the alleged conversion, was not vested in the plaintiff at the time of the action, nor since, because the condition in the contract was that the title should be retained by the seller (whose rights were assigned to the defendant) until the entire purchase price was paid, and that the purchase price had never been paid, and, therefore, the plaintiff has never had title to the automobile and could not maintain the action of conversion.</w:t>
      </w:r>
    </w:p>
    <w:p>
      <w:pPr>
        <w:pStyle w:val="CaseBody"/>
      </w:pPr>
      <w:r>
        <w:rPr>
          <w:rStyle w:val="Elision"/>
        </w:rPr>
        <w:t xml:space="preserve">[ … ]</w:t>
      </w:r>
    </w:p>
    <w:p>
      <w:pPr>
        <w:pStyle w:val="CaseBody"/>
      </w:pPr>
      <w:r>
        <w:t xml:space="preserve">The defendant does not deny that the acceleration clause matured all installments upon the default in the payment of the May and June payments.</w:t>
      </w:r>
    </w:p>
    <w:p>
      <w:pPr>
        <w:pStyle w:val="CaseBody"/>
      </w:pPr>
      <w:r>
        <w:rPr>
          <w:rStyle w:val="Elision"/>
        </w:rPr>
        <w:t xml:space="preserve">[ … ]</w:t>
      </w:r>
    </w:p>
    <w:p>
      <w:pPr>
        <w:pStyle w:val="CaseBody"/>
      </w:pPr>
      <w:r>
        <w:t xml:space="preserve">We decide that under the unconditional acceleration provision in the note involved here and in the absence of the usual optional provision reserved to the holder, the entire amount due upon the note became due and payable when default was made in paying an installment. Therefore, when the action before the Civil and Police Justice of Suffolk was instituted, all the installments were due and payable.</w:t>
      </w:r>
    </w:p>
    <w:p>
      <w:pPr>
        <w:pStyle w:val="CaseBody"/>
      </w:pPr>
      <w:r>
        <w:t xml:space="preserve">Was it essential that the defendant here institute an action for all of the installments then due, or could it institute its action for only two of the installments and later institute another action for other installments? The answer to that question depends upon the nature of the transaction. If a transaction is represented by one single and indivisible contract and the breach gives rise to one single cause of action, it cannot be split into distinct parts and separate actions maintained for each.</w:t>
      </w:r>
    </w:p>
    <w:p>
      <w:pPr>
        <w:pStyle w:val="CaseBody"/>
      </w:pPr>
      <w:r>
        <w:t xml:space="preserve">On the other hand if the contract is divisible, giving rise to more than one cause of action each may be proceeded upon separately.</w:t>
      </w:r>
    </w:p>
    <w:p>
      <w:pPr>
        <w:pStyle w:val="CaseBody"/>
      </w:pPr>
      <w:r>
        <w:t xml:space="preserve">Was the contract here single and indivisible or was it divisible? Our answer is that the note and conditional sales contract constituted one single contract. The sole purpose of the conditional sales contract was to retain the title in the seller until the note was paid. When that condition was performed, the contract ended.</w:t>
      </w:r>
    </w:p>
    <w:p>
      <w:pPr>
        <w:pStyle w:val="CaseBody"/>
      </w:pPr>
      <w:r>
        <w:t xml:space="preserve">One of the principal tests in determining whether a demand is single and entire, or whether it is several, so as to give rise to more than one cause of action, is the identity of facts necessary to maintain the action. If the same evidence will support both actions there is but one cause of action.</w:t>
      </w:r>
    </w:p>
    <w:p>
      <w:pPr>
        <w:pStyle w:val="CaseBody"/>
      </w:pPr>
      <w:r>
        <w:t xml:space="preserve">In the case at bar, all of the installments were due. The evidence essential to support the action on the two installments for which the action was brought would be the identical evidence necessary to maintain an action upon all of the installments. All installments having matured at the time the action was begun, under well settled principles, those not embraced in that action are now barred.</w:t>
      </w:r>
    </w:p>
    <w:p>
      <w:pPr>
        <w:pStyle w:val="CaseBody"/>
      </w:pPr>
      <w:r>
        <w:rPr>
          <w:rStyle w:val="Elision"/>
        </w:rPr>
        <w:t xml:space="preserve">[ … ]</w:t>
      </w:r>
    </w:p>
    <w:p>
      <w:pPr>
        <w:pStyle w:val="CaseBody"/>
      </w:pPr>
      <w:r>
        <w:rPr>
          <w:rStyle w:val="Elision"/>
        </w:rPr>
        <w:t xml:space="preserve">[ … ]</w:t>
      </w:r>
      <w:r>
        <w:t xml:space="preserve">At the time the defendant lost its right to institute any action for the remaining installments, the title to the automobile passed to the plaintiff. He was the owner at the time the agent of the defendant took possession of it and exposed it to sale.</w:t>
      </w:r>
    </w:p>
    <w:p>
      <w:pPr>
        <w:pStyle w:val="CaseBody"/>
      </w:pPr>
      <w:r>
        <w:t xml:space="preserve">It follows that the judgment of the court below will be reversed, and the case will be remanded for the sole purpose of determining the</w:t>
      </w:r>
      <w:r>
        <w:t xml:space="preserve"> </w:t>
      </w:r>
      <w:r>
        <w:rPr>
          <w:iCs/>
          <w:i/>
        </w:rPr>
        <w:t xml:space="preserve">quantum</w:t>
      </w:r>
      <w:r>
        <w:t xml:space="preserve"> </w:t>
      </w:r>
      <w:r>
        <w:t xml:space="preserve">of damages.</w:t>
      </w:r>
    </w:p>
    <w:p>
      <w:pPr>
        <w:pStyle w:val="CaseBody"/>
      </w:pPr>
      <w:r>
        <w:rPr>
          <w:iCs/>
          <w:i/>
        </w:rPr>
        <w:t xml:space="preserve">Reversed and remanded.</w:t>
      </w:r>
    </w:p>
    <w:p>
      <w:pPr>
        <w:pStyle w:val="NodeEnd"/>
      </w:pPr>
      <w:r>
        <w:t xml:space="preserve"> </w:t>
      </w:r>
    </w:p>
    <w:p>
      <w:pPr>
        <w:pStyle w:val="NodeStart"/>
      </w:pPr>
      <w:r>
        <w:t xml:space="preserve"> </w:t>
      </w:r>
    </w:p>
    <w:p>
      <w:pPr>
        <w:pStyle w:val="HeadSeparator"/>
      </w:pPr>
      <w:r>
        <w:t xml:space="preserve"> </w:t>
      </w:r>
    </w:p>
    <w:bookmarkStart w:id="230" w:name="_auto_toc_230"/>
    <w:bookmarkEnd w:id="230"/>
    <w:p>
      <w:pPr>
        <w:pStyle w:val="ResourceNumber"/>
      </w:pPr>
      <w:r>
        <w:t xml:space="preserve">20.2</w:t>
      </w:r>
    </w:p>
    <w:p>
      <w:pPr>
        <w:pStyle w:val="ResourceTitle"/>
      </w:pPr>
      <w:r>
        <w:t xml:space="preserve">Notes following Jones</w:t>
      </w:r>
    </w:p>
    <w:p>
      <w:pPr>
        <w:pStyle w:val="HeadEnd"/>
      </w:pPr>
      <w:r>
        <w:t xml:space="preserve"> </w:t>
      </w:r>
    </w:p>
    <w:p>
      <w:pPr>
        <w:numPr>
          <w:ilvl w:val="0"/>
          <w:numId w:val="1170"/>
        </w:numPr>
      </w:pPr>
      <w:r>
        <w:t xml:space="preserve">In</w:t>
      </w:r>
      <w:r>
        <w:t xml:space="preserve"> </w:t>
      </w:r>
      <w:r>
        <w:rPr>
          <w:iCs/>
          <w:i/>
        </w:rPr>
        <w:t xml:space="preserve">Aiglon Associates, Ltd. v. Allan</w:t>
      </w:r>
      <w:r>
        <w:t xml:space="preserve">, 248 Va. 150 (1994), the Virginia Supreme Court ruled that a mandatory acceleration clause in a lease did not require that a plaintiff claim all future rent payments or be precluded from bringing a second suit to recover them. The court held that the clause in question applied only upon</w:t>
      </w:r>
      <w:r>
        <w:t xml:space="preserve"> </w:t>
      </w:r>
      <w:r>
        <w:rPr>
          <w:iCs/>
          <w:i/>
        </w:rPr>
        <w:t xml:space="preserve">termination</w:t>
      </w:r>
      <w:r>
        <w:t xml:space="preserve"> </w:t>
      </w:r>
      <w:r>
        <w:t xml:space="preserve">of the lease, not simply missed payments. How does this reasoning differ from</w:t>
      </w:r>
      <w:r>
        <w:t xml:space="preserve"> </w:t>
      </w:r>
      <w:r>
        <w:rPr>
          <w:iCs/>
          <w:i/>
        </w:rPr>
        <w:t xml:space="preserve">Jones</w:t>
      </w:r>
      <w:r>
        <w:t xml:space="preserve">?</w:t>
      </w:r>
    </w:p>
    <w:p>
      <w:pPr>
        <w:numPr>
          <w:ilvl w:val="0"/>
          <w:numId w:val="1170"/>
        </w:numPr>
      </w:pPr>
      <w:r>
        <w:t xml:space="preserve">When a debt is covered by a series of notes or bond-interest coupons, an action on one note or coupon does not preclude subsequent actions based on the others. Courts consider each note or coupon to be its own promise of payment, allowing them to be dealt with separately.</w:t>
      </w:r>
    </w:p>
    <w:p>
      <w:pPr>
        <w:numPr>
          <w:ilvl w:val="0"/>
          <w:numId w:val="1170"/>
        </w:numPr>
      </w:pPr>
      <w:r>
        <w:t xml:space="preserve">As seen in</w:t>
      </w:r>
      <w:r>
        <w:t xml:space="preserve"> </w:t>
      </w:r>
      <w:r>
        <w:rPr>
          <w:iCs/>
          <w:i/>
        </w:rPr>
        <w:t xml:space="preserve">Jones</w:t>
      </w:r>
      <w:r>
        <w:t xml:space="preserve"> </w:t>
      </w:r>
      <w:r>
        <w:t xml:space="preserve">and the preceding notes, evaluating the scope of a controversy can be difficult in cases of repeated interaction. Factors from the Restatement (Second) of Judgments as to whether conduct stems from the same claim include: relation of facts in time, place, and origin; whether it would be convenient to try two issues together; and whether the parties would have expected the two issues to have been tried together. Claim preclusion typically does not apply to</w:t>
      </w:r>
      <w:r>
        <w:t xml:space="preserve"> </w:t>
      </w:r>
      <w:r>
        <w:rPr>
          <w:iCs/>
          <w:i/>
        </w:rPr>
        <w:t xml:space="preserve">new</w:t>
      </w:r>
      <w:r>
        <w:t xml:space="preserve"> </w:t>
      </w:r>
      <w:r>
        <w:t xml:space="preserve">instances of conduct after the conclusion of the first case, though issue preclusion may bar re-litigation of some issues (such as a declaratory judgment surrounding issues of liability).</w:t>
      </w:r>
    </w:p>
    <w:p>
      <w:pPr>
        <w:numPr>
          <w:ilvl w:val="0"/>
          <w:numId w:val="1170"/>
        </w:numPr>
      </w:pPr>
      <w:r>
        <w:t xml:space="preserve">Underlying substantive law can often affect what is considered to be part of the same claim for preclusion purposes - so too may the expectations of the parties. Consider the difference between monthly missed payments that are conceived by the parties as discrete occurrences, compared to a single account with one balance.</w:t>
      </w:r>
    </w:p>
    <w:p>
      <w:pPr>
        <w:pStyle w:val="NodeEnd"/>
      </w:pPr>
      <w:r>
        <w:t xml:space="preserve"> </w:t>
      </w:r>
    </w:p>
    <w:p>
      <w:pPr>
        <w:pStyle w:val="NodeStart"/>
      </w:pPr>
      <w:r>
        <w:t xml:space="preserve"> </w:t>
      </w:r>
    </w:p>
    <w:p>
      <w:pPr>
        <w:pStyle w:val="HeadSeparator"/>
      </w:pPr>
      <w:r>
        <w:t xml:space="preserve"> </w:t>
      </w:r>
    </w:p>
    <w:bookmarkStart w:id="231" w:name="_auto_toc_231"/>
    <w:bookmarkEnd w:id="231"/>
    <w:p>
      <w:pPr>
        <w:pStyle w:val="ResourceNumber"/>
      </w:pPr>
      <w:r>
        <w:t xml:space="preserve">20.3</w:t>
      </w:r>
    </w:p>
    <w:p>
      <w:pPr>
        <w:pStyle w:val="ResourceTitle"/>
      </w:pPr>
      <w:r>
        <w:t xml:space="preserve">Introduction to Issue Preclusion</w:t>
      </w:r>
    </w:p>
    <w:p>
      <w:pPr>
        <w:pStyle w:val="HeadEnd"/>
      </w:pPr>
      <w:r>
        <w:t xml:space="preserve"> </w:t>
      </w:r>
    </w:p>
    <w:p>
      <w:pPr>
        <w:pStyle w:val="BodyText"/>
      </w:pPr>
      <w:r>
        <w:t xml:space="preserve">In addition to claim preclusion, another type of preclusion exists: issue preclusion. The idea behind issue preclusion is that once a court has determined an issue, they party that lost on that issue (and those in privity with it) should not be able to relitigate that same issue in a subsequent suit. Nothing in issue preclusion requires that subsequent suit involve the same cause of action or transaction or occurrence, so long as the same issue in question was actually decided in a previous suit and was necessary to the court's final judgment.  Issue preclusion can be invoked in many different contexts, but the basic idea remains the same: one party will attempt to prevent (or preclude) an opposing party from relitigating an issue that the opposing party lost in a previous case.</w:t>
      </w:r>
    </w:p>
    <w:p>
      <w:pPr>
        <w:pStyle w:val="BodyText"/>
      </w:pPr>
      <w:r>
        <w:t xml:space="preserve">For issue preclusion to be applied, the initial proceeding and the subsequent proceeding must involve the same issue. Similar to claim preclusion, the first proceeding must have reached a final judgment. Unlike claim preclusion, however, that final judgment need not have been on the merits. The issue in question must have been actually litigated in the first action and must have been actually decided. In addition, determination of the issue must have been necessary to the first court’s judgment. Finally, the issue must be at least partly factual (usually it is an issue of disputed historical fact) as oposed to purely legal. For purely legal issues, stare decisis (not issue preclusion) limits relitigation of identical issues in subsequent cases.</w:t>
      </w:r>
    </w:p>
    <w:p>
      <w:pPr>
        <w:pStyle w:val="BodyText"/>
      </w:pPr>
      <w:r>
        <w:t xml:space="preserve">Some courts have additional requirements. One of the most important of these additional requirements is “mutuality” employed by various courts. Various forms of the mutuality requirement exist:</w:t>
      </w:r>
    </w:p>
    <w:p>
      <w:pPr>
        <w:pStyle w:val="BodyText"/>
      </w:pPr>
      <w:r>
        <w:t xml:space="preserve">(i) the parties must be the same and be in the same procedural posture (e.g., the plaintiff in lawsuit one must be the plaintiff in lawsuit two, and the defendant in lawsuit one must be the defendant in lawsuit two);</w:t>
      </w:r>
    </w:p>
    <w:p>
      <w:pPr>
        <w:pStyle w:val="BodyText"/>
      </w:pPr>
      <w:r>
        <w:t xml:space="preserve">(ii) the parties must be the same, although they can be in different procedural postures (e.g., the plaintiff in lawsuit one may be the defendant in lawsuit two, and vice versa);</w:t>
      </w:r>
    </w:p>
    <w:p>
      <w:pPr>
        <w:pStyle w:val="BodyText"/>
      </w:pPr>
      <w:r>
        <w:t xml:space="preserve">(iiii) one of the parties can be different, but only in certain circumstances (e.g., a defendant in lawsuit two who was not a party to lawsuit one may attempt to invoke issue preclusion against a party who was a plaintiff in both lawsuits and who lost on that issue in lawsuit one); </w:t>
      </w:r>
    </w:p>
    <w:p>
      <w:pPr>
        <w:pStyle w:val="BodyText"/>
      </w:pPr>
      <w:r>
        <w:t xml:space="preserve">(iv) no mutuality requirement exists in the jurisdiction (any party in a subsequent lawsuit may invoke issue preclusion against any party who lost on an issue in a previous lawsuit).</w:t>
      </w:r>
    </w:p>
    <w:p>
      <w:pPr>
        <w:pStyle w:val="NodeEnd"/>
      </w:pPr>
      <w:r>
        <w:t xml:space="preserve"> </w:t>
      </w:r>
    </w:p>
    <w:p>
      <w:pPr>
        <w:pStyle w:val="NodeStart"/>
      </w:pPr>
      <w:r>
        <w:t xml:space="preserve"> </w:t>
      </w:r>
    </w:p>
    <w:p>
      <w:pPr>
        <w:pStyle w:val="HeadSeparator"/>
      </w:pPr>
      <w:r>
        <w:t xml:space="preserve"> </w:t>
      </w:r>
    </w:p>
    <w:bookmarkStart w:id="232" w:name="_auto_toc_232"/>
    <w:bookmarkEnd w:id="232"/>
    <w:p>
      <w:pPr>
        <w:pStyle w:val="ResourceNumber"/>
      </w:pPr>
      <w:r>
        <w:t xml:space="preserve">20.4</w:t>
      </w:r>
    </w:p>
    <w:p>
      <w:pPr>
        <w:pStyle w:val="ResourceTitle"/>
      </w:pPr>
      <w:r>
        <w:t xml:space="preserve">Cromwell v. County of Sac</w:t>
      </w:r>
    </w:p>
    <w:p>
      <w:pPr>
        <w:pStyle w:val="HeadFieldSeparator"/>
      </w:pPr>
      <w:r>
        <w:t xml:space="preserve"> </w:t>
      </w:r>
    </w:p>
    <w:p>
      <w:pPr>
        <w:pStyle w:val="ResourceHeadnote"/>
      </w:pPr>
      <w:r>
        <w:t xml:space="preserve">This is an issue preclusion case. As discussed in the introductory preclusion reading (from the Subrin et al. casebook), there are three or four (depending on the jurisdiction) elements of issue preclusion: same issue, actually litigated, necessary to the decision, and (perhaps) mutuality. Which of these elements is at issue in this case? Do some of the elements bleed into each other?</w:t>
      </w:r>
    </w:p>
    <w:p>
      <w:pPr>
        <w:pStyle w:val="ResourceHeadnote"/>
      </w:pPr>
      <w:r>
        <w:t xml:space="preserve">Also: why doesn't claim preclusion preclude this lawsuit?</w:t>
      </w:r>
    </w:p>
    <w:p>
      <w:pPr>
        <w:pStyle w:val="HeadEnd"/>
      </w:pPr>
      <w:r>
        <w:t xml:space="preserve"> </w:t>
      </w:r>
    </w:p>
    <w:p>
      <w:pPr>
        <w:pStyle w:val="CaseHeader"/>
      </w:pPr>
      <w:r>
        <w:t xml:space="preserve">Supreme Court of the United States</w:t>
      </w:r>
    </w:p>
    <w:p>
      <w:pPr>
        <w:pStyle w:val="CaseHeader"/>
      </w:pPr>
      <w:r>
        <w:t xml:space="preserve">94 U.S. 351, 24 L. Ed. 195, SCDB 1876-174, 1876 U.S. LEXIS 1872</w:t>
      </w:r>
    </w:p>
    <w:p>
      <w:pPr>
        <w:pStyle w:val="CaseHeader"/>
      </w:pPr>
      <w:r>
        <w:t xml:space="preserve">1876-10</w:t>
      </w:r>
    </w:p>
    <w:p>
      <w:pPr>
        <w:pStyle w:val="CaseBody"/>
      </w:pPr>
      <w:r>
        <w:t xml:space="preserve">94 U.S. 351 (1876)</w:t>
      </w:r>
    </w:p>
    <w:p>
      <w:pPr>
        <w:pStyle w:val="CaseHeader"/>
      </w:pPr>
      <w:r>
        <w:t xml:space="preserve">CROMWELL</w:t>
      </w:r>
      <w:r>
        <w:br/>
      </w:r>
      <w:r>
        <w:t xml:space="preserve">v.</w:t>
      </w:r>
      <w:r>
        <w:br/>
      </w:r>
      <w:r>
        <w:t xml:space="preserve">COUNTY OF SAC.</w:t>
      </w:r>
    </w:p>
    <w:p>
      <w:pPr>
        <w:pStyle w:val="CaseBody"/>
      </w:pPr>
      <w:r>
        <w:t xml:space="preserve">Supreme Court of United States.</w:t>
      </w:r>
    </w:p>
    <w:p>
      <w:pPr>
        <w:pStyle w:val="CaseBody"/>
      </w:pPr>
      <w:r>
        <w:rPr>
          <w:rStyle w:val="Elision"/>
        </w:rPr>
        <w:t xml:space="preserve">[ … ]</w:t>
      </w:r>
    </w:p>
    <w:bookmarkStart w:id="245" w:name="Xedcb59daf68f67bb15b0f18f0d85eca06b8c829"/>
    <w:p>
      <w:pPr>
        <w:pStyle w:val="Heading2"/>
      </w:pPr>
      <w:r>
        <w:t xml:space="preserve">MR. JUSTICE FIELD delivered the opinion of the court.</w:t>
      </w:r>
    </w:p>
    <w:p>
      <w:pPr>
        <w:pStyle w:val="CaseBody"/>
      </w:pPr>
      <w:r>
        <w:t xml:space="preserve">This was an action on four bonds of the county of Sac</w:t>
      </w:r>
      <w:r>
        <w:rPr>
          <w:rStyle w:val="Elision"/>
        </w:rPr>
        <w:t xml:space="preserve">[ … ]</w:t>
      </w:r>
      <w:r>
        <w:t xml:space="preserve"> </w:t>
      </w:r>
      <w:r>
        <w:t xml:space="preserve">each for $1,000, and four coupons for interest, attached to them, each for $100. The bonds were issued in 1860, and were made payable to bearer, in the city of New York, in the years 1868, 1869, 1870, and 1871, respectively, with annual interest at the rate of ten per cent a year.</w:t>
      </w:r>
    </w:p>
    <w:p>
      <w:pPr>
        <w:pStyle w:val="CaseBody"/>
      </w:pPr>
      <w:r>
        <w:t xml:space="preserve">To defeat this action, the defendant relied upon</w:t>
      </w:r>
      <w:r>
        <w:t xml:space="preserve"> </w:t>
      </w:r>
      <w:r>
        <w:rPr>
          <w:rStyle w:val="ReplacementText"/>
        </w:rPr>
        <w:t xml:space="preserve">issue preclusion allegedly running from</w:t>
      </w:r>
      <w:r>
        <w:t xml:space="preserve">a judgment rendered in favor of the county in a prior action brought by one Samuel C. Smith upon certain earlier maturing coupons on the same bonds, accompanied with proof that the plaintiff Cromwell was at the time the owner of the coupons in that action, and that the action was prosecuted for his sole use and benefit.</w:t>
      </w:r>
    </w:p>
    <w:p>
      <w:pPr>
        <w:pStyle w:val="CaseBody"/>
      </w:pPr>
      <w:r>
        <w:rPr>
          <w:rStyle w:val="Elision"/>
        </w:rPr>
        <w:t xml:space="preserve">[ … ]</w:t>
      </w:r>
      <w:r>
        <w:t xml:space="preserve">.</w:t>
      </w:r>
    </w:p>
    <w:p>
      <w:pPr>
        <w:pStyle w:val="CaseBody"/>
      </w:pPr>
      <w:r>
        <w:t xml:space="preserve">In considering the operation of this judgment, it should be borne in mind, as stated by counsel, that there is a difference between the effect of a judgment</w:t>
      </w:r>
      <w:r>
        <w:rPr>
          <w:rStyle w:val="ReplacementText"/>
        </w:rPr>
        <w:t xml:space="preserve">claim preclusion and issue preclusion (issue preclusion is also sometimes called "estoppel" or "collateral estoppel")</w:t>
      </w:r>
      <w:r>
        <w:t xml:space="preserve">. In</w:t>
      </w:r>
      <w:r>
        <w:t xml:space="preserve"> </w:t>
      </w:r>
      <w:r>
        <w:rPr>
          <w:rStyle w:val="ReplacementText"/>
        </w:rPr>
        <w:t xml:space="preserve">claim preclusion</w:t>
      </w:r>
      <w:r>
        <w:t xml:space="preserve">, the judgment, if rendered upon the merits, constitutes an absolute bar to a subsequent action. It is a finality as to the claim or demand in controversy, concluding parties and those in privity with them, not only as to every matter which was offered and received to sustain or defeat the claim or demand, but as to any other admissible matter which might have been offered for that purpose. Thus, for example, a judgment rendered upon a promissory note is conclusive as to the validity of the instrument and the amount due upon it, although it be subsequently alleged that perfect defences actually existed, of which no proof was offered, such as forgery, want of consideration, or payment. If such defences were not presented in the action, and established by competent evidence, the subsequent allegation of their existence is of no legal consequence. The judgment is as conclusive, so far as future proceedings at law</w:t>
      </w:r>
      <w:r>
        <w:t xml:space="preserve"> </w:t>
      </w:r>
      <w:r>
        <w:rPr>
          <w:rStyle w:val="Elision"/>
        </w:rPr>
        <w:t xml:space="preserve">[ … ]</w:t>
      </w:r>
      <w:r>
        <w:t xml:space="preserve"> </w:t>
      </w:r>
      <w:r>
        <w:t xml:space="preserve">are concerned, as though the defences never existed. The language, therefore, which is so often used, that a judgment</w:t>
      </w:r>
      <w:r>
        <w:t xml:space="preserve"> </w:t>
      </w:r>
      <w:r>
        <w:rPr>
          <w:rStyle w:val="ReplacementText"/>
        </w:rPr>
        <w:t xml:space="preserve">eliminates</w:t>
      </w:r>
      <w:r>
        <w:t xml:space="preserve">not only as to every ground of recovery or defence actually presented in the action, but also as to every ground which might have been presented, is strictly accurate, when applied to the demand or claim in controversy. Such demand or claim, having passed into judgment, cannot again be brought into litigation between the parties in proceedings at law upon any ground whatever.</w:t>
      </w:r>
    </w:p>
    <w:p>
      <w:pPr>
        <w:pStyle w:val="CaseBody"/>
      </w:pPr>
      <w:r>
        <w:t xml:space="preserve">But where the second action between the same parties is upon a different claim or demand, the judgment in the prior action operates as an estoppel only as to those matters in issue or points controverted, upon the determination of which the finding or verdict was rendered. In all cases, therefore, where it is sought to apply the estoppel of a judgment rendered upon one cause of action to matters arising in a suit upon a different cause of action, the inquiry must always be as to the point or question actually litigated and determined in the original action, not what might have been thus litigated and determined. Only upon such matters is the judgment conclusive in another action.</w:t>
      </w:r>
    </w:p>
    <w:p>
      <w:pPr>
        <w:pStyle w:val="CaseBody"/>
      </w:pPr>
      <w:r>
        <w:rPr>
          <w:rStyle w:val="Elision"/>
        </w:rPr>
        <w:t xml:space="preserve">[ … ]</w:t>
      </w:r>
    </w:p>
    <w:p>
      <w:pPr>
        <w:pStyle w:val="CaseBody"/>
      </w:pPr>
      <w:r>
        <w:rPr>
          <w:rStyle w:val="Elision"/>
        </w:rPr>
        <w:t xml:space="preserve">[ … ]</w:t>
      </w:r>
    </w:p>
    <w:p>
      <w:pPr>
        <w:pStyle w:val="CaseBody"/>
      </w:pPr>
      <w:r>
        <w:t xml:space="preserve">Various considerations, other than the actual merits, may govern a party in bringing forward grounds of recovery or defence in one action, which may not exist in another action upon a different demand, such as the smallness of the amount or the value of the property in controversy, the difficulty of obtaining the necessary evidence, the expense of the litigation, and his own situation at the time. A party acting upon considerations like these ought not to be precluded from contesting in a subsequent action other demands arising out of the same transaction. A judgment by default only admits for the purpose of the action the legality of the demand or claim in suit: it does not make the allegations of the declaration or complaint evidence in an action upon a different claim.</w:t>
      </w:r>
      <w:r>
        <w:t xml:space="preserve"> </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BlockText"/>
      </w:pPr>
      <w:r>
        <w:rPr>
          <w:rStyle w:val="Elision"/>
        </w:rPr>
        <w:t xml:space="preserve">[ … ]</w:t>
      </w:r>
    </w:p>
    <w:p>
      <w:pPr>
        <w:pStyle w:val="CaseBody"/>
      </w:pPr>
      <w:r>
        <w:t xml:space="preserve">There is nothing</w:t>
      </w:r>
      <w:r>
        <w:t xml:space="preserve"> </w:t>
      </w:r>
      <w:r>
        <w:rPr>
          <w:rStyle w:val="Elision"/>
        </w:rPr>
        <w:t xml:space="preserve">[ … ]</w:t>
      </w:r>
      <w:r>
        <w:t xml:space="preserve"> </w:t>
      </w:r>
      <w:r>
        <w:t xml:space="preserve">which gives support to the doctrine that, whenever in one action a party might have brought forward a particular ground of recovery or defence, and neglected to do so, he is, in a subsequent suit between the same parties upon a different cause of action, precluded from availing himself of such ground.</w:t>
      </w:r>
    </w:p>
    <w:p>
      <w:pPr>
        <w:pStyle w:val="CaseBody"/>
      </w:pPr>
      <w:r>
        <w:t xml:space="preserve">If, now, we consider the main question presented for our determination by the light of the views thus expressed and the authorities cited, its solution will not be difficult. It appears from the findings in the original action of Smith, that the county of Sac, by a vote of its people, authorized the issue of</w:t>
      </w:r>
      <w:r>
        <w:t xml:space="preserve"> </w:t>
      </w:r>
      <w:r>
        <w:rPr>
          <w:rStyle w:val="Elision"/>
        </w:rPr>
        <w:t xml:space="preserve">[ … ]</w:t>
      </w:r>
      <w:r>
        <w:t xml:space="preserve"> </w:t>
      </w:r>
      <w:r>
        <w:t xml:space="preserve">bonds to the amount of $10,000, for the erection of a court-house; that bonds to that amount were issued by the county judge, and delivered to one Meserey, with whom he had made a contract for the erection of the court-house; that immediately upon receipt of the bonds the contractor gave one of them as a gratuity to the county judge; and that the court-house was never constructed by the contractor, or by any other person pursuant to the contract. It also appears that the plaintiff had become, before their maturity, the holder of twenty-five coupons, which had been attached to the bonds, but there was no finding that he had ever given any value for them. The court below held, upon these findings, that the bonds were void as against the county, and gave judgment accordingly. The case coming here on writ of error, this court held that the facts disclosed by the findings were sufficient evidence of fraud and illegality in the inception of the bonds to call upon the holder to show that he had given value for the coupons; and, not having done so, the judgment was affirmed. Reading the record of the lower court by the opinion and judgment of this court, it must be considered that the matters adjudged in that case were these: that the bonds were void as against the county in the hands of parties who did not acquire them before maturity and give value for them, and that the plaintiff, not having proved that he gave such value, was not entitled to recover upon the coupons. Whatever illegality or fraud there was in the issue and delivery to the contractor of the bonds affected equally the coupons for interest attached to them. The finding and judgment upon the invalidity of the bonds, as against the county, must be held to estop the plaintiff here from averring to the contrary. But as the bonds were negotiable instruments, and their issue was authorized by a vote of the county, and they recite on their face a compliance with the law providing for their issue, they would be held as valid obligations against the county in the hands of a bona fide holder taking them for value before maturity, according to repeated decisions of this court upon the character of such obligations. If, therefore, the plaintiff received the bond and coupons in suit before maturity for value, as he offered to prove, he should have been permitted to show that fact. There was</w:t>
      </w:r>
      <w:r>
        <w:t xml:space="preserve"> </w:t>
      </w:r>
      <w:r>
        <w:rPr>
          <w:rStyle w:val="Elision"/>
        </w:rPr>
        <w:t xml:space="preserve">[ … ]</w:t>
      </w:r>
      <w:r>
        <w:t xml:space="preserve"> </w:t>
      </w:r>
      <w:r>
        <w:t xml:space="preserve">nothing adjudged in the former action in the finding that the plaintiff had not made such proof in that case which can preclude the present plaintiff from making such proof here. The fact that a party may not have shown that he gave value for one bond or coupon is not even presumptive, much less conclusive, evidence that he may not have given value for another and different bond or coupon. The exclusion of the evidence offered by the plaintiff was erroneous, and for the ruling of the court in that respect the judgment must be reversed and a new trial had.</w:t>
      </w:r>
    </w:p>
    <w:p>
      <w:pPr>
        <w:pStyle w:val="CaseBody"/>
      </w:pPr>
      <w:r>
        <w:rPr>
          <w:rStyle w:val="Elision"/>
        </w:rPr>
        <w:t xml:space="preserve">[ … ]</w:t>
      </w:r>
      <w:r>
        <w:t xml:space="preserve">.</w:t>
      </w:r>
    </w:p>
    <w:p>
      <w:pPr>
        <w:pStyle w:val="CaseBody"/>
      </w:pPr>
      <w:r>
        <w:t xml:space="preserve">Judgment reversed, and cause remanded for a new trial.</w:t>
      </w:r>
    </w:p>
    <w:bookmarkEnd w:id="245"/>
    <w:bookmarkStart w:id="246" w:name="Xe3192aa7f63efa639104eb97d35d764d8526852"/>
    <w:p>
      <w:pPr>
        <w:pStyle w:val="Heading2"/>
      </w:pPr>
      <w:r>
        <w:rPr>
          <w:rStyle w:val="ReplacementText"/>
        </w:rPr>
        <w:t xml:space="preserve">[A dissent by Justice Clifford is omitted.]</w:t>
      </w:r>
    </w:p>
    <w:p>
      <w:pPr>
        <w:pStyle w:val="CaseBody"/>
      </w:pPr>
      <w:r>
        <w:rPr>
          <w:rStyle w:val="Elision"/>
        </w:rPr>
        <w:t xml:space="preserve">[ … ]</w:t>
      </w:r>
    </w:p>
    <w:bookmarkEnd w:id="246"/>
    <w:p>
      <w:pPr>
        <w:pStyle w:val="NodeEnd"/>
      </w:pPr>
      <w:r>
        <w:t xml:space="preserve"> </w:t>
      </w:r>
    </w:p>
    <w:p>
      <w:pPr>
        <w:pStyle w:val="NodeStart"/>
      </w:pPr>
      <w:r>
        <w:t xml:space="preserve"> </w:t>
      </w:r>
    </w:p>
    <w:p>
      <w:pPr>
        <w:pStyle w:val="HeadSeparator"/>
      </w:pPr>
      <w:r>
        <w:t xml:space="preserve"> </w:t>
      </w:r>
    </w:p>
    <w:bookmarkStart w:id="233" w:name="_auto_toc_233"/>
    <w:bookmarkEnd w:id="233"/>
    <w:p>
      <w:pPr>
        <w:pStyle w:val="ResourceNumber"/>
      </w:pPr>
      <w:r>
        <w:t xml:space="preserve">20.5</w:t>
      </w:r>
    </w:p>
    <w:p>
      <w:pPr>
        <w:pStyle w:val="ResourceTitle"/>
      </w:pPr>
      <w:r>
        <w:t xml:space="preserve">Notes following Cromwell</w:t>
      </w:r>
    </w:p>
    <w:p>
      <w:pPr>
        <w:pStyle w:val="HeadEnd"/>
      </w:pPr>
      <w:r>
        <w:t xml:space="preserve"> </w:t>
      </w:r>
    </w:p>
    <w:p>
      <w:pPr>
        <w:numPr>
          <w:ilvl w:val="0"/>
          <w:numId w:val="1171"/>
        </w:numPr>
      </w:pPr>
      <w:r>
        <w:t xml:space="preserve">The Restatement (Second) of Judgments § 27 (1982) adopted the “actually litigated” requirement for issue preclusion. What are some arguments for and against such a requirement? Does issue preclusion encourage or discourage compromise in the first lawsuit? The second lawsuit? For further discussion of such a debate, see generally Allan D. Vestal,</w:t>
      </w:r>
      <w:r>
        <w:t xml:space="preserve"> </w:t>
      </w:r>
      <w:r>
        <w:rPr>
          <w:iCs/>
          <w:i/>
        </w:rPr>
        <w:t xml:space="preserve">The Restatement (Second) of Judgments: A Modest Dissent</w:t>
      </w:r>
      <w:r>
        <w:t xml:space="preserve">, 66 Cornell L. Rev. 464 (1981).</w:t>
      </w:r>
    </w:p>
    <w:p>
      <w:pPr>
        <w:numPr>
          <w:ilvl w:val="0"/>
          <w:numId w:val="1171"/>
        </w:numPr>
      </w:pPr>
      <w:r>
        <w:t xml:space="preserve">What is required for an issue to be “actually litigated?” Does it merely need to be included in the pleadings, even if they do not develop the issue in discovery, at summary judgment, or at trial? How might a decision on what it means for an issue to be "actually litigated" change the incentives around the issues being litigated, especially in the context of declaratory judgments? How might changes in the incentive structure change the effectiveness of issue preclusion at achieving its goals? For further discussion, and partially in response to Professor Vestal, see Geoffrey C. Hazard, Jr.,</w:t>
      </w:r>
      <w:r>
        <w:t xml:space="preserve"> </w:t>
      </w:r>
      <w:r>
        <w:rPr>
          <w:iCs/>
          <w:i/>
        </w:rPr>
        <w:t xml:space="preserve">Revisiting the Second Restatement of Judgments: Issue Preclusion and Related Problems</w:t>
      </w:r>
      <w:r>
        <w:t xml:space="preserve">, 66 Cornell L. Rev. 564 (1981).</w:t>
      </w:r>
    </w:p>
    <w:p>
      <w:pPr>
        <w:numPr>
          <w:ilvl w:val="0"/>
          <w:numId w:val="1171"/>
        </w:numPr>
      </w:pPr>
      <w:r>
        <w:t xml:space="preserve">What about a default judgment? Should a default judgment receive issue preclusive effect? Or, by virtue of being entered in default, was the issue not actually litigated? The Restatement (Second) of Judgments does not give default judgments preclusive effect, but some states disagree. In</w:t>
      </w:r>
      <w:r>
        <w:t xml:space="preserve"> </w:t>
      </w:r>
      <w:r>
        <w:rPr>
          <w:iCs/>
          <w:i/>
        </w:rPr>
        <w:t xml:space="preserve">In re</w:t>
      </w:r>
      <w:r>
        <w:t xml:space="preserve"> </w:t>
      </w:r>
      <w:r>
        <w:t xml:space="preserve">Bush, 62 F.3d 1319, 1326 (11th Cir. 1995), a judgment issued for refusal to participate in discovery was considered to have issue preclusive effect. The court reasoned that the party had “substantially participated in [the] action [and] had a full and fair opportunity to defend on the merits” but chose not to, and so would be precluded from doing so at a later date.</w:t>
      </w:r>
    </w:p>
    <w:p>
      <w:pPr>
        <w:numPr>
          <w:ilvl w:val="0"/>
          <w:numId w:val="1171"/>
        </w:numPr>
      </w:pPr>
      <w:r>
        <w:t xml:space="preserve">What about a guilty plea? The Restatement (Second) does not give a guilty plea issue preclusive effect based on the actually litigated requirement. Some courts, however, have granted preclusive effect to guilty pleas.</w:t>
      </w:r>
    </w:p>
    <w:p>
      <w:pPr>
        <w:numPr>
          <w:ilvl w:val="0"/>
          <w:numId w:val="1171"/>
        </w:numPr>
      </w:pPr>
      <w:r>
        <w:t xml:space="preserve">How does a court determine what was actually decided in the first lawsuit? Should whether a previous case was decided by a judge or a jury affect the preclusive effect in later cases? Generally, the party invoking the preclusive effect has the burden of showing that it was both actually litigated (and that all of the other elements of issue preclusion are met).</w:t>
      </w:r>
    </w:p>
    <w:p>
      <w:pPr>
        <w:pStyle w:val="NodeEnd"/>
      </w:pPr>
      <w:r>
        <w:t xml:space="preserve"> </w:t>
      </w:r>
    </w:p>
    <w:p>
      <w:pPr>
        <w:pStyle w:val="NodeStart"/>
      </w:pPr>
      <w:r>
        <w:t xml:space="preserve"> </w:t>
      </w:r>
    </w:p>
    <w:p>
      <w:pPr>
        <w:pStyle w:val="HeadSeparator"/>
      </w:pPr>
      <w:r>
        <w:t xml:space="preserve"> </w:t>
      </w:r>
    </w:p>
    <w:bookmarkStart w:id="234" w:name="_auto_toc_234"/>
    <w:bookmarkEnd w:id="234"/>
    <w:p>
      <w:pPr>
        <w:pStyle w:val="ResourceNumber"/>
      </w:pPr>
      <w:r>
        <w:t xml:space="preserve">20.6</w:t>
      </w:r>
    </w:p>
    <w:p>
      <w:pPr>
        <w:pStyle w:val="ResourceTitle"/>
      </w:pPr>
      <w:r>
        <w:t xml:space="preserve">Russell v. Place</w:t>
      </w:r>
    </w:p>
    <w:p>
      <w:pPr>
        <w:pStyle w:val="HeadFieldSeparator"/>
      </w:pPr>
      <w:r>
        <w:t xml:space="preserve"> </w:t>
      </w:r>
    </w:p>
    <w:p>
      <w:pPr>
        <w:pStyle w:val="ResourceHeadnote"/>
      </w:pPr>
      <w:r>
        <w:t xml:space="preserve">This is another issue preclusion case. On which of the elements does the court rest its decision?</w:t>
      </w:r>
    </w:p>
    <w:p>
      <w:pPr>
        <w:pStyle w:val="HeadEnd"/>
      </w:pPr>
      <w:r>
        <w:t xml:space="preserve"> </w:t>
      </w:r>
    </w:p>
    <w:p>
      <w:pPr>
        <w:pStyle w:val="CaseHeader"/>
      </w:pPr>
      <w:r>
        <w:t xml:space="preserve">Supreme Court of the United States</w:t>
      </w:r>
    </w:p>
    <w:p>
      <w:pPr>
        <w:pStyle w:val="CaseHeader"/>
      </w:pPr>
      <w:r>
        <w:t xml:space="preserve">94 U.S. 606, 24 L. Ed. 214, 1876 U.S. LEXIS 1916, SCDB 1876-179</w:t>
      </w:r>
    </w:p>
    <w:p>
      <w:pPr>
        <w:pStyle w:val="CaseHeader"/>
      </w:pPr>
      <w:r>
        <w:t xml:space="preserve">1876-10</w:t>
      </w:r>
    </w:p>
    <w:p>
      <w:pPr>
        <w:pStyle w:val="CaseBody"/>
      </w:pPr>
      <w:r>
        <w:rPr>
          <w:rStyle w:val="Elision"/>
        </w:rPr>
        <w:t xml:space="preserve">[ … ]</w:t>
      </w:r>
    </w:p>
    <w:p>
      <w:pPr>
        <w:pStyle w:val="CaseBody"/>
      </w:pPr>
      <w:r>
        <w:t xml:space="preserve">Me. Justice Field</w:t>
      </w:r>
    </w:p>
    <w:p>
      <w:pPr>
        <w:pStyle w:val="CaseBody"/>
      </w:pPr>
      <w:r>
        <w:t xml:space="preserve">delivered the opinion of the court.</w:t>
      </w:r>
    </w:p>
    <w:p>
      <w:pPr>
        <w:pStyle w:val="CaseBody"/>
      </w:pPr>
      <w:r>
        <w:t xml:space="preserve">This is a suit for an infringement of a patent to the complainant for an alleged new and useful improvement in the preparation of leather,</w:t>
      </w:r>
      <w:r>
        <w:rPr>
          <w:rStyle w:val="Elision"/>
        </w:rPr>
        <w:t xml:space="preserve">[ … ]</w:t>
      </w:r>
    </w:p>
    <w:p>
      <w:pPr>
        <w:pStyle w:val="CaseBody"/>
      </w:pPr>
      <w:r>
        <w:t xml:space="preserve">The bill of complaint sets forth the invention claimed, the issue of a patent for the same</w:t>
      </w:r>
      <w:r>
        <w:rPr>
          <w:rStyle w:val="Elision"/>
        </w:rPr>
        <w:t xml:space="preserve">[ … ]</w:t>
      </w:r>
      <w:r>
        <w:t xml:space="preserve">and the recovery of judgment against the defendants for damages in an action at law for a violation of</w:t>
      </w:r>
      <w:r>
        <w:t xml:space="preserve"> </w:t>
      </w:r>
      <w:r>
        <w:rPr>
          <w:rStyle w:val="Elision"/>
        </w:rPr>
        <w:t xml:space="preserve">[ … ]</w:t>
      </w:r>
      <w:r>
        <w:t xml:space="preserve"> </w:t>
      </w:r>
      <w:r>
        <w:t xml:space="preserve">the patent.</w:t>
      </w:r>
    </w:p>
    <w:p>
      <w:pPr>
        <w:pStyle w:val="CaseBody"/>
      </w:pPr>
      <w:r>
        <w:t xml:space="preserve">The bill then alleges the subsequent manufacture, use, and sale by the defendants, without the license of the patentee, of the alleged invention and improvement, and prays that they may be decreed to account for the gains and profits thus acquired by them, and be enjoined from further infringement.</w:t>
      </w:r>
    </w:p>
    <w:p>
      <w:pPr>
        <w:pStyle w:val="CaseBody"/>
      </w:pPr>
      <w:r>
        <w:t xml:space="preserve">The answer</w:t>
      </w:r>
      <w:r>
        <w:t xml:space="preserve"> </w:t>
      </w:r>
      <w:r>
        <w:rPr>
          <w:rStyle w:val="Elision"/>
        </w:rPr>
        <w:t xml:space="preserve">[ … ]</w:t>
      </w:r>
      <w:r>
        <w:rPr>
          <w:rStyle w:val="Elision"/>
        </w:rPr>
        <w:t xml:space="preserve">[ … ]</w:t>
      </w:r>
      <w:r>
        <w:t xml:space="preserve"> </w:t>
      </w:r>
      <w:r>
        <w:t xml:space="preserve">admits the recovery by the complainant in the action at law of the judgment mentioned, but denies that the same issues were involved or tried in that action which are raised in this suit.</w:t>
      </w:r>
    </w:p>
    <w:p>
      <w:pPr>
        <w:pStyle w:val="CaseBody"/>
      </w:pPr>
      <w:r>
        <w:t xml:space="preserve">Th</w:t>
      </w:r>
      <w:r>
        <w:t xml:space="preserve">e action at law w</w:t>
      </w:r>
      <w:r>
        <w:rPr>
          <w:rStyle w:val="FootnoteReference"/>
        </w:rPr>
        <w:footnoteReference w:customMarkFollows="1" w:id="48"/>
        <w:t xml:space="preserve">*</w:t>
      </w:r>
      <w:r>
        <w:t xml:space="preserve">as brought in the</w:t>
      </w:r>
      <w:r>
        <w:t xml:space="preserve"> </w:t>
      </w:r>
      <w:r>
        <w:rPr>
          <w:rStyle w:val="ReplacementText"/>
        </w:rPr>
        <w:t xml:space="preserve">District</w:t>
      </w:r>
      <w:r>
        <w:t xml:space="preserve">Court of the United States for the Northern District of New York, in the ordinary form of such actions for infringement of the privileges secured by a patent. The defendants pleaded the general issue, and set-up, by special notice under the act of Congress, the want of novelty in the invention, and its use by the public for more than two years prior to the application for a patent.</w:t>
      </w:r>
      <w:r>
        <w:rPr>
          <w:rStyle w:val="Elision"/>
        </w:rPr>
        <w:t xml:space="preserve">[ … ]</w:t>
      </w:r>
      <w:r>
        <w:t xml:space="preserve"> </w:t>
      </w:r>
      <w:r>
        <w:t xml:space="preserve">The plaintiff obtained a verdict for damages, upon which the judgment mentioned was entered; and this judgment, it is now insisted, estops the defendants in this suit from- insisting upon the want of novelty in the invention patented, and its prior use by the public, and also from insisting upon any ground going to the validity of the patent which might have been availed of as a defence in that action, and, of course, upon the want of identity in the invention covered by the reissue with that of the original patent.</w:t>
      </w:r>
    </w:p>
    <w:p>
      <w:pPr>
        <w:pStyle w:val="CaseBody"/>
      </w:pPr>
      <w:r>
        <w:t xml:space="preserve">It is undoubtedly settled law that a judgment of a court of competent jurisdiction, upon a question directly involved in one suit, is conclusive as to that question in another suit between the same parties. But to this operation of the judgment it must appear, either</w:t>
      </w:r>
      <w:r>
        <w:t xml:space="preserve"> </w:t>
      </w:r>
      <w:r>
        <w:rPr>
          <w:rStyle w:val="ReplacementText"/>
        </w:rPr>
        <w:t xml:space="preserve">upon</w:t>
      </w:r>
      <w:r>
        <w:t xml:space="preserve"> </w:t>
      </w:r>
      <w:r>
        <w:t xml:space="preserve">the face of the record or be shown by extrinsic evidence, that the precise question was raised and determined in the former suit. If there be any uncertainty on. this head in the record, — as, for example, if it appear that several distinct matters may have</w:t>
      </w:r>
      <w:r>
        <w:rPr>
          <w:rStyle w:val="Elision"/>
        </w:rPr>
        <w:t xml:space="preserve">[ … ]</w:t>
      </w:r>
      <w:r>
        <w:t xml:space="preserve">been litigated, upon one or more of</w:t>
      </w:r>
      <w:r>
        <w:t xml:space="preserve"> </w:t>
      </w:r>
      <w:r>
        <w:rPr>
          <w:rStyle w:val="Elision"/>
        </w:rPr>
        <w:t xml:space="preserve">[ … ]</w:t>
      </w:r>
      <w:r>
        <w:t xml:space="preserve">which the judgment may have passed, without indicating which of them was thus litigated, and upon which the judgment was rendered,</w:t>
      </w:r>
      <w:r>
        <w:t xml:space="preserve"> </w:t>
      </w:r>
      <w:r>
        <w:rPr>
          <w:rStyle w:val="Elision"/>
        </w:rPr>
        <w:t xml:space="preserve">[ … ]</w:t>
      </w:r>
      <w:r>
        <w:t xml:space="preserve"> </w:t>
      </w:r>
      <w:r>
        <w:t xml:space="preserve">the whole subject-matter of the action will be at large, and open to a new contention, unless this uncertainty be removed by extrinsic evidence showing the precise point involved and determined. To apply the judgment, and give effect to the adjudication actually made, when the record leaves the matter in doubt, such evidence is admissible.</w:t>
      </w:r>
    </w:p>
    <w:p>
      <w:pPr>
        <w:pStyle w:val="CaseBody"/>
      </w:pPr>
      <w:r>
        <w:rPr>
          <w:rStyle w:val="Elision"/>
        </w:rPr>
        <w:t xml:space="preserve">[ … ]</w:t>
      </w:r>
    </w:p>
    <w:p>
      <w:pPr>
        <w:pStyle w:val="CaseBody"/>
      </w:pPr>
      <w:r>
        <w:t xml:space="preserve">Tested by these views, the question presented by the plaintiff in this case, upon the effect as evidence of the verdict and judgment in the action at law, is of easy solution. The record of that action does not disclose the nature of the infringement for which damages were recovered. The declaration only avers that the plaintiff was the original and first inventor of a new and useful improvement in the preparation of leather</w:t>
      </w:r>
      <w:r>
        <w:rPr>
          <w:rStyle w:val="Elision"/>
        </w:rPr>
        <w:t xml:space="preserve">[ … ]</w:t>
      </w:r>
      <w:r>
        <w:t xml:space="preserve"> </w:t>
      </w:r>
      <w:r>
        <w:t xml:space="preserve">without describing with other particularity the nature and operation of the invention; and alleges, as the infringement complained of, that the defendants have made and used the invention, and have caused others to make</w:t>
      </w:r>
      <w:r>
        <w:t xml:space="preserve"> </w:t>
      </w:r>
      <w:r>
        <w:rPr>
          <w:rStyle w:val="Elision"/>
        </w:rPr>
        <w:t xml:space="preserve">[ … ]</w:t>
      </w:r>
      <w:r>
        <w:t xml:space="preserve">and use it. The patent contains two</w:t>
      </w:r>
      <w:r>
        <w:t xml:space="preserve"> </w:t>
      </w:r>
      <w:r>
        <w:t xml:space="preserve">claims</w:t>
      </w:r>
      <w:r>
        <w:t xml:space="preserve"> </w:t>
      </w:r>
      <w:r>
        <w:rPr>
          <w:rStyle w:val="FootnoteReference"/>
        </w:rPr>
        <w:footnoteReference w:customMarkFollows="1" w:id="89"/>
        <w:t xml:space="preserve">**</w:t>
      </w:r>
      <w:r>
        <w:t xml:space="preserve">: one for the use of fat liquor generally in the treatment of leather, and the other for a process of treating bark tanned lamb or sheep skin by means of a compound composed and applied in a particular manner. Whether the infringement for which the verdict and judgment passed consisted in the simple use of fat liquor in the treatment of leather, or in the use of the process specified, does not appear from the record. A recovery for an infringement of one claim of the patent is not of itself conclusive of an infringement of the other claim, and there was no extrinsic evidence offered to remove the uncertainty upon the record</w:t>
      </w:r>
      <w:r>
        <w:rPr>
          <w:rStyle w:val="ReplacementText"/>
        </w:rPr>
        <w:t xml:space="preserve">;</w:t>
      </w:r>
      <w:r>
        <w:t xml:space="preserve"> </w:t>
      </w:r>
      <w:r>
        <w:t xml:space="preserve">it is left to conjecture what was in fact litigated and determined.</w:t>
      </w:r>
      <w:r>
        <w:t xml:space="preserve"> </w:t>
      </w:r>
      <w:r>
        <w:rPr>
          <w:rStyle w:val="Elision"/>
        </w:rPr>
        <w:t xml:space="preserve">[ … ]</w:t>
      </w:r>
      <w:r>
        <w:t xml:space="preserve">The verdict may have been for an infringement of the first claim; it may have been for an infringement of the second; it may have been for an infringement of both. The validity of the patent was not necessarily involved, except with respect to the claim which was the basis of the recovery. A patent may be valid as to a single claim and not valid as to the others. The record wants, therefore, that certainty which is essential to its operation as an estoppel, and does not conclude the defendants from contesting the infringement or the validity of the patent in this suit.</w:t>
      </w:r>
    </w:p>
    <w:p>
      <w:pPr>
        <w:pStyle w:val="CaseBody"/>
      </w:pPr>
      <w:r>
        <w:rPr>
          <w:rStyle w:val="Elision"/>
        </w:rPr>
        <w:t xml:space="preserve">[ … ]</w:t>
      </w:r>
    </w:p>
    <w:p>
      <w:pPr>
        <w:pStyle w:val="CaseBody"/>
      </w:pPr>
      <w:r>
        <w:rPr>
          <w:rStyle w:val="Elision"/>
        </w:rPr>
        <w:t xml:space="preserve">[ … ]</w:t>
      </w:r>
    </w:p>
    <w:p>
      <w:pPr>
        <w:pStyle w:val="CaseBody"/>
      </w:pPr>
      <w:r>
        <w:rPr>
          <w:iCs/>
          <w:i/>
        </w:rPr>
        <w:t xml:space="preserve">Decree affirmed,</w:t>
      </w:r>
    </w:p>
    <w:p>
      <w:pPr>
        <w:pStyle w:val="CaseBody"/>
      </w:pPr>
      <w:r>
        <w:t xml:space="preserve">Mr. Justice Clifford dissented.</w:t>
      </w:r>
    </w:p>
    <w:p>
      <w:pPr>
        <w:pStyle w:val="NodeEnd"/>
      </w:pPr>
      <w:r>
        <w:t xml:space="preserve"> </w:t>
      </w:r>
    </w:p>
    <w:p>
      <w:pPr>
        <w:pStyle w:val="NodeStart"/>
      </w:pPr>
      <w:r>
        <w:t xml:space="preserve"> </w:t>
      </w:r>
    </w:p>
    <w:p>
      <w:pPr>
        <w:pStyle w:val="HeadSeparator"/>
      </w:pPr>
      <w:r>
        <w:t xml:space="preserve"> </w:t>
      </w:r>
    </w:p>
    <w:bookmarkStart w:id="235" w:name="_auto_toc_235"/>
    <w:bookmarkEnd w:id="235"/>
    <w:p>
      <w:pPr>
        <w:pStyle w:val="ResourceNumber"/>
      </w:pPr>
      <w:r>
        <w:t xml:space="preserve">20.7</w:t>
      </w:r>
    </w:p>
    <w:p>
      <w:pPr>
        <w:pStyle w:val="ResourceTitle"/>
      </w:pPr>
      <w:r>
        <w:t xml:space="preserve">Notes following Russell</w:t>
      </w:r>
    </w:p>
    <w:p>
      <w:pPr>
        <w:pStyle w:val="HeadEnd"/>
      </w:pPr>
      <w:r>
        <w:t xml:space="preserve"> </w:t>
      </w:r>
    </w:p>
    <w:p>
      <w:pPr>
        <w:numPr>
          <w:ilvl w:val="0"/>
          <w:numId w:val="1172"/>
        </w:numPr>
      </w:pPr>
      <w:r>
        <w:t xml:space="preserve">Imagine that Alice and Bob get into a car accident. Alice sues Bob for her injuries alleging negligence. Bob answers and pleads the affirmative defense of contributory negligence. The issues are both actually litigated, and a verdict is entered for Bob. Should Bob be able to invoke issue preclusion to establish part of a case if he sues Alice for his injuries?</w:t>
      </w:r>
    </w:p>
    <w:p>
      <w:pPr>
        <w:numPr>
          <w:ilvl w:val="0"/>
          <w:numId w:val="1172"/>
        </w:numPr>
      </w:pPr>
      <w:r>
        <w:t xml:space="preserve">In some states, a general verdict that could have been found on any of a group of alternative grounds for liability is considered to have issue preclusive effect in favor of the winner on</w:t>
      </w:r>
      <w:r>
        <w:t xml:space="preserve"> </w:t>
      </w:r>
      <w:r>
        <w:rPr>
          <w:iCs/>
          <w:i/>
        </w:rPr>
        <w:t xml:space="preserve">all</w:t>
      </w:r>
      <w:r>
        <w:t xml:space="preserve"> </w:t>
      </w:r>
      <w:r>
        <w:t xml:space="preserve">grounds. In some states, the opposite is true. Which is consistent with</w:t>
      </w:r>
      <w:r>
        <w:t xml:space="preserve"> </w:t>
      </w:r>
      <w:r>
        <w:rPr>
          <w:iCs/>
          <w:i/>
        </w:rPr>
        <w:t xml:space="preserve">Russell v. Place</w:t>
      </w:r>
      <w:r>
        <w:t xml:space="preserve">? Which rule do you find better? Consider the following scenarios and think about which theories of liability both should and do have preclusive effect:</w:t>
      </w:r>
    </w:p>
    <w:p>
      <w:pPr>
        <w:numPr>
          <w:ilvl w:val="1"/>
          <w:numId w:val="1173"/>
        </w:numPr>
      </w:pPr>
      <w:r>
        <w:t xml:space="preserve">A jury makes specific findings of fact on each of the alternative grounds for liability.</w:t>
      </w:r>
    </w:p>
    <w:p>
      <w:pPr>
        <w:numPr>
          <w:ilvl w:val="1"/>
          <w:numId w:val="1173"/>
        </w:numPr>
      </w:pPr>
      <w:r>
        <w:t xml:space="preserve">The first lawsuit is a bench trial and a judge makes specific findings of fact on each of the alternative grounds for liability.</w:t>
      </w:r>
    </w:p>
    <w:p>
      <w:pPr>
        <w:numPr>
          <w:ilvl w:val="1"/>
          <w:numId w:val="1173"/>
        </w:numPr>
      </w:pPr>
      <w:r>
        <w:t xml:space="preserve">An appellate court affirms the trial court in the first lawsuit on only one ground of liability. Does this change if the trial court did or did not make findings on each specific ground?</w:t>
      </w:r>
    </w:p>
    <w:p>
      <w:pPr>
        <w:pStyle w:val="NodeEnd"/>
      </w:pPr>
      <w:r>
        <w:t xml:space="preserve"> </w:t>
      </w:r>
    </w:p>
    <w:p>
      <w:pPr>
        <w:pStyle w:val="NodeStart"/>
      </w:pPr>
      <w:r>
        <w:t xml:space="preserve"> </w:t>
      </w:r>
    </w:p>
    <w:p>
      <w:pPr>
        <w:pStyle w:val="HeadSeparator"/>
      </w:pPr>
      <w:r>
        <w:t xml:space="preserve"> </w:t>
      </w:r>
    </w:p>
    <w:bookmarkStart w:id="236" w:name="_auto_toc_236"/>
    <w:bookmarkEnd w:id="236"/>
    <w:p>
      <w:pPr>
        <w:pStyle w:val="ResourceNumber"/>
      </w:pPr>
      <w:r>
        <w:t xml:space="preserve">20.8</w:t>
      </w:r>
    </w:p>
    <w:p>
      <w:pPr>
        <w:pStyle w:val="ResourceTitle"/>
      </w:pPr>
      <w:r>
        <w:t xml:space="preserve">Rios v. Davis</w:t>
      </w:r>
    </w:p>
    <w:p>
      <w:pPr>
        <w:pStyle w:val="HeadFieldSeparator"/>
      </w:pPr>
      <w:r>
        <w:t xml:space="preserve"> </w:t>
      </w:r>
    </w:p>
    <w:p>
      <w:pPr>
        <w:pStyle w:val="ResourceHeadnote"/>
      </w:pPr>
      <w:r>
        <w:t xml:space="preserve">This is an issue preclusion case. Which element of issue preclusion does it interpret?</w:t>
      </w:r>
    </w:p>
    <w:p>
      <w:pPr>
        <w:pStyle w:val="HeadEnd"/>
      </w:pPr>
      <w:r>
        <w:t xml:space="preserve"> </w:t>
      </w:r>
    </w:p>
    <w:p>
      <w:pPr>
        <w:pStyle w:val="CaseHeader"/>
      </w:pPr>
      <w:r>
        <w:t xml:space="preserve">Texas Courts of Civil Appeals</w:t>
      </w:r>
    </w:p>
    <w:p>
      <w:pPr>
        <w:pStyle w:val="CaseHeader"/>
      </w:pPr>
      <w:r>
        <w:t xml:space="preserve">373 S.W.2d 386</w:t>
      </w:r>
    </w:p>
    <w:p>
      <w:pPr>
        <w:pStyle w:val="CaseHeader"/>
      </w:pPr>
      <w:r>
        <w:t xml:space="preserve">No. 3847</w:t>
      </w:r>
    </w:p>
    <w:p>
      <w:pPr>
        <w:pStyle w:val="CaseHeader"/>
      </w:pPr>
      <w:r>
        <w:t xml:space="preserve">1963-11-22</w:t>
      </w:r>
    </w:p>
    <w:p>
      <w:pPr>
        <w:pStyle w:val="CaseBody"/>
      </w:pPr>
      <w:r>
        <w:rPr>
          <w:rStyle w:val="Elision"/>
        </w:rPr>
        <w:t xml:space="preserve">[ … ]</w:t>
      </w:r>
    </w:p>
    <w:p>
      <w:pPr>
        <w:pStyle w:val="CaseBody"/>
      </w:pPr>
      <w:r>
        <w:t xml:space="preserve">COLLINGS, Justice.</w:t>
      </w:r>
    </w:p>
    <w:p>
      <w:pPr>
        <w:pStyle w:val="CaseBody"/>
      </w:pPr>
      <w:r>
        <w:t xml:space="preserve">Juan C. Rios brought this suit against Jessie Hubert Davis in the District Court to recover damages in the sum of $17,500.</w:t>
      </w:r>
      <w:r>
        <w:rPr>
          <w:rStyle w:val="Elision"/>
        </w:rPr>
        <w:t xml:space="preserve">[ … ]</w:t>
      </w:r>
      <w:r>
        <w:t xml:space="preserve">, alleged to have been sustained as a result of personal injuries received on December 24, 1960, in an automobile collision. Plaintiff alleged that his injuries were proximately caused by negligence on the part of the defendant. The defendant answered alleging that Rios was guilty of contributory negligence. Also, among other defenses, the defendant urged a plea of</w:t>
      </w:r>
      <w:r>
        <w:t xml:space="preserve"> </w:t>
      </w:r>
      <w:r>
        <w:rPr>
          <w:rStyle w:val="Elision"/>
        </w:rPr>
        <w:t xml:space="preserve">[ … ]</w:t>
      </w:r>
      <w:r>
        <w:t xml:space="preserve">collateral estoppel</w:t>
      </w:r>
      <w:r>
        <w:t xml:space="preserve"> </w:t>
      </w:r>
      <w:r>
        <w:rPr>
          <w:rStyle w:val="FootnoteReference"/>
        </w:rPr>
        <w:footnoteReference w:customMarkFollows="1" w:id="49"/>
        <w:t xml:space="preserve">*</w:t>
      </w:r>
      <w:r>
        <w:t xml:space="preserve">based upon the findings and the judgment entered on December 17, 1962, in a suit between the same parties in the County Court at Law of El Paso County. The plea</w:t>
      </w:r>
      <w:r>
        <w:t xml:space="preserve"> </w:t>
      </w:r>
      <w:r>
        <w:rPr>
          <w:rStyle w:val="Elision"/>
        </w:rPr>
        <w:t xml:space="preserve">[ … ]</w:t>
      </w:r>
      <w:r>
        <w:t xml:space="preserve"> </w:t>
      </w:r>
      <w:r>
        <w:t xml:space="preserve">was sustained and judgment was entered in favor of the defendant Jessie Hubert Davis. Juan C. Rios has appealed.</w:t>
      </w:r>
    </w:p>
    <w:p>
      <w:pPr>
        <w:pStyle w:val="CaseBody"/>
      </w:pPr>
      <w:r>
        <w:t xml:space="preserve">It is shown by the record that on April 11, 1961, Popular Dry Goods Company brought suit against appellee Davis in the El Paso County Court at Law, seeking to recover for damages to its truck in the sum of $443.97, alleged to have been sustained in the same collision here involved. Davis answered alleging contributory negligence on the part of Popular and joined appellant Juan C. Rios as a third party defendant and sought to recover from Rios $248.50, the alleged amount of damages to his automobile. The jury in the County Court at Law found that Popular Dry Goods Company and Rios were guilty of negligence proximately causing the collision. However, the jury also found that Davis was guilty of negligence proximately causing the collision, and judgment was entered in the County Court at Law denying Popular Dry Goods any recovery against Davis and denying Davis any recovery against Rios.</w:t>
      </w:r>
    </w:p>
    <w:p>
      <w:pPr>
        <w:pStyle w:val="CaseBody"/>
      </w:pPr>
      <w:r>
        <w:t xml:space="preserve">Appellant Rios in his third point contends that the District Court erred in sustaining appellee’s plea of</w:t>
      </w:r>
      <w:r>
        <w:t xml:space="preserve"> </w:t>
      </w:r>
      <w:r>
        <w:rPr>
          <w:rStyle w:val="ReplacementText"/>
        </w:rPr>
        <w:t xml:space="preserve">issue preclusion</w:t>
      </w:r>
      <w:r>
        <w:t xml:space="preserve"> </w:t>
      </w:r>
      <w:r>
        <w:t xml:space="preserve">based upon the judgment of the County Court at Law because the findings on the issues regarding appellant’s negligence and liability in the County Court at Law case were immaterial because the judgment entered in that case was in favor of appellant. We sustain this point.</w:t>
      </w:r>
      <w:r>
        <w:t xml:space="preserve"> </w:t>
      </w:r>
      <w:r>
        <w:rPr>
          <w:rStyle w:val="Elision"/>
        </w:rPr>
        <w:t xml:space="preserve">[ … ]</w:t>
      </w:r>
      <w:r>
        <w:t xml:space="preserve">The sole basis for the judgment in the County Court at Law as between Rios and Davis was the findings concerning the negligence of Davis. The finding that Rios was negligent was not essential or material to the judgment and the judgment was not based thereon. On the contrary, the finding in the County Court at Law case that Rios was negligent proximately causing the accident would, if it had been controlling, led to a different result. Since the judgment was in favor of Rios he had no right or opportunity to complain of or to appeal from the finding that he was guilty of such negligence even if such finding had been without any support whatever in the evidence. The right of appeal is from a judgment and not from a finding.</w:t>
      </w:r>
      <w:r>
        <w:t xml:space="preserve"> </w:t>
      </w:r>
      <w:r>
        <w:rPr>
          <w:rStyle w:val="Elision"/>
        </w:rPr>
        <w:t xml:space="preserve">[ … ]</w:t>
      </w:r>
    </w:p>
    <w:p>
      <w:pPr>
        <w:pStyle w:val="CaseBody"/>
      </w:pPr>
      <w:r>
        <w:rPr>
          <w:rStyle w:val="Elision"/>
        </w:rPr>
        <w:t xml:space="preserve">[ … ]</w:t>
      </w:r>
      <w:r>
        <w:rPr>
          <w:rStyle w:val="Elision"/>
        </w:rPr>
        <w:t xml:space="preserve">[ … ]</w:t>
      </w:r>
    </w:p>
    <w:p>
      <w:pPr>
        <w:pStyle w:val="CaseBody"/>
      </w:pPr>
      <w:r>
        <w:rPr>
          <w:rStyle w:val="Elision"/>
        </w:rPr>
        <w:t xml:space="preserve">[ … ]</w:t>
      </w:r>
    </w:p>
    <w:p>
      <w:pPr>
        <w:pStyle w:val="CaseBody"/>
      </w:pPr>
      <w:r>
        <w:t xml:space="preserve">For the reasons stated the court erred in entering judgment for Jessie Hubert Davis based upon his plea of</w:t>
      </w:r>
      <w:r>
        <w:t xml:space="preserve"> </w:t>
      </w:r>
      <w:r>
        <w:rPr>
          <w:rStyle w:val="Elision"/>
        </w:rPr>
        <w:t xml:space="preserve">[ … ]</w:t>
      </w:r>
      <w:r>
        <w:t xml:space="preserve"> </w:t>
      </w:r>
      <w:r>
        <w:t xml:space="preserve">collateral estoppel. The judgment is, therefore, reversed and the cause is remanded.</w:t>
      </w:r>
    </w:p>
    <w:p>
      <w:pPr>
        <w:pStyle w:val="NodeEnd"/>
      </w:pPr>
      <w:r>
        <w:t xml:space="preserve"> </w:t>
      </w:r>
    </w:p>
    <w:p>
      <w:pPr>
        <w:pStyle w:val="NodeStart"/>
      </w:pPr>
      <w:r>
        <w:t xml:space="preserve"> </w:t>
      </w:r>
    </w:p>
    <w:p>
      <w:pPr>
        <w:pStyle w:val="HeadSeparator"/>
      </w:pPr>
      <w:r>
        <w:t xml:space="preserve"> </w:t>
      </w:r>
    </w:p>
    <w:bookmarkStart w:id="237" w:name="_auto_toc_237"/>
    <w:bookmarkEnd w:id="237"/>
    <w:p>
      <w:pPr>
        <w:pStyle w:val="ResourceNumber"/>
      </w:pPr>
      <w:r>
        <w:t xml:space="preserve">20.9</w:t>
      </w:r>
    </w:p>
    <w:p>
      <w:pPr>
        <w:pStyle w:val="ResourceTitle"/>
      </w:pPr>
      <w:r>
        <w:t xml:space="preserve">Notes following Rios</w:t>
      </w:r>
    </w:p>
    <w:p>
      <w:pPr>
        <w:pStyle w:val="HeadEnd"/>
      </w:pPr>
      <w:r>
        <w:t xml:space="preserve"> </w:t>
      </w:r>
    </w:p>
    <w:p>
      <w:pPr>
        <w:numPr>
          <w:ilvl w:val="0"/>
          <w:numId w:val="1174"/>
        </w:numPr>
      </w:pPr>
      <w:r>
        <w:t xml:space="preserve">The verdict in the initial case in</w:t>
      </w:r>
      <w:r>
        <w:t xml:space="preserve"> </w:t>
      </w:r>
      <w:r>
        <w:rPr>
          <w:iCs/>
          <w:i/>
        </w:rPr>
        <w:t xml:space="preserve">Rios</w:t>
      </w:r>
      <w:r>
        <w:t xml:space="preserve"> </w:t>
      </w:r>
      <w:r>
        <w:t xml:space="preserve">(which took place prior to the one you read) was submitted to the jury on “special issues,” meaning that the jury answered written questions that the judge provided. Does</w:t>
      </w:r>
      <w:r>
        <w:t xml:space="preserve"> </w:t>
      </w:r>
      <w:r>
        <w:rPr>
          <w:iCs/>
          <w:i/>
        </w:rPr>
        <w:t xml:space="preserve">Rios</w:t>
      </w:r>
      <w:r>
        <w:t xml:space="preserve"> </w:t>
      </w:r>
      <w:r>
        <w:t xml:space="preserve">make you think that these should be used more or less frequently?</w:t>
      </w:r>
    </w:p>
    <w:p>
      <w:pPr>
        <w:numPr>
          <w:ilvl w:val="0"/>
          <w:numId w:val="1174"/>
        </w:numPr>
      </w:pPr>
      <w:r>
        <w:rPr>
          <w:iCs/>
          <w:i/>
        </w:rPr>
        <w:t xml:space="preserve">Russell</w:t>
      </w:r>
      <w:r>
        <w:t xml:space="preserve"> </w:t>
      </w:r>
      <w:r>
        <w:t xml:space="preserve">held that there was no issue preclusion because of a general verdict, and</w:t>
      </w:r>
      <w:r>
        <w:t xml:space="preserve"> </w:t>
      </w:r>
      <w:r>
        <w:rPr>
          <w:iCs/>
          <w:i/>
        </w:rPr>
        <w:t xml:space="preserve">Rios</w:t>
      </w:r>
      <w:r>
        <w:t xml:space="preserve"> </w:t>
      </w:r>
      <w:r>
        <w:t xml:space="preserve">held that there was no issue preclusion because the outcome of the case was not determined by the findings in the special verdict. Note that multiple findings are preclusive if the jury needed each of the findings to arrive at its conclusion.</w:t>
      </w:r>
    </w:p>
    <w:p>
      <w:pPr>
        <w:numPr>
          <w:ilvl w:val="0"/>
          <w:numId w:val="1174"/>
        </w:numPr>
      </w:pPr>
      <w:r>
        <w:rPr>
          <w:iCs/>
          <w:i/>
        </w:rPr>
        <w:t xml:space="preserve">Rios</w:t>
      </w:r>
      <w:r>
        <w:t xml:space="preserve"> </w:t>
      </w:r>
      <w:r>
        <w:t xml:space="preserve">held that Rios was not estopped from denying his own negligence because the finding of his negligence was not necessary to the decision in the prior case. What about Davis (the other party)? Should he be estopped from denying his negligence in a future proceeding?</w:t>
      </w:r>
    </w:p>
    <w:p>
      <w:pPr>
        <w:numPr>
          <w:ilvl w:val="0"/>
          <w:numId w:val="1174"/>
        </w:numPr>
      </w:pPr>
      <w:r>
        <w:t xml:space="preserve">Consider the following situation: Davis had not crossclaimed against Rios when Popular brought suit against him, but instead impleaded Davis for contribution. Then, Popular had made a claim against Rios and at trial won against both Rios and Davis (drawing a diagram may help). If Rios then later sued Davis (as he did in the actual case), what would the preclusive effect be? Could Rios use issue preclusion against Davis to establish his negligence? Generally, the answer is no: absent a claim against the other by Rios or Davis, the two coparties would not be considered adversaries, so no issue preclusion would be present.</w:t>
      </w:r>
    </w:p>
    <w:p>
      <w:pPr>
        <w:numPr>
          <w:ilvl w:val="0"/>
          <w:numId w:val="1174"/>
        </w:numPr>
      </w:pPr>
      <w:r>
        <w:t xml:space="preserve">Part of the reasoning for the outcome in</w:t>
      </w:r>
      <w:r>
        <w:t xml:space="preserve"> </w:t>
      </w:r>
      <w:r>
        <w:rPr>
          <w:iCs/>
          <w:i/>
        </w:rPr>
        <w:t xml:space="preserve">Rios</w:t>
      </w:r>
      <w:r>
        <w:t xml:space="preserve"> </w:t>
      </w:r>
      <w:r>
        <w:t xml:space="preserve">(and underlying the necessary to the decision requirement) is that Rios could not have appealed the finding of his negligence in the first action. Should a prevailing party have been able to attack such a finding?</w:t>
      </w:r>
    </w:p>
    <w:p>
      <w:pPr>
        <w:numPr>
          <w:ilvl w:val="0"/>
          <w:numId w:val="1174"/>
        </w:numPr>
      </w:pPr>
      <w:r>
        <w:t xml:space="preserve">Sometimes courts grant issue preclusive effect to findings that were not strictly necessary to the final judgment, but were treated by the court and party to be bound as such. Does this rule make sense? How does it compare to the rule in</w:t>
      </w:r>
      <w:r>
        <w:t xml:space="preserve"> </w:t>
      </w:r>
      <w:r>
        <w:rPr>
          <w:iCs/>
          <w:i/>
        </w:rPr>
        <w:t xml:space="preserve">Rios</w:t>
      </w:r>
      <w:r>
        <w:t xml:space="preserve">?</w:t>
      </w:r>
    </w:p>
    <w:p>
      <w:pPr>
        <w:numPr>
          <w:ilvl w:val="0"/>
          <w:numId w:val="1174"/>
        </w:numPr>
      </w:pPr>
      <w:r>
        <w:t xml:space="preserve">Compare some varying approaches to issue preclusion. Which do you prefer? Which makes the most sense from a fairness perspective? What about judicial administration? Be careful to, if you think it necessary, draw a distinction between multiple holdings and nonessential holdings.</w:t>
      </w:r>
    </w:p>
    <w:p>
      <w:pPr>
        <w:numPr>
          <w:ilvl w:val="1"/>
          <w:numId w:val="1175"/>
        </w:numPr>
      </w:pPr>
      <w:r>
        <w:t xml:space="preserve">The rule from</w:t>
      </w:r>
      <w:r>
        <w:t xml:space="preserve"> </w:t>
      </w:r>
      <w:r>
        <w:rPr>
          <w:iCs/>
          <w:i/>
        </w:rPr>
        <w:t xml:space="preserve">Rios</w:t>
      </w:r>
    </w:p>
    <w:p>
      <w:pPr>
        <w:numPr>
          <w:ilvl w:val="1"/>
          <w:numId w:val="1175"/>
        </w:numPr>
      </w:pPr>
      <w:r>
        <w:t xml:space="preserve">The rule described in note 6</w:t>
      </w:r>
    </w:p>
    <w:p>
      <w:pPr>
        <w:numPr>
          <w:ilvl w:val="1"/>
          <w:numId w:val="1175"/>
        </w:numPr>
      </w:pPr>
      <w:r>
        <w:t xml:space="preserve">A rule that any of multiple independent grounds supporting a judgment can be relitigated</w:t>
      </w:r>
    </w:p>
    <w:p>
      <w:pPr>
        <w:numPr>
          <w:ilvl w:val="1"/>
          <w:numId w:val="1175"/>
        </w:numPr>
      </w:pPr>
      <w:r>
        <w:t xml:space="preserve">A rule that none of any multiple independent grounds supporting a judgment can be relitigated</w:t>
      </w:r>
    </w:p>
    <w:p>
      <w:pPr>
        <w:numPr>
          <w:ilvl w:val="1"/>
          <w:numId w:val="1175"/>
        </w:numPr>
      </w:pPr>
      <w:r>
        <w:t xml:space="preserve">A rule that only secondary issues may be relitigated when multiple independent grounds support a judgment, but not the primary issue.</w:t>
      </w:r>
    </w:p>
    <w:p>
      <w:pPr>
        <w:pStyle w:val="NodeEnd"/>
      </w:pPr>
      <w:r>
        <w:t xml:space="preserve"> </w:t>
      </w:r>
    </w:p>
    <w:p>
      <w:pPr>
        <w:pStyle w:val="NodeStart"/>
      </w:pPr>
      <w:r>
        <w:t xml:space="preserve"> </w:t>
      </w:r>
    </w:p>
    <w:p>
      <w:pPr>
        <w:pStyle w:val="HeadSeparator"/>
      </w:pPr>
      <w:r>
        <w:t xml:space="preserve"> </w:t>
      </w:r>
    </w:p>
    <w:bookmarkStart w:id="238" w:name="_auto_toc_238"/>
    <w:bookmarkEnd w:id="238"/>
    <w:p>
      <w:pPr>
        <w:pStyle w:val="ResourceNumber"/>
      </w:pPr>
      <w:r>
        <w:t xml:space="preserve">20.10</w:t>
      </w:r>
    </w:p>
    <w:p>
      <w:pPr>
        <w:pStyle w:val="ResourceTitle"/>
      </w:pPr>
      <w:r>
        <w:t xml:space="preserve">Blonder-Tongue Laboratories, Inc. v. University of Illinois Foundation</w:t>
      </w:r>
    </w:p>
    <w:p>
      <w:pPr>
        <w:pStyle w:val="HeadFieldSeparator"/>
      </w:pPr>
      <w:r>
        <w:t xml:space="preserve"> </w:t>
      </w:r>
    </w:p>
    <w:p>
      <w:pPr>
        <w:pStyle w:val="ResourceHeadnote"/>
      </w:pPr>
      <w:r>
        <w:t xml:space="preserve">Traditionally, issue preclusion could only be invoked by a person who also was bound by the prior judgment, a rule known as the rule of “mutuality.” Many courts have eroded that rule, and some have subsequently debated whether or not they should have.</w:t>
      </w:r>
    </w:p>
    <w:p>
      <w:pPr>
        <w:pStyle w:val="ResourceHeadnote"/>
      </w:pPr>
      <w:r>
        <w:t xml:space="preserve">The following case illustrates the partial erosion of the mutuality requirement in the federal court system. As you read</w:t>
      </w:r>
      <w:r>
        <w:t xml:space="preserve"> </w:t>
      </w:r>
      <w:r>
        <w:rPr>
          <w:iCs/>
          <w:i/>
        </w:rPr>
        <w:t xml:space="preserve">Blonder-Tongue</w:t>
      </w:r>
      <w:r>
        <w:t xml:space="preserve">, consider the following. Though</w:t>
      </w:r>
      <w:r>
        <w:t xml:space="preserve"> </w:t>
      </w:r>
      <w:r>
        <w:rPr>
          <w:iCs/>
          <w:i/>
        </w:rPr>
        <w:t xml:space="preserve">Blonder-Tongue</w:t>
      </w:r>
      <w:r>
        <w:t xml:space="preserve"> </w:t>
      </w:r>
      <w:r>
        <w:t xml:space="preserve">is a patents case, lower courts have used its rules for nonmutual preclusion in many different types of suits. Should its reasoning be extended to other contexts? Will the cost savings imagined by the Court translate?</w:t>
      </w:r>
    </w:p>
    <w:p>
      <w:pPr>
        <w:pStyle w:val="HeadEnd"/>
      </w:pPr>
      <w:r>
        <w:t xml:space="preserve"> </w:t>
      </w:r>
    </w:p>
    <w:p>
      <w:pPr>
        <w:pStyle w:val="CaseHeader"/>
      </w:pPr>
      <w:r>
        <w:t xml:space="preserve">Supreme Court of the United States</w:t>
      </w:r>
    </w:p>
    <w:p>
      <w:pPr>
        <w:pStyle w:val="CaseHeader"/>
      </w:pPr>
      <w:r>
        <w:t xml:space="preserve">402 U.S. 313, 28 L. Ed. 2d 788, 91 S. Ct. 1434, 1971 U.S. LEXIS 119, SCDB 1970-095</w:t>
      </w:r>
    </w:p>
    <w:p>
      <w:pPr>
        <w:pStyle w:val="CaseHeader"/>
      </w:pPr>
      <w:r>
        <w:t xml:space="preserve">No. 338</w:t>
      </w:r>
    </w:p>
    <w:p>
      <w:pPr>
        <w:pStyle w:val="CaseHeader"/>
      </w:pPr>
      <w:r>
        <w:t xml:space="preserve">1971-05-03</w:t>
      </w:r>
    </w:p>
    <w:p>
      <w:pPr>
        <w:pStyle w:val="CaseBody"/>
      </w:pPr>
      <w:r>
        <w:t xml:space="preserve">402 U.S. 313 (1971)</w:t>
      </w:r>
    </w:p>
    <w:p>
      <w:pPr>
        <w:pStyle w:val="CaseHeader"/>
      </w:pPr>
      <w:r>
        <w:t xml:space="preserve">BLONDER-TONGUE LABORATORIES, INC.</w:t>
      </w:r>
      <w:r>
        <w:br/>
      </w:r>
      <w:r>
        <w:t xml:space="preserve">v.</w:t>
      </w:r>
      <w:r>
        <w:br/>
      </w:r>
      <w:r>
        <w:t xml:space="preserve">UNIVERSITY OF ILLINOIS FOUNDATION ET AL.</w:t>
      </w:r>
    </w:p>
    <w:p>
      <w:pPr>
        <w:pStyle w:val="CaseBody"/>
      </w:pPr>
      <w:r>
        <w:rPr>
          <w:rStyle w:val="Elision"/>
        </w:rPr>
        <w:t xml:space="preserve">[ … ]</w:t>
      </w:r>
    </w:p>
    <w:bookmarkStart w:id="247" w:name="Xa38a31d020325bf6a24342b5af67cd50e8c3c31"/>
    <w:p>
      <w:pPr>
        <w:pStyle w:val="Heading2"/>
      </w:pPr>
      <w:r>
        <w:t xml:space="preserve">MR. JUSTICE WHITE delivered the opinion of the Court.</w:t>
      </w:r>
    </w:p>
    <w:p>
      <w:pPr>
        <w:pStyle w:val="CaseBody"/>
      </w:pPr>
      <w:r>
        <w:rPr>
          <w:rStyle w:val="Elision"/>
        </w:rPr>
        <w:t xml:space="preserve">[ … ]</w:t>
      </w:r>
    </w:p>
    <w:bookmarkEnd w:id="247"/>
    <w:bookmarkStart w:id="248" w:name="iii-9"/>
    <w:p>
      <w:pPr>
        <w:pStyle w:val="Heading2"/>
      </w:pPr>
      <w:r>
        <w:rPr>
          <w:rStyle w:val="Elision"/>
        </w:rPr>
        <w:t xml:space="preserve">[ … ]</w:t>
      </w:r>
      <w:r>
        <w:t xml:space="preserve">III</w:t>
      </w:r>
    </w:p>
    <w:p>
      <w:pPr>
        <w:pStyle w:val="CaseBody"/>
      </w:pPr>
      <w:r>
        <w:t xml:space="preserve">The cases and authorities discussed above connect erosion of the mutuality requirement to the goal of limiting relitigation of issues where that can be achieved without compromising fairness in particular cases. The courts have often discarded the rule while commenting on crowded dockets and long delays preceding trial. Authorities differ on whether the public interest in efficient judicial administration is a sufficient ground in and of itself for abandoning mutuality,</w:t>
      </w:r>
      <w:hyperlink w:anchor="X4f60b70bedbe0f9a6bff599be8170dc6d96a3b0">
        <w:r>
          <w:rPr>
            <w:rStyle w:val="Elision"/>
            <w:vertAlign w:val="superscript"/>
          </w:rPr>
          <w:t xml:space="preserve">[ … ]</w:t>
        </w:r>
      </w:hyperlink>
      <w:r>
        <w:t xml:space="preserve">but it is clear that more than crowded dockets is involved. The broader question is whether it is any longer tenable to afford a litigant more than one full and fair opportunity for judicial resolution of the same issue. The question in these terms includes as part of the calculus the effect on judicial administration, but it also encompasses the concern exemplified by Bentham's reference to the gaming table in his attack on the principle of mutuality of estoppel.</w:t>
      </w:r>
      <w:r>
        <w:t xml:space="preserve"> </w:t>
      </w:r>
      <w:r>
        <w:rPr>
          <w:rStyle w:val="Elision"/>
        </w:rPr>
        <w:t xml:space="preserve">[ … ]</w:t>
      </w:r>
      <w:r>
        <w:t xml:space="preserve"> </w:t>
      </w:r>
      <w:r>
        <w:t xml:space="preserve">In any lawsuit where a defendant, because of the mutuality principle, is forced to present a complete defense on the merits to</w:t>
      </w:r>
      <w:r>
        <w:t xml:space="preserve"> </w:t>
      </w:r>
      <w:r>
        <w:rPr>
          <w:rStyle w:val="ReplacementText"/>
        </w:rPr>
        <w:t xml:space="preserve">an issue</w:t>
      </w:r>
      <w:r>
        <w:t xml:space="preserve"> </w:t>
      </w:r>
      <w:r>
        <w:t xml:space="preserve">which the plaintiff has fully litigated and lost in a prior action, there is an arguable misallocation of resources. To the extent the defendant in the second suit may not win by asserting, without contradiction, that the plaintiff had fully and fairly, but unsuccessfully, litigated the same</w:t>
      </w:r>
      <w:r>
        <w:t xml:space="preserve"> </w:t>
      </w:r>
      <w:r>
        <w:rPr>
          <w:rStyle w:val="ReplacementText"/>
        </w:rPr>
        <w:t xml:space="preserve">issue</w:t>
      </w:r>
      <w:r>
        <w:t xml:space="preserve">in the prior suit, the defendant's time and money are diverted from alternative uses—productive or otherwise—to relitigation of a decided issue. And, still assuming that the issue was resolved correctly in the first suit, there is reason to be concerned about the plaintiff's allocation of resources. Permitting repeated litigation of the same issue as long as the supply of unrelated defendants holds out reflects either the aura of the gaming table or "a lack of discipline and of disinterestedness on the part of the lower courts, hardly a worthy or wise basis for fashioning rules of procedure."</w:t>
      </w:r>
      <w:r>
        <w:t xml:space="preserve"> </w:t>
      </w:r>
      <w:r>
        <w:rPr>
          <w:rStyle w:val="Elision"/>
        </w:rPr>
        <w:t xml:space="preserve">[ … ]</w:t>
      </w:r>
      <w:r>
        <w:t xml:space="preserve">Although neither judges, the parties, nor the adversary system performs perfectly in all cases, the requirement of determining whether the party against whom an estoppel is asserted had a full and fair opportunity to litigate is a most significant safeguard.</w:t>
      </w:r>
    </w:p>
    <w:p>
      <w:pPr>
        <w:pStyle w:val="CaseBody"/>
      </w:pPr>
      <w:r>
        <w:t xml:space="preserve">Some litigants—those who never appeared in a prior action—may not be collaterally estopped without litigating the issue. They have never had a chance to present their evidence and arguments on the claim. Due process prohibits estopping them despite one or more existing adjudications of the identical issue which stand squarely against their position.</w:t>
      </w:r>
      <w:r>
        <w:t xml:space="preserve"> </w:t>
      </w:r>
      <w:r>
        <w:rPr>
          <w:rStyle w:val="Elision"/>
        </w:rPr>
        <w:t xml:space="preserve">[ … ]</w:t>
      </w:r>
      <w:r>
        <w:t xml:space="preserve"> </w:t>
      </w:r>
      <w:r>
        <w:t xml:space="preserve">Also, the authorities have been more willing to permit a defendant in a second suit to invoke an estoppel against a plaintiff who lost on the same claim in an earlier suit than they have been to allow a plaintiff</w:t>
      </w:r>
      <w:r>
        <w:t xml:space="preserve"> </w:t>
      </w:r>
      <w:r>
        <w:rPr>
          <w:rStyle w:val="Elision"/>
        </w:rPr>
        <w:t xml:space="preserve">[ … ]</w:t>
      </w:r>
      <w:r>
        <w:t xml:space="preserve"> </w:t>
      </w:r>
      <w:r>
        <w:t xml:space="preserve">in the second suit to use offensively a judgment obtained by a different plaintiff in a prior suit against the same defendant</w:t>
      </w:r>
      <w:r>
        <w:rPr>
          <w:rStyle w:val="Elision"/>
        </w:rPr>
        <w:t xml:space="preserve">[ … ]</w:t>
      </w:r>
      <w:r>
        <w:t xml:space="preserve"> </w:t>
      </w:r>
      <w:r>
        <w:t xml:space="preserve">But the case before us involves neither due process nor "offensive use" questions. Rather, it depends on the considerations weighing for and against permitting a patent holder to sue on his patent after it has once been held invalid following opportunity for full and fair trial.</w:t>
      </w:r>
    </w:p>
    <w:p>
      <w:pPr>
        <w:pStyle w:val="CaseBody"/>
      </w:pPr>
      <w:r>
        <w:rPr>
          <w:rStyle w:val="Elision"/>
        </w:rPr>
        <w:t xml:space="preserve">[ … ]</w:t>
      </w:r>
    </w:p>
    <w:bookmarkEnd w:id="248"/>
    <w:bookmarkStart w:id="249" w:name="section-15"/>
    <w:p>
      <w:pPr>
        <w:pStyle w:val="Heading2"/>
      </w:pPr>
      <w:r>
        <w:rPr>
          <w:rStyle w:val="Elision"/>
        </w:rPr>
        <w:t xml:space="preserve">[ … ]</w:t>
      </w:r>
    </w:p>
    <w:p>
      <w:pPr>
        <w:pStyle w:val="CaseBody"/>
      </w:pPr>
      <w:r>
        <w:t xml:space="preserve">Even conceding the extreme intricacy of some patent cases, we should keep firmly in mind that we are considering the situation where the patentee was plaintiff in the prior suit and chose to litigate at that time and place. Presumably he was prepared to litigate and to litigate to the finish against the defendant there involved. Patent litigation characteristically proceeds with some deliberation and, with the avenues for discovery available under the present rules of procedure, there is no reason to suppose that plaintiff patentees would face either surprise or unusual difficulties in getting all relevant and probative evidence before the court in the first litigation.</w:t>
      </w:r>
    </w:p>
    <w:p>
      <w:pPr>
        <w:pStyle w:val="CaseBody"/>
      </w:pPr>
      <w:r>
        <w:rPr>
          <w:rStyle w:val="Elision"/>
        </w:rPr>
        <w:t xml:space="preserve">[ … ]</w:t>
      </w:r>
      <w:r>
        <w:t xml:space="preserve">, we do not suggest, without legislative guidance, that a plea of estoppel by an infringement or</w:t>
      </w:r>
      <w:r>
        <w:t xml:space="preserve"> </w:t>
      </w:r>
      <w:r>
        <w:rPr>
          <w:rStyle w:val="Elision"/>
        </w:rPr>
        <w:t xml:space="preserve">[ … ]</w:t>
      </w:r>
      <w:r>
        <w:t xml:space="preserve"> </w:t>
      </w:r>
      <w:r>
        <w:t xml:space="preserve">royalty suit defendant must automatically be accepted once the defendant in support of his plea identifies the issue in suit as the identical question finally decided against the patentee or one of his privies in previous litigation</w:t>
      </w:r>
      <w:r>
        <w:rPr>
          <w:rStyle w:val="Elision"/>
        </w:rPr>
        <w:t xml:space="preserve">[ … ]</w:t>
      </w:r>
      <w:r>
        <w:t xml:space="preserve">Rather, the patentee-plaintiff must be permitted to demonstrate, if he can, that he did not have "a fair opportunity procedurally, substantively and evidentially to pursue his claim the first time."</w:t>
      </w:r>
      <w:r>
        <w:t xml:space="preserve"> </w:t>
      </w:r>
      <w:r>
        <w:rPr>
          <w:rStyle w:val="Elision"/>
        </w:rPr>
        <w:t xml:space="preserve">[ … ]</w:t>
      </w:r>
      <w:r>
        <w:t xml:space="preserve">This element in the estoppel decision will comprehend, we believe, the important concerns about the complexity of patent litigation and the posited hazard that the prior proceedings were seriously defective.</w:t>
      </w:r>
    </w:p>
    <w:p>
      <w:pPr>
        <w:pStyle w:val="CaseBody"/>
      </w:pPr>
      <w:r>
        <w:rPr>
          <w:rStyle w:val="Elision"/>
        </w:rPr>
        <w:t xml:space="preserve">[ … ]</w:t>
      </w:r>
    </w:p>
    <w:p>
      <w:pPr>
        <w:pStyle w:val="CaseBody"/>
      </w:pPr>
      <w:r>
        <w:rPr>
          <w:rStyle w:val="Elision"/>
        </w:rPr>
        <w:t xml:space="preserve">[ … ]</w:t>
      </w:r>
    </w:p>
    <w:bookmarkEnd w:id="249"/>
    <w:bookmarkStart w:id="250" w:name="section-16"/>
    <w:p>
      <w:pPr>
        <w:pStyle w:val="Heading2"/>
      </w:pPr>
      <w:r>
        <w:rPr>
          <w:rStyle w:val="Elision"/>
        </w:rPr>
        <w:t xml:space="preserve">[ … ]</w:t>
      </w:r>
    </w:p>
    <w:p>
      <w:pPr>
        <w:pStyle w:val="CaseBody"/>
      </w:pPr>
      <w:r>
        <w:t xml:space="preserve">As the preceding discussion indicates, although patent trials are only a small portion of the total amount of litigation in the federal courts, they tend to be of disproportionate length</w:t>
      </w:r>
      <w:r>
        <w:rPr>
          <w:rStyle w:val="Elision"/>
        </w:rPr>
        <w:t xml:space="preserve">[ … ]</w:t>
      </w:r>
      <w:r>
        <w:t xml:space="preserve"> </w:t>
      </w:r>
      <w:r>
        <w:rPr>
          <w:rStyle w:val="Elision"/>
        </w:rPr>
        <w:t xml:space="preserve">[ … ]</w:t>
      </w:r>
    </w:p>
    <w:p>
      <w:pPr>
        <w:pStyle w:val="CaseBody"/>
      </w:pPr>
      <w:r>
        <w:rPr>
          <w:rStyle w:val="ReplacementText"/>
        </w:rPr>
        <w:t xml:space="preserve">I</w:t>
      </w:r>
      <w:r>
        <w:t xml:space="preserve">t is clear that abrogation of</w:t>
      </w:r>
      <w:r>
        <w:t xml:space="preserve"> </w:t>
      </w:r>
      <w:r>
        <w:rPr>
          <w:rStyle w:val="ReplacementText"/>
          <w:iCs/>
          <w:i/>
        </w:rPr>
        <w:t xml:space="preserve">mutuality</w:t>
      </w:r>
      <w:r>
        <w:t xml:space="preserve">will save</w:t>
      </w:r>
      <w:r>
        <w:t xml:space="preserve"> </w:t>
      </w:r>
      <w:r>
        <w:rPr>
          <w:iCs/>
          <w:i/>
        </w:rPr>
        <w:t xml:space="preserve">some</w:t>
      </w:r>
      <w:r>
        <w:t xml:space="preserve"> </w:t>
      </w:r>
      <w:r>
        <w:t xml:space="preserve">judicial time if even a few relatively lengthy patent suits may be fairly disposed of on pleas of estoppel.</w:t>
      </w:r>
      <w:r>
        <w:t xml:space="preserve"> </w:t>
      </w:r>
      <w:r>
        <w:rPr>
          <w:rStyle w:val="Elision"/>
        </w:rPr>
        <w:t xml:space="preserve">[ … ]</w:t>
      </w:r>
      <w:r>
        <w:t xml:space="preserve">Regardless of the magnitude of the figures, the economic consequences of continued adherence to</w:t>
      </w:r>
      <w:r>
        <w:t xml:space="preserve"> </w:t>
      </w:r>
      <w:r>
        <w:rPr>
          <w:rStyle w:val="ReplacementText"/>
          <w:iCs/>
          <w:i/>
        </w:rPr>
        <w:t xml:space="preserve">strict mutuality</w:t>
      </w:r>
      <w:r>
        <w:t xml:space="preserve">are serious and any reduction of litigation in this context is by comparison an incidental matter in considering whether to abrogate the mutuality requirement.</w:t>
      </w:r>
    </w:p>
    <w:bookmarkEnd w:id="250"/>
    <w:bookmarkStart w:id="251" w:name="section-17"/>
    <w:p>
      <w:pPr>
        <w:pStyle w:val="Heading2"/>
      </w:pPr>
      <w:r>
        <w:rPr>
          <w:rStyle w:val="Elision"/>
        </w:rPr>
        <w:t xml:space="preserve">[ … ]</w:t>
      </w:r>
    </w:p>
    <w:bookmarkEnd w:id="251"/>
    <w:p>
      <w:pPr>
        <w:pStyle w:val="NodeEnd"/>
      </w:pPr>
      <w:r>
        <w:t xml:space="preserve"> </w:t>
      </w:r>
    </w:p>
    <w:p>
      <w:pPr>
        <w:pStyle w:val="NodeStart"/>
      </w:pPr>
      <w:r>
        <w:t xml:space="preserve"> </w:t>
      </w:r>
    </w:p>
    <w:p>
      <w:pPr>
        <w:pStyle w:val="HeadSeparator"/>
      </w:pPr>
      <w:r>
        <w:t xml:space="preserve"> </w:t>
      </w:r>
    </w:p>
    <w:bookmarkStart w:id="239" w:name="_auto_toc_239"/>
    <w:bookmarkEnd w:id="239"/>
    <w:p>
      <w:pPr>
        <w:pStyle w:val="ResourceNumber"/>
      </w:pPr>
      <w:r>
        <w:t xml:space="preserve">20.11</w:t>
      </w:r>
    </w:p>
    <w:p>
      <w:pPr>
        <w:pStyle w:val="ResourceTitle"/>
      </w:pPr>
      <w:r>
        <w:t xml:space="preserve">Parklane Hosiery Co. v. Shore</w:t>
      </w:r>
    </w:p>
    <w:p>
      <w:pPr>
        <w:pStyle w:val="HeadEnd"/>
      </w:pPr>
      <w:r>
        <w:t xml:space="preserve"> </w:t>
      </w:r>
    </w:p>
    <w:p>
      <w:pPr>
        <w:pStyle w:val="CaseHeader"/>
      </w:pPr>
      <w:r>
        <w:t xml:space="preserve">Supreme Court of the United States</w:t>
      </w:r>
    </w:p>
    <w:p>
      <w:pPr>
        <w:pStyle w:val="CaseHeader"/>
      </w:pPr>
      <w:r>
        <w:t xml:space="preserve">439 U.S. 322, 58 L. Ed. 2d 552, 99 S. Ct. 645, 1979 U.S. LEXIS 50, SCDB 1978-022</w:t>
      </w:r>
    </w:p>
    <w:p>
      <w:pPr>
        <w:pStyle w:val="CaseHeader"/>
      </w:pPr>
      <w:r>
        <w:t xml:space="preserve">No. 77-1305</w:t>
      </w:r>
    </w:p>
    <w:p>
      <w:pPr>
        <w:pStyle w:val="CaseHeader"/>
      </w:pPr>
      <w:r>
        <w:t xml:space="preserve">1979-01-09</w:t>
      </w:r>
    </w:p>
    <w:p>
      <w:pPr>
        <w:pStyle w:val="CaseBody"/>
      </w:pPr>
      <w:r>
        <w:t xml:space="preserve">439 U.S. 322 (1979)</w:t>
      </w:r>
    </w:p>
    <w:p>
      <w:pPr>
        <w:pStyle w:val="CaseHeader"/>
      </w:pPr>
      <w:r>
        <w:t xml:space="preserve">PARKLANE HOSIERY CO., INC., ET AL.</w:t>
      </w:r>
      <w:r>
        <w:br/>
      </w:r>
      <w:r>
        <w:t xml:space="preserve">v.</w:t>
      </w:r>
      <w:r>
        <w:br/>
      </w:r>
      <w:r>
        <w:t xml:space="preserve">SHORE.</w:t>
      </w:r>
    </w:p>
    <w:p>
      <w:pPr>
        <w:pStyle w:val="CaseBody"/>
      </w:pPr>
      <w:r>
        <w:rPr>
          <w:rStyle w:val="Elision"/>
        </w:rPr>
        <w:t xml:space="preserve">[ … ]</w:t>
      </w:r>
    </w:p>
    <w:bookmarkStart w:id="252" w:name="X41939b9a055bb820e21930a323c8d593b5c41e0"/>
    <w:p>
      <w:pPr>
        <w:pStyle w:val="Heading2"/>
      </w:pPr>
      <w:r>
        <w:rPr>
          <w:rStyle w:val="Elision"/>
        </w:rPr>
        <w:t xml:space="preserve">[ … ]</w:t>
      </w:r>
      <w:r>
        <w:t xml:space="preserve"> </w:t>
      </w:r>
      <w:r>
        <w:t xml:space="preserve">MR. JUSTICE STEWART delivered the opinion of the Court.</w:t>
      </w:r>
    </w:p>
    <w:p>
      <w:pPr>
        <w:pStyle w:val="CaseBody"/>
      </w:pPr>
      <w:r>
        <w:t xml:space="preserve">This case presents the question whether a party who has had issues of fact adjudicated adversely to it in an equitable action may be collaterally estopped from relitigating the same issues before a jury in a subsequent legal action brought against it by a new party.</w:t>
      </w:r>
    </w:p>
    <w:p>
      <w:pPr>
        <w:pStyle w:val="CaseBody"/>
      </w:pPr>
      <w:r>
        <w:t xml:space="preserve">The respondent brought this stockholder's class action against the petitioners in a Federal District Court. The complaint alleged that the petitioners, Parklane Hosiery Co., Inc. (Parklane), and 13 of its officers, directors, and stockholders, had issued a materially false and misleading proxy statement in connection with a merger.</w:t>
      </w:r>
      <w:hyperlink w:anchor="X0f6e5afbb65e8cf9191e59ad535e4d99647fb45">
        <w:r>
          <w:rPr>
            <w:rStyle w:val="Elision"/>
            <w:vertAlign w:val="superscript"/>
          </w:rPr>
          <w:t xml:space="preserve">[ … ]</w:t>
        </w:r>
      </w:hyperlink>
      <w:r>
        <w:t xml:space="preserve"> </w:t>
      </w:r>
      <w:r>
        <w:rPr>
          <w:rStyle w:val="Elision"/>
        </w:rPr>
        <w:t xml:space="preserve">[ … ]</w:t>
      </w:r>
      <w:r>
        <w:t xml:space="preserve"> </w:t>
      </w:r>
      <w:r>
        <w:t xml:space="preserve">The complaint sought damages, rescission of the merger, and recovery of costs.</w:t>
      </w:r>
    </w:p>
    <w:p>
      <w:pPr>
        <w:pStyle w:val="CaseBody"/>
      </w:pPr>
      <w:r>
        <w:t xml:space="preserve">Before this action came to trial, the SEC filed suit against the same defendants in the Federal District Court, alleging that the proxy statement that had been issued by Parklane was materially false and misleading in essentially the same respects as those that had ben alleged in the respondent's complaint. Injunctive relief was requested. After a 4-day</w:t>
      </w:r>
      <w:r>
        <w:t xml:space="preserve"> </w:t>
      </w:r>
      <w:r>
        <w:rPr>
          <w:rStyle w:val="Elision"/>
        </w:rPr>
        <w:t xml:space="preserve">[ … ]</w:t>
      </w:r>
      <w:r>
        <w:t xml:space="preserve">trial, the District Court found that the proxy statement was materially false and misleading in the respects alleged, and entered a declaratory judgment to that effect.</w:t>
      </w:r>
      <w:r>
        <w:t xml:space="preserve"> </w:t>
      </w:r>
      <w:r>
        <w:rPr>
          <w:rStyle w:val="Elision"/>
        </w:rPr>
        <w:t xml:space="preserve">[ … ]</w:t>
      </w:r>
      <w:r>
        <w:t xml:space="preserve"> </w:t>
      </w:r>
      <w:r>
        <w:t xml:space="preserve">The Court of Appeals for the Second Circuit affirmed this judgment.</w:t>
      </w:r>
      <w:r>
        <w:rPr>
          <w:rStyle w:val="Elision"/>
        </w:rPr>
        <w:t xml:space="preserve">[ … ]</w:t>
      </w:r>
    </w:p>
    <w:p>
      <w:pPr>
        <w:pStyle w:val="CaseBody"/>
      </w:pPr>
      <w:r>
        <w:t xml:space="preserve">The respondent in the present case then moved for partial summary judgment against the petitioners, asserting that the petitioners were collaterally estopped from relitigating the issues that had been resolved against them in the action brought by the SEC.</w:t>
      </w:r>
      <w:hyperlink w:anchor="Xd3ad2605f7e37308ef847a89d38ade4b6b4ee5a">
        <w:r>
          <w:rPr>
            <w:rStyle w:val="Elision"/>
            <w:vertAlign w:val="superscript"/>
          </w:rPr>
          <w:t xml:space="preserve">[ … ]</w:t>
        </w:r>
      </w:hyperlink>
      <w:r>
        <w:t xml:space="preserve"> </w:t>
      </w:r>
      <w:r>
        <w:t xml:space="preserve">The District Court denied the motion on the ground that such an application of collateral estoppel would deny the petitioners their Seventh Amendment right to a jury trial. The Court of Appeals for the Second Circuit reversed, holding that a party who has had issues of fact determined against him after a full and fair opportunity to litigate in a nonjury trial is collaterally estopped from obtaining a subsequent jury trial of these same issues of fact.</w:t>
      </w:r>
      <w:r>
        <w:t xml:space="preserve"> </w:t>
      </w:r>
      <w:r>
        <w:rPr>
          <w:rStyle w:val="Elision"/>
        </w:rPr>
        <w:t xml:space="preserve">[ … ]</w:t>
      </w:r>
      <w:r>
        <w:t xml:space="preserve"> </w:t>
      </w:r>
      <w:r>
        <w:t xml:space="preserve">The appellate court concluded that "the Seventh Amendment preserves the right to jury trial only with respect to issues of fact, [and] once those issues have been fully and fairly adjudicated in a prior proceeding, nothing remains for trial, either with or without a jury."</w:t>
      </w:r>
      <w:r>
        <w:t xml:space="preserve"> </w:t>
      </w:r>
      <w:r>
        <w:rPr>
          <w:rStyle w:val="Elision"/>
        </w:rPr>
        <w:t xml:space="preserve">[ … ]</w:t>
      </w:r>
      <w:r>
        <w:t xml:space="preserve"> </w:t>
      </w:r>
      <w:r>
        <w:t xml:space="preserve">Because of an intercircuit conflict,</w:t>
      </w:r>
      <w:hyperlink w:anchor="X444f5587e5b47cb1c79365b5dcbdc50c0adeee8">
        <w:r>
          <w:rPr>
            <w:rStyle w:val="Elision"/>
            <w:vertAlign w:val="superscript"/>
          </w:rPr>
          <w:t xml:space="preserve">[ … ]</w:t>
        </w:r>
      </w:hyperlink>
      <w:r>
        <w:t xml:space="preserve">we granted certiorari.</w:t>
      </w:r>
      <w:r>
        <w:t xml:space="preserve"> </w:t>
      </w:r>
      <w:r>
        <w:rPr>
          <w:rStyle w:val="Elision"/>
        </w:rPr>
        <w:t xml:space="preserve">[ … ]</w:t>
      </w:r>
    </w:p>
    <w:bookmarkEnd w:id="252"/>
    <w:bookmarkStart w:id="253" w:name="i-12"/>
    <w:p>
      <w:pPr>
        <w:pStyle w:val="Heading2"/>
      </w:pPr>
      <w:r>
        <w:rPr>
          <w:rStyle w:val="Elision"/>
        </w:rPr>
        <w:t xml:space="preserve">[ … ]</w:t>
      </w:r>
      <w:r>
        <w:t xml:space="preserve"> </w:t>
      </w:r>
      <w:r>
        <w:t xml:space="preserve">I</w:t>
      </w:r>
    </w:p>
    <w:p>
      <w:pPr>
        <w:pStyle w:val="CaseBody"/>
      </w:pPr>
      <w:r>
        <w:t xml:space="preserve">The threshold question to be considered is whether, quite apart from the right to a jury trial under the Seventh Amendment, the petitioners can be precluded from relitigating facts resolved adversely to them in a prior equitable proceeding with another party under the general law of collateral estoppel. Specifically, we must determine whether a litigant who was not a party to a prior judgment may nevertheless use that judgment "offensively" to prevent a defendant from relitigating issues resolved in the earlier proceeding.</w:t>
      </w:r>
      <w:hyperlink w:anchor="X65bc20c2545c70c8de8d490b1552714bfda7f0b">
        <w:r>
          <w:rPr>
            <w:rStyle w:val="Hyperlink"/>
            <w:vertAlign w:val="superscript"/>
          </w:rPr>
          <w:t xml:space="preserve">[</w:t>
        </w:r>
        <w:r>
          <w:rPr>
            <w:rStyle w:val="Elision"/>
            <w:vertAlign w:val="superscript"/>
          </w:rPr>
          <w:t xml:space="preserve">[ … ]</w:t>
        </w:r>
      </w:hyperlink>
    </w:p>
    <w:bookmarkEnd w:id="253"/>
    <w:bookmarkStart w:id="254" w:name="section-18"/>
    <w:p>
      <w:pPr>
        <w:pStyle w:val="Heading2"/>
      </w:pPr>
      <w:r>
        <w:rPr>
          <w:rStyle w:val="Elision"/>
        </w:rPr>
        <w:t xml:space="preserve">[ … ]</w:t>
      </w:r>
    </w:p>
    <w:bookmarkEnd w:id="254"/>
    <w:bookmarkStart w:id="255" w:name="b-6"/>
    <w:p>
      <w:pPr>
        <w:pStyle w:val="Heading2"/>
      </w:pPr>
      <w:r>
        <w:rPr>
          <w:rStyle w:val="Elision"/>
        </w:rPr>
        <w:t xml:space="preserve">[ … ]</w:t>
      </w:r>
      <w:r>
        <w:t xml:space="preserve"> </w:t>
      </w:r>
      <w:r>
        <w:t xml:space="preserve">B</w:t>
      </w:r>
    </w:p>
    <w:p>
      <w:pPr>
        <w:pStyle w:val="CaseBody"/>
      </w:pPr>
      <w:r>
        <w:t xml:space="preserve">The</w:t>
      </w:r>
      <w:r>
        <w:t xml:space="preserve"> </w:t>
      </w:r>
      <w:r>
        <w:rPr>
          <w:iCs/>
          <w:i/>
        </w:rPr>
        <w:t xml:space="preserve">Blonder-Tongue</w:t>
      </w:r>
      <w:r>
        <w:t xml:space="preserve"> </w:t>
      </w:r>
      <w:r>
        <w:t xml:space="preserve">case involved defensive use of collateral estoppel—a plaintiff was estopped from asserting a claim that the plaintiff had previously litigated and lost against another defendant. The present case, by contrast, involves offensive use of collateral estoppel—a plaintiff is seeking to estop a defendant from relitigating the issues which the defendant previously litigated and lost against another plaintiff. In both the offensive and defensive use situations, the party against whom estoppel is asserted has litigated and lost in an earlier action. Nevertheless, several reasons have been advanced why the two situations should be treated differently.</w:t>
      </w:r>
      <w:hyperlink w:anchor="Xab7239e94a5685f9b8ba9ba441b015c50950ff5">
        <w:r>
          <w:rPr>
            <w:rStyle w:val="Elision"/>
            <w:vertAlign w:val="superscript"/>
          </w:rPr>
          <w:t xml:space="preserve">[ … ]</w:t>
        </w:r>
      </w:hyperlink>
    </w:p>
    <w:p>
      <w:pPr>
        <w:pStyle w:val="CaseBody"/>
      </w:pPr>
      <w:r>
        <w:t xml:space="preserve">First, offensive use of collateral estoppel does not promote judicial economy in the same manner as defensive use does. Defensive use of collateral estoppel precludes a plaintiff from relitigating identical issues by merely "switching adversaries."</w:t>
      </w:r>
      <w:r>
        <w:t xml:space="preserve"> </w:t>
      </w:r>
      <w:r>
        <w:rPr>
          <w:rStyle w:val="Elision"/>
        </w:rPr>
        <w:t xml:space="preserve">[ … ]</w:t>
      </w:r>
      <w:r>
        <w:t xml:space="preserve">Thus defensive collateral estoppel gives a plaintiff a strong incentive to join</w:t>
      </w:r>
      <w:r>
        <w:rPr>
          <w:rStyle w:val="Elision"/>
        </w:rPr>
        <w:t xml:space="preserve">[ … ]</w:t>
      </w:r>
      <w:r>
        <w:t xml:space="preserve">all potential defendants in the first action if possible. Offensive use of collateral estoppel, on the other hand, creates precisely the opposite incentive. Since a plaintiff will be able to rely on a previous judgment against a defendant but will not be bound by that judgment if the defendant wins, the plaintiff has every incentive to adopt a "wait and see" attitude, in the hope that the first action by another plaintiff will result in a favorable judgment.</w:t>
      </w:r>
      <w:r>
        <w:t xml:space="preserve"> </w:t>
      </w:r>
      <w:r>
        <w:rPr>
          <w:rStyle w:val="Elision"/>
        </w:rPr>
        <w:t xml:space="preserve">[ … ]</w:t>
      </w:r>
      <w:r>
        <w:t xml:space="preserve"> </w:t>
      </w:r>
      <w:r>
        <w:t xml:space="preserve">Thus offensive use of collateral estoppel will likely increase rather than decrease the total amount of litigation, since potential plaintiffs will have everything to gain and nothing to lose by not intervening in the first action.</w:t>
      </w:r>
      <w:hyperlink w:anchor="Xca7f85980bd3994040d7d6bf87bbc9ceb4be51c">
        <w:r>
          <w:rPr>
            <w:rStyle w:val="Elision"/>
            <w:vertAlign w:val="superscript"/>
          </w:rPr>
          <w:t xml:space="preserve">[ … ]</w:t>
        </w:r>
      </w:hyperlink>
    </w:p>
    <w:p>
      <w:pPr>
        <w:pStyle w:val="CaseBody"/>
      </w:pPr>
      <w:r>
        <w:t xml:space="preserve">A second argument against offensive use of collateral estoppel is that it may be unfair to a defendant. If a defendant in the first action is sued for small or nominal damages, he may have little incentive to defend vigorously, particularly if future suits are not foreseeable.</w:t>
      </w:r>
      <w:r>
        <w:t xml:space="preserve"> </w:t>
      </w:r>
      <w:r>
        <w:rPr>
          <w:rStyle w:val="Elision"/>
        </w:rPr>
        <w:t xml:space="preserve">[ … ]</w:t>
      </w:r>
      <w:r>
        <w:t xml:space="preserve"> </w:t>
      </w:r>
      <w:r>
        <w:t xml:space="preserve">Allowing offensive collateral estoppel may also be unfair to a defendant if the judgment relied upon as a basis for the estoppel is itself inconsistent with one or more previous judgments in favor of the defendant</w:t>
      </w:r>
      <w:r>
        <w:rPr>
          <w:rStyle w:val="Elision"/>
        </w:rPr>
        <w:t xml:space="preserve">[ … ]</w:t>
      </w:r>
      <w:r>
        <w:t xml:space="preserve">Still another situation where it might be</w:t>
      </w:r>
      <w:r>
        <w:rPr>
          <w:rStyle w:val="Elision"/>
        </w:rPr>
        <w:t xml:space="preserve">[ … ]</w:t>
      </w:r>
      <w:r>
        <w:t xml:space="preserve">unfair to apply offensive estoppel is where the second action affords the defendant procedural opportunities unavailable in the first action that could readily cause a different result.</w:t>
      </w:r>
      <w:hyperlink w:anchor="X0bfc5c139e4a00f09b679961e60feb6c9cc5429">
        <w:r>
          <w:rPr>
            <w:rStyle w:val="Elision"/>
            <w:vertAlign w:val="superscript"/>
          </w:rPr>
          <w:t xml:space="preserve">[ … ]</w:t>
        </w:r>
      </w:hyperlink>
    </w:p>
    <w:bookmarkEnd w:id="255"/>
    <w:bookmarkStart w:id="256" w:name="c-2"/>
    <w:p>
      <w:pPr>
        <w:pStyle w:val="Heading2"/>
      </w:pPr>
      <w:r>
        <w:t xml:space="preserve">C</w:t>
      </w:r>
    </w:p>
    <w:p>
      <w:pPr>
        <w:pStyle w:val="CaseBody"/>
      </w:pPr>
      <w:r>
        <w:t xml:space="preserve">We have concluded that the preferable approach for dealing with these problems in the federal courts is not to preclude the use of offensive collateral estoppel, but to grant trial courts broad discretion to determine when it should be applied.</w:t>
      </w:r>
      <w:hyperlink w:anchor="X2692eaf51030a18ec3b5168722e4794e91418e9">
        <w:r>
          <w:rPr>
            <w:rStyle w:val="Elision"/>
            <w:vertAlign w:val="superscript"/>
          </w:rPr>
          <w:t xml:space="preserve">[ … ]</w:t>
        </w:r>
      </w:hyperlink>
      <w:r>
        <w:t xml:space="preserve"> </w:t>
      </w:r>
      <w:r>
        <w:t xml:space="preserve">The general rule should be that in cases where a plaintiff could easily have joined in the earlier action or where, either for the reasons discussed above or for other reasons, the application of offensive estoppel would be unfair to a defendant, a trial judge should not allow the use of offensive collateral estoppel.</w:t>
      </w:r>
    </w:p>
    <w:p>
      <w:pPr>
        <w:pStyle w:val="CaseBody"/>
      </w:pPr>
      <w:r>
        <w:t xml:space="preserve">In the present case, however, none of the circumstances that might justify reluctance to allow the offensive use of collateral estoppel is present. The application of offensive collateral</w:t>
      </w:r>
      <w:r>
        <w:t xml:space="preserve"> </w:t>
      </w:r>
      <w:r>
        <w:rPr>
          <w:rStyle w:val="Elision"/>
        </w:rPr>
        <w:t xml:space="preserve">[ … ]</w:t>
      </w:r>
      <w:r>
        <w:t xml:space="preserve"> </w:t>
      </w:r>
      <w:r>
        <w:t xml:space="preserve">estoppel will not here reward a private plaintiff who could have joined in the previous action, since the respondent probably could not have joined in the injunctive action brought by the SEC even had he so desire</w:t>
      </w:r>
      <w:r>
        <w:t xml:space="preserve">d.</w:t>
      </w:r>
      <w:hyperlink w:anchor="Xf725ff8d56e507082145224d0bccdc3d4de3501">
        <w:r>
          <w:rPr>
            <w:rStyle w:val="Hyperlink"/>
            <w:vertAlign w:val="superscript"/>
          </w:rPr>
          <w:t xml:space="preserve">[18]</w:t>
        </w:r>
      </w:hyperlink>
      <w:r>
        <w:t xml:space="preserve"> </w:t>
      </w:r>
      <w:r>
        <w:t xml:space="preserve">Si</w:t>
      </w:r>
      <w:r>
        <w:rPr>
          <w:rStyle w:val="FootnoteReference"/>
        </w:rPr>
        <w:footnoteReference w:customMarkFollows="1" w:id="50"/>
        <w:t xml:space="preserve">*</w:t>
      </w:r>
      <w:r>
        <w:t xml:space="preserve">milarly, there is no unfairness to the petitioners in applying offensive collateral estoppel in this case. First, in light of the serious allegations made in the SEC's complaint against the petitioners, as well as the foreseeability of subsequent private suits that typically follow a successful Government judgment, the petitioners had every incentive to litigate the SEC lawsuit fully and vigorously</w:t>
      </w:r>
      <w:r>
        <w:rPr>
          <w:rStyle w:val="ReplacementText"/>
        </w:rPr>
        <w:t xml:space="preserve">.</w:t>
      </w:r>
      <w:hyperlink w:anchor="X4da1bac70757fbd0478be6a629002400fc8f9b7">
        <w:r>
          <w:rPr>
            <w:rStyle w:val="Elision"/>
            <w:vertAlign w:val="superscript"/>
          </w:rPr>
          <w:t xml:space="preserve">[ … ]</w:t>
        </w:r>
      </w:hyperlink>
      <w:r>
        <w:t xml:space="preserve">Second, the judgment in the SEC action was not inconsistent with any previous decision. Finally, there will in the respondent's action be no procedural opportunities available to the petitioners that were unavailable in the first action of a kind that might be likely to cause a different result.</w:t>
      </w:r>
      <w:hyperlink w:anchor="Xa9493272c2bad9c34e93d4895debe8220e3b7c1">
        <w:r>
          <w:rPr>
            <w:rStyle w:val="Elision"/>
            <w:vertAlign w:val="superscript"/>
          </w:rPr>
          <w:t xml:space="preserve">[ … ]</w:t>
        </w:r>
      </w:hyperlink>
    </w:p>
    <w:p>
      <w:pPr>
        <w:pStyle w:val="CaseBody"/>
      </w:pPr>
      <w:r>
        <w:t xml:space="preserve">We conclude, therefore, that none of the considerations that would justify a refusal to allow the use of offensive collateral estoppel is present in this case. Since the petitioners received a "full and fair" opportunity to litigate their claims in the</w:t>
      </w:r>
      <w:r>
        <w:rPr>
          <w:rStyle w:val="Elision"/>
        </w:rPr>
        <w:t xml:space="preserve">[ … ]</w:t>
      </w:r>
      <w:r>
        <w:t xml:space="preserve"> </w:t>
      </w:r>
      <w:r>
        <w:t xml:space="preserve">SEC action, the contemporary law of collateral estoppel leads inescapably to the conclusion that the petitioners are collaterally estopped from relitigating the question of whether the proxy statement was materially false and misleading.</w:t>
      </w:r>
    </w:p>
    <w:bookmarkEnd w:id="256"/>
    <w:bookmarkStart w:id="257" w:name="section-19"/>
    <w:p>
      <w:pPr>
        <w:pStyle w:val="Heading2"/>
      </w:pPr>
      <w:r>
        <w:rPr>
          <w:rStyle w:val="Elision"/>
        </w:rPr>
        <w:t xml:space="preserve">[ … ]</w:t>
      </w:r>
    </w:p>
    <w:p>
      <w:pPr>
        <w:pStyle w:val="CaseBody"/>
      </w:pPr>
      <w:r>
        <w:rPr>
          <w:rStyle w:val="Elision"/>
        </w:rPr>
        <w:t xml:space="preserve">[ … ]</w:t>
      </w:r>
    </w:p>
    <w:p>
      <w:pPr>
        <w:pStyle w:val="CaseBody"/>
      </w:pPr>
      <w:r>
        <w:t xml:space="preserve">The judgment of the Court of Appeals is</w:t>
      </w:r>
    </w:p>
    <w:p>
      <w:pPr>
        <w:pStyle w:val="CaseBody"/>
      </w:pPr>
      <w:r>
        <w:rPr>
          <w:iCs/>
          <w:i/>
        </w:rPr>
        <w:t xml:space="preserve">Affirmed.</w:t>
      </w:r>
    </w:p>
    <w:bookmarkEnd w:id="257"/>
    <w:bookmarkStart w:id="258" w:name="section-20"/>
    <w:p>
      <w:pPr>
        <w:pStyle w:val="Heading2"/>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hyperlink w:anchor="Xdc17905164718a183d120eb51b33a5a9fe8c634">
        <w:r>
          <w:rPr>
            <w:rStyle w:val="Elision"/>
          </w:rPr>
          <w:t xml:space="preserve">[ … ]</w:t>
        </w:r>
      </w:hyperlink>
    </w:p>
    <w:p>
      <w:pPr>
        <w:pStyle w:val="CaseBody"/>
      </w:pPr>
      <w:hyperlink w:anchor="Xda0b480fcc8427d1eb7fc1942ffc4d34c74a818">
        <w:r>
          <w:rPr>
            <w:rStyle w:val="Hyperlink"/>
          </w:rPr>
          <w:t xml:space="preserve">[18]</w:t>
        </w:r>
      </w:hyperlink>
      <w:r>
        <w:t xml:space="preserve"> </w:t>
      </w:r>
      <w:r>
        <w:rPr>
          <w:rStyle w:val="ReplacementText"/>
          <w:iCs/>
          <w:i/>
        </w:rPr>
        <w:t xml:space="preserve">C</w:t>
      </w:r>
      <w:r>
        <w:t xml:space="preserve">onsolidation of a private action with one brought by the SEC without its consent is prohibited by statute. 15 U. S. C. § 78u (g).</w:t>
      </w:r>
    </w:p>
    <w:p>
      <w:pPr>
        <w:pStyle w:val="CaseBody"/>
      </w:pPr>
      <w:hyperlink w:anchor="X49bd62b8c079b6c558c36229c35f3520a2654a0">
        <w:r>
          <w:rPr>
            <w:rStyle w:val="Elision"/>
          </w:rPr>
          <w:t xml:space="preserve">[ … ]</w:t>
        </w:r>
      </w:hyperlink>
    </w:p>
    <w:p>
      <w:pPr>
        <w:pStyle w:val="CaseBody"/>
      </w:pPr>
      <w:hyperlink w:anchor="X226ffe6803a9993e40968063b24eb1916f8dbae">
        <w:r>
          <w:rPr>
            <w:rStyle w:val="Elision"/>
          </w:rPr>
          <w:t xml:space="preserve">[ … ]</w:t>
        </w:r>
      </w:hyperlink>
    </w:p>
    <w:bookmarkEnd w:id="258"/>
    <w:p>
      <w:pPr>
        <w:pStyle w:val="NodeEnd"/>
      </w:pPr>
      <w:r>
        <w:t xml:space="preserve"> </w:t>
      </w:r>
    </w:p>
    <w:p>
      <w:pPr>
        <w:pStyle w:val="NodeStart"/>
      </w:pPr>
      <w:r>
        <w:t xml:space="preserve"> </w:t>
      </w:r>
    </w:p>
    <w:p>
      <w:pPr>
        <w:pStyle w:val="HeadSeparator"/>
      </w:pPr>
      <w:r>
        <w:t xml:space="preserve"> </w:t>
      </w:r>
    </w:p>
    <w:bookmarkStart w:id="240" w:name="_auto_toc_240"/>
    <w:bookmarkEnd w:id="240"/>
    <w:p>
      <w:pPr>
        <w:pStyle w:val="ResourceNumber"/>
      </w:pPr>
      <w:r>
        <w:t xml:space="preserve">20.12</w:t>
      </w:r>
    </w:p>
    <w:p>
      <w:pPr>
        <w:pStyle w:val="ResourceTitle"/>
      </w:pPr>
      <w:r>
        <w:t xml:space="preserve">Notes following Parklane Hosiery</w:t>
      </w:r>
    </w:p>
    <w:p>
      <w:pPr>
        <w:pStyle w:val="HeadFieldSeparator"/>
      </w:pPr>
      <w:r>
        <w:t xml:space="preserve"> </w:t>
      </w:r>
    </w:p>
    <w:p>
      <w:pPr>
        <w:pStyle w:val="ResourceHeadnote"/>
      </w:pPr>
      <w:r>
        <w:t xml:space="preserve">Pay special attention to note 7.</w:t>
      </w:r>
    </w:p>
    <w:p>
      <w:pPr>
        <w:pStyle w:val="HeadEnd"/>
      </w:pPr>
      <w:r>
        <w:t xml:space="preserve"> </w:t>
      </w:r>
    </w:p>
    <w:p>
      <w:pPr>
        <w:numPr>
          <w:ilvl w:val="0"/>
          <w:numId w:val="1176"/>
        </w:numPr>
      </w:pPr>
      <w:r>
        <w:rPr>
          <w:iCs/>
          <w:i/>
        </w:rPr>
        <w:t xml:space="preserve">Parklane Hosiery</w:t>
      </w:r>
      <w:r>
        <w:t xml:space="preserve"> </w:t>
      </w:r>
      <w:r>
        <w:t xml:space="preserve">is an example of offensive nonmutual collateral estoppel, in which a plaintiff invokes preclusion to stop a defendant that the defendant previously litigated and litigated and lost. How does this differ from the defensive nonmutual collateral estoppel seen in</w:t>
      </w:r>
      <w:r>
        <w:t xml:space="preserve"> </w:t>
      </w:r>
      <w:r>
        <w:rPr>
          <w:iCs/>
          <w:i/>
        </w:rPr>
        <w:t xml:space="preserve">Blonder-Tongue</w:t>
      </w:r>
      <w:r>
        <w:t xml:space="preserve">?</w:t>
      </w:r>
    </w:p>
    <w:p>
      <w:pPr>
        <w:numPr>
          <w:ilvl w:val="0"/>
          <w:numId w:val="1176"/>
        </w:numPr>
      </w:pPr>
      <w:r>
        <w:rPr>
          <w:iCs/>
          <w:i/>
        </w:rPr>
        <w:t xml:space="preserve">Parklane Hosiery</w:t>
      </w:r>
      <w:r>
        <w:t xml:space="preserve"> </w:t>
      </w:r>
      <w:r>
        <w:t xml:space="preserve">allows a non-party to the first case to use nonmutual collateral estoppel against a party to the first judgment, but in a limited manner. The court reasoned that since Shore could not join the initial case brought by the SEC, he did not have a chance to fully, fairly, and effectively litigate his case and that denying collateral estoppel would reduce the benefits to judicial administration. These two reasons both represent limits on the ability of a non-party to invoke issue preclusion in a later case. Consider what might happen, though, if there are multiple claimants, all of whom are injured in the same accident. The first 20 plaintiffs lose their case by failing to establish negligence, but a jury finds in favor of the 21st plaintiff. In future cases, should the defendant be precluded from litigating his negligence? Might issues like this potentially be solved by a class action? (Stay tuned!) For a deeper discussion of these limits and the multiple claimant problem, see Brainerd Currie,</w:t>
      </w:r>
      <w:r>
        <w:t xml:space="preserve"> </w:t>
      </w:r>
      <w:r>
        <w:rPr>
          <w:iCs/>
          <w:i/>
        </w:rPr>
        <w:t xml:space="preserve">Mutuality of Collateral Estoppel: The Limits of the</w:t>
      </w:r>
      <w:r>
        <w:t xml:space="preserve"> </w:t>
      </w:r>
      <w:r>
        <w:t xml:space="preserve">Bernhard</w:t>
      </w:r>
      <w:r>
        <w:t xml:space="preserve"> </w:t>
      </w:r>
      <w:r>
        <w:rPr>
          <w:iCs/>
          <w:i/>
        </w:rPr>
        <w:t xml:space="preserve">Doctrine</w:t>
      </w:r>
      <w:r>
        <w:t xml:space="preserve">, 9 Stan. L. Rev. 281 (1957).</w:t>
      </w:r>
    </w:p>
    <w:p>
      <w:pPr>
        <w:numPr>
          <w:ilvl w:val="0"/>
          <w:numId w:val="1176"/>
        </w:numPr>
      </w:pPr>
      <w:r>
        <w:t xml:space="preserve">What happens if a case settles, but does so after yielding a finding that conflicts with a prior adjudication of the same issue and would have been precluded? Does this finding in the case, which settled and so did not reach a final judgment, block future use of the previous case for issue preclusion? In</w:t>
      </w:r>
      <w:r>
        <w:t xml:space="preserve"> </w:t>
      </w:r>
      <w:r>
        <w:rPr>
          <w:iCs/>
          <w:i/>
        </w:rPr>
        <w:t xml:space="preserve">Jack Faucett Assoc. v. Am. Tel. &amp; Telegraph Co.,</w:t>
      </w:r>
      <w:r>
        <w:t xml:space="preserve"> </w:t>
      </w:r>
      <w:r>
        <w:t xml:space="preserve">744 F.2d 118 (D.C. Cir. 1984), the D.C. Circuit indicated that</w:t>
      </w:r>
      <w:r>
        <w:t xml:space="preserve"> </w:t>
      </w:r>
      <w:r>
        <w:rPr>
          <w:iCs/>
          <w:i/>
        </w:rPr>
        <w:t xml:space="preserve">Parklane Hosiery</w:t>
      </w:r>
      <w:r>
        <w:t xml:space="preserve"> </w:t>
      </w:r>
      <w:r>
        <w:t xml:space="preserve">did not apply only to final judgments that cast doubt on prior proceedings. Instead, the inquiry is as to whether the court’s confidence in the first result is sufficiently shaken.</w:t>
      </w:r>
    </w:p>
    <w:p>
      <w:pPr>
        <w:numPr>
          <w:ilvl w:val="0"/>
          <w:numId w:val="1176"/>
        </w:numPr>
      </w:pPr>
      <w:r>
        <w:t xml:space="preserve">Some courts may not consider a settlement agreement sufficiently final or essential to a prior decision to use it for issue preclusion. This might especially be true if the defendant who settled does not concede any issues in the settlement.</w:t>
      </w:r>
      <w:r>
        <w:t xml:space="preserve"> </w:t>
      </w:r>
      <w:r>
        <w:rPr>
          <w:iCs/>
          <w:i/>
        </w:rPr>
        <w:t xml:space="preserve">See</w:t>
      </w:r>
      <w:r>
        <w:t xml:space="preserve"> </w:t>
      </w:r>
      <w:r>
        <w:rPr>
          <w:iCs/>
          <w:i/>
        </w:rPr>
        <w:t xml:space="preserve">Garcia v. General Motors</w:t>
      </w:r>
      <w:r>
        <w:t xml:space="preserve">, 195 Ariz. 510 (Ariz. Ct. App. 1999).</w:t>
      </w:r>
    </w:p>
    <w:p>
      <w:pPr>
        <w:numPr>
          <w:ilvl w:val="0"/>
          <w:numId w:val="1176"/>
        </w:numPr>
      </w:pPr>
      <w:r>
        <w:t xml:space="preserve">Should issue preclusion be used when the first judgment was a guilty verdict in a criminal case? Are the issues the same? What do you make of the different burdens of proof (typically higher in a criminal case)? Do criminal defendants, when offered a plea deal, have the same incentives to litigate as might a civil defendant?</w:t>
      </w:r>
    </w:p>
    <w:p>
      <w:pPr>
        <w:numPr>
          <w:ilvl w:val="0"/>
          <w:numId w:val="1176"/>
        </w:numPr>
      </w:pPr>
      <w:r>
        <w:t xml:space="preserve">What about a compromise verdict, when it looks (as far as one can tell) that a jury compromised in order to avoid a deadlock? Some courts do not allow compromise verdicts to be used for preclusive purposes. If testimony from jurors is required to determine whether a compromise verdict even occurred, should a court allow subpoenas? What other factors might move a court to change the preclusion rules when a compromise verdict is suspected?</w:t>
      </w:r>
    </w:p>
    <w:p>
      <w:pPr>
        <w:numPr>
          <w:ilvl w:val="0"/>
          <w:numId w:val="1176"/>
        </w:numPr>
      </w:pPr>
      <w:r>
        <w:t xml:space="preserve">Generally, issue preclusion does not run against the United States unless there is strict mutuality.  Why might that be?  Should there be any exceptions? Compare</w:t>
      </w:r>
      <w:r>
        <w:t xml:space="preserve"> </w:t>
      </w:r>
      <w:r>
        <w:rPr>
          <w:iCs/>
          <w:i/>
        </w:rPr>
        <w:t xml:space="preserve">United States v. Mendoza</w:t>
      </w:r>
      <w:r>
        <w:t xml:space="preserve">, 464 U.S. 154 (1984), in which the Supreme Court denied offensive nonmutual collateral estoppel in order to allow legal questions to continue to develop, to</w:t>
      </w:r>
      <w:r>
        <w:t xml:space="preserve"> </w:t>
      </w:r>
      <w:r>
        <w:rPr>
          <w:iCs/>
          <w:i/>
        </w:rPr>
        <w:t xml:space="preserve">United States v. Stauffer Chemical Co.</w:t>
      </w:r>
      <w:r>
        <w:t xml:space="preserve">, 464 U.S. 165 (1984), which limited the</w:t>
      </w:r>
      <w:r>
        <w:t xml:space="preserve"> </w:t>
      </w:r>
      <w:r>
        <w:rPr>
          <w:iCs/>
          <w:i/>
        </w:rPr>
        <w:t xml:space="preserve">Mendoza</w:t>
      </w:r>
      <w:r>
        <w:t xml:space="preserve"> </w:t>
      </w:r>
      <w:r>
        <w:t xml:space="preserve">exception to cases lacking strict mutuality.</w:t>
      </w:r>
      <w:r>
        <w:t xml:space="preserve"> </w:t>
      </w:r>
      <w:r>
        <w:rPr>
          <w:iCs/>
          <w:i/>
        </w:rPr>
        <w:t xml:space="preserve">Mendoza</w:t>
      </w:r>
      <w:r>
        <w:t xml:space="preserve"> </w:t>
      </w:r>
      <w:r>
        <w:t xml:space="preserve">and</w:t>
      </w:r>
      <w:r>
        <w:t xml:space="preserve"> </w:t>
      </w:r>
      <w:r>
        <w:rPr>
          <w:iCs/>
          <w:i/>
        </w:rPr>
        <w:t xml:space="preserve">Stauffer</w:t>
      </w:r>
      <w:r>
        <w:t xml:space="preserve"> </w:t>
      </w:r>
      <w:r>
        <w:t xml:space="preserve">were decided on the same day. Do you think the exception should be extended to state governments? Perhaps recall this question once you’ve taken Constitutional Law.</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241" w:name="_auto_toc_241"/>
    <w:bookmarkEnd w:id="241"/>
    <w:p>
      <w:pPr>
        <w:pStyle w:val="ChapterNumber"/>
      </w:pPr>
      <w:r>
        <w:t xml:space="preserve">21</w:t>
      </w:r>
    </w:p>
    <w:p>
      <w:pPr>
        <w:pStyle w:val="ChapterTitle"/>
      </w:pPr>
      <w:r>
        <w:t xml:space="preserve">Day 21</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242" w:name="_auto_toc_242"/>
    <w:bookmarkEnd w:id="242"/>
    <w:p>
      <w:pPr>
        <w:pStyle w:val="ResourceNumber"/>
      </w:pPr>
      <w:r>
        <w:t xml:space="preserve">21.1</w:t>
      </w:r>
    </w:p>
    <w:p>
      <w:pPr>
        <w:pStyle w:val="ResourceTitle"/>
      </w:pPr>
      <w:r>
        <w:t xml:space="preserve">Statutes and Constitutional Provisions</w:t>
      </w:r>
    </w:p>
    <w:p>
      <w:pPr>
        <w:pStyle w:val="HeadFieldSeparator"/>
      </w:pPr>
      <w:r>
        <w:t xml:space="preserve"> </w:t>
      </w:r>
    </w:p>
    <w:p>
      <w:pPr>
        <w:pStyle w:val="ResourceHeadnote"/>
      </w:pPr>
      <w:r>
        <w:t xml:space="preserve">Read the following statutes and constitutional provisions. You can access them via the internet or the supplemental handout provided on Canvas.</w:t>
      </w:r>
    </w:p>
    <w:p>
      <w:pPr>
        <w:pStyle w:val="HeadEnd"/>
      </w:pPr>
      <w:r>
        <w:t xml:space="preserve"> </w:t>
      </w:r>
    </w:p>
    <w:p>
      <w:pPr>
        <w:numPr>
          <w:ilvl w:val="0"/>
          <w:numId w:val="1177"/>
        </w:numPr>
      </w:pPr>
      <w:r>
        <w:t xml:space="preserve">U.S. Const. art. IV § 1</w:t>
      </w:r>
    </w:p>
    <w:p>
      <w:pPr>
        <w:numPr>
          <w:ilvl w:val="0"/>
          <w:numId w:val="1177"/>
        </w:numPr>
      </w:pPr>
      <w:r>
        <w:t xml:space="preserve">28 U.S.C. § 1738</w:t>
      </w:r>
      <w:r>
        <w:t xml:space="preserve">, plus short explanation in "Explanation of Statutes" in the "Course Materials" Folder on Canvas</w:t>
      </w:r>
    </w:p>
    <w:p>
      <w:pPr>
        <w:pStyle w:val="NodeEnd"/>
      </w:pPr>
      <w:r>
        <w:t xml:space="preserve"> </w:t>
      </w:r>
    </w:p>
    <w:p>
      <w:pPr>
        <w:pStyle w:val="NodeStart"/>
      </w:pPr>
      <w:r>
        <w:t xml:space="preserve"> </w:t>
      </w:r>
    </w:p>
    <w:p>
      <w:pPr>
        <w:pStyle w:val="HeadSeparator"/>
      </w:pPr>
      <w:r>
        <w:t xml:space="preserve"> </w:t>
      </w:r>
    </w:p>
    <w:bookmarkStart w:id="243" w:name="_auto_toc_243"/>
    <w:bookmarkEnd w:id="243"/>
    <w:p>
      <w:pPr>
        <w:pStyle w:val="ResourceNumber"/>
      </w:pPr>
      <w:r>
        <w:t xml:space="preserve">21.2</w:t>
      </w:r>
    </w:p>
    <w:p>
      <w:pPr>
        <w:pStyle w:val="ResourceTitle"/>
      </w:pPr>
      <w:r>
        <w:t xml:space="preserve">Marrese v. Orthopedic Surgeons</w:t>
      </w:r>
    </w:p>
    <w:p>
      <w:pPr>
        <w:pStyle w:val="HeadEnd"/>
      </w:pPr>
      <w:r>
        <w:t xml:space="preserve"> </w:t>
      </w:r>
    </w:p>
    <w:p>
      <w:pPr>
        <w:pStyle w:val="BodyText"/>
      </w:pPr>
      <w:r>
        <w:t xml:space="preserve">In</w:t>
      </w:r>
      <w:r>
        <w:t xml:space="preserve"> </w:t>
      </w:r>
      <w:r>
        <w:rPr>
          <w:bCs/>
          <w:b/>
        </w:rPr>
        <w:t xml:space="preserve">Marrese v. Orthopedic Surgeons</w:t>
      </w:r>
      <w:r>
        <w:t xml:space="preserve">, the American Academy of Orthopaedic Surgeons denied the membership applications of two orthopedic surgeons. They brought suit in Illinois state court contesting this denial, arguing that the denial violated their associational rights guaranteed by Illinois state antitrust (or closely associated common) law.  The plaintiffs asserted no federal cause of action, and becaise the American Academy was an unincorporated association, there was no diversity. The state courts eventually dismissed the suit on the merits. </w:t>
      </w:r>
    </w:p>
    <w:p>
      <w:pPr>
        <w:pStyle w:val="BodyText"/>
      </w:pPr>
      <w:r>
        <w:t xml:space="preserve">Next, the surgeons brought suit in federal district court, alleging that the membership denial violated the Sherman Antitrust Act. The Academy moved for summary judgment, arguing that claim preclusion barred this federal antitrust claim given that the state suits involved the same facts and had been dismissed with prejudice. However, the Supreme Court held that claim preclusion did not apply because the antitrust claim could not have been raised in state court (the antitrust claim was one of exclusive federal jurisdiction):</w:t>
      </w:r>
    </w:p>
    <w:p>
      <w:pPr>
        <w:pStyle w:val="BlockText"/>
      </w:pPr>
      <w:r>
        <w:t xml:space="preserve">If we had a single system of courts and our only concerns were efficiency and finality, it might be desirable to fashion claim preclusion rules that would require a plaintiff to bring suit initially in the forum of most general jurisdiction, thereby resolving as many issues as possible in one proceeding…Whether this result would reduce the overall burden of litigation is debatable … and we decline to base our interpretation of § 1738 on our opinion on this question.</w:t>
      </w:r>
      <w:r>
        <w:br/>
      </w:r>
      <w:r>
        <w:t xml:space="preserve">…</w:t>
      </w:r>
    </w:p>
    <w:p>
      <w:pPr>
        <w:pStyle w:val="BlockText"/>
      </w:pPr>
      <w:r>
        <w:t xml:space="preserve">More importantly, we have parallel systems of state and federal courts, and the concerns of comity reflected in § 1738 generally allow States to determine the preclusive scope of their own courts' judgments.…These concerns certainly are not made less compelling because state courts lack jurisdiction over federal antitrust claims.</w:t>
      </w:r>
      <w:r>
        <w:br/>
      </w:r>
      <w:r>
        <w:t xml:space="preserve">…</w:t>
      </w:r>
    </w:p>
    <w:p>
      <w:pPr>
        <w:pStyle w:val="BlockText"/>
      </w:pPr>
      <w:r>
        <w:t xml:space="preserve">We therefore reject a judicially created exception to § 1738 that effectively holds as a matter of federal law that a plaintiff can bring state law claims initially in state court only at the cost of forgoing subsequent federal antitrust claims.</w:t>
      </w:r>
    </w:p>
    <w:p>
      <w:pPr>
        <w:pStyle w:val="NodeEnd"/>
      </w:pPr>
      <w:r>
        <w:t xml:space="preserve"> </w:t>
      </w:r>
    </w:p>
    <w:p>
      <w:pPr>
        <w:pStyle w:val="NodeStart"/>
      </w:pPr>
      <w:r>
        <w:t xml:space="preserve"> </w:t>
      </w:r>
    </w:p>
    <w:p>
      <w:pPr>
        <w:pStyle w:val="HeadSeparator"/>
      </w:pPr>
      <w:r>
        <w:t xml:space="preserve"> </w:t>
      </w:r>
    </w:p>
    <w:bookmarkStart w:id="244" w:name="_auto_toc_244"/>
    <w:bookmarkEnd w:id="244"/>
    <w:p>
      <w:pPr>
        <w:pStyle w:val="ResourceNumber"/>
      </w:pPr>
      <w:r>
        <w:t xml:space="preserve">21.3</w:t>
      </w:r>
    </w:p>
    <w:p>
      <w:pPr>
        <w:pStyle w:val="ResourceTitle"/>
      </w:pPr>
      <w:r>
        <w:t xml:space="preserve">Migra v. Warren City School District Board of Education</w:t>
      </w:r>
    </w:p>
    <w:p>
      <w:pPr>
        <w:pStyle w:val="HeadEnd"/>
      </w:pPr>
      <w:r>
        <w:t xml:space="preserve"> </w:t>
      </w:r>
    </w:p>
    <w:p>
      <w:pPr>
        <w:pStyle w:val="CaseHeader"/>
      </w:pPr>
      <w:r>
        <w:t xml:space="preserve">Supreme Court of the United States</w:t>
      </w:r>
    </w:p>
    <w:p>
      <w:pPr>
        <w:pStyle w:val="CaseHeader"/>
      </w:pPr>
      <w:r>
        <w:t xml:space="preserve">465 U.S. 75, 79 L. Ed. 2d 56, 104 S. Ct. 892, 1984 U.S. LEXIS 23, SCDB 1983-028</w:t>
      </w:r>
    </w:p>
    <w:p>
      <w:pPr>
        <w:pStyle w:val="CaseHeader"/>
      </w:pPr>
      <w:r>
        <w:t xml:space="preserve">No. 82-738</w:t>
      </w:r>
    </w:p>
    <w:p>
      <w:pPr>
        <w:pStyle w:val="CaseHeader"/>
      </w:pPr>
      <w:r>
        <w:t xml:space="preserve">1984-01-23</w:t>
      </w:r>
    </w:p>
    <w:p>
      <w:pPr>
        <w:pStyle w:val="CaseBody"/>
      </w:pPr>
      <w:r>
        <w:rPr>
          <w:rStyle w:val="Elision"/>
        </w:rPr>
        <w:t xml:space="preserve">[ … ]</w:t>
      </w:r>
    </w:p>
    <w:p>
      <w:pPr>
        <w:pStyle w:val="CaseBody"/>
      </w:pPr>
      <w:r>
        <w:t xml:space="preserve">Justice Blackmun</w:t>
      </w:r>
    </w:p>
    <w:p>
      <w:pPr>
        <w:pStyle w:val="CaseBody"/>
      </w:pPr>
      <w:r>
        <w:t xml:space="preserve">delivered the opinion of the Court.</w:t>
      </w:r>
    </w:p>
    <w:p>
      <w:pPr>
        <w:pStyle w:val="CaseBody"/>
      </w:pPr>
      <w:r>
        <w:t xml:space="preserve">This case raises issues concerning the claim preclusive effect</w:t>
      </w:r>
      <w:r>
        <w:t xml:space="preserve"> </w:t>
      </w:r>
      <w:hyperlink w:anchor="X7940c2b012060a90afff4b6a71f375ff4e53f10">
        <w:r>
          <w:rPr>
            <w:rStyle w:val="Elision"/>
          </w:rPr>
          <w:t xml:space="preserve">[ … ]</w:t>
        </w:r>
      </w:hyperlink>
      <w:r>
        <w:t xml:space="preserve"> </w:t>
      </w:r>
      <w:r>
        <w:t xml:space="preserve">of a state-court judgment in the context of a subsequent suit, under</w:t>
      </w:r>
      <w:r>
        <w:t xml:space="preserve"> </w:t>
      </w:r>
      <w:r>
        <w:t xml:space="preserve">42 U. S. C. §§ 1983</w:t>
      </w:r>
      <w:r>
        <w:t xml:space="preserve"> </w:t>
      </w:r>
      <w:r>
        <w:rPr>
          <w:rStyle w:val="Elision"/>
        </w:rPr>
        <w:t xml:space="preserve">[ … ]</w:t>
      </w:r>
      <w:r>
        <w:t xml:space="preserve"> </w:t>
      </w:r>
      <w:r>
        <w:t xml:space="preserve">in federal court.</w:t>
      </w:r>
    </w:p>
    <w:p>
      <w:pPr>
        <w:pStyle w:val="CaseBody"/>
      </w:pPr>
      <w:r>
        <w:t xml:space="preserve">I</w:t>
      </w:r>
    </w:p>
    <w:p>
      <w:pPr>
        <w:pStyle w:val="CaseBody"/>
      </w:pPr>
      <w:r>
        <w:t xml:space="preserve">Petitioner, Dr. Ethel D. Migra, was employed by the Warren (Ohio) City School District Board of Education from August 1976 to June 1979. She served as supervisor of elementary education. Her employment was on an annual basis under written contracts for successive school years.</w:t>
      </w:r>
    </w:p>
    <w:p>
      <w:pPr>
        <w:pStyle w:val="CaseBody"/>
      </w:pPr>
      <w:r>
        <w:t xml:space="preserve">On April 17, 1979, at a regularly scheduled meeting, the Board, with all five of its members present, unanimously adopted a resolution renewing Dr. Migra’s employment as supervisor for the 1979-1980 school year. Being advised of this, she accepted the renewed appointment by letter dated April 18 delivered to a member of the Board on April 23. Early the following morning her letter was passed on to the Superintendent of Schools and to the Board’s President.</w:t>
      </w:r>
    </w:p>
    <w:p>
      <w:pPr>
        <w:pStyle w:val="CaseBody"/>
      </w:pPr>
      <w:r>
        <w:t xml:space="preserve">The Board, however, held a special meeting, called by its President, on the morning of April 24. Although there appear to have been some irregularities about the call</w:t>
      </w:r>
      <w:r>
        <w:rPr>
          <w:rStyle w:val="Elision"/>
        </w:rPr>
        <w:t xml:space="preserve">[ … ]</w:t>
      </w:r>
      <w:r>
        <w:t xml:space="preserve"> </w:t>
      </w:r>
      <w:r>
        <w:t xml:space="preserve">four of the five members of the Board were present. The President first read Dr. Migra’s acceptance letter. Then, after disposing of other business, a motion was made and adopted, by a vote of 3 to 1, not to renew petitioner’s employment for the 1979-1980 school year. Dr. Migra was given written notice of this nonrenewal and never received a written contract of employment for that year.</w:t>
      </w:r>
      <w:r>
        <w:t xml:space="preserve"> </w:t>
      </w:r>
      <w:r>
        <w:rPr>
          <w:rStyle w:val="Elision"/>
        </w:rPr>
        <w:t xml:space="preserve">[ … ]</w:t>
      </w:r>
    </w:p>
    <w:p>
      <w:pPr>
        <w:pStyle w:val="CaseBody"/>
      </w:pPr>
      <w:r>
        <w:t xml:space="preserve">Petitioner brought suit in the Court of Common Pleas of Trumbull County, Ohio, against the Board and its three members who had voted not to renew her employment. The complaint, although in five counts, presented what the parties now accept as essentially two causes of action, namely, breach of contract by the Board, and wrongful interference by the individual members with petitioner’s contract of employment. The state court, after a bench trial, “reserved and continued” the</w:t>
      </w:r>
      <w:r>
        <w:t xml:space="preserve"> </w:t>
      </w:r>
      <w:r>
        <w:t xml:space="preserve">“issue of conspiracy”</w:t>
      </w:r>
      <w:r>
        <w:rPr>
          <w:rStyle w:val="FootnoteReference"/>
        </w:rPr>
        <w:footnoteReference w:customMarkFollows="1" w:id="51"/>
        <w:t xml:space="preserve">*</w:t>
      </w:r>
      <w:r>
        <w:t xml:space="preserve"> </w:t>
      </w:r>
      <w:r>
        <w:t xml:space="preserve">and did not reach the question of the individual members’ liability. App. 39. It ruled that under Ohio law petitioner had accepted the employment proffered for 1979-1980, that this created a binding contract between her and the Board, and that the Board’s subsequent action purporting not to renew the employment relationship had no legal effect.</w:t>
      </w:r>
      <w:r>
        <w:rPr>
          <w:rStyle w:val="Elision"/>
        </w:rPr>
        <w:t xml:space="preserve">[ … ]</w:t>
      </w:r>
      <w:r>
        <w:t xml:space="preserve"> </w:t>
      </w:r>
      <w:r>
        <w:t xml:space="preserve">The court awarded Dr. Migra reinstatement to her position and compensatory damages.</w:t>
      </w:r>
      <w:r>
        <w:rPr>
          <w:rStyle w:val="Elision"/>
        </w:rPr>
        <w:t xml:space="preserve">[ … ]</w:t>
      </w:r>
      <w:r>
        <w:t xml:space="preserve">. Thereafter, petitioner moved the state trial court to dismiss without prejudice “the issue of the conspiracy and individual board member liability.”</w:t>
      </w:r>
      <w:r>
        <w:rPr>
          <w:rStyle w:val="Elision"/>
        </w:rPr>
        <w:t xml:space="preserve">[ … ]</w:t>
      </w:r>
      <w:r>
        <w:t xml:space="preserve">That motion was granted.</w:t>
      </w:r>
      <w:r>
        <w:rPr>
          <w:rStyle w:val="Elision"/>
        </w:rPr>
        <w:t xml:space="preserve">[ … ]</w:t>
      </w:r>
      <w:r>
        <w:t xml:space="preserve"> </w:t>
      </w:r>
      <w:r>
        <w:t xml:space="preserve">The Ohio Court of Appeals, Eleventh District, in an unreported opinion, affirmed the judgment of the Court of Common Pleas. Review was denied by the Supreme Court of Ohio.</w:t>
      </w:r>
    </w:p>
    <w:p>
      <w:pPr>
        <w:pStyle w:val="CaseBody"/>
      </w:pPr>
      <w:r>
        <w:t xml:space="preserve">In July 1980, Dr. Migra filed the present action in the United States District Court for the Northern District of Ohio against the Board, its then individual members, and the Superintendent of Schools.</w:t>
      </w:r>
    </w:p>
    <w:p>
      <w:pPr>
        <w:pStyle w:val="CaseBody"/>
      </w:pPr>
      <w:r>
        <w:rPr>
          <w:rStyle w:val="Elision"/>
        </w:rPr>
        <w:t xml:space="preserve">[ … ]</w:t>
      </w:r>
      <w:r>
        <w:t xml:space="preserve">. Her complaint alleged that she had become the director of a commission appointed by the Board to fashion a voluntary plan for the desegregation of the District’s elementary schools; that she had prepared a social studies curriculum; that the individual defendants objected to and opposed the curriculum and resisted the desegregation plan; that hostility and ill will toward petitioner developed; and that, as a consequence, the individual defendants determined not to renew petitioner’s contract of employment.</w:t>
      </w:r>
      <w:r>
        <w:rPr>
          <w:rStyle w:val="Elision"/>
        </w:rPr>
        <w:t xml:space="preserve">[ … ]</w:t>
      </w:r>
      <w:r>
        <w:t xml:space="preserve">. Many of the alleged facts had been proved in the earlier state-court litigation. Dr. Migra claimed that the Board’s actions were intended to punish her for the exercise of her First Amendment rights. She also claimed that the actions deprived her of property without due process and denied her equal protection. Her federal claim thus arose under the First, Fifth, and Fourteenth Amendments and</w:t>
      </w:r>
      <w:r>
        <w:t xml:space="preserve"> </w:t>
      </w:r>
      <w:r>
        <w:t xml:space="preserve">42 U. S. C. §§ 1983</w:t>
      </w:r>
      <w:r>
        <w:t xml:space="preserve"> </w:t>
      </w:r>
      <w:r>
        <w:rPr>
          <w:rStyle w:val="Elision"/>
        </w:rPr>
        <w:t xml:space="preserve">[ … ]</w:t>
      </w:r>
      <w:r>
        <w:t xml:space="preserve">. She requested injunctive relief and compensatory and punitive damages.</w:t>
      </w:r>
      <w:r>
        <w:t xml:space="preserve"> </w:t>
      </w:r>
      <w:r>
        <w:rPr>
          <w:rStyle w:val="Elision"/>
        </w:rPr>
        <w:t xml:space="preserve">[ … ]</w:t>
      </w:r>
      <w:r>
        <w:t xml:space="preserve">Answers were filed in due course and shortly thereafter the defendants moved for summary judgment on the basis of</w:t>
      </w:r>
      <w:r>
        <w:t xml:space="preserve"> </w:t>
      </w:r>
      <w:r>
        <w:rPr>
          <w:rStyle w:val="ReplacementText"/>
        </w:rPr>
        <w:t xml:space="preserve">claim preclusion</w:t>
      </w:r>
      <w:r>
        <w:t xml:space="preserve"> </w:t>
      </w:r>
      <w:r>
        <w:t xml:space="preserve">and the bar of the statute of limitations.</w:t>
      </w:r>
      <w:r>
        <w:rPr>
          <w:rStyle w:val="Elision"/>
        </w:rPr>
        <w:t xml:space="preserve">[ … ]</w:t>
      </w:r>
    </w:p>
    <w:p>
      <w:pPr>
        <w:pStyle w:val="CaseBody"/>
      </w:pPr>
      <w:r>
        <w:t xml:space="preserve">The District Court granted summary judgment for the defendants and dismissed the complaint.</w:t>
      </w:r>
      <w:r>
        <w:t xml:space="preserve"> </w:t>
      </w:r>
      <w:r>
        <w:rPr>
          <w:rStyle w:val="Elision"/>
        </w:rPr>
        <w:t xml:space="preserve">[ … ]</w:t>
      </w:r>
      <w:r>
        <w:t xml:space="preserve"> </w:t>
      </w:r>
      <w:r>
        <w:t xml:space="preserve">The United States Court of Appeals for the Sixth Circuit, by a short unreported order, affirmed.</w:t>
      </w:r>
    </w:p>
    <w:p>
      <w:pPr>
        <w:pStyle w:val="CaseBody"/>
      </w:pPr>
      <w:r>
        <w:rPr>
          <w:rStyle w:val="Elision"/>
        </w:rPr>
        <w:t xml:space="preserve">[ … ]</w:t>
      </w:r>
      <w:hyperlink w:anchor="X516d6d2b0e0cf13b5ef0295f315961941b5e237">
        <w:r>
          <w:rPr>
            <w:rStyle w:val="Elision"/>
          </w:rPr>
          <w:t xml:space="preserve">[ … ]</w:t>
        </w:r>
      </w:hyperlink>
      <w:r>
        <w:t xml:space="preserve">Because of the importance of the issue, and because of differences among the Courts of Appeals</w:t>
      </w:r>
      <w:r>
        <w:rPr>
          <w:rStyle w:val="Elision"/>
        </w:rPr>
        <w:t xml:space="preserve">[ … ]</w:t>
      </w:r>
      <w:r>
        <w:t xml:space="preserve"> </w:t>
      </w:r>
      <w:r>
        <w:t xml:space="preserve"> </w:t>
      </w:r>
      <w:r>
        <w:t xml:space="preserve">we granted cer-tiorari.</w:t>
      </w:r>
      <w:r>
        <w:t xml:space="preserve"> </w:t>
      </w:r>
      <w:r>
        <w:rPr>
          <w:rStyle w:val="Elision"/>
        </w:rPr>
        <w:t xml:space="preserve">[ … ]</w:t>
      </w:r>
    </w:p>
    <w:p>
      <w:pPr>
        <w:pStyle w:val="CaseBody"/>
      </w:pPr>
      <w:r>
        <w:rPr>
          <w:rStyle w:val="ReplacementText"/>
        </w:rPr>
        <w:t xml:space="preserve">II</w:t>
      </w:r>
    </w:p>
    <w:p>
      <w:pPr>
        <w:pStyle w:val="CaseBody"/>
      </w:pPr>
      <w:r>
        <w:t xml:space="preserve">The Constitution’s Full Faith and Credit Clause</w:t>
      </w:r>
      <w:hyperlink w:anchor="X8decd71194a53d14457ee2574b5746458bca9cc">
        <w:r>
          <w:rPr>
            <w:rStyle w:val="Elision"/>
          </w:rPr>
          <w:t xml:space="preserve">[ … ]</w:t>
        </w:r>
      </w:hyperlink>
      <w:r>
        <w:t xml:space="preserve"> </w:t>
      </w:r>
      <w:r>
        <w:t xml:space="preserve">is implemented by the federal full faith and credit statute,</w:t>
      </w:r>
      <w:r>
        <w:t xml:space="preserve"> </w:t>
      </w:r>
      <w:r>
        <w:t xml:space="preserve">28 U. S. C. § 1738</w:t>
      </w:r>
      <w:r>
        <w:t xml:space="preserve">.</w:t>
      </w:r>
      <w:r>
        <w:rPr>
          <w:rStyle w:val="Elision"/>
        </w:rPr>
        <w:t xml:space="preserve">[ … ]</w:t>
      </w:r>
    </w:p>
    <w:p>
      <w:pPr>
        <w:pStyle w:val="CaseBody"/>
      </w:pPr>
      <w:r>
        <w:t xml:space="preserve">It is now settled that a federal court must give to a state-court judgment the same preclusive effect as would be given that judgment under the law of the State in which the judgment was rendered. In</w:t>
      </w:r>
      <w:r>
        <w:t xml:space="preserve"> </w:t>
      </w:r>
      <w:r>
        <w:rPr>
          <w:iCs/>
          <w:i/>
        </w:rPr>
        <w:t xml:space="preserve">Allen</w:t>
      </w:r>
      <w:r>
        <w:t xml:space="preserve"> </w:t>
      </w:r>
      <w:r>
        <w:t xml:space="preserve">v.</w:t>
      </w:r>
      <w:r>
        <w:t xml:space="preserve"> </w:t>
      </w:r>
      <w:r>
        <w:rPr>
          <w:iCs/>
          <w:i/>
        </w:rPr>
        <w:t xml:space="preserve">McCurry,</w:t>
      </w:r>
      <w:r>
        <w:t xml:space="preserve"> </w:t>
      </w:r>
      <w:r>
        <w:rPr>
          <w:rStyle w:val="Elision"/>
        </w:rPr>
        <w:t xml:space="preserve">[ … ]</w:t>
      </w:r>
      <w:r>
        <w:t xml:space="preserve"> </w:t>
      </w:r>
      <w:r>
        <w:t xml:space="preserve">this Court said:</w:t>
      </w:r>
    </w:p>
    <w:p>
      <w:pPr>
        <w:pStyle w:val="BlockText"/>
      </w:pPr>
      <w:r>
        <w:t xml:space="preserve">“Indeed, though the federal courts may look to the common law or to the policies supporting res judicata and collateral estoppel in assessing the preclusive effect of decisions of other federal courts, Congress has specifically required all federal courts to give preclusive effect to state-court judgments whenever the courts of the State from which the judgments emerged would do so. . . .</w:t>
      </w:r>
      <w:r>
        <w:rPr>
          <w:rStyle w:val="Elision"/>
        </w:rPr>
        <w:t xml:space="preserve">[ … ]</w:t>
      </w:r>
    </w:p>
    <w:p>
      <w:pPr>
        <w:pStyle w:val="CaseBody"/>
      </w:pPr>
      <w:r>
        <w:rPr>
          <w:rStyle w:val="Elision"/>
        </w:rPr>
        <w:t xml:space="preserve">[ … ]</w:t>
      </w:r>
    </w:p>
    <w:p>
      <w:pPr>
        <w:pStyle w:val="CaseBody"/>
      </w:pPr>
      <w:r>
        <w:t xml:space="preserve">Accordingly, in the absence of federal law modifying the operation of § 1738, the preclusive effect in federal court of petitioner’s state-court judgment is determined by Ohio law.</w:t>
      </w:r>
    </w:p>
    <w:p>
      <w:pPr>
        <w:pStyle w:val="CaseBody"/>
      </w:pPr>
      <w:r>
        <w:t xml:space="preserve">In</w:t>
      </w:r>
      <w:r>
        <w:t xml:space="preserve"> </w:t>
      </w:r>
      <w:r>
        <w:rPr>
          <w:iCs/>
          <w:i/>
        </w:rPr>
        <w:t xml:space="preserve">Allen,</w:t>
      </w:r>
      <w:r>
        <w:t xml:space="preserve"> </w:t>
      </w:r>
      <w:r>
        <w:t xml:space="preserve">the Court considered whether</w:t>
      </w:r>
      <w:r>
        <w:t xml:space="preserve"> </w:t>
      </w:r>
      <w:r>
        <w:t xml:space="preserve">42 U. S. C. § 1983</w:t>
      </w:r>
      <w:r>
        <w:t xml:space="preserve"> </w:t>
      </w:r>
      <w:r>
        <w:t xml:space="preserve">modified the operation of § 1738 so that a state-court judgment was to receive less than normal preclusive effect in a suit brought in federal court under § 1983. In that case, the respondent had been convicted in a state-court criminal proceeding. In that proceeding, the respondent sought to suppress certain evidence against him on the ground that it had been obtained in violation of the Fourth Amendment. The trial court denied the motion to suppress. The respondent then brought a § 1983 suit in federal court against the officers who had seized the evidence. The District Court held the suit barred by collateral estoppel (issue preclusion) because the issue of a Fourth Amendment violation had been resolved against the respondent by the denial of his suppression motion in the criminal trial. The Court of Appeals reversed. That court concluded that, because a § 1983 suit was the respondent’s only route to a federal forum for his constitutional claim,</w:t>
      </w:r>
      <w:hyperlink w:anchor="Xd4ca6e25437301f0b04cb79acc21d4db1acb1de">
        <w:r>
          <w:rPr>
            <w:rStyle w:val="Elision"/>
          </w:rPr>
          <w:t xml:space="preserve">[ … ]</w:t>
        </w:r>
      </w:hyperlink>
      <w:r>
        <w:t xml:space="preserve">and because one of § 1983’s underlying purposes was to provide a federal cause of action in situations where state courts were not adequately protecting individual rights, the respondent should be allowed to proceed to trial in federal court unencumbered by collateral estoppel. This Court, however, reversed the Court of Appeals, explaining:</w:t>
      </w:r>
    </w:p>
    <w:p>
      <w:pPr>
        <w:pStyle w:val="BlockText"/>
      </w:pPr>
      <w:r>
        <w:t xml:space="preserve">“[N]othing in the language of § 1983 remotely expresses any congressional intent to contravene the common-law rules of preclusion or to repeal the express statutory requirements of the predecessor of</w:t>
      </w:r>
      <w:r>
        <w:t xml:space="preserve"> </w:t>
      </w:r>
      <w:r>
        <w:t xml:space="preserve">28 U. S. C. § 1738</w:t>
      </w:r>
      <w:r>
        <w:t xml:space="preserve"> </w:t>
      </w:r>
      <w:r>
        <w:t xml:space="preserve">.... Section 1983 creates a new federal cause of action. It says nothing about the preclusive effect of state-court judgments.</w:t>
      </w:r>
    </w:p>
    <w:p>
      <w:pPr>
        <w:pStyle w:val="BlockText"/>
      </w:pPr>
      <w:r>
        <w:rPr>
          <w:rStyle w:val="Elision"/>
        </w:rPr>
        <w:t xml:space="preserve">[ … ]</w:t>
      </w:r>
    </w:p>
    <w:p>
      <w:pPr>
        <w:pStyle w:val="CaseBody"/>
      </w:pPr>
      <w:r>
        <w:rPr>
          <w:iCs/>
          <w:i/>
        </w:rPr>
        <w:t xml:space="preserve">Allen</w:t>
      </w:r>
      <w:r>
        <w:t xml:space="preserve"> </w:t>
      </w:r>
      <w:r>
        <w:t xml:space="preserve">therefore made clear that issues actually litigated in a state-court proceeding are entitled to the same preclusive effect in a subsequent federal § 1983 suit as they enjoy in the courts of the State where the judgment was rendered.</w:t>
      </w:r>
    </w:p>
    <w:p>
      <w:pPr>
        <w:pStyle w:val="CaseBody"/>
      </w:pPr>
      <w:r>
        <w:t xml:space="preserve">The Court in</w:t>
      </w:r>
      <w:r>
        <w:t xml:space="preserve"> </w:t>
      </w:r>
      <w:r>
        <w:rPr>
          <w:iCs/>
          <w:i/>
        </w:rPr>
        <w:t xml:space="preserve">Allen</w:t>
      </w:r>
      <w:r>
        <w:t xml:space="preserve"> </w:t>
      </w:r>
      <w:r>
        <w:t xml:space="preserve">left open the possibility, however, that the preclusive effect of a state-court judgment might be different as to a federal issue that a § 1983 litigant could have raised but did not raise in the earlier state-court proceeding.</w:t>
      </w:r>
      <w:hyperlink w:anchor="X062e599c04381e45b3fc9104d5bdd4ca2f7addf">
        <w:r>
          <w:rPr>
            <w:rStyle w:val="Elision"/>
          </w:rPr>
          <w:t xml:space="preserve">[ … ]</w:t>
        </w:r>
      </w:hyperlink>
      <w:r>
        <w:t xml:space="preserve"> </w:t>
      </w:r>
      <w:r>
        <w:rPr>
          <w:rStyle w:val="Elision"/>
        </w:rPr>
        <w:t xml:space="preserve">[ … ]</w:t>
      </w:r>
      <w:r>
        <w:t xml:space="preserve">That is the central issue to be resolved in the present case. Petitioner did not litigate her § 1983 claim in state court, and she asserts that the state-court judgment should not preclude her suit in federal court simply because her federal claim could have been litigated in the state-court proceeding. Thus, petitioner urges this Court to interpret the interplay of § 1738 and § 1983 in such a way as to accord state-court judgments preclusive effect in § 1983 suits only as to issues actually litigated in state court.</w:t>
      </w:r>
    </w:p>
    <w:p>
      <w:pPr>
        <w:pStyle w:val="CaseBody"/>
      </w:pPr>
      <w:r>
        <w:t xml:space="preserve">It is difficult to see how the policy concerns underlying § 1983 would justify a distinction between the issue preclu-sive and claim preclusive effects of state-court judgments. The argument that state-court judgments should have less preclusive effect in § 1983 suits than in other federal suits is based on Congress’ expressed concern over the adequacy of state courts as protectors of federal rights.</w:t>
      </w:r>
      <w:r>
        <w:t xml:space="preserve"> </w:t>
      </w:r>
      <w:r>
        <w:rPr>
          <w:rStyle w:val="Elision"/>
        </w:rPr>
        <w:t xml:space="preserve">[ … ]</w:t>
      </w:r>
      <w:r>
        <w:t xml:space="preserve"> </w:t>
      </w:r>
      <w:r>
        <w:rPr>
          <w:iCs/>
          <w:i/>
        </w:rPr>
        <w:t xml:space="preserve">Allen</w:t>
      </w:r>
      <w:r>
        <w:t xml:space="preserve"> </w:t>
      </w:r>
      <w:r>
        <w:t xml:space="preserve">recognized that the enactment of § 1983 was motivated partially out of such concern,</w:t>
      </w:r>
      <w:r>
        <w:t xml:space="preserve"> </w:t>
      </w:r>
      <w:r>
        <w:rPr>
          <w:rStyle w:val="Elision"/>
        </w:rPr>
        <w:t xml:space="preserve">[ … ]</w:t>
      </w:r>
      <w:r>
        <w:t xml:space="preserve"> </w:t>
      </w:r>
      <w:r>
        <w:t xml:space="preserve">but</w:t>
      </w:r>
      <w:r>
        <w:t xml:space="preserve"> </w:t>
      </w:r>
      <w:r>
        <w:rPr>
          <w:iCs/>
          <w:i/>
        </w:rPr>
        <w:t xml:space="preserve">Allen</w:t>
      </w:r>
      <w:r>
        <w:t xml:space="preserve"> </w:t>
      </w:r>
      <w:r>
        <w:t xml:space="preserve">nevertheless held that § 1983 did not open the way to relitigation of an issue that had been determined in a state criminal proceeding. Any distrust of state courts that would justify a limitation on the preclusive effect of state judgments in § 1983 suits would presumably apply equally to issues that actually were decided in a state court as well as to those that could have been. If §1983 created an exception to the general preclusive effect accorded to state-court judgments, such an exception would seem to require similar treatment of both issue preclusion and claim preclusion. Having rejected in</w:t>
      </w:r>
      <w:r>
        <w:t xml:space="preserve"> </w:t>
      </w:r>
      <w:r>
        <w:rPr>
          <w:iCs/>
          <w:i/>
        </w:rPr>
        <w:t xml:space="preserve">Allen</w:t>
      </w:r>
      <w:r>
        <w:t xml:space="preserve"> </w:t>
      </w:r>
      <w:r>
        <w:t xml:space="preserve">the view that state-court judgments have no issue pre-clusive effect in § 1983 suits, we must reject the view that § 1983 prevents the judgment in petitioner’s state-court proceeding from creating a claim preclusion bar in this case.</w:t>
      </w:r>
    </w:p>
    <w:p>
      <w:pPr>
        <w:pStyle w:val="CaseBody"/>
      </w:pPr>
      <w:r>
        <w:t xml:space="preserve">Petitioner suggests that to give state-court judgments full issue preclusive effect but not claim preclusive effect would enable litigants to bring their state claims in state court and their federal claims in federal court, thereby taking advantage of the relative expertise of both forums. Although such a division may seem attractive from a plaintiff’s perspective, it is not the system established by § 1738. That statute embodies the view that it is more important to give full faith and credit to state-court judgments than to ensure separate forums for federal and state claims. This reflects a variety of concerns, including notions of comity, the need to prevent vexatious litigation, and a desire to conserve judicial resources.</w:t>
      </w:r>
    </w:p>
    <w:p>
      <w:pPr>
        <w:pStyle w:val="CaseBody"/>
      </w:pPr>
      <w:r>
        <w:t xml:space="preserve">In the present litigation, petitioner does not claim that the state court would not have adjudicated her federal claims had she presented them in her original suit in state court. Alternatively, petitioner could have obtained a federal forum for her federal claim by litigating it first in a federal court.</w:t>
      </w:r>
      <w:hyperlink w:anchor="Xbd47b0a04503424d97e06a86d9c0d714029440a">
        <w:r>
          <w:rPr>
            <w:rStyle w:val="Elision"/>
          </w:rPr>
          <w:t xml:space="preserve">[ … ]</w:t>
        </w:r>
      </w:hyperlink>
      <w:r>
        <w:t xml:space="preserve">Section 1983, however, does not override state preclusion law and guarantee petitioner a right to proceed to judgment in state court on her state claims and then turn to federal court for adjudication of her federal claims. We hold, therefore, that petitioner’s state-court judgment in this litigation has the same claim preclusive effect in federal court that the judgment would have in the Ohio state courts.</w:t>
      </w:r>
    </w:p>
    <w:p>
      <w:pPr>
        <w:pStyle w:val="CaseBody"/>
      </w:pPr>
      <w:r>
        <w:rPr>
          <w:rStyle w:val="ReplacementText"/>
        </w:rPr>
        <w:t xml:space="preserve">III</w:t>
      </w:r>
    </w:p>
    <w:p>
      <w:pPr>
        <w:pStyle w:val="CaseBody"/>
      </w:pPr>
      <w:r>
        <w:t xml:space="preserve">It appears to us that preclusion law in Ohio has experienced a gradual evolution, and that Ohio courts recently have applied preclusion concepts more broadly than in the past. For example, in</w:t>
      </w:r>
      <w:r>
        <w:t xml:space="preserve"> </w:t>
      </w:r>
      <w:r>
        <w:rPr>
          <w:iCs/>
          <w:i/>
        </w:rPr>
        <w:t xml:space="preserve">Vasu</w:t>
      </w:r>
      <w:r>
        <w:t xml:space="preserve"> </w:t>
      </w:r>
      <w:r>
        <w:t xml:space="preserve">v.</w:t>
      </w:r>
      <w:r>
        <w:t xml:space="preserve"> </w:t>
      </w:r>
      <w:r>
        <w:rPr>
          <w:iCs/>
          <w:i/>
        </w:rPr>
        <w:t xml:space="preserve">Kohlers, Inc.</w:t>
      </w:r>
      <w:r>
        <w:rPr>
          <w:rStyle w:val="Elision"/>
        </w:rPr>
        <w:t xml:space="preserve">[ … ]</w:t>
      </w:r>
      <w:r>
        <w:t xml:space="preserve">, a plaintiff who suffered both personal injury and property damages in an automobile accident was held entitled to maintain a separate suit against the defendant for each type of injury. The theory was that “[ijnjuries to both person and property suffered by the same person as a result of the same wrongful act are infringements of different rights and give rise to distinct causes of action . . . .”</w:t>
      </w:r>
      <w:r>
        <w:rPr>
          <w:rStyle w:val="Elision"/>
        </w:rPr>
        <w:t xml:space="preserve">[ … ]</w:t>
      </w:r>
      <w:r>
        <w:rPr>
          <w:rStyle w:val="Elision"/>
        </w:rPr>
        <w:t xml:space="preserve">[ … ]</w:t>
      </w:r>
      <w:r>
        <w:t xml:space="preserve"> </w:t>
      </w:r>
      <w:r>
        <w:t xml:space="preserve">however, the Supreme Court of Ohio specifically overruled “[paragraph four of the syllabus in the</w:t>
      </w:r>
      <w:r>
        <w:t xml:space="preserve"> </w:t>
      </w:r>
      <w:r>
        <w:rPr>
          <w:iCs/>
          <w:i/>
        </w:rPr>
        <w:t xml:space="preserve">[Vasu]</w:t>
      </w:r>
      <w:r>
        <w:t xml:space="preserve"> </w:t>
      </w:r>
      <w:r>
        <w:t xml:space="preserve">case.”</w:t>
      </w:r>
      <w:r>
        <w:t xml:space="preserve"> </w:t>
      </w:r>
      <w:r>
        <w:rPr>
          <w:rStyle w:val="Elision"/>
        </w:rPr>
        <w:t xml:space="preserve">[ … ]</w:t>
      </w:r>
      <w:r>
        <w:t xml:space="preserve"> </w:t>
      </w:r>
      <w:r>
        <w:t xml:space="preserve">The new approach was declared to be more in accord with “modern practice,”</w:t>
      </w:r>
      <w:r>
        <w:t xml:space="preserve"> </w:t>
      </w:r>
      <w:r>
        <w:rPr>
          <w:rStyle w:val="Elision"/>
        </w:rPr>
        <w:t xml:space="preserve">[ … ]</w:t>
      </w:r>
      <w:r>
        <w:t xml:space="preserve"> </w:t>
      </w:r>
      <w:r>
        <w:t xml:space="preserve">and was adopted in the hope that it might reduce “much of the vexatious litigation, with its attendant confusion, which has resulted in recent years from the filing of separate petitions by the same plaintiff, one for personal injuries and one for property damage although sustained simultaneously.”</w:t>
      </w:r>
      <w:r>
        <w:t xml:space="preserve"> </w:t>
      </w:r>
      <w:r>
        <w:rPr>
          <w:rStyle w:val="Elision"/>
        </w:rPr>
        <w:t xml:space="preserve">[ … ]</w:t>
      </w:r>
    </w:p>
    <w:p>
      <w:pPr>
        <w:pStyle w:val="CaseBody"/>
      </w:pPr>
      <w:r>
        <w:t xml:space="preserve">This holding, of course, did not fully solve for the Ohio law the question as to what constitutes a “cause of action” for claim preclusion purposes. The definition of “cause of action” or “claim” is critical in the present context because it seems that a basic rule of Ohio law is that a person is entitled to one lawsuit for each “cause of action” he possesses.</w:t>
      </w:r>
      <w:r>
        <w:t xml:space="preserve"> </w:t>
      </w:r>
      <w:r>
        <w:rPr>
          <w:rStyle w:val="Elision"/>
        </w:rPr>
        <w:t xml:space="preserve">[ … ]</w:t>
      </w:r>
    </w:p>
    <w:p>
      <w:pPr>
        <w:pStyle w:val="CaseBody"/>
      </w:pPr>
      <w:r>
        <w:rPr>
          <w:rStyle w:val="Elision"/>
        </w:rPr>
        <w:t xml:space="preserve">[ … ]</w:t>
      </w:r>
    </w:p>
    <w:p>
      <w:pPr>
        <w:pStyle w:val="CaseBody"/>
      </w:pPr>
      <w:r>
        <w:t xml:space="preserve">Then, in 1982, the Supreme Court of Ohio adopted what appears to be a broad doctrine of preclusion indeed, although in a defensive, not offensive, context.</w:t>
      </w:r>
      <w:r>
        <w:t xml:space="preserve"> </w:t>
      </w:r>
      <w:r>
        <w:rPr>
          <w:iCs/>
          <w:i/>
        </w:rPr>
        <w:t xml:space="preserve">Johnson’s Island, Inc.</w:t>
      </w:r>
      <w:r>
        <w:t xml:space="preserve"> </w:t>
      </w:r>
      <w:r>
        <w:t xml:space="preserve">v.</w:t>
      </w:r>
      <w:r>
        <w:t xml:space="preserve"> </w:t>
      </w:r>
      <w:r>
        <w:rPr>
          <w:iCs/>
          <w:i/>
        </w:rPr>
        <w:t xml:space="preserve">Board of Township Trustees</w:t>
      </w:r>
      <w:r>
        <w:rPr>
          <w:rStyle w:val="Elision"/>
        </w:rPr>
        <w:t xml:space="preserve">[ … ]</w:t>
      </w:r>
      <w:r>
        <w:t xml:space="preserve"> </w:t>
      </w:r>
      <w:r>
        <w:rPr>
          <w:rStyle w:val="Elision"/>
        </w:rPr>
        <w:t xml:space="preserve">[ … ]</w:t>
      </w:r>
    </w:p>
    <w:p>
      <w:pPr>
        <w:pStyle w:val="CaseBody"/>
      </w:pPr>
      <w:r>
        <w:t xml:space="preserve">In reading the opinion of the District Court in the present litigation, we are unable to determine whether that court was applying what it thought was the Ohio law of preclusion. The opinion cites a Sixth Circuit opinion that purported to enunciate Ohio law,</w:t>
      </w:r>
      <w:r>
        <w:t xml:space="preserve"> </w:t>
      </w:r>
      <w:r>
        <w:rPr>
          <w:iCs/>
          <w:i/>
        </w:rPr>
        <w:t xml:space="preserve">Coogan</w:t>
      </w:r>
      <w:r>
        <w:t xml:space="preserve"> </w:t>
      </w:r>
      <w:r>
        <w:t xml:space="preserve">v.</w:t>
      </w:r>
      <w:r>
        <w:t xml:space="preserve"> </w:t>
      </w:r>
      <w:r>
        <w:rPr>
          <w:iCs/>
          <w:i/>
        </w:rPr>
        <w:t xml:space="preserve">Cincinnati Bar Assn.,</w:t>
      </w:r>
      <w:r>
        <w:t xml:space="preserve"> </w:t>
      </w:r>
      <w:r>
        <w:rPr>
          <w:rStyle w:val="Elision"/>
        </w:rPr>
        <w:t xml:space="preserve">[ … ]</w:t>
      </w:r>
      <w:r>
        <w:t xml:space="preserve">, and also relied on precedents from other Federal Courts of Appeals applying both federal and state law. Our holding today makes clear that Ohio state preclusion law is to be applied to this case. Prudence also dictates that it is the District Court, in the first instance, not this Court, that should interpret Ohio preclusion law and apply it.</w:t>
      </w:r>
    </w:p>
    <w:p>
      <w:pPr>
        <w:pStyle w:val="CaseBody"/>
      </w:pPr>
      <w:r>
        <w:t xml:space="preserve">The judgment of the Court of Appeals, accordingly, is vacated, and the case is remanded to that court so that it may instruct the District Court to conduct such further proceedings as are required by, and are consistent with, this opinion.</w:t>
      </w:r>
    </w:p>
    <w:p>
      <w:pPr>
        <w:pStyle w:val="CaseBody"/>
      </w:pPr>
      <w:r>
        <w:rPr>
          <w:iCs/>
          <w:i/>
        </w:rPr>
        <w:t xml:space="preserve">It is so ordered.</w:t>
      </w:r>
    </w:p>
    <w:p>
      <w:pPr>
        <w:pStyle w:val="CaseBody"/>
      </w:pPr>
      <w:r>
        <w:rPr>
          <w:rStyle w:val="Elision"/>
        </w:rPr>
        <w:t xml:space="preserve">[ … ]</w:t>
      </w:r>
    </w:p>
    <w:p>
      <w:pPr>
        <w:pStyle w:val="CaseBody"/>
      </w:pPr>
      <w:r>
        <w:rPr>
          <w:rStyle w:val="Elision"/>
        </w:rPr>
        <w:t xml:space="preserve">[ … ]</w:t>
      </w:r>
    </w:p>
    <w:p>
      <w:pPr>
        <w:pStyle w:val="CaseBody"/>
      </w:pPr>
      <w:r>
        <w:t xml:space="preserve">Justice White,</w:t>
      </w:r>
    </w:p>
    <w:p>
      <w:pPr>
        <w:pStyle w:val="CaseBody"/>
      </w:pPr>
      <w:r>
        <w:t xml:space="preserve">with whom The Chief Justice and Justice Powell join, concurring.</w:t>
      </w:r>
      <w:r>
        <w:rPr>
          <w:rStyle w:val="FootnoteReference"/>
        </w:rPr>
        <w:footnoteReference w:customMarkFollows="1" w:id="90"/>
        <w:t xml:space="preserve">**</w:t>
      </w:r>
    </w:p>
    <w:p>
      <w:pPr>
        <w:pStyle w:val="CaseBody"/>
      </w:pPr>
      <w:r>
        <w:t xml:space="preserve">In</w:t>
      </w:r>
      <w:r>
        <w:t xml:space="preserve"> </w:t>
      </w:r>
      <w:r>
        <w:rPr>
          <w:iCs/>
          <w:i/>
        </w:rPr>
        <w:t xml:space="preserve">Union &amp; Planters’ Bank</w:t>
      </w:r>
      <w:r>
        <w:t xml:space="preserve"> </w:t>
      </w:r>
      <w:r>
        <w:t xml:space="preserve">v.</w:t>
      </w:r>
      <w:r>
        <w:t xml:space="preserve"> </w:t>
      </w:r>
      <w:r>
        <w:rPr>
          <w:iCs/>
          <w:i/>
        </w:rPr>
        <w:t xml:space="preserve">Memphis,</w:t>
      </w:r>
      <w:r>
        <w:t xml:space="preserve"> </w:t>
      </w:r>
      <w:r>
        <w:rPr>
          <w:rStyle w:val="Elision"/>
        </w:rPr>
        <w:t xml:space="preserve">[ … ]</w:t>
      </w:r>
      <w:r>
        <w:t xml:space="preserve"> </w:t>
      </w:r>
      <w:r>
        <w:t xml:space="preserve">this Court held that a federal court “can accord [a state judgment] no greater efficacy” than would the judgment-rendering State. That holding has been adhered to on at least three occasions since that time.</w:t>
      </w:r>
      <w:r>
        <w:t xml:space="preserve"> </w:t>
      </w:r>
      <w:r>
        <w:rPr>
          <w:rStyle w:val="Elision"/>
        </w:rPr>
        <w:t xml:space="preserve">[ … ]</w:t>
      </w:r>
      <w:r>
        <w:t xml:space="preserve"> </w:t>
      </w:r>
      <w:r>
        <w:t xml:space="preserve">The Court has also indicated that the States are bound by a similar rule under the Full Faith and Credit Clause.</w:t>
      </w:r>
      <w:r>
        <w:t xml:space="preserve"> </w:t>
      </w:r>
      <w:r>
        <w:rPr>
          <w:rStyle w:val="Elision"/>
        </w:rPr>
        <w:t xml:space="preserve">[ … ]</w:t>
      </w:r>
      <w:r>
        <w:t xml:space="preserve"> </w:t>
      </w:r>
      <w:r>
        <w:t xml:space="preserve">The Court is thus justified in this case to rule that preclusion must be determined under state law, even if there would be preclusion under federal standards..</w:t>
      </w:r>
    </w:p>
    <w:p>
      <w:pPr>
        <w:pStyle w:val="CaseBody"/>
      </w:pPr>
      <w:r>
        <w:t xml:space="preserve">This construction of</w:t>
      </w:r>
      <w:r>
        <w:t xml:space="preserve"> </w:t>
      </w:r>
      <w:r>
        <w:t xml:space="preserve">28 U. S. C. § 1738</w:t>
      </w:r>
      <w:r>
        <w:t xml:space="preserve"> </w:t>
      </w:r>
      <w:r>
        <w:t xml:space="preserve">and its predecessors is unfortunate. In terms of the purpose of that section, which is to require federal courts to give effect to state-court judgments, there is no reason to hold that a federal court may not give preclusive effect to a state judgment simply because the judgment would not bar relitigation in the state courts. If the federal courts have developed rules of res judicata and collateral estoppel that prevent relitigation in circumstances that would not be preclusive in state courts, the federal courts should be free to apply them, the parties then being free to relitigate in the state courts. The contrary construction of § 1738 is nevertheless one of long standing, and Congress has not seen fit to disturb it, however justified such an action might have been.</w:t>
      </w:r>
    </w:p>
    <w:p>
      <w:pPr>
        <w:pStyle w:val="CaseBody"/>
      </w:pPr>
      <w:r>
        <w:t xml:space="preserve">Accordingly, I join the opinion of the Court.</w:t>
      </w:r>
    </w:p>
    <w:p>
      <w:pPr>
        <w:pStyle w:val="NodeEnd"/>
      </w:pPr>
      <w:r>
        <w:t xml:space="preserve"> </w:t>
      </w:r>
    </w:p>
    <w:p>
      <w:pPr>
        <w:pStyle w:val="NodeStart"/>
      </w:pPr>
      <w:r>
        <w:t xml:space="preserve"> </w:t>
      </w:r>
    </w:p>
    <w:p>
      <w:pPr>
        <w:pStyle w:val="HeadSeparator"/>
      </w:pPr>
      <w:r>
        <w:t xml:space="preserve"> </w:t>
      </w:r>
    </w:p>
    <w:bookmarkStart w:id="245" w:name="_auto_toc_245"/>
    <w:bookmarkEnd w:id="245"/>
    <w:p>
      <w:pPr>
        <w:pStyle w:val="ResourceNumber"/>
      </w:pPr>
      <w:r>
        <w:t xml:space="preserve">21.4</w:t>
      </w:r>
    </w:p>
    <w:p>
      <w:pPr>
        <w:pStyle w:val="ResourceTitle"/>
      </w:pPr>
      <w:r>
        <w:t xml:space="preserve">Notes following Migra</w:t>
      </w:r>
    </w:p>
    <w:p>
      <w:pPr>
        <w:pStyle w:val="HeadEnd"/>
      </w:pPr>
      <w:r>
        <w:t xml:space="preserve"> </w:t>
      </w:r>
    </w:p>
    <w:p>
      <w:pPr>
        <w:numPr>
          <w:ilvl w:val="0"/>
          <w:numId w:val="1178"/>
        </w:numPr>
      </w:pPr>
      <w:r>
        <w:t xml:space="preserve">Section</w:t>
      </w:r>
      <w:r>
        <w:t xml:space="preserve"> </w:t>
      </w:r>
      <w:r>
        <w:t xml:space="preserve"> </w:t>
      </w:r>
      <w:r>
        <w:t xml:space="preserve">1983 was enacted to provide a federal cause of action for civil rights. Congress was concerned in part that state institutions, including state courts, were not doing their job protecting against civil rights violations. Does this legislative purpose and history provide any argument for less preclusive effect in relation to §1983 claims? What does the Court in</w:t>
      </w:r>
      <w:r>
        <w:t xml:space="preserve"> </w:t>
      </w:r>
      <w:r>
        <w:rPr>
          <w:iCs/>
          <w:i/>
        </w:rPr>
        <w:t xml:space="preserve">Migra</w:t>
      </w:r>
      <w:r>
        <w:t xml:space="preserve"> </w:t>
      </w:r>
      <w:r>
        <w:t xml:space="preserve">have to say about that?</w:t>
      </w:r>
    </w:p>
    <w:p>
      <w:pPr>
        <w:numPr>
          <w:ilvl w:val="0"/>
          <w:numId w:val="1178"/>
        </w:numPr>
      </w:pPr>
      <w:r>
        <w:t xml:space="preserve">The issue here is whether a §1983 theory of relief that</w:t>
      </w:r>
      <w:r>
        <w:t xml:space="preserve"> </w:t>
      </w:r>
      <w:r>
        <w:rPr>
          <w:iCs/>
          <w:i/>
        </w:rPr>
        <w:t xml:space="preserve">could have been</w:t>
      </w:r>
      <w:r>
        <w:t xml:space="preserve"> </w:t>
      </w:r>
      <w:r>
        <w:t xml:space="preserve">litigated in the original state court action can now be brought in federal court. (Remember: state courts are courts of general jurisdiction that can hear claims of federal causes of action; § 1983 claims enjoy</w:t>
      </w:r>
      <w:r>
        <w:t xml:space="preserve"> </w:t>
      </w:r>
      <w:r>
        <w:rPr>
          <w:bCs/>
          <w:b/>
        </w:rPr>
        <w:t xml:space="preserve">concurrent jurisdiction</w:t>
      </w:r>
      <w:r>
        <w:t xml:space="preserve">.) What type of preclusion is thus at hand in the case (issue or claim)? Is the Court right to treat both issue and claim preclusion equally in this context?</w:t>
      </w:r>
    </w:p>
    <w:p>
      <w:pPr>
        <w:pStyle w:val="NodeEnd"/>
      </w:pPr>
      <w:r>
        <w:t xml:space="preserve"> </w:t>
      </w:r>
    </w:p>
    <w:p>
      <w:pPr>
        <w:pStyle w:val="NodeStart"/>
      </w:pPr>
      <w:r>
        <w:t xml:space="preserve"> </w:t>
      </w:r>
    </w:p>
    <w:p>
      <w:pPr>
        <w:pStyle w:val="HeadSeparator"/>
      </w:pPr>
      <w:r>
        <w:t xml:space="preserve"> </w:t>
      </w:r>
    </w:p>
    <w:bookmarkStart w:id="246" w:name="_auto_toc_246"/>
    <w:bookmarkEnd w:id="246"/>
    <w:p>
      <w:pPr>
        <w:pStyle w:val="ResourceNumber"/>
      </w:pPr>
      <w:r>
        <w:t xml:space="preserve">21.5</w:t>
      </w:r>
    </w:p>
    <w:p>
      <w:pPr>
        <w:pStyle w:val="ResourceTitle"/>
      </w:pPr>
      <w:r>
        <w:t xml:space="preserve">Rules</w:t>
      </w:r>
    </w:p>
    <w:p>
      <w:pPr>
        <w:pStyle w:val="HeadFieldSeparator"/>
      </w:pPr>
      <w:r>
        <w:t xml:space="preserve"> </w:t>
      </w:r>
    </w:p>
    <w:p>
      <w:pPr>
        <w:pStyle w:val="ResourceHeadnote"/>
      </w:pPr>
      <w:r>
        <w:t xml:space="preserve">Read the following Federal Rules of Civil Procedure. You can access them via the internet or the supplemental handout provided on Canvas.</w:t>
      </w:r>
    </w:p>
    <w:p>
      <w:pPr>
        <w:pStyle w:val="HeadEnd"/>
      </w:pPr>
      <w:r>
        <w:t xml:space="preserve"> </w:t>
      </w:r>
    </w:p>
    <w:p>
      <w:pPr>
        <w:numPr>
          <w:ilvl w:val="0"/>
          <w:numId w:val="1179"/>
        </w:numPr>
      </w:pPr>
      <w:r>
        <w:t xml:space="preserve">Fed. R. Civ. P. 41</w:t>
      </w:r>
    </w:p>
    <w:p>
      <w:pPr>
        <w:pStyle w:val="NodeEnd"/>
      </w:pPr>
      <w:r>
        <w:t xml:space="preserve"> </w:t>
      </w:r>
    </w:p>
    <w:p>
      <w:pPr>
        <w:pStyle w:val="NodeStart"/>
      </w:pPr>
      <w:r>
        <w:t xml:space="preserve"> </w:t>
      </w:r>
    </w:p>
    <w:p>
      <w:pPr>
        <w:pStyle w:val="HeadSeparator"/>
      </w:pPr>
      <w:r>
        <w:t xml:space="preserve"> </w:t>
      </w:r>
    </w:p>
    <w:bookmarkStart w:id="247" w:name="_auto_toc_247"/>
    <w:bookmarkEnd w:id="247"/>
    <w:p>
      <w:pPr>
        <w:pStyle w:val="ResourceNumber"/>
      </w:pPr>
      <w:r>
        <w:t xml:space="preserve">21.6</w:t>
      </w:r>
    </w:p>
    <w:p>
      <w:pPr>
        <w:pStyle w:val="ResourceTitle"/>
      </w:pPr>
      <w:r>
        <w:t xml:space="preserve">Semtek International Inc. v. Lockheed Martin Corp.</w:t>
      </w:r>
    </w:p>
    <w:p>
      <w:pPr>
        <w:pStyle w:val="HeadFieldSeparator"/>
      </w:pPr>
      <w:r>
        <w:t xml:space="preserve"> </w:t>
      </w:r>
    </w:p>
    <w:p>
      <w:pPr>
        <w:pStyle w:val="ResourceHeadnote"/>
      </w:pPr>
      <w:r>
        <w:t xml:space="preserve">This case considers the effect of a federal court dismissal on a subsequent state lawsuit. Note that the federal court dismissal is for limitations. If our previous classes have not persuaded you that attempting to reason out hard cases based on a characterization of whether some issue (such as limitations) is "substantive" or "procedural" is a direct rode to Dante's Eighth Circle, this case should do so. Just don't go there.</w:t>
      </w:r>
    </w:p>
    <w:p>
      <w:pPr>
        <w:pStyle w:val="HeadEnd"/>
      </w:pPr>
      <w:r>
        <w:t xml:space="preserve"> </w:t>
      </w:r>
    </w:p>
    <w:p>
      <w:pPr>
        <w:pStyle w:val="CaseHeader"/>
      </w:pPr>
      <w:r>
        <w:t xml:space="preserve">Supreme Court of the United States</w:t>
      </w:r>
    </w:p>
    <w:p>
      <w:pPr>
        <w:pStyle w:val="CaseHeader"/>
      </w:pPr>
      <w:r>
        <w:t xml:space="preserve">531 U.S. 497, 149 L. Ed. 2d 32, 121 S. Ct. 1021, 2001 U.S. LEXIS 1951, SCDB 2000-026</w:t>
      </w:r>
    </w:p>
    <w:p>
      <w:pPr>
        <w:pStyle w:val="CaseHeader"/>
      </w:pPr>
      <w:r>
        <w:t xml:space="preserve">No. 99-1551</w:t>
      </w:r>
    </w:p>
    <w:p>
      <w:pPr>
        <w:pStyle w:val="CaseHeader"/>
      </w:pPr>
      <w:r>
        <w:t xml:space="preserve">2001-02-27</w:t>
      </w:r>
    </w:p>
    <w:p>
      <w:pPr>
        <w:pStyle w:val="CaseBody"/>
      </w:pPr>
      <w:r>
        <w:rPr>
          <w:rStyle w:val="Elision"/>
        </w:rPr>
        <w:t xml:space="preserve">[ … ]</w:t>
      </w:r>
    </w:p>
    <w:p>
      <w:pPr>
        <w:pStyle w:val="CaseBody"/>
      </w:pPr>
      <w:r>
        <w:t xml:space="preserve">Justice Scalia</w:t>
      </w:r>
    </w:p>
    <w:p>
      <w:pPr>
        <w:pStyle w:val="CaseBody"/>
      </w:pPr>
      <w:r>
        <w:t xml:space="preserve">delivered the opinion of the Court.</w:t>
      </w:r>
    </w:p>
    <w:p>
      <w:pPr>
        <w:pStyle w:val="CaseBody"/>
      </w:pPr>
      <w:r>
        <w:rPr>
          <w:rStyle w:val="Elision"/>
        </w:rPr>
        <w:t xml:space="preserve">[ … ]</w:t>
      </w:r>
    </w:p>
    <w:p>
      <w:pPr>
        <w:pStyle w:val="CaseBody"/>
      </w:pPr>
      <w:r>
        <w:t xml:space="preserve">I</w:t>
      </w:r>
    </w:p>
    <w:p>
      <w:pPr>
        <w:pStyle w:val="CaseBody"/>
      </w:pPr>
      <w:r>
        <w:t xml:space="preserve">Petitioner filed a complaint against respondent in California state court, alleging inducement of breach of contract and various business torts. Respondent removed the case to the United States District Court for the Central District of California on the basis of diversity of citizenship</w:t>
      </w:r>
      <w:r>
        <w:rPr>
          <w:rStyle w:val="Elision"/>
        </w:rPr>
        <w:t xml:space="preserve">[ … ]</w:t>
      </w:r>
      <w:r>
        <w:t xml:space="preserve"> </w:t>
      </w:r>
      <w:r>
        <w:t xml:space="preserve">and successfully moved to dismiss petitioner’s claims as barred by California’s 2-year statute of limitations.</w:t>
      </w:r>
      <w:r>
        <w:t xml:space="preserve"> </w:t>
      </w:r>
      <w:r>
        <w:rPr>
          <w:rStyle w:val="Elision"/>
        </w:rPr>
        <w:t xml:space="preserve">[ … ]</w:t>
      </w:r>
      <w:r>
        <w:t xml:space="preserve">the District Court,</w:t>
      </w:r>
      <w:r>
        <w:t xml:space="preserve"> </w:t>
      </w:r>
      <w:r>
        <w:rPr>
          <w:rStyle w:val="Elision"/>
        </w:rPr>
        <w:t xml:space="preserve">[ … ]</w:t>
      </w:r>
      <w:r>
        <w:t xml:space="preserve"> </w:t>
      </w:r>
      <w:r>
        <w:t xml:space="preserve">dismissed petitioner’s claims “in [their] entirety on the merits and with prejudice.”</w:t>
      </w:r>
      <w:r>
        <w:t xml:space="preserve"> </w:t>
      </w:r>
      <w:r>
        <w:rPr>
          <w:rStyle w:val="Elision"/>
        </w:rPr>
        <w:t xml:space="preserve">[ … ]</w:t>
      </w:r>
      <w:r>
        <w:t xml:space="preserve">Without contesting the</w:t>
      </w:r>
      <w:r>
        <w:t xml:space="preserve"> </w:t>
      </w:r>
      <w:r>
        <w:rPr>
          <w:rStyle w:val="Elision"/>
        </w:rPr>
        <w:t xml:space="preserve">[ … ]</w:t>
      </w:r>
      <w:r>
        <w:t xml:space="preserve">dismissal as “on the merits,” petitioner appealed to the Court of Appeals for the Ninth Circuit, which affirmed the District Court’s order.</w:t>
      </w:r>
      <w:r>
        <w:t xml:space="preserve"> </w:t>
      </w:r>
      <w:r>
        <w:rPr>
          <w:rStyle w:val="Elision"/>
        </w:rPr>
        <w:t xml:space="preserve">[ … ]</w:t>
      </w:r>
      <w:r>
        <w:t xml:space="preserve"> </w:t>
      </w:r>
      <w:r>
        <w:t xml:space="preserve">Petitioner also brought suit against respondent in the State Circuit Court for Baltimore City, Maryland, alleging the same causes of action, which were not time barred under Maryland’s 3-year statute of limitations.</w:t>
      </w:r>
      <w:r>
        <w:t xml:space="preserve"> </w:t>
      </w:r>
      <w:r>
        <w:rPr>
          <w:rStyle w:val="Elision"/>
        </w:rPr>
        <w:t xml:space="preserve">[ … ]</w:t>
      </w:r>
      <w:r>
        <w:t xml:space="preserve">Following a hearing, the Maryland state court granted respondent’s motion to dismiss on the ground of</w:t>
      </w:r>
      <w:r>
        <w:t xml:space="preserve"> </w:t>
      </w:r>
      <w:r>
        <w:rPr>
          <w:rStyle w:val="ReplacementText"/>
        </w:rPr>
        <w:t xml:space="preserve">claim preclusion</w:t>
      </w:r>
      <w:r>
        <w:t xml:space="preserve">. Petitioner then returned</w:t>
      </w:r>
      <w:r>
        <w:t xml:space="preserve"> </w:t>
      </w:r>
      <w:r>
        <w:rPr>
          <w:rStyle w:val="ReplacementText"/>
        </w:rPr>
        <w:t xml:space="preserve">to</w:t>
      </w:r>
      <w:r>
        <w:t xml:space="preserve"> </w:t>
      </w:r>
      <w:r>
        <w:t xml:space="preserve">the California federal court and the Ninth Circuit, unsuccessfully moving both courts to amend the former’s earlier order so as to indicate that the dismissal was not “on the merits.” Petitioner also appealed the Maryland trial court’s order of dismissal to the Maryland Court of Special Appeals. The Court of Special Appeals affirmed, holding that, regardless of whether California would have accorded claim-preclusive effect to a statute-of-limitations dismissal by one of its own courts, the dismissal by the California federal court barred the complaint filed in Maryland, since the</w:t>
      </w:r>
      <w:r>
        <w:t xml:space="preserve"> </w:t>
      </w:r>
      <w:r>
        <w:rPr>
          <w:rStyle w:val="ReplacementText"/>
        </w:rPr>
        <w:t xml:space="preserve">claim preclusion</w:t>
      </w:r>
      <w:r>
        <w:t xml:space="preserve"> </w:t>
      </w:r>
      <w:r>
        <w:t xml:space="preserve">effect of federal diversity judgments is prescribed by federal law, under which the earlier dismissal was on the merits and claim preclusive.</w:t>
      </w:r>
      <w:r>
        <w:t xml:space="preserve"> </w:t>
      </w:r>
      <w:r>
        <w:rPr>
          <w:rStyle w:val="Elision"/>
        </w:rPr>
        <w:t xml:space="preserve">[ … ]</w:t>
      </w:r>
      <w:r>
        <w:t xml:space="preserve">. After the Maryland Court of Appeals declined to review the case, we granted certiorari.</w:t>
      </w:r>
      <w:r>
        <w:t xml:space="preserve"> </w:t>
      </w:r>
      <w:r>
        <w:rPr>
          <w:rStyle w:val="Elision"/>
        </w:rPr>
        <w:t xml:space="preserve">[ … ]</w:t>
      </w:r>
    </w:p>
    <w:p>
      <w:pPr>
        <w:pStyle w:val="CaseBody"/>
      </w:pPr>
      <w:r>
        <w:t xml:space="preserve">II</w:t>
      </w:r>
    </w:p>
    <w:p>
      <w:pPr>
        <w:pStyle w:val="CaseBody"/>
      </w:pPr>
      <w:r>
        <w:t xml:space="preserve">Petitioner contends that the outcome of this case is controlled by</w:t>
      </w:r>
      <w:r>
        <w:t xml:space="preserve"> </w:t>
      </w:r>
      <w:r>
        <w:rPr>
          <w:iCs/>
          <w:i/>
        </w:rPr>
        <w:t xml:space="preserve">Dupasseur</w:t>
      </w:r>
      <w:r>
        <w:t xml:space="preserve"> </w:t>
      </w:r>
      <w:r>
        <w:t xml:space="preserve">v.</w:t>
      </w:r>
      <w:r>
        <w:t xml:space="preserve"> </w:t>
      </w:r>
      <w:r>
        <w:rPr>
          <w:iCs/>
          <w:i/>
        </w:rPr>
        <w:t xml:space="preserve">Rochereau</w:t>
      </w:r>
      <w:r>
        <w:rPr>
          <w:rStyle w:val="Elision"/>
        </w:rPr>
        <w:t xml:space="preserve">[ … ]</w:t>
      </w:r>
      <w:r>
        <w:t xml:space="preserve"> </w:t>
      </w:r>
      <w:r>
        <w:t xml:space="preserve">which held that the res judicata effect of a federal diversity judgment “is such as would belong to judgments of the State courts rendered under similar circumstances,” and may not be accorded any “higher sanctity or effect.” Since, petitioner argues, the dismissal of an action on statute-of-limitations grounds by a California state court would not be claim preclusive, it follows that the similar dismissal of this diversity action by the California federal court cannot be claim preclusive. While we agree that this would be the result demanded by</w:t>
      </w:r>
      <w:r>
        <w:t xml:space="preserve"> </w:t>
      </w:r>
      <w:r>
        <w:rPr>
          <w:iCs/>
          <w:i/>
        </w:rPr>
        <w:t xml:space="preserve">Du</w:t>
      </w:r>
      <w:r>
        <w:rPr>
          <w:rStyle w:val="ReplacementText"/>
          <w:iCs/>
          <w:i/>
        </w:rPr>
        <w:t xml:space="preserve">-</w:t>
      </w:r>
      <w:r>
        <w:rPr>
          <w:iCs/>
          <w:i/>
        </w:rPr>
        <w:t xml:space="preserve">passeur,</w:t>
      </w:r>
      <w:r>
        <w:t xml:space="preserve"> </w:t>
      </w:r>
      <w:r>
        <w:t xml:space="preserve">the case is not dispositive because it was decided under the Conformity Act of 1872,</w:t>
      </w:r>
      <w:r>
        <w:t xml:space="preserve"> </w:t>
      </w:r>
      <w:r>
        <w:rPr>
          <w:rStyle w:val="Elision"/>
        </w:rPr>
        <w:t xml:space="preserve">[ … ]</w:t>
      </w:r>
      <w:r>
        <w:t xml:space="preserve"> </w:t>
      </w:r>
      <w:r>
        <w:t xml:space="preserve">which required federal courts to apply the procedural law of the forum State in nonequity eases. That arguably affected the outcome of the case.</w:t>
      </w:r>
      <w:r>
        <w:t xml:space="preserve"> </w:t>
      </w:r>
      <w:r>
        <w:rPr>
          <w:rStyle w:val="Elision"/>
        </w:rPr>
        <w:t xml:space="preserve">[ … ]</w:t>
      </w:r>
    </w:p>
    <w:p>
      <w:pPr>
        <w:pStyle w:val="CaseBody"/>
      </w:pPr>
      <w:r>
        <w:t xml:space="preserve">Respondent, for its part, contends that the outcome of this case is controlled by Federal Rule of Civil Procedure 41(b), which provides as follows:</w:t>
      </w:r>
    </w:p>
    <w:p>
      <w:pPr>
        <w:pStyle w:val="BlockText"/>
      </w:pPr>
      <w:r>
        <w:t xml:space="preserve">“Involuntary Dismissal: Effect Thereof. For failure of the plaintiff to prosecute or to comply with these rules or any order of court, a defendant may move for dismissal of an action or of any claim against the defendant. Unless the court in its order for dismissal otherwise specifies, a dismissal under this subdivision and any dismissal not provided for in this rule, other than a dismissal for lack of jurisdiction, for improper venue, or for failure to join a party under Rule 19, operates as an adjudication upon the merits.”</w:t>
      </w:r>
    </w:p>
    <w:p>
      <w:pPr>
        <w:pStyle w:val="CaseBody"/>
      </w:pPr>
      <w:r>
        <w:t xml:space="preserve">Since the dismissal here did not “otherwise specif[y]” (indeed, it specifically stated that it</w:t>
      </w:r>
      <w:r>
        <w:t xml:space="preserve"> </w:t>
      </w:r>
      <w:r>
        <w:rPr>
          <w:iCs/>
          <w:i/>
        </w:rPr>
        <w:t xml:space="preserve">was</w:t>
      </w:r>
      <w:r>
        <w:t xml:space="preserve"> </w:t>
      </w:r>
      <w:r>
        <w:t xml:space="preserve">“on the merits”), and did not pertain to the excepted subjects of jurisdiction, venue, or joinder, it follows, respondent contends, that the dismissal “is entitled to claim preclusive effect.”</w:t>
      </w:r>
      <w:r>
        <w:t xml:space="preserve"> </w:t>
      </w:r>
      <w:r>
        <w:rPr>
          <w:rStyle w:val="Elision"/>
        </w:rPr>
        <w:t xml:space="preserve">[ … ]</w:t>
      </w:r>
    </w:p>
    <w:p>
      <w:pPr>
        <w:pStyle w:val="CaseBody"/>
      </w:pPr>
      <w:r>
        <w:t xml:space="preserve">Implicit in this reasoning is the unstated minor premise that all judgments denominated “on the merits” are entitled to claim-preclusive effect. That premise is not necessarily valid. The original connotation of an “on the merits” adjudication is one that actually “pass[es] directly on the substance of [a particular] claim” before the court. Restatement § 19, Comment</w:t>
      </w:r>
      <w:r>
        <w:t xml:space="preserve"> </w:t>
      </w:r>
      <w:r>
        <w:rPr>
          <w:iCs/>
          <w:i/>
        </w:rPr>
        <w:t xml:space="preserve">a,</w:t>
      </w:r>
      <w:r>
        <w:t xml:space="preserve"> </w:t>
      </w:r>
      <w:r>
        <w:t xml:space="preserve">at 161. That connotation remains common to every jurisdiction of which we are aware.</w:t>
      </w:r>
      <w:r>
        <w:t xml:space="preserve"> </w:t>
      </w:r>
      <w:r>
        <w:rPr>
          <w:rStyle w:val="Elision"/>
        </w:rPr>
        <w:t xml:space="preserve">[ … ]</w:t>
      </w:r>
      <w:r>
        <w:t xml:space="preserve">And it is, we think, the meaning intended in those many statements to the effect that a judgment “on the merits” triggers the doctrine of res judicata or claim preclusion.</w:t>
      </w:r>
      <w:r>
        <w:t xml:space="preserve"> </w:t>
      </w:r>
      <w:r>
        <w:rPr>
          <w:rStyle w:val="Elision"/>
        </w:rPr>
        <w:t xml:space="preserve">[ … ]</w:t>
      </w:r>
    </w:p>
    <w:p>
      <w:pPr>
        <w:pStyle w:val="CaseBody"/>
      </w:pPr>
      <w:r>
        <w:t xml:space="preserve">But over the years the meaning of the term “judgment on the merits” “has gradually undergone change,”</w:t>
      </w:r>
      <w:r>
        <w:rPr>
          <w:rStyle w:val="Elision"/>
        </w:rPr>
        <w:t xml:space="preserve">[ … ]</w:t>
      </w:r>
      <w:r>
        <w:t xml:space="preserve">, and it has come to be applied to some judgments (such as the one involved here) that do</w:t>
      </w:r>
      <w:r>
        <w:t xml:space="preserve"> </w:t>
      </w:r>
      <w:r>
        <w:rPr>
          <w:iCs/>
          <w:i/>
        </w:rPr>
        <w:t xml:space="preserve">not</w:t>
      </w:r>
      <w:r>
        <w:t xml:space="preserve"> </w:t>
      </w:r>
      <w:r>
        <w:t xml:space="preserve">pass upon the substantive merits of a claim and hence do</w:t>
      </w:r>
      <w:r>
        <w:t xml:space="preserve"> </w:t>
      </w:r>
      <w:r>
        <w:rPr>
          <w:iCs/>
          <w:i/>
        </w:rPr>
        <w:t xml:space="preserve">not</w:t>
      </w:r>
      <w:r>
        <w:t xml:space="preserve"> </w:t>
      </w:r>
      <w:r>
        <w:t xml:space="preserve">(in many jurisdictions) entail claim-preclusive effect.</w:t>
      </w:r>
      <w:r>
        <w:t xml:space="preserve"> </w:t>
      </w:r>
      <w:r>
        <w:rPr>
          <w:rStyle w:val="Elision"/>
        </w:rPr>
        <w:t xml:space="preserve">[ … ]</w:t>
      </w:r>
    </w:p>
    <w:p>
      <w:pPr>
        <w:pStyle w:val="CaseBody"/>
      </w:pPr>
      <w:r>
        <w:t xml:space="preserve">In short, it is no longer true that a judgment “on the merits” is necessarily a judgment entitled to claim-preclusive effect; and there are a number of reasons for believing that the phrase “adjudication upon the merits” does not bear that meaning in Rule 41(b). To begin with, Rule 41(b) sets forth nothing more than a default rule for determining the import of a dismissal (a dismissal is “upon the merits,” with the three stated exceptions, unless the court “otherwise specifies”). This would be a highly peculiar context in which to announce a federally prescribed rule on the complex question of claim preclusion, saying in effect, “All federal dismissals (with three specified exceptions) preclude suit elsewhere, unless the court otherwise specifies.”</w:t>
      </w:r>
    </w:p>
    <w:p>
      <w:pPr>
        <w:pStyle w:val="CaseBody"/>
      </w:pPr>
      <w:r>
        <w:t xml:space="preserve">And even apart from the purely default character of Rule 41(b), it would be peculiar to find a rule governing the effect that must be accorded federal judgments by other courts ensconced in rules governing the internal procedures of the rendering court itself. Indeed, such a rule would arguably violate the jurisdictional limitation of the Rules Enabling Act: that the Rules “shall not abridge, enlarge or modify any substantive right,” 28 U. S. C. § 2072(b). Cf.</w:t>
      </w:r>
      <w:r>
        <w:t xml:space="preserve"> </w:t>
      </w:r>
      <w:r>
        <w:rPr>
          <w:iCs/>
          <w:i/>
        </w:rPr>
        <w:t xml:space="preserve">Ortiz</w:t>
      </w:r>
      <w:r>
        <w:t xml:space="preserve"> </w:t>
      </w:r>
      <w:r>
        <w:t xml:space="preserve">v.</w:t>
      </w:r>
      <w:r>
        <w:t xml:space="preserve"> </w:t>
      </w:r>
      <w:r>
        <w:rPr>
          <w:iCs/>
          <w:i/>
        </w:rPr>
        <w:t xml:space="preserve">Fibreboard Corp.,</w:t>
      </w:r>
      <w:r>
        <w:t xml:space="preserve"> </w:t>
      </w:r>
      <w:r>
        <w:rPr>
          <w:rStyle w:val="Elision"/>
        </w:rPr>
        <w:t xml:space="preserve">[ … ]</w:t>
      </w:r>
      <w:r>
        <w:t xml:space="preserve"> </w:t>
      </w:r>
      <w:r>
        <w:t xml:space="preserve">(adopting a “limiting construction” of Federal Rule of Civil Procedure 23(b)(1)(B) in order to “minimiz[e] potential conflict with the Rules Enabling Act, and [to] avoi[d] serious constitutional concerns”). In the present case, for example, if California law left petitioner free to sue on this claim in Maryland even after the California statute of limitations had expired, the federal court’s extinguishment of that right (through Rule 41(b)’s mandated claim-preclusive effect of its judgment) would seem to violate this limitation.</w:t>
      </w:r>
    </w:p>
    <w:p>
      <w:pPr>
        <w:pStyle w:val="CaseBody"/>
      </w:pPr>
      <w:r>
        <w:t xml:space="preserve">Moreover, as so interpreted, the Rule would in many cases violate the federalism principle of</w:t>
      </w:r>
      <w:r>
        <w:t xml:space="preserve"> </w:t>
      </w:r>
      <w:r>
        <w:rPr>
          <w:iCs/>
          <w:i/>
        </w:rPr>
        <w:t xml:space="preserve">Erie R. Co.</w:t>
      </w:r>
      <w:r>
        <w:t xml:space="preserve"> </w:t>
      </w:r>
      <w:r>
        <w:t xml:space="preserve">v.</w:t>
      </w:r>
      <w:r>
        <w:t xml:space="preserve"> </w:t>
      </w:r>
      <w:r>
        <w:rPr>
          <w:iCs/>
          <w:i/>
        </w:rPr>
        <w:t xml:space="preserve">Tompkins</w:t>
      </w:r>
      <w:r>
        <w:rPr>
          <w:rStyle w:val="Elision"/>
        </w:rPr>
        <w:t xml:space="preserve">[ … ]</w:t>
      </w:r>
      <w:r>
        <w:t xml:space="preserve"> </w:t>
      </w:r>
      <w:r>
        <w:t xml:space="preserve">by engendering “ ‘substantial’ variations [in outcomes] between state and federal litigation” which would “[l]ikely . . . influence the choice of a forum,”</w:t>
      </w:r>
      <w:r>
        <w:t xml:space="preserve"> </w:t>
      </w:r>
      <w:r>
        <w:rPr>
          <w:iCs/>
          <w:i/>
        </w:rPr>
        <w:t xml:space="preserve">Hanna</w:t>
      </w:r>
      <w:r>
        <w:t xml:space="preserve"> </w:t>
      </w:r>
      <w:r>
        <w:t xml:space="preserve">v.</w:t>
      </w:r>
      <w:r>
        <w:t xml:space="preserve"> </w:t>
      </w:r>
      <w:r>
        <w:rPr>
          <w:iCs/>
          <w:i/>
        </w:rPr>
        <w:t xml:space="preserve">Plumer,</w:t>
      </w:r>
      <w:r>
        <w:rPr>
          <w:rStyle w:val="Elision"/>
        </w:rPr>
        <w:t xml:space="preserve">[ … ]</w:t>
      </w:r>
      <w:r>
        <w:t xml:space="preserve">With regard to the claim-preclusion issue involved in the present case, for example, the traditional rule is that expiration of the applicable statute of limitations merely bars the remedy and does not extinguish the substantive right, so that dismissal on that ground does not have claim-preclusive effect in other jurisdictions with longer, unexpired limitations periods.</w:t>
      </w:r>
      <w:r>
        <w:t xml:space="preserve"> </w:t>
      </w:r>
      <w:r>
        <w:rPr>
          <w:rStyle w:val="Elision"/>
        </w:rPr>
        <w:t xml:space="preserve">[ … ]</w:t>
      </w:r>
      <w:r>
        <w:t xml:space="preserve">Out-of-state defendants sued on stale claims in California and in other States adhering to this traditional rule would systematically remove state-law suits brought against them to federal court — where, unless otherwise specified, a statute-of-limitations dismissal would bar suit everywhere.</w:t>
      </w:r>
      <w:hyperlink w:anchor="Xc0ef03374b97641c05c0a4bf57429c45c58bfce">
        <w:r>
          <w:rPr>
            <w:rStyle w:val="Elision"/>
          </w:rPr>
          <w:t xml:space="preserve">[ … ]</w:t>
        </w:r>
      </w:hyperlink>
    </w:p>
    <w:p>
      <w:pPr>
        <w:pStyle w:val="CaseBody"/>
      </w:pPr>
      <w:r>
        <w:t xml:space="preserve">Finally, if Rule 41(b) did mean what respondent suggests, we would surely have relied upon it in our cases recognizing the claim-preclusive effect of federal judgments in federal-question cases. Yet for over half a century since the promulgation of Rule 41(b), we have not once done so.</w:t>
      </w:r>
      <w:r>
        <w:t xml:space="preserve"> </w:t>
      </w:r>
      <w:r>
        <w:rPr>
          <w:rStyle w:val="Elision"/>
        </w:rPr>
        <w:t xml:space="preserve">[ … ]</w:t>
      </w:r>
    </w:p>
    <w:p>
      <w:pPr>
        <w:pStyle w:val="CaseBody"/>
      </w:pPr>
      <w:r>
        <w:t xml:space="preserve">We think the key to a more reasonable interpretation of the meaning of “operates as an adjudication upon the merits” in Rule 41(b) is to be found in Rule 41(a), which</w:t>
      </w:r>
      <w:r>
        <w:rPr>
          <w:rStyle w:val="Elision"/>
        </w:rPr>
        <w:t xml:space="preserve">[ … ]</w:t>
      </w:r>
      <w:r>
        <w:t xml:space="preserve"> </w:t>
      </w:r>
      <w:r>
        <w:t xml:space="preserve">makes clear that an “adjudication upon the merits” is the opposite of a “dismissal without prejudice</w:t>
      </w:r>
      <w:r>
        <w:rPr>
          <w:rStyle w:val="ReplacementText"/>
        </w:rPr>
        <w:t xml:space="preserve">."</w:t>
      </w:r>
    </w:p>
    <w:p>
      <w:pPr>
        <w:pStyle w:val="BlockText"/>
      </w:pPr>
      <w:r>
        <w:rPr>
          <w:rStyle w:val="Elision"/>
        </w:rPr>
        <w:t xml:space="preserve">[ … ]</w:t>
      </w:r>
    </w:p>
    <w:p>
      <w:pPr>
        <w:pStyle w:val="CaseBody"/>
      </w:pPr>
      <w:r>
        <w:rPr>
          <w:rStyle w:val="Elision"/>
        </w:rPr>
        <w:t xml:space="preserve">[ … ]</w:t>
      </w:r>
      <w:r>
        <w:t xml:space="preserve"> </w:t>
      </w:r>
      <w:r>
        <w:t xml:space="preserve">The primary meaning of “dismissal without prejudice,” we think, is dismissal without barring the plaintiff from returning later, to the same court, with the same underlying claim. That will also ordinarily (though not always) have the consequence of not barring the claim from</w:t>
      </w:r>
      <w:r>
        <w:t xml:space="preserve"> </w:t>
      </w:r>
      <w:r>
        <w:rPr>
          <w:iCs/>
          <w:i/>
        </w:rPr>
        <w:t xml:space="preserve">other</w:t>
      </w:r>
      <w:r>
        <w:t xml:space="preserve"> </w:t>
      </w:r>
      <w:r>
        <w:t xml:space="preserve">courts, but its primary meaning relates to the dismissing court itself. Thus, Black’s Law Dictionary (7th ed. 1999) defines</w:t>
      </w:r>
      <w:r>
        <w:t xml:space="preserve"> </w:t>
      </w:r>
      <w:r>
        <w:rPr>
          <w:rStyle w:val="Elision"/>
        </w:rPr>
        <w:t xml:space="preserve">[ … ]</w:t>
      </w:r>
      <w:r>
        <w:t xml:space="preserve">“dismissal without prejudice” as “[a] dismissal that does not bar the plaintiff from refiling the lawsuit within the applicable limitations period</w:t>
      </w:r>
      <w:r>
        <w:rPr>
          <w:rStyle w:val="ReplacementText"/>
        </w:rPr>
        <w:t xml:space="preserve">."</w:t>
      </w:r>
    </w:p>
    <w:p>
      <w:pPr>
        <w:pStyle w:val="CaseBody"/>
      </w:pPr>
      <w:r>
        <w:t xml:space="preserve">We think, then, that the effect of the “adjudication upon the merits” default provision of Rule 41(b) — and, presumably, of the explicit order in the present case</w:t>
      </w:r>
      <w:r>
        <w:t xml:space="preserve"> </w:t>
      </w:r>
      <w:r>
        <w:rPr>
          <w:rStyle w:val="Elision"/>
        </w:rPr>
        <w:t xml:space="preserve">[ … ]</w:t>
      </w:r>
      <w:r>
        <w:t xml:space="preserve"> </w:t>
      </w:r>
      <w:r>
        <w:t xml:space="preserve">— is simply that, unlike a dismissal “without prejudice,” the dismissal in the present case barred refiling of the same claim in the United States District Court for the Central District of California. That is undoubtedly a necessary condition, but it is not a sufficient one, for claim-preclusive effect in other courts.</w:t>
      </w:r>
      <w:hyperlink w:anchor="X579e618945c80bf317c5be10063b13b6084e0d2">
        <w:r>
          <w:rPr>
            <w:rStyle w:val="Elision"/>
          </w:rPr>
          <w:t xml:space="preserve">[ … ]</w:t>
        </w:r>
      </w:hyperlink>
    </w:p>
    <w:p>
      <w:pPr>
        <w:pStyle w:val="CaseBody"/>
      </w:pPr>
      <w:r>
        <w:rPr>
          <w:rStyle w:val="ReplacementText"/>
        </w:rPr>
        <w:t xml:space="preserve">III</w:t>
      </w:r>
    </w:p>
    <w:p>
      <w:pPr>
        <w:pStyle w:val="CaseBody"/>
      </w:pPr>
      <w:r>
        <w:t xml:space="preserve">Having concluded that the claim-preclusive effect, in Maryland, of this California federal diversity judgment is dictated neither by</w:t>
      </w:r>
      <w:r>
        <w:t xml:space="preserve"> </w:t>
      </w:r>
      <w:r>
        <w:rPr>
          <w:iCs/>
          <w:i/>
        </w:rPr>
        <w:t xml:space="preserve">Dupasseur</w:t>
      </w:r>
      <w:r>
        <w:t xml:space="preserve"> </w:t>
      </w:r>
      <w:r>
        <w:t xml:space="preserve">v.</w:t>
      </w:r>
      <w:r>
        <w:t xml:space="preserve"> </w:t>
      </w:r>
      <w:r>
        <w:rPr>
          <w:iCs/>
          <w:i/>
        </w:rPr>
        <w:t xml:space="preserve">Rochereau</w:t>
      </w:r>
      <w:r>
        <w:rPr>
          <w:rStyle w:val="Elision"/>
        </w:rPr>
        <w:t xml:space="preserve">[ … ]</w:t>
      </w:r>
      <w:r>
        <w:t xml:space="preserve">nor by Rule 41(b)</w:t>
      </w:r>
      <w:r>
        <w:rPr>
          <w:rStyle w:val="Elision"/>
        </w:rPr>
        <w:t xml:space="preserve">[ … ]</w:t>
      </w:r>
      <w:r>
        <w:t xml:space="preserve"> </w:t>
      </w:r>
      <w:r>
        <w:t xml:space="preserve">we turn to consideration of what determines the issue. Neither the Full Faith and Credit Clause,</w:t>
      </w:r>
      <w:r>
        <w:rPr>
          <w:rStyle w:val="Elision"/>
        </w:rPr>
        <w:t xml:space="preserve">[ … ]</w:t>
      </w:r>
      <w:r>
        <w:t xml:space="preserve"> </w:t>
      </w:r>
      <w:r>
        <w:t xml:space="preserve">nor the full faith and credit statute, 28 U. S. C. § 1788,</w:t>
      </w:r>
      <w:hyperlink w:anchor="Xe303fab270de8cc74d019d4a8450cbe84723377">
        <w:r>
          <w:rPr>
            <w:rStyle w:val="Elision"/>
          </w:rPr>
          <w:t xml:space="preserve">[ … ]</w:t>
        </w:r>
      </w:hyperlink>
      <w:r>
        <w:t xml:space="preserve">addresses the question. By their terms they govern the effects to be given only to state-court judgments (and, in the case of the statute, to judgments by courts of territories and possessions). And no other federal textual provision, neither of the Constitution nor of any statute, addresses the claim-preclusive effect of a judgment in a federal diversity action.</w:t>
      </w:r>
    </w:p>
    <w:p>
      <w:pPr>
        <w:pStyle w:val="CaseBody"/>
      </w:pPr>
      <w:r>
        <w:t xml:space="preserve">It is also true, however, that no federal textual provision addresses the claim-preclusive effect of a federal-court judgment in a federal-question case, yet we have long held that States cannot give those judgments merely whatever effect they would give their own judgments, but must accord them the effect that this Court prescribes.</w:t>
      </w:r>
      <w:r>
        <w:t xml:space="preserve"> </w:t>
      </w:r>
      <w:r>
        <w:rPr>
          <w:rStyle w:val="Elision"/>
        </w:rPr>
        <w:t xml:space="preserve">[ … ]</w:t>
      </w:r>
      <w:r>
        <w:t xml:space="preserve"> </w:t>
      </w:r>
      <w:r>
        <w:t xml:space="preserve">The reasoning of that line of cases suggests, moreover, that even when States are allowed to give federal judgments (notably, judgments in diversity cases) no more than the effect accorded to state judgments, that disposition is by direction of</w:t>
      </w:r>
      <w:r>
        <w:t xml:space="preserve"> </w:t>
      </w:r>
      <w:r>
        <w:rPr>
          <w:iCs/>
          <w:i/>
        </w:rPr>
        <w:t xml:space="preserve">this</w:t>
      </w:r>
      <w:r>
        <w:t xml:space="preserve"> </w:t>
      </w:r>
      <w:r>
        <w:t xml:space="preserve">Court, which has the last word on the claim-preclusive effect of</w:t>
      </w:r>
      <w:r>
        <w:t xml:space="preserve"> </w:t>
      </w:r>
      <w:r>
        <w:rPr>
          <w:iCs/>
          <w:i/>
        </w:rPr>
        <w:t xml:space="preserve">all</w:t>
      </w:r>
      <w:r>
        <w:t xml:space="preserve"> </w:t>
      </w:r>
      <w:r>
        <w:t xml:space="preserve">federal judgments</w:t>
      </w:r>
      <w:r>
        <w:rPr>
          <w:rStyle w:val="Elision"/>
        </w:rPr>
        <w:t xml:space="preserve">[ … ]</w:t>
      </w:r>
    </w:p>
    <w:p>
      <w:pPr>
        <w:pStyle w:val="CaseBody"/>
      </w:pPr>
      <w:r>
        <w:t xml:space="preserve">In other words, in</w:t>
      </w:r>
      <w:r>
        <w:t xml:space="preserve"> </w:t>
      </w:r>
      <w:r>
        <w:rPr>
          <w:iCs/>
          <w:i/>
        </w:rPr>
        <w:t xml:space="preserve">Dupasseur</w:t>
      </w:r>
      <w:r>
        <w:t xml:space="preserve"> </w:t>
      </w:r>
      <w:r>
        <w:t xml:space="preserve">the State was allowed (indeed, required) to give a federal diversity judgment no more effect than it would accord one of its own judgments only because reference to state law was</w:t>
      </w:r>
      <w:r>
        <w:t xml:space="preserve"> </w:t>
      </w:r>
      <w:r>
        <w:rPr>
          <w:iCs/>
          <w:i/>
        </w:rPr>
        <w:t xml:space="preserve">the federal rule that this Court deemed appropriate.</w:t>
      </w:r>
      <w:r>
        <w:t xml:space="preserve"> </w:t>
      </w:r>
      <w:r>
        <w:t xml:space="preserve">In short, federal common law governs the claim-preclusive effect of a dismissal by a federal court sitting in diversity.</w:t>
      </w:r>
      <w:r>
        <w:rPr>
          <w:rStyle w:val="Elision"/>
        </w:rPr>
        <w:t xml:space="preserve">[ … ]</w:t>
      </w:r>
    </w:p>
    <w:p>
      <w:pPr>
        <w:pStyle w:val="CaseBody"/>
      </w:pPr>
      <w:r>
        <w:t xml:space="preserve">It is left to us, then, to determine the appropriate federal rule. And despite the sea change that has occurred in the background law since</w:t>
      </w:r>
      <w:r>
        <w:t xml:space="preserve"> </w:t>
      </w:r>
      <w:r>
        <w:rPr>
          <w:iCs/>
          <w:i/>
        </w:rPr>
        <w:t xml:space="preserve">Dupasseur</w:t>
      </w:r>
      <w:r>
        <w:t xml:space="preserve"> </w:t>
      </w:r>
      <w:r>
        <w:t xml:space="preserve">was decided — not only repeal of the Conformity Act but also the watershed decision of this Court in</w:t>
      </w:r>
      <w:r>
        <w:t xml:space="preserve"> </w:t>
      </w:r>
      <w:r>
        <w:rPr>
          <w:iCs/>
          <w:i/>
        </w:rPr>
        <w:t xml:space="preserve">Erie</w:t>
      </w:r>
      <w:r>
        <w:t xml:space="preserve"> </w:t>
      </w:r>
      <w:r>
        <w:t xml:space="preserve">— we think the result decreed by</w:t>
      </w:r>
      <w:r>
        <w:t xml:space="preserve"> </w:t>
      </w:r>
      <w:r>
        <w:rPr>
          <w:iCs/>
          <w:i/>
        </w:rPr>
        <w:t xml:space="preserve">Du-passeur</w:t>
      </w:r>
      <w:r>
        <w:t xml:space="preserve"> </w:t>
      </w:r>
      <w:r>
        <w:t xml:space="preserve">continues to be correct for diversity cases. Since state, rather than federal, substantive law is at issue there is no need for a uniform federal rule. And indeed, nationwide uniformity in the substance of the matter is better served by having the same claim-preclusive rule (the state rule) apply whether the dismissal has been ordered by a state or a federal court. This is, it seems to us, a classic case for adopting, as the federally prescribed rule of decision, the law that would be applied by state courts in the State in which the federal diversity court sits.</w:t>
      </w:r>
      <w:r>
        <w:t xml:space="preserve"> </w:t>
      </w:r>
      <w:r>
        <w:rPr>
          <w:rStyle w:val="Elision"/>
        </w:rPr>
        <w:t xml:space="preserve">[ … ]</w:t>
      </w:r>
      <w:r>
        <w:t xml:space="preserve">As we have alluded to above, any other rule would produce the sort of “forum-shopping . . . and . . . inequitable administration of the laws” that</w:t>
      </w:r>
      <w:r>
        <w:t xml:space="preserve"> </w:t>
      </w:r>
      <w:r>
        <w:rPr>
          <w:iCs/>
          <w:i/>
        </w:rPr>
        <w:t xml:space="preserve">Erie</w:t>
      </w:r>
      <w:r>
        <w:t xml:space="preserve"> </w:t>
      </w:r>
      <w:r>
        <w:t xml:space="preserve">seeks to avoid,</w:t>
      </w:r>
      <w:r>
        <w:t xml:space="preserve"> </w:t>
      </w:r>
      <w:r>
        <w:rPr>
          <w:iCs/>
          <w:i/>
        </w:rPr>
        <w:t xml:space="preserve">Hanna,</w:t>
      </w:r>
      <w:r>
        <w:t xml:space="preserve"> </w:t>
      </w:r>
      <w:r>
        <w:rPr>
          <w:rStyle w:val="Elision"/>
        </w:rPr>
        <w:t xml:space="preserve">[ … ]</w:t>
      </w:r>
      <w:r>
        <w:t xml:space="preserve"> </w:t>
      </w:r>
      <w:r>
        <w:t xml:space="preserve">since filing in, or removing to, federal court would be encouraged by the divergent effects that the litigants would anticipate from likely grounds of dismissal.</w:t>
      </w:r>
      <w:r>
        <w:t xml:space="preserve"> </w:t>
      </w:r>
      <w:r>
        <w:rPr>
          <w:rStyle w:val="Elision"/>
        </w:rPr>
        <w:t xml:space="preserve">[ … ]</w:t>
      </w:r>
    </w:p>
    <w:p>
      <w:pPr>
        <w:pStyle w:val="CaseBody"/>
      </w:pPr>
      <w:r>
        <w:t xml:space="preserve">This federal reference to state law will not obtain, of course, in situations in which the state law is incompatible with federal interests. If, for example, state law did not accord claim-preclusive effect to dismissals for willful violation of discovery orders, federal courts’ interest in the integrity of their own processes might justify a contrary federal rule. No such conflict with potential federal interests exists in the present case. Dismissal of this state cause of action was decreed by the California federal court</w:t>
      </w:r>
      <w:r>
        <w:t xml:space="preserve"> </w:t>
      </w:r>
      <w:r>
        <w:rPr>
          <w:rStyle w:val="Elision"/>
        </w:rPr>
        <w:t xml:space="preserve">[ … ]</w:t>
      </w:r>
      <w:r>
        <w:t xml:space="preserve">only because the California statute of limitations so required; and there is no conceivable federal interest in giving that time bar more effect in other courts than the California courts themselves would impose.</w:t>
      </w:r>
    </w:p>
    <w:p>
      <w:pPr>
        <w:pStyle w:val="CaseBody"/>
      </w:pPr>
      <w:r>
        <w:t xml:space="preserve">* * *</w:t>
      </w:r>
    </w:p>
    <w:p>
      <w:pPr>
        <w:pStyle w:val="CaseBody"/>
      </w:pPr>
      <w:r>
        <w:t xml:space="preserve">Because the claim-preclusive effect of the California federal court’s dismissal “upon the merits” of petitioner’s action on statute-of-limitations grounds is governed by a federal rule that in turn incorporates California’s law of claim preclusion (the content of which we do not pass upon today), the Maryland Court of Special Appeals erred in holding that the dismissal necessarily precluded the bringing of this action in the Maryland courts. The judgment is reversed, and the case remanded for further proceedings not inconsistent with this opinion.</w:t>
      </w:r>
    </w:p>
    <w:p>
      <w:pPr>
        <w:pStyle w:val="CaseBody"/>
      </w:pPr>
      <w:r>
        <w:rPr>
          <w:iCs/>
          <w:i/>
        </w:rPr>
        <w:t xml:space="preserve">It is so ordered.</w:t>
      </w:r>
    </w:p>
    <w:p>
      <w:pPr>
        <w:pStyle w:val="CaseFootnoteText"/>
      </w:pPr>
      <w:r>
        <w:rPr>
          <w:rStyle w:val="FootnoteReference"/>
        </w:rPr>
        <w:t xml:space="preserve">1</w:t>
      </w:r>
      <w:r>
        <w:t xml:space="preserve"> </w:t>
      </w:r>
      <w:r>
        <w:rPr>
          <w:rStyle w:val="Elision"/>
        </w:rPr>
        <w:t xml:space="preserve">[ … ]</w:t>
      </w:r>
    </w:p>
    <w:bookmarkStart w:id="248" w:name="_auto_toc_248"/>
    <w:bookmarkEnd w:id="248"/>
    <w:p>
      <w:pPr>
        <w:pStyle w:val="ResourceNumber"/>
      </w:pPr>
      <w:r>
        <w:t xml:space="preserve">21.7</w:t>
      </w:r>
    </w:p>
    <w:p>
      <w:pPr>
        <w:pStyle w:val="ResourceTitle"/>
      </w:pPr>
      <w:r>
        <w:t xml:space="preserve">Hart v. American Airlines, Inc.</w:t>
      </w:r>
    </w:p>
    <w:p>
      <w:pPr>
        <w:pStyle w:val="HeadFieldSeparator"/>
      </w:pPr>
      <w:r>
        <w:t xml:space="preserve"> </w:t>
      </w:r>
    </w:p>
    <w:p>
      <w:pPr>
        <w:pStyle w:val="ResourceHeadnote"/>
      </w:pPr>
      <w:r>
        <w:t xml:space="preserve">Note that this case predated</w:t>
      </w:r>
      <w:r>
        <w:t xml:space="preserve"> </w:t>
      </w:r>
      <w:r>
        <w:rPr>
          <w:iCs/>
          <w:i/>
        </w:rPr>
        <w:t xml:space="preserve">Semtek</w:t>
      </w:r>
      <w:r>
        <w:t xml:space="preserve">. What law does the court apply here to the issue of the preclusive effect of the prior judgment?</w:t>
      </w:r>
    </w:p>
    <w:p>
      <w:pPr>
        <w:pStyle w:val="HeadEnd"/>
      </w:pPr>
      <w:r>
        <w:t xml:space="preserve"> </w:t>
      </w:r>
    </w:p>
    <w:p>
      <w:pPr>
        <w:pStyle w:val="CaseHeader"/>
      </w:pPr>
      <w:r>
        <w:t xml:space="preserve">New York Supreme Court</w:t>
      </w:r>
    </w:p>
    <w:p>
      <w:pPr>
        <w:pStyle w:val="CaseHeader"/>
      </w:pPr>
      <w:r>
        <w:t xml:space="preserve">61 Misc. 2d 41</w:t>
      </w:r>
    </w:p>
    <w:p>
      <w:pPr>
        <w:pStyle w:val="CaseHeader"/>
      </w:pPr>
      <w:r>
        <w:t xml:space="preserve">1969-10-07</w:t>
      </w:r>
    </w:p>
    <w:p>
      <w:pPr>
        <w:pStyle w:val="CaseBody"/>
      </w:pPr>
      <w:r>
        <w:rPr>
          <w:rStyle w:val="Elision"/>
        </w:rPr>
        <w:t xml:space="preserve">[ … ]</w:t>
      </w:r>
    </w:p>
    <w:p>
      <w:pPr>
        <w:pStyle w:val="CaseBody"/>
      </w:pPr>
      <w:r>
        <w:t xml:space="preserve">Harry B. Frank, J.</w:t>
      </w:r>
    </w:p>
    <w:p>
      <w:pPr>
        <w:pStyle w:val="CaseBody"/>
      </w:pPr>
      <w:r>
        <w:rPr>
          <w:rStyle w:val="Elision"/>
        </w:rPr>
        <w:t xml:space="preserve">[ … ]</w:t>
      </w:r>
      <w:r>
        <w:rPr>
          <w:rStyle w:val="Elision"/>
        </w:rPr>
        <w:t xml:space="preserve">[ … ]</w:t>
      </w:r>
      <w:r>
        <w:rPr>
          <w:rStyle w:val="Elision"/>
        </w:rPr>
        <w:t xml:space="preserve">[ … ]</w:t>
      </w:r>
      <w:r>
        <w:rPr>
          <w:rStyle w:val="Elision"/>
        </w:rPr>
        <w:t xml:space="preserve">[ … ]</w:t>
      </w:r>
    </w:p>
    <w:p>
      <w:pPr>
        <w:pStyle w:val="CaseBody"/>
      </w:pPr>
      <w:r>
        <w:t xml:space="preserve">The actions all arise out of the crash, in Kentucky on November 8, 1965, of an American Airlines aircraft while the plane was en route from La Guardia Airport, New York to an airport in Covington, Kentucky. The crash resulted in the death of 58 out of the 62 persons aboard and, in addition to the multiple actions pending in this court, comparable actions have been instituted in other States and in various United States District Courts.</w:t>
      </w:r>
    </w:p>
    <w:p>
      <w:pPr>
        <w:pStyle w:val="CaseBody"/>
      </w:pPr>
      <w:r>
        <w:t xml:space="preserve">Of the various actions instituted as a result of the crash, the first case to be tried to conclusion was that brought in the United States District Court, Northern District of Texas</w:t>
      </w:r>
      <w:r>
        <w:t xml:space="preserve"> </w:t>
      </w:r>
      <w:r>
        <w:rPr>
          <w:rStyle w:val="Elision"/>
        </w:rPr>
        <w:t xml:space="preserve">[ … ]</w:t>
      </w:r>
      <w:r>
        <w:t xml:space="preserve"> </w:t>
      </w:r>
      <w:r>
        <w:t xml:space="preserve"> </w:t>
      </w:r>
      <w:r>
        <w:t xml:space="preserve">which resulted in a verdict in favor of the plaintiff</w:t>
      </w:r>
      <w:r>
        <w:t xml:space="preserve"> </w:t>
      </w:r>
      <w:r>
        <w:rPr>
          <w:rStyle w:val="Elision"/>
        </w:rPr>
        <w:t xml:space="preserve">[ … ]</w:t>
      </w:r>
      <w:r>
        <w:rPr>
          <w:rStyle w:val="Elision"/>
        </w:rPr>
        <w:t xml:space="preserve">[ … ]</w:t>
      </w:r>
      <w:r>
        <w:t xml:space="preserve">the pleadings in the two actions here sought to be joined for trial</w:t>
      </w:r>
      <w:r>
        <w:t xml:space="preserve"> </w:t>
      </w:r>
      <w:r>
        <w:rPr>
          <w:rStyle w:val="ReplacementText"/>
        </w:rPr>
        <w:t xml:space="preserve">indicate</w:t>
      </w:r>
      <w:r>
        <w:t xml:space="preserve"> </w:t>
      </w:r>
      <w:r>
        <w:t xml:space="preserve">that the basis for the recovery sought against defendant American Airlines is similarly predicated, and it is undisputable</w:t>
      </w:r>
      <w:r>
        <w:t xml:space="preserve"> </w:t>
      </w:r>
      <w:r>
        <w:rPr>
          <w:rStyle w:val="Elision"/>
        </w:rPr>
        <w:t xml:space="preserve">[ … ]</w:t>
      </w:r>
      <w:r>
        <w:t xml:space="preserve">that the issue of defendant airline’s liability in these cases is identical to the issue</w:t>
      </w:r>
      <w:r>
        <w:t xml:space="preserve"> </w:t>
      </w:r>
      <w:r>
        <w:rPr>
          <w:rStyle w:val="Elision"/>
        </w:rPr>
        <w:t xml:space="preserve">[ … ]</w:t>
      </w:r>
      <w:r>
        <w:t xml:space="preserve">determined in the Texas action.</w:t>
      </w:r>
    </w:p>
    <w:p>
      <w:pPr>
        <w:pStyle w:val="CaseBody"/>
      </w:pPr>
      <w:r>
        <w:t xml:space="preserve">In light of the Texas result which has now been affirmed on appeal, plaintiffs</w:t>
      </w:r>
      <w:r>
        <w:t xml:space="preserve"> </w:t>
      </w:r>
      <w:r>
        <w:rPr>
          <w:rStyle w:val="ReplacementText"/>
        </w:rPr>
        <w:t xml:space="preserve">moved</w:t>
      </w:r>
      <w:r>
        <w:t xml:space="preserve"> </w:t>
      </w:r>
      <w:r>
        <w:t xml:space="preserve">for summary judgment on the issue of liability which, if granted, would obviate a trial on such issue</w:t>
      </w:r>
      <w:r>
        <w:rPr>
          <w:rStyle w:val="Elision"/>
        </w:rPr>
        <w:t xml:space="preserve">[ … ]</w:t>
      </w:r>
    </w:p>
    <w:p>
      <w:pPr>
        <w:pStyle w:val="CaseBody"/>
      </w:pPr>
      <w:r>
        <w:t xml:space="preserve">Plaintiffs contend that while, concededly, they were not parties to the Texas action, nevertheless the determination in that action of defendant’s liability for the plane crash</w:t>
      </w:r>
      <w:r>
        <w:t xml:space="preserve"> </w:t>
      </w:r>
      <w:r>
        <w:rPr>
          <w:rStyle w:val="Elision"/>
        </w:rPr>
        <w:t xml:space="preserve">[ … ]</w:t>
      </w:r>
      <w:r>
        <w:t xml:space="preserve"> </w:t>
      </w:r>
      <w:r>
        <w:t xml:space="preserve">under the doctrine of collateral estoppel, conclusive on the issue of defendant’s liability for such crash in the actions brought by these plaintiffs.</w:t>
      </w:r>
    </w:p>
    <w:p>
      <w:pPr>
        <w:pStyle w:val="CaseBody"/>
      </w:pPr>
      <w:r>
        <w:t xml:space="preserve">In its recent decision in</w:t>
      </w:r>
      <w:r>
        <w:t xml:space="preserve"> </w:t>
      </w:r>
      <w:r>
        <w:rPr>
          <w:iCs/>
          <w:i/>
        </w:rPr>
        <w:t xml:space="preserve">Schwartz</w:t>
      </w:r>
      <w:r>
        <w:t xml:space="preserve"> </w:t>
      </w:r>
      <w:r>
        <w:t xml:space="preserve">v.</w:t>
      </w:r>
      <w:r>
        <w:t xml:space="preserve"> </w:t>
      </w:r>
      <w:r>
        <w:rPr>
          <w:iCs/>
          <w:i/>
        </w:rPr>
        <w:t xml:space="preserve">Public Administrator</w:t>
      </w:r>
      <w:r>
        <w:t xml:space="preserve"> </w:t>
      </w:r>
      <w:r>
        <w:rPr>
          <w:rStyle w:val="Elision"/>
        </w:rPr>
        <w:t xml:space="preserve">[ … ]</w:t>
      </w:r>
      <w:r>
        <w:t xml:space="preserve"> </w:t>
      </w:r>
      <w:r>
        <w:t xml:space="preserve">our Court of Appeals definitively crystalized the controlling considerations governing the doctrine of collateral estoppel in this State and ‘ ‘ arrived at a modern and stable statement of the law of</w:t>
      </w:r>
      <w:r>
        <w:t xml:space="preserve"> </w:t>
      </w:r>
      <w:r>
        <w:rPr>
          <w:iCs/>
          <w:i/>
        </w:rPr>
        <w:t xml:space="preserve">res judicata</w:t>
      </w:r>
      <w:r>
        <w:t xml:space="preserve"> </w:t>
      </w:r>
      <w:r>
        <w:t xml:space="preserve">’ ’ grounded on</w:t>
      </w:r>
      <w:r>
        <w:t xml:space="preserve"> </w:t>
      </w:r>
      <w:r>
        <w:rPr>
          <w:iCs/>
          <w:i/>
        </w:rPr>
        <w:t xml:space="preserve">‘ ‘</w:t>
      </w:r>
      <w:r>
        <w:t xml:space="preserve"> </w:t>
      </w:r>
      <w:r>
        <w:t xml:space="preserve">the sound principle that, where it can be fairly said that a party has had a full opportunity to litigate a particular issue, he cannot reasonably demand a second one ”.</w:t>
      </w:r>
      <w:r>
        <w:t xml:space="preserve"> </w:t>
      </w:r>
      <w:r>
        <w:rPr>
          <w:rStyle w:val="Elision"/>
        </w:rPr>
        <w:t xml:space="preserve">[ … ]</w:t>
      </w:r>
      <w:r>
        <w:t xml:space="preserve">the</w:t>
      </w:r>
      <w:r>
        <w:t xml:space="preserve"> </w:t>
      </w:r>
      <w:r>
        <w:rPr>
          <w:iCs/>
          <w:i/>
        </w:rPr>
        <w:t xml:space="preserve">Schwarts</w:t>
      </w:r>
      <w:r>
        <w:t xml:space="preserve"> </w:t>
      </w:r>
      <w:r>
        <w:t xml:space="preserve">decision</w:t>
      </w:r>
      <w:r>
        <w:t xml:space="preserve"> </w:t>
      </w:r>
      <w:r>
        <w:rPr>
          <w:rStyle w:val="Elision"/>
        </w:rPr>
        <w:t xml:space="preserve">[ … ]</w:t>
      </w:r>
      <w:r>
        <w:t xml:space="preserve">expressly determines that “ there are but two necessary requirements for invocation of the doctrine of collateral estoppel”</w:t>
      </w:r>
      <w:r>
        <w:t xml:space="preserve"> </w:t>
      </w:r>
      <w:r>
        <w:rPr>
          <w:rStyle w:val="Elision"/>
        </w:rPr>
        <w:t xml:space="preserve">[ … ]</w:t>
      </w:r>
      <w:r>
        <w:rPr>
          <w:iCs/>
          <w:i/>
        </w:rPr>
        <w:t xml:space="preserve">"</w:t>
      </w:r>
      <w:r>
        <w:t xml:space="preserve">There must be an identity of issue which has necessarily been decided in the prior action and is decisive of the present action</w:t>
      </w:r>
      <w:r>
        <w:rPr>
          <w:rStyle w:val="ReplacementText"/>
        </w:rPr>
        <w:t xml:space="preserve">, and,</w:t>
      </w:r>
      <w:r>
        <w:t xml:space="preserve">second, there must have been a full and fair opportunity to contest the decision now said to be controlling.”</w:t>
      </w:r>
    </w:p>
    <w:p>
      <w:pPr>
        <w:pStyle w:val="CaseBody"/>
      </w:pPr>
      <w:r>
        <w:t xml:space="preserve">No extended discussion is necessary to</w:t>
      </w:r>
      <w:r>
        <w:t xml:space="preserve"> </w:t>
      </w:r>
      <w:r>
        <w:rPr>
          <w:rStyle w:val="ReplacementText"/>
        </w:rPr>
        <w:t xml:space="preserve">demonstrate</w:t>
      </w:r>
      <w:r>
        <w:t xml:space="preserve"> </w:t>
      </w:r>
      <w:r>
        <w:t xml:space="preserve">that such requirements are amply met in the instant cases. As already indicated, the issue of defendant airline’s liability for the crash in which plaintiffs ’ decedents perished is. identical to the issue of liability litigated in the Texas action where defendant was similarly charged with responsibility for that</w:t>
      </w:r>
      <w:r>
        <w:t xml:space="preserve"> </w:t>
      </w:r>
      <w:r>
        <w:rPr>
          <w:rStyle w:val="ReplacementText"/>
        </w:rPr>
        <w:t xml:space="preserve">same</w:t>
      </w:r>
      <w:r>
        <w:t xml:space="preserve">accident. Indeed, in an airplane crash there are absent any of the problems with respect to</w:t>
      </w:r>
      <w:r>
        <w:t xml:space="preserve"> </w:t>
      </w:r>
      <w:r>
        <w:rPr>
          <w:rStyle w:val="ReplacementText"/>
          <w:iCs/>
          <w:i/>
        </w:rPr>
        <w:t xml:space="preserve">"identity</w:t>
      </w:r>
      <w:r>
        <w:t xml:space="preserve"> </w:t>
      </w:r>
      <w:r>
        <w:t xml:space="preserve">of issue” on liability which might arise in other types of accidents involving multiple participants such as automobile accident</w:t>
      </w:r>
      <w:r>
        <w:t xml:space="preserve"> </w:t>
      </w:r>
      <w:r>
        <w:rPr>
          <w:rStyle w:val="ReplacementText"/>
        </w:rPr>
        <w:t xml:space="preserve">cases</w:t>
      </w:r>
      <w:r>
        <w:t xml:space="preserve">. With respect to the second requirement, it is in no way disputed that defendant, had a full and fair opportunity to conte at the issue of its liability in the course of the 19-day trial in the Texas action,</w:t>
      </w:r>
      <w:r>
        <w:t xml:space="preserve"> </w:t>
      </w:r>
      <w:r>
        <w:rPr>
          <w:rStyle w:val="ReplacementText"/>
        </w:rPr>
        <w:t xml:space="preserve">and</w:t>
      </w:r>
      <w:r>
        <w:t xml:space="preserve"> </w:t>
      </w:r>
      <w:r>
        <w:t xml:space="preserve">in order to defeat collateral estoppel on</w:t>
      </w:r>
      <w:r>
        <w:t xml:space="preserve"> </w:t>
      </w:r>
      <w:r>
        <w:rPr>
          <w:rStyle w:val="ReplacementText"/>
        </w:rPr>
        <w:t xml:space="preserve">this</w:t>
      </w:r>
      <w:r>
        <w:t xml:space="preserve">ground the burden rests on the defendant to show that it had no such opportunity.</w:t>
      </w:r>
    </w:p>
    <w:p>
      <w:pPr>
        <w:pStyle w:val="CaseBody"/>
      </w:pPr>
      <w:r>
        <w:rPr>
          <w:rStyle w:val="Elision"/>
        </w:rPr>
        <w:t xml:space="preserve">[ … ]</w:t>
      </w:r>
    </w:p>
    <w:p>
      <w:pPr>
        <w:pStyle w:val="CaseBody"/>
      </w:pPr>
      <w:r>
        <w:t xml:space="preserve">Defendant’s reliance on “full faith and credit” to defeat the application of collateral estoppel herein is misplaced. This</w:t>
      </w:r>
      <w:r>
        <w:t xml:space="preserve"> </w:t>
      </w:r>
      <w:r>
        <w:rPr>
          <w:rStyle w:val="ReplacementText"/>
        </w:rPr>
        <w:t xml:space="preserve">is</w:t>
      </w:r>
      <w:r>
        <w:t xml:space="preserve"> </w:t>
      </w:r>
      <w:r>
        <w:t xml:space="preserve">not a situation</w:t>
      </w:r>
      <w:r>
        <w:t xml:space="preserve"> </w:t>
      </w:r>
      <w:r>
        <w:rPr>
          <w:rStyle w:val="ReplacementText"/>
        </w:rPr>
        <w:t xml:space="preserve">where</w:t>
      </w:r>
      <w:r>
        <w:t xml:space="preserve"> </w:t>
      </w:r>
      <w:r>
        <w:t xml:space="preserve">the judgment, as such, of the Texas court is sought to be enforced. What is here involved is a policy determination by our</w:t>
      </w:r>
      <w:r>
        <w:t xml:space="preserve"> </w:t>
      </w:r>
      <w:r>
        <w:rPr>
          <w:rStyle w:val="ReplacementText"/>
        </w:rPr>
        <w:t xml:space="preserve">courts that "'</w:t>
      </w:r>
      <w:r>
        <w:t xml:space="preserve">One who has had his day in court should not be permitted to litigate the question anew ’ ”</w:t>
      </w:r>
      <w:r>
        <w:t xml:space="preserve"> </w:t>
      </w:r>
      <w:r>
        <w:rPr>
          <w:rStyle w:val="Elision"/>
        </w:rPr>
        <w:t xml:space="preserve">[ … ]</w:t>
      </w:r>
      <w:r>
        <w:rPr>
          <w:iCs/>
          <w:i/>
        </w:rPr>
        <w:t xml:space="preserve">,</w:t>
      </w:r>
      <w:r>
        <w:t xml:space="preserve"> </w:t>
      </w:r>
      <w:r>
        <w:t xml:space="preserve">and, further, refusal “to tolerate a condition where, on relatively</w:t>
      </w:r>
      <w:r>
        <w:t xml:space="preserve"> </w:t>
      </w:r>
      <w:r>
        <w:rPr>
          <w:iCs/>
          <w:i/>
        </w:rPr>
        <w:t xml:space="preserve">the</w:t>
      </w:r>
      <w:r>
        <w:t xml:space="preserve"> </w:t>
      </w:r>
      <w:r>
        <w:t xml:space="preserve">same set</w:t>
      </w:r>
      <w:r>
        <w:t xml:space="preserve"> </w:t>
      </w:r>
      <w:r>
        <w:rPr>
          <w:iCs/>
          <w:i/>
        </w:rPr>
        <w:t xml:space="preserve">of facts, one</w:t>
      </w:r>
      <w:r>
        <w:t xml:space="preserve"> </w:t>
      </w:r>
      <w:r>
        <w:t xml:space="preserve">fact-finder', be it court or jury ” may find a party liable while another exonerates him leading to the “ inconsistent results which are always a blemish on a judicial system ”</w:t>
      </w:r>
      <w:r>
        <w:t xml:space="preserve"> </w:t>
      </w:r>
      <w:r>
        <w:rPr>
          <w:rStyle w:val="Elision"/>
        </w:rPr>
        <w:t xml:space="preserve">[ … ]</w:t>
      </w:r>
      <w:r>
        <w:t xml:space="preserve">. It is in order to carry out these policy determinations</w:t>
      </w:r>
      <w:r>
        <w:t xml:space="preserve"> </w:t>
      </w:r>
      <w:r>
        <w:rPr>
          <w:rStyle w:val="Elision"/>
        </w:rPr>
        <w:t xml:space="preserve">[ … ]</w:t>
      </w:r>
      <w:r>
        <w:t xml:space="preserve">that an evidentiary use is being made of a particular issue determination made in the Texas action.</w:t>
      </w:r>
    </w:p>
    <w:p>
      <w:pPr>
        <w:pStyle w:val="CaseBody"/>
      </w:pPr>
      <w:r>
        <w:t xml:space="preserve">Perhaps the strongest argument for applying the New York doctrine of collateral estoppel herein is the nature of the showing by defendant of the supposed</w:t>
      </w:r>
      <w:r>
        <w:t xml:space="preserve"> </w:t>
      </w:r>
      <w:r>
        <w:rPr>
          <w:rStyle w:val="Elision"/>
        </w:rPr>
        <w:t xml:space="preserve">[ … ]</w:t>
      </w:r>
      <w:r>
        <w:t xml:space="preserve"> </w:t>
      </w:r>
      <w:r>
        <w:t xml:space="preserve">‘ inequity ’ ’ that would ensue from such application. There is a belabored emphasis on the merits of</w:t>
      </w:r>
      <w:r>
        <w:t xml:space="preserve"> </w:t>
      </w:r>
      <w:r>
        <w:rPr>
          <w:iCs/>
          <w:i/>
        </w:rPr>
        <w:t xml:space="preserve">‘</w:t>
      </w:r>
      <w:r>
        <w:rPr>
          <w:rStyle w:val="Elision"/>
        </w:rPr>
        <w:t xml:space="preserve">[ … ]</w:t>
      </w:r>
      <w:r>
        <w:t xml:space="preserve"> </w:t>
      </w:r>
      <w:r>
        <w:t xml:space="preserve"> </w:t>
      </w:r>
      <w:r>
        <w:t xml:space="preserve">mutuality of estoppel” and its favored status in “ a majority of jurisdictions ”. Such of course wholly ignores the fact that our highest court has resoundingly stated in terms leaving no rdom for doubt that “ the doctrine of mutuality ’ is a dead letter ”</w:t>
      </w:r>
      <w:r>
        <w:rPr>
          <w:rStyle w:val="Elision"/>
        </w:rPr>
        <w:t xml:space="preserve">[ … ]</w:t>
      </w:r>
      <w:r>
        <w:rPr>
          <w:rStyle w:val="Elision"/>
        </w:rPr>
        <w:t xml:space="preserve">[ … ]</w:t>
      </w:r>
    </w:p>
    <w:p>
      <w:pPr>
        <w:pStyle w:val="CaseBody"/>
      </w:pPr>
      <w:r>
        <w:t xml:space="preserve">Among the reasons submitted by defendant as to why it should have an opportunity to retry the issue of its liability, notwithstanding its failure to prove its freedom therefrom on the trial in Texas, is the argument that such issue was submitted to the jury under the substantive law of Kentucky which is less favorable to defendant than is the New York law. While one is tempted to wonder what the argument would be if the situation were reversed, such contention is in any event wholly without merit since a New York court would also be obliged to submit the case under the substantive law of Kentucky, the place where the crash occurred.</w:t>
      </w:r>
      <w:r>
        <w:t xml:space="preserve"> </w:t>
      </w:r>
      <w:r>
        <w:rPr>
          <w:rStyle w:val="Elision"/>
        </w:rPr>
        <w:t xml:space="preserve">[ … ]</w:t>
      </w:r>
    </w:p>
    <w:p>
      <w:pPr>
        <w:pStyle w:val="CaseBody"/>
      </w:pPr>
      <w:r>
        <w:t xml:space="preserve">Defendant further seeks to forestall the conclusive effect of the Texas liability determination on the ground that such may be “an aberration ’ ’ stemming from local prejudice against corporate defendants or from sympathy considerations. Such conjectural mus</w:t>
      </w:r>
      <w:r>
        <w:rPr>
          <w:rStyle w:val="ReplacementText"/>
        </w:rPr>
        <w:t xml:space="preserve">-</w:t>
      </w:r>
      <w:r>
        <w:t xml:space="preserve">ings, which significantly are in no way documented by any supporting facts, are, of course, a complete indictment of all notions of ‘</w:t>
      </w:r>
      <w:r>
        <w:t xml:space="preserve"> </w:t>
      </w:r>
      <w:r>
        <w:rPr>
          <w:iCs/>
          <w:i/>
        </w:rPr>
        <w:t xml:space="preserve">‘</w:t>
      </w:r>
      <w:r>
        <w:t xml:space="preserve"> </w:t>
      </w:r>
      <w:r>
        <w:t xml:space="preserve">full faith and credit ’ ’ of which defendant is elsewhere so solicitous.</w:t>
      </w:r>
    </w:p>
    <w:p>
      <w:pPr>
        <w:pStyle w:val="CaseBody"/>
      </w:pPr>
      <w:r>
        <w:t xml:space="preserve">Even more interesting is the argument raised by defendant which may be paraphrased in Biblical terms as</w:t>
      </w:r>
      <w:r>
        <w:t xml:space="preserve"> </w:t>
      </w:r>
      <w:r>
        <w:rPr>
          <w:rStyle w:val="ReplacementText"/>
        </w:rPr>
        <w:t xml:space="preserve">"hear</w:t>
      </w:r>
      <w:r>
        <w:t xml:space="preserve"> </w:t>
      </w:r>
      <w:r>
        <w:t xml:space="preserve">them not for they know not what they do ”. Defendant seriously suggests that the determination in the Texas action should not be accorded further conclusive effect because that action involved only a single claimant and the jury’s decision as to defendant’s negligence is somehow impaired because rendered</w:t>
      </w:r>
      <w:r>
        <w:t xml:space="preserve"> </w:t>
      </w:r>
      <w:r>
        <w:rPr>
          <w:rStyle w:val="ReplacementText"/>
        </w:rPr>
        <w:t xml:space="preserve">"without</w:t>
      </w:r>
      <w:r>
        <w:t xml:space="preserve"> </w:t>
      </w:r>
      <w:r>
        <w:t xml:space="preserve">any awareness whatsoever by the jury that its verdict would determine the obligation of the defendant to many other persons not before it”. It is apparently defendant’s contention that the issue as to whether or not it was negligent in the operation of its aircraft is in some manner dependent upon the number of claims which may ultimately be asserted against it. This court is unaware of any rule of law which supports this novel rule of liability, nor has defendant cited any authority in that regard.</w:t>
      </w:r>
    </w:p>
    <w:p>
      <w:pPr>
        <w:pStyle w:val="CaseBody"/>
      </w:pPr>
      <w:r>
        <w:t xml:space="preserve">The arguments raised by defendant are without substance</w:t>
      </w:r>
      <w:r>
        <w:rPr>
          <w:rStyle w:val="Elision"/>
        </w:rPr>
        <w:t xml:space="preserve">[ … ]</w:t>
      </w:r>
      <w:r>
        <w:t xml:space="preserve">. There has been no showing sufficient to raise any triable issue on either of the two requirements necessary to invoke the doctrine of collateral estoppel — i.e. “identity of issue” and “full and fair opportunity to contest ”.</w:t>
      </w:r>
      <w:r>
        <w:t xml:space="preserve"> </w:t>
      </w:r>
      <w:r>
        <w:rPr>
          <w:rStyle w:val="Elision"/>
        </w:rPr>
        <w:t xml:space="preserve">[ … ]</w:t>
      </w:r>
      <w:r>
        <w:t xml:space="preserve">collateral estoppel will be applied.</w:t>
      </w:r>
    </w:p>
    <w:p>
      <w:pPr>
        <w:pStyle w:val="CaseBody"/>
      </w:pPr>
      <w:r>
        <w:t xml:space="preserve">Accordingly, plaintiffs’</w:t>
      </w:r>
      <w:r>
        <w:rPr>
          <w:rStyle w:val="Elision"/>
        </w:rPr>
        <w:t xml:space="preserve">[ … ]</w:t>
      </w:r>
      <w:r>
        <w:t xml:space="preserve">motion for summary judgment is granted</w:t>
      </w:r>
      <w:r>
        <w:rPr>
          <w:rStyle w:val="Elision"/>
        </w:rPr>
        <w:t xml:space="preserve">[ … ]</w:t>
      </w:r>
      <w:r>
        <w:t xml:space="preserve">.</w:t>
      </w:r>
    </w:p>
    <w:p>
      <w:pPr>
        <w:pStyle w:val="NodeEnd"/>
      </w:pPr>
      <w:r>
        <w:t xml:space="preserve"> </w:t>
      </w:r>
    </w:p>
    <w:p>
      <w:pPr>
        <w:pStyle w:val="NodeStart"/>
      </w:pPr>
      <w:r>
        <w:t xml:space="preserve"> </w:t>
      </w:r>
    </w:p>
    <w:p>
      <w:pPr>
        <w:pStyle w:val="HeadSeparator"/>
      </w:pPr>
      <w:r>
        <w:t xml:space="preserve"> </w:t>
      </w:r>
    </w:p>
    <w:bookmarkStart w:id="249" w:name="_auto_toc_249"/>
    <w:bookmarkEnd w:id="249"/>
    <w:p>
      <w:pPr>
        <w:pStyle w:val="ResourceNumber"/>
      </w:pPr>
      <w:r>
        <w:t xml:space="preserve">21.8</w:t>
      </w:r>
    </w:p>
    <w:p>
      <w:pPr>
        <w:pStyle w:val="ResourceTitle"/>
      </w:pPr>
      <w:r>
        <w:t xml:space="preserve">Restatement (Second) of Conflicts, § 83(2)</w:t>
      </w:r>
    </w:p>
    <w:p>
      <w:pPr>
        <w:pStyle w:val="HeadFieldSeparator"/>
      </w:pPr>
      <w:r>
        <w:t xml:space="preserve"> </w:t>
      </w:r>
    </w:p>
    <w:p>
      <w:pPr>
        <w:pStyle w:val="ResourceHeadnote"/>
      </w:pPr>
      <w:r>
        <w:t xml:space="preserve">Find the assigned section</w:t>
      </w:r>
      <w:r>
        <w:t xml:space="preserve"> </w:t>
      </w:r>
      <w:hyperlink r:id="rId259">
        <w:r>
          <w:rPr>
            <w:rStyle w:val="Hyperlink"/>
          </w:rPr>
          <w:t xml:space="preserve">here</w:t>
        </w:r>
      </w:hyperlink>
      <w:r>
        <w:t xml:space="preserve"> </w:t>
      </w:r>
      <w:r>
        <w:t xml:space="preserve">(pdf). Only the restatement section itself is mandatory; the comment is optional.</w:t>
      </w:r>
    </w:p>
    <w:p>
      <w:pPr>
        <w:pStyle w:val="HeadEnd"/>
      </w:pPr>
      <w:r>
        <w:t xml:space="preserve"> </w:t>
      </w:r>
    </w:p>
    <w:p>
      <w:pPr>
        <w:pStyle w:val="BodyText"/>
      </w:pPr>
      <w:r>
        <w:t xml:space="preserve">The purpose of this excerpt is to raise the issue of what preclusive effect a subsequent tribunal should give to a prior judgment when the prior tribunal is an agency adjudicator.</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250" w:name="_auto_toc_250"/>
    <w:bookmarkEnd w:id="250"/>
    <w:p>
      <w:pPr>
        <w:pStyle w:val="ChapterNumber"/>
      </w:pPr>
      <w:r>
        <w:t xml:space="preserve">22</w:t>
      </w:r>
    </w:p>
    <w:p>
      <w:pPr>
        <w:pStyle w:val="ChapterTitle"/>
      </w:pPr>
      <w:r>
        <w:t xml:space="preserve">Day 22</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251" w:name="_auto_toc_251"/>
    <w:bookmarkEnd w:id="251"/>
    <w:p>
      <w:pPr>
        <w:pStyle w:val="ResourceNumber"/>
      </w:pPr>
      <w:r>
        <w:t xml:space="preserve">22.1</w:t>
      </w:r>
    </w:p>
    <w:p>
      <w:pPr>
        <w:pStyle w:val="ResourceTitle"/>
      </w:pPr>
      <w:r>
        <w:t xml:space="preserve">Rules</w:t>
      </w:r>
    </w:p>
    <w:p>
      <w:pPr>
        <w:pStyle w:val="HeadFieldSeparator"/>
      </w:pPr>
      <w:r>
        <w:t xml:space="preserve"> </w:t>
      </w:r>
    </w:p>
    <w:p>
      <w:pPr>
        <w:pStyle w:val="ResourceHeadnote"/>
      </w:pPr>
      <w:r>
        <w:t xml:space="preserve">Read the following Federal Rules of Civil Procedure. You can access them via the internet or the supplemental handout provided on Canvas.</w:t>
      </w:r>
    </w:p>
    <w:p>
      <w:pPr>
        <w:pStyle w:val="HeadEnd"/>
      </w:pPr>
      <w:r>
        <w:t xml:space="preserve"> </w:t>
      </w:r>
    </w:p>
    <w:p>
      <w:pPr>
        <w:numPr>
          <w:ilvl w:val="0"/>
          <w:numId w:val="1180"/>
        </w:numPr>
      </w:pPr>
      <w:r>
        <w:t xml:space="preserve">Fed. R. Civ. P. 23 (a-c, e)</w:t>
      </w:r>
    </w:p>
    <w:p>
      <w:pPr>
        <w:pStyle w:val="NodeEnd"/>
      </w:pPr>
      <w:r>
        <w:t xml:space="preserve"> </w:t>
      </w:r>
    </w:p>
    <w:p>
      <w:pPr>
        <w:pStyle w:val="NodeStart"/>
      </w:pPr>
      <w:r>
        <w:t xml:space="preserve"> </w:t>
      </w:r>
    </w:p>
    <w:p>
      <w:pPr>
        <w:pStyle w:val="HeadSeparator"/>
      </w:pPr>
      <w:r>
        <w:t xml:space="preserve"> </w:t>
      </w:r>
    </w:p>
    <w:bookmarkStart w:id="252" w:name="_auto_toc_252"/>
    <w:bookmarkEnd w:id="252"/>
    <w:p>
      <w:pPr>
        <w:pStyle w:val="ResourceNumber"/>
      </w:pPr>
      <w:r>
        <w:t xml:space="preserve">22.2</w:t>
      </w:r>
    </w:p>
    <w:p>
      <w:pPr>
        <w:pStyle w:val="ResourceTitle"/>
      </w:pPr>
      <w:r>
        <w:t xml:space="preserve">Class Action Certification &amp; Types</w:t>
      </w:r>
    </w:p>
    <w:p>
      <w:pPr>
        <w:pStyle w:val="HeadEnd"/>
      </w:pPr>
      <w:r>
        <w:t xml:space="preserve"> </w:t>
      </w:r>
    </w:p>
    <w:p>
      <w:pPr>
        <w:pStyle w:val="BodyText"/>
      </w:pPr>
      <w:r>
        <w:t xml:space="preserve">To prevail in a motion for class certification (which may take place after extensive discovery on the issue of whether a proper class exists), the would-be named plaintiff must first satisfy the prerequisite requirements set out in FRCP Rule 23(a): (1) numerosity, (2) commonality, (3) typicality, and (4) representativeness. In addition, the would-be named plaintiff must demonstrate that the class fits within at least one of the “types” defined by FRCP Rule 23(b).</w:t>
      </w:r>
    </w:p>
    <w:p>
      <w:pPr>
        <w:pStyle w:val="BodyText"/>
      </w:pPr>
      <w:r>
        <w:t xml:space="preserve">FRCP 23(a) establishes the four prerequisites.</w:t>
      </w:r>
    </w:p>
    <w:p>
      <w:pPr>
        <w:numPr>
          <w:ilvl w:val="0"/>
          <w:numId w:val="1181"/>
        </w:numPr>
      </w:pPr>
      <w:r>
        <w:rPr>
          <w:bCs/>
          <w:b/>
        </w:rPr>
        <w:t xml:space="preserve">Rule 23(a)(1) -- Numerosity</w:t>
      </w:r>
      <w:r>
        <w:t xml:space="preserve">: A class must be so numerous that a simple joinder of their actions would be impractical.  Some references have suggested that federal courts generally consider groups of 20 or fewer insufficiently numerous, groups of 40 or more sufficiently numerous, and groups between 20 and 40 potentially meeting the requirement depending on additional factors.  In this middle range, courts consider factors such as the geographic dispersion of the plaintiffs and the estimated value of individual claims.  Greater dispersion makes simple joinder more difficult and thus favors class certification.  Lower-value claims increase the burden of separate lawsuits, making class certification more likely.</w:t>
      </w:r>
    </w:p>
    <w:p>
      <w:pPr>
        <w:numPr>
          <w:ilvl w:val="0"/>
          <w:numId w:val="1181"/>
        </w:numPr>
      </w:pPr>
      <w:r>
        <w:rPr>
          <w:bCs/>
          <w:b/>
        </w:rPr>
        <w:t xml:space="preserve">Rule 23(a)(2) -- Commonality</w:t>
      </w:r>
      <w:r>
        <w:t xml:space="preserve">: There must be claims or defenses common to the class.  Historically, federal courts read this provision textually, making it often easy to satisfy.  However, Justice Scalia’s majority opinion in </w:t>
      </w:r>
      <w:r>
        <w:rPr>
          <w:iCs/>
          <w:i/>
        </w:rPr>
        <w:t xml:space="preserve">Wal-mart Stores, Inc. v. Dukes</w:t>
      </w:r>
      <w:r>
        <w:t xml:space="preserve"> </w:t>
      </w:r>
      <w:r>
        <w:t xml:space="preserve">(assigned as one of the next cases for you to read) rewrote the doctrine with what Justice Scalia conceded was an atextual interpretation of the rule, emphasizing that commonality requires more than just common issues of law and fact.  Instead, class members must present common questions that are capable of generating common answers—essentially, a trial on the merits at the class certification stage. To meet this standard, plaintiffs must show that (1) class members suffered the same injury; (2) their claims depend on a common content that is capable of class-wide resolution; and (3) determining the truth or falsity of the common content resolves a central issue for all claims in one stroke.  In practice, federal courts consider the dissimilarities among plaintiffs’ claims and whether the claims rely on the same evidence.</w:t>
      </w:r>
    </w:p>
    <w:p>
      <w:pPr>
        <w:numPr>
          <w:ilvl w:val="0"/>
          <w:numId w:val="1181"/>
        </w:numPr>
      </w:pPr>
      <w:r>
        <w:rPr>
          <w:bCs/>
          <w:b/>
        </w:rPr>
        <w:t xml:space="preserve">Rule 23(a)(3) -- Typicality</w:t>
      </w:r>
      <w:r>
        <w:t xml:space="preserve">: The claims of the named plaintiffs, who represent the class members, must be similar to those of the unnamed class members.  This requirement focuses on aligning the incentives of named and unnamed plaintiffs.  The underlying presumption is that named plaintiffs will naturally pursue self-interested litigation strategies, and if their claims are typical of the class, those strategies will also advance the interests of the unnamed class members.  The purpose of this prerequisite is to ensure that the named plaintiffs’ pursuit of self-interested litigation strategies will inure to the benefit of the unnamed class members.</w:t>
      </w:r>
    </w:p>
    <w:p>
      <w:pPr>
        <w:numPr>
          <w:ilvl w:val="0"/>
          <w:numId w:val="1181"/>
        </w:numPr>
      </w:pPr>
      <w:r>
        <w:rPr>
          <w:bCs/>
          <w:b/>
        </w:rPr>
        <w:t xml:space="preserve">Rule 23(a)(4) -- Representativeness</w:t>
      </w:r>
      <w:r>
        <w:t xml:space="preserve">: The named plaintiffs must fairly and adequately represent the class.  While this inquiry is similar to the typicality analysis, it is distinct in that it focuses on potential conflicts of interest between named and unnamed plaintiffs.  Federal courts assess whether the named plaintiffs suffered the same type of injury as the rest of the class and whether their interests align with those of the unnamed plaintiffs.  If named plaintiffs do not share a material concern with the unnamed plaintiffs, they may fail to adequately represent the class as a whole.  In</w:t>
      </w:r>
      <w:r>
        <w:t xml:space="preserve"> </w:t>
      </w:r>
      <w:r>
        <w:rPr>
          <w:iCs/>
          <w:i/>
        </w:rPr>
        <w:t xml:space="preserve">Amchem Products, Inc. v. Windsor</w:t>
      </w:r>
      <w:r>
        <w:t xml:space="preserve"> </w:t>
      </w:r>
      <w:r>
        <w:t xml:space="preserve">(assigned as one of the next cases for you to read), the Supreme Court rejected class certification due to conflicts of interest among named and unnamed plaintiffs.</w:t>
      </w:r>
    </w:p>
    <w:p>
      <w:pPr>
        <w:pStyle w:val="FirstParagraph"/>
      </w:pPr>
      <w:r>
        <w:t xml:space="preserve"> </w:t>
      </w:r>
    </w:p>
    <w:p>
      <w:pPr>
        <w:pStyle w:val="BodyText"/>
      </w:pPr>
      <w:r>
        <w:t xml:space="preserve">FRCP 23(b) establishes the different types of class action lawsuits that are possible and the requirements for each.  In addition to meeting all the 23(a) prerequisites, the putative class must fit within one of the 23(b) types.</w:t>
      </w:r>
    </w:p>
    <w:p>
      <w:pPr>
        <w:pStyle w:val="BodyText"/>
      </w:pPr>
      <w:r>
        <w:t xml:space="preserve"> </w:t>
      </w:r>
    </w:p>
    <w:p>
      <w:pPr>
        <w:pStyle w:val="BodyText"/>
      </w:pPr>
      <w:r>
        <w:t xml:space="preserve"> </w:t>
      </w:r>
    </w:p>
    <w:p>
      <w:pPr>
        <w:pStyle w:val="BodyText"/>
      </w:pPr>
      <w:r>
        <w:rPr>
          <w:bCs/>
          <w:b/>
        </w:rPr>
        <w:t xml:space="preserve">    Rule 23(b)(1)(A), Rule 23(b)(2) – Inconsistent adjudication/Injunction</w:t>
      </w:r>
      <w:r>
        <w:t xml:space="preserve">: (b)(1)(A) and (b)(2) class actions are difficult to distinguish.  In general, an action qualifies for one of these types if a defendant’s course of conduct is common to all class members such that an injunction would be an appropriate remedy. Rule 23(b)(1)(A) applies when separate lawsuits by individual plaintiffs could result in conflicting court orders, creating a situation where the defendant is unable to comply with all rulings.  For example, if A and B each sued defendant C, A’s injunctive remedy and B’s injunctive remedy could end up being in direct opposition, leaving C unable to comply with both injunctions at the same time.  Rule 23(b)(1)(A) class actions prevent such conflicts by ensuring that all affected parties are bound by a single, uniform judgment.</w:t>
      </w:r>
    </w:p>
    <w:p>
      <w:pPr>
        <w:pStyle w:val="BodyText"/>
      </w:pPr>
      <w:r>
        <w:t xml:space="preserve">  Rule 23(b)(2) applies when a defendant’s conduct applied “generally to the class,” making injunctive relief appropriate for the class as a whole.  This type of class action is used in suits against governments seeking systemic reforms, such as desegregation decrees or procedural due process reforms of agency processes.  A key limitation of Rule 23(b)(2) is that it does not permit claims for individualized relief.  In</w:t>
      </w:r>
      <w:r>
        <w:t xml:space="preserve"> </w:t>
      </w:r>
      <w:r>
        <w:rPr>
          <w:iCs/>
          <w:i/>
        </w:rPr>
        <w:t xml:space="preserve">Wal-Mart Stores, Inc. v. Dukes</w:t>
      </w:r>
      <w:r>
        <w:t xml:space="preserve">, the Supreme Court held that Rule 23(b)(2) applies only when a single injunction or declaratory judgment would provide uniform relief to all class members.  If each class member would be entitled to </w:t>
      </w:r>
      <w:r>
        <w:rPr>
          <w:iCs/>
          <w:i/>
        </w:rPr>
        <w:t xml:space="preserve">different</w:t>
      </w:r>
      <w:r>
        <w:t xml:space="preserve"> injunctive or declaratory relief, certification under Rule 23(b)(2) is improper. </w:t>
      </w:r>
    </w:p>
    <w:p>
      <w:pPr>
        <w:pStyle w:val="BodyText"/>
      </w:pPr>
      <w:r>
        <w:t xml:space="preserve">     </w:t>
      </w:r>
      <w:r>
        <w:rPr>
          <w:bCs/>
          <w:b/>
        </w:rPr>
        <w:t xml:space="preserve">Rule 23(b)(1)(B)</w:t>
      </w:r>
      <w:r>
        <w:t xml:space="preserve">: This type covers cases in which adjudication of certain individuals’ lawsuits could adversely affect other class members.  A prototypical example is when a limited fund is involved, such as an insurance policy that only pays up to certain limits.  If many individuals bring separate suits against the defendant, the plaintiffs whose cases reach judgment first would be paid in full, which might exhaust the fund before later plaintiffs could be paid.  In other words, the fund could run out of money before everyone is paid.  Bringing a class action of this type helps to improve the distribution problem.  The reasoning here is similar to bankruptcy.</w:t>
      </w:r>
    </w:p>
    <w:p>
      <w:pPr>
        <w:pStyle w:val="BodyText"/>
      </w:pPr>
      <w:r>
        <w:rPr>
          <w:bCs/>
          <w:b/>
        </w:rPr>
        <w:t xml:space="preserve">     Rule 23(b)(3) – Damages</w:t>
      </w:r>
      <w:r>
        <w:t xml:space="preserve">:</w:t>
      </w:r>
      <w:r>
        <w:rPr>
          <w:bCs/>
          <w:b/>
        </w:rPr>
        <w:t xml:space="preserve"> </w:t>
      </w:r>
      <w:r>
        <w:t xml:space="preserve">If a class action seeks damages, it must meet the two additional requirements of FRCP 23(b)(3). </w:t>
      </w:r>
    </w:p>
    <w:p>
      <w:pPr>
        <w:pStyle w:val="BodyText"/>
      </w:pPr>
      <w:r>
        <w:rPr>
          <w:bCs/>
          <w:b/>
        </w:rPr>
        <w:t xml:space="preserve">Predominance</w:t>
      </w:r>
      <w:r>
        <w:t xml:space="preserve">: First, common issues of law and fact must predominate over the issues that are not common. This requirement is essentially a heightened version of commonality: the class members should have suffered the same type of harm and seek the same remedy.  If commonality is satisfied, predominance is often easier to prove.  However, the standard for predominance became unclear after</w:t>
      </w:r>
      <w:r>
        <w:t xml:space="preserve"> </w:t>
      </w:r>
      <w:r>
        <w:rPr>
          <w:iCs/>
          <w:i/>
        </w:rPr>
        <w:t xml:space="preserve">Wal-mart Stores, Inc. v. Dukes</w:t>
      </w:r>
      <w:r>
        <w:t xml:space="preserve">, which set a high bar for commonality.</w:t>
      </w:r>
    </w:p>
    <w:p>
      <w:pPr>
        <w:pStyle w:val="BodyText"/>
      </w:pPr>
      <w:r>
        <w:rPr>
          <w:bCs/>
          <w:b/>
        </w:rPr>
        <w:t xml:space="preserve">Superiority</w:t>
      </w:r>
      <w:r>
        <w:t xml:space="preserve">:</w:t>
      </w:r>
      <w:r>
        <w:rPr>
          <w:bCs/>
          <w:b/>
        </w:rPr>
        <w:t xml:space="preserve"> </w:t>
      </w:r>
      <w:r>
        <w:t xml:space="preserve">Second, the class device must be deemed superior to individual adjudications.  To start, there is a general presumption that we prefer to allow each individual plaintiff to retain control over his or her lawsuit.  To overcome this presumption, there must be some showing that a class action is superior.  Courts consider several factors in determining superiority:</w:t>
      </w:r>
    </w:p>
    <w:p>
      <w:pPr>
        <w:numPr>
          <w:ilvl w:val="0"/>
          <w:numId w:val="1182"/>
        </w:numPr>
      </w:pPr>
      <w:r>
        <w:t xml:space="preserve">Size of individual claims: If individual claims would return small damages, class actions may be the only viable way for plaintiffs to recover, as individual litigation would be prohibitively costly and burdensome. </w:t>
      </w:r>
    </w:p>
    <w:p>
      <w:pPr>
        <w:numPr>
          <w:ilvl w:val="0"/>
          <w:numId w:val="1182"/>
        </w:numPr>
      </w:pPr>
      <w:r>
        <w:t xml:space="preserve">Class members’ interest in controlling separate lawsuits: If each plaintiff has a strong interest in controlling the prosecution of their case separately, this weighs against a class action being judged as a superior adjudication method.</w:t>
      </w:r>
    </w:p>
    <w:p>
      <w:pPr>
        <w:numPr>
          <w:ilvl w:val="0"/>
          <w:numId w:val="1182"/>
        </w:numPr>
      </w:pPr>
      <w:r>
        <w:t xml:space="preserve">Cost of litigation: If litigation involves substantial expenses, such as expert witnesses, a class action may be superior because it distributes costs across a large group.</w:t>
      </w:r>
    </w:p>
    <w:p>
      <w:pPr>
        <w:numPr>
          <w:ilvl w:val="0"/>
          <w:numId w:val="1182"/>
        </w:numPr>
      </w:pPr>
      <w:r>
        <w:t xml:space="preserve">HCOL: If multiple states’ laws apply to different plaintiffs’ claims, class certification is less likely because courts would have to decide on different state laws at the same time.</w:t>
      </w:r>
    </w:p>
    <w:p>
      <w:pPr>
        <w:pStyle w:val="FirstParagraph"/>
      </w:pPr>
      <w:r>
        <w:t xml:space="preserve"> </w:t>
      </w:r>
    </w:p>
    <w:p>
      <w:pPr>
        <w:pStyle w:val="BodyText"/>
      </w:pPr>
      <w:r>
        <w:rPr>
          <w:bCs/>
          <w:b/>
        </w:rPr>
        <w:t xml:space="preserve">Other Requirements</w:t>
      </w:r>
    </w:p>
    <w:p>
      <w:pPr>
        <w:pStyle w:val="BodyText"/>
      </w:pPr>
      <w:r>
        <w:t xml:space="preserve">Different class types have different requirements regarding notice and opt-out at the certification stage.  Rule </w:t>
      </w:r>
      <w:r>
        <w:rPr>
          <w:bCs/>
          <w:b/>
        </w:rPr>
        <w:t xml:space="preserve">23(b)(1)</w:t>
      </w:r>
      <w:r>
        <w:t xml:space="preserve"> and </w:t>
      </w:r>
      <w:r>
        <w:rPr>
          <w:bCs/>
          <w:b/>
        </w:rPr>
        <w:t xml:space="preserve">23(b)(2)</w:t>
      </w:r>
      <w:r>
        <w:t xml:space="preserve"> classes by default do not require that individual class members be notified of the lawsuit or be given the opportunity to opt-out of the action; thus, these types are sometimes referred to as “mandatory” class actions. </w:t>
      </w:r>
    </w:p>
    <w:p>
      <w:pPr>
        <w:pStyle w:val="BodyText"/>
      </w:pPr>
      <w:r>
        <w:t xml:space="preserve">On the other hand, Rule </w:t>
      </w:r>
      <w:r>
        <w:rPr>
          <w:bCs/>
          <w:b/>
        </w:rPr>
        <w:t xml:space="preserve">23(b)(3)</w:t>
      </w:r>
      <w:r>
        <w:t xml:space="preserve"> actions require the class representative to provide the best notice practicable to the class members, which includes individual notice.  Note that this is a higher standard than</w:t>
      </w:r>
      <w:r>
        <w:t xml:space="preserve"> </w:t>
      </w:r>
      <w:r>
        <w:rPr>
          <w:iCs/>
          <w:i/>
        </w:rPr>
        <w:t xml:space="preserve">Mullane</w:t>
      </w:r>
      <w:r>
        <w:t xml:space="preserve">.  Among other specific requirements (see Rule 23(c)(2)(B) for more detail), this notice must provide members with the opportunity to opt-out of the class. Appropriate methods for providing notice sometimes include the US mail or email. </w:t>
      </w:r>
    </w:p>
    <w:p>
      <w:pPr>
        <w:pStyle w:val="BodyText"/>
      </w:pPr>
      <w:r>
        <w:t xml:space="preserve">Rule 23(b)(3) imposes stricter procedural safeguards to protect absent class members because unlike Rule 23(b)(1) and (b)(2) class actions, which involve inherently cohesive claims that apply to the entire class and are not divisible among individuals, Rule 23(b)(3) cases involve individualized monetary damages.  In contrast, damages claims typically involve individualized issues, so Rule 23(b)(3) imposes a higher bar for certification to ensure that a class action is truly more efficient and equitable than separate litigation. </w:t>
      </w:r>
    </w:p>
    <w:p>
      <w:pPr>
        <w:pStyle w:val="NodeEnd"/>
      </w:pPr>
      <w:r>
        <w:t xml:space="preserve"> </w:t>
      </w:r>
    </w:p>
    <w:p>
      <w:pPr>
        <w:pStyle w:val="NodeStart"/>
      </w:pPr>
      <w:r>
        <w:t xml:space="preserve"> </w:t>
      </w:r>
    </w:p>
    <w:p>
      <w:pPr>
        <w:pStyle w:val="HeadSeparator"/>
      </w:pPr>
      <w:r>
        <w:t xml:space="preserve"> </w:t>
      </w:r>
    </w:p>
    <w:bookmarkStart w:id="253" w:name="_auto_toc_253"/>
    <w:bookmarkEnd w:id="253"/>
    <w:p>
      <w:pPr>
        <w:pStyle w:val="ResourceNumber"/>
      </w:pPr>
      <w:r>
        <w:t xml:space="preserve">22.3</w:t>
      </w:r>
    </w:p>
    <w:p>
      <w:pPr>
        <w:pStyle w:val="ResourceTitle"/>
      </w:pPr>
      <w:r>
        <w:t xml:space="preserve">Wal-Mart Stores, Inc. v. Dukes</w:t>
      </w:r>
    </w:p>
    <w:p>
      <w:pPr>
        <w:pStyle w:val="HeadEnd"/>
      </w:pPr>
      <w:r>
        <w:t xml:space="preserve"> </w:t>
      </w:r>
    </w:p>
    <w:p>
      <w:pPr>
        <w:pStyle w:val="CaseHeader"/>
      </w:pPr>
      <w:r>
        <w:t xml:space="preserve">Supreme Court of the United States</w:t>
      </w:r>
    </w:p>
    <w:p>
      <w:pPr>
        <w:pStyle w:val="CaseHeader"/>
      </w:pPr>
      <w:r>
        <w:t xml:space="preserve">180 L. Ed. 2d 374, 564 U.S. 338, 2011 U.S. LEXIS 4567, 131 S. Ct. 2541</w:t>
      </w:r>
    </w:p>
    <w:p>
      <w:pPr>
        <w:pStyle w:val="CaseHeader"/>
      </w:pPr>
      <w:r>
        <w:t xml:space="preserve">No. 10-277</w:t>
      </w:r>
    </w:p>
    <w:p>
      <w:pPr>
        <w:pStyle w:val="CaseHeader"/>
      </w:pPr>
      <w:r>
        <w:t xml:space="preserve">2011-06-20</w:t>
      </w:r>
    </w:p>
    <w:p>
      <w:pPr>
        <w:pStyle w:val="CaseBody"/>
      </w:pPr>
      <w:r>
        <w:rPr>
          <w:rStyle w:val="Elision"/>
        </w:rPr>
        <w:t xml:space="preserve">[ … ]</w:t>
      </w:r>
    </w:p>
    <w:p>
      <w:pPr>
        <w:pStyle w:val="CaseBody"/>
      </w:pPr>
      <w:r>
        <w:t xml:space="preserve">Justice Scalia</w:t>
      </w:r>
    </w:p>
    <w:p>
      <w:pPr>
        <w:pStyle w:val="CaseBody"/>
      </w:pPr>
      <w:r>
        <w:t xml:space="preserve">delivered the opinion of the Court.</w:t>
      </w:r>
    </w:p>
    <w:p>
      <w:pPr>
        <w:pStyle w:val="CaseBody"/>
      </w:pPr>
      <w:r>
        <w:t xml:space="preserve">We are presented with one of the most expansive class actions ever. The District Court and the Court of Appeals approved the certification of a class comprising about one and a half million plaintiffs, current and former female employees of petitioner Wal-Mart who allege that the discretion exercised by their local supervisors over pay and promotion matters violates Title VII by discriminating against women.</w:t>
      </w:r>
      <w:r>
        <w:t xml:space="preserve"> </w:t>
      </w:r>
      <w:r>
        <w:rPr>
          <w:rStyle w:val="Elision"/>
        </w:rPr>
        <w:t xml:space="preserve">[ … ]</w:t>
      </w:r>
      <w:r>
        <w:t xml:space="preserve"> </w:t>
      </w:r>
      <w:r>
        <w:t xml:space="preserve">We consider whether the certification of the plaintiff class was consistent with Federal Rules of Civil Procedure 23(a) and (b)(2).</w:t>
      </w:r>
    </w:p>
    <w:p>
      <w:pPr>
        <w:pStyle w:val="CaseBody"/>
      </w:pPr>
      <w:r>
        <w:t xml:space="preserve">I</w:t>
      </w:r>
    </w:p>
    <w:p>
      <w:pPr>
        <w:pStyle w:val="CaseBody"/>
      </w:pPr>
      <w:r>
        <w:t xml:space="preserve">A</w:t>
      </w:r>
    </w:p>
    <w:p>
      <w:pPr>
        <w:pStyle w:val="CaseBody"/>
      </w:pPr>
      <w:r>
        <w:t xml:space="preserve">Petitioner Wal-Mart is the Nation’s largest private employer.</w:t>
      </w:r>
      <w:r>
        <w:t xml:space="preserve"> </w:t>
      </w:r>
      <w:r>
        <w:rPr>
          <w:rStyle w:val="Elision"/>
        </w:rPr>
        <w:t xml:space="preserve">[ … ]</w:t>
      </w:r>
      <w:r>
        <w:t xml:space="preserve">In all, Wal-Mart operates approximately 3,400 stores and employs more than 1 million people.</w:t>
      </w:r>
    </w:p>
    <w:p>
      <w:pPr>
        <w:pStyle w:val="CaseBody"/>
      </w:pPr>
      <w:r>
        <w:rPr>
          <w:rStyle w:val="Elision"/>
        </w:rPr>
        <w:t xml:space="preserve">[ … ]</w:t>
      </w:r>
    </w:p>
    <w:p>
      <w:pPr>
        <w:pStyle w:val="CaseBody"/>
      </w:pPr>
      <w:r>
        <w:t xml:space="preserve">Pay and promotion decisions at Wal-Mart are generally committed to local managers’ broad discretion, which is exercised “in a largely subjective manner.”</w:t>
      </w:r>
      <w:r>
        <w:t xml:space="preserve"> </w:t>
      </w:r>
      <w:r>
        <w:rPr>
          <w:rStyle w:val="Elision"/>
        </w:rPr>
        <w:t xml:space="preserve">[ … ]</w:t>
      </w:r>
      <w:r>
        <w:t xml:space="preserve">. Local store managers may increase the wages of hourly employees (within limits) with only limited corporate oversight. As for salaried employees, such as store managers and their deputies, higher corporate authorities have discretion to set their pay within preestablished ranges.</w:t>
      </w:r>
    </w:p>
    <w:p>
      <w:pPr>
        <w:pStyle w:val="CaseBody"/>
      </w:pPr>
      <w:r>
        <w:t xml:space="preserve">Promotions work in a similar fashion. Wal-Mart permits store managers to apply their own subjective criteria when selecting candidates as “support managers,” which is the first step on the path to management. Admission to Wal-Mart’s management training program, however, does require that a candidate meet certain objective criteria, including an above-average performance rating, at least one year’s tenure in the applicant’s current position, and a willingness to relocate. But except for those requirements, regional and district managers have discretion to use their own judgment when selecting candidates for management training. Promotion to higher</w:t>
      </w:r>
      <w:r>
        <w:t xml:space="preserve"> </w:t>
      </w:r>
      <w:r>
        <w:rPr>
          <w:iCs/>
          <w:i/>
        </w:rPr>
        <w:t xml:space="preserve">office—e.g.,</w:t>
      </w:r>
      <w:r>
        <w:t xml:space="preserve"> </w:t>
      </w:r>
      <w:r>
        <w:t xml:space="preserve">assistant manager, co-manager, or store manager—is similarly at the discretion of the employee’s superiors after prescribed objective factors are satisfied.</w:t>
      </w:r>
    </w:p>
    <w:p>
      <w:pPr>
        <w:pStyle w:val="CaseBody"/>
      </w:pPr>
      <w:r>
        <w:t xml:space="preserve">B</w:t>
      </w:r>
    </w:p>
    <w:p>
      <w:pPr>
        <w:pStyle w:val="CaseBody"/>
      </w:pPr>
      <w:r>
        <w:t xml:space="preserve">The named plaintiffs in this lawsuit, representing the 1.5 million members of the certified class, are three current or former Wal-Mart employees who allege that the company discriminated against them on the basis of their sex by denying them equal pay or promotions, in violation of Title VII of the Civil Rights Act of 1964</w:t>
      </w:r>
      <w:r>
        <w:rPr>
          <w:rStyle w:val="Elision"/>
        </w:rPr>
        <w:t xml:space="preserve">[ … ]</w:t>
      </w:r>
    </w:p>
    <w:p>
      <w:pPr>
        <w:pStyle w:val="CaseBody"/>
      </w:pPr>
      <w:r>
        <w:t xml:space="preserve">Betty Dukes began working at a Pittsburg, California, Wal-Mart in 1994. She started as a cashier, but later sought and received a promotion to customer service manager. After a series of disciplinary violations, however, Dukes was demoted back to cashier and then to greeter. Dukes concedes she violated company policy, but contends that the disciplinary actions were in fact retaliation for invoking internal complaint procedures and that male employees have not been disciplined for similar infractions. Dukes also claims two male greeters in the Pittsburg store are paid more than she is.</w:t>
      </w:r>
    </w:p>
    <w:p>
      <w:pPr>
        <w:pStyle w:val="CaseBody"/>
      </w:pPr>
      <w:r>
        <w:t xml:space="preserve">Christine Kwapnoski has worked at Sam’s Club stores in Missouri and California for most of her adult life. She has held a number of positions, including a supervisory position. She claims that a male manager yelled at her frequently and screamed at female employees, but not at men. The manager in question “told [her] to ‘doll up,’ to wear some makeup, and to dress a little better.”</w:t>
      </w:r>
      <w:r>
        <w:t xml:space="preserve"> </w:t>
      </w:r>
      <w:r>
        <w:rPr>
          <w:rStyle w:val="Elision"/>
        </w:rPr>
        <w:t xml:space="preserve">[ … ]</w:t>
      </w:r>
    </w:p>
    <w:p>
      <w:pPr>
        <w:pStyle w:val="CaseBody"/>
      </w:pPr>
      <w:r>
        <w:t xml:space="preserve">The final named plaintiff, Edith Arana, worked at a Wal-Mart store in Duarte, California, from 1995 to 2001. In 2000, she approached the store manager on more than one occasion about management training, but was brushed off. Arana concluded she was being denied opportunity for advancement because of her sex. She initiated internal complaint procedures, whereupon she was told to apply directly to the district manager if she thought her store manager was being unfair. Arana, however, decided against that and never applied for management training again. In 2001, she was fired for failure to comply with Wal-Mart’s timekeeping policy.</w:t>
      </w:r>
    </w:p>
    <w:p>
      <w:pPr>
        <w:pStyle w:val="CaseBody"/>
      </w:pPr>
      <w:r>
        <w:t xml:space="preserve">These plaintiffs, respondents here, do not allege that Wal-Mart has any express corporate policy against the advancement of women. Rather, they claim that their local managers’ discretion over pay and promotions is exercised disproportionately in favor of men, leading to an unlawful disparate impact on female employees</w:t>
      </w:r>
      <w:r>
        <w:rPr>
          <w:rStyle w:val="Elision"/>
        </w:rPr>
        <w:t xml:space="preserve">[ … ]</w:t>
      </w:r>
    </w:p>
    <w:p>
      <w:pPr>
        <w:pStyle w:val="CaseBody"/>
      </w:pPr>
      <w:r>
        <w:t xml:space="preserve">And, respondents say, because Wal-Mart is aware of this effect, its refusal to cabin its managers’ authority amounts to disparate treatment</w:t>
      </w:r>
      <w:r>
        <w:rPr>
          <w:rStyle w:val="Elision"/>
        </w:rPr>
        <w:t xml:space="preserve">[ … ]</w:t>
      </w:r>
      <w:r>
        <w:t xml:space="preserve">. Their complaint seeks injunctive and declaratory relief, punitive damages, and backpay.</w:t>
      </w:r>
      <w:r>
        <w:t xml:space="preserve"> </w:t>
      </w:r>
      <w:r>
        <w:rPr>
          <w:rStyle w:val="Elision"/>
        </w:rPr>
        <w:t xml:space="preserve">[ … ]</w:t>
      </w:r>
    </w:p>
    <w:p>
      <w:pPr>
        <w:pStyle w:val="CaseBody"/>
      </w:pPr>
      <w:r>
        <w:t xml:space="preserve">Importantly for our purposes, respondents claim that the discrimination to which they have been subjected is common to</w:t>
      </w:r>
      <w:r>
        <w:t xml:space="preserve"> </w:t>
      </w:r>
      <w:r>
        <w:rPr>
          <w:iCs/>
          <w:i/>
        </w:rPr>
        <w:t xml:space="preserve">all</w:t>
      </w:r>
      <w:r>
        <w:t xml:space="preserve"> </w:t>
      </w:r>
      <w:r>
        <w:t xml:space="preserve">Wal-Mart’s female employees. The basic theory of their case is that a strong and uniform “corporate culture” permits bias against women to infect, perhaps subconsciously, the discretionary de-cisionmaking of each one of Wal-Mart’s thousands of managers— thereby making every woman at the company the victim of one common discriminatory practice. Respondents therefore wish to litigate the Title VII claims of all female employees at Wal-Mart’s stores in a nationwide class action.</w:t>
      </w:r>
    </w:p>
    <w:p>
      <w:pPr>
        <w:pStyle w:val="CaseBody"/>
      </w:pPr>
      <w:r>
        <w:t xml:space="preserve">C</w:t>
      </w:r>
    </w:p>
    <w:p>
      <w:pPr>
        <w:pStyle w:val="CaseBody"/>
      </w:pPr>
      <w:r>
        <w:t xml:space="preserve">Class certification is governed by Federal Rule of Civil Procedure 23. Under Rule 23(a), the party seeking certification must demonstrate, first, that</w:t>
      </w:r>
    </w:p>
    <w:p>
      <w:pPr>
        <w:pStyle w:val="BlockText"/>
      </w:pPr>
      <w:r>
        <w:t xml:space="preserve">“(1) the class is so numerous that joinder of all members is impracticable;</w:t>
      </w:r>
    </w:p>
    <w:p>
      <w:pPr>
        <w:pStyle w:val="BlockText"/>
      </w:pPr>
      <w:r>
        <w:t xml:space="preserve">“(2) there are questions of law or fact common to the class;</w:t>
      </w:r>
    </w:p>
    <w:p>
      <w:pPr>
        <w:pStyle w:val="BlockText"/>
      </w:pPr>
      <w:r>
        <w:t xml:space="preserve">“(3) the claims or defenses of the representative parties are typical of the claims or defenses of the class; and</w:t>
      </w:r>
    </w:p>
    <w:p>
      <w:pPr>
        <w:pStyle w:val="BlockText"/>
      </w:pPr>
      <w:r>
        <w:t xml:space="preserve">“(4) the representative parties will fairly and adequately protect the interests of the class.”</w:t>
      </w:r>
    </w:p>
    <w:p>
      <w:pPr>
        <w:pStyle w:val="CaseBody"/>
      </w:pPr>
      <w:r>
        <w:t xml:space="preserve">Second, the proposed class must satisfy at least one of the three requirements listed in Rule 23(b). Respondents rely on Rule 23(b)(2), which applies when “the party opposing the class has acted or refused to act on grounds that apply generally to the class, so that final injunctive relief or corresponding</w:t>
      </w:r>
    </w:p>
    <w:p>
      <w:pPr>
        <w:pStyle w:val="CaseBody"/>
      </w:pPr>
      <w:r>
        <w:rPr>
          <w:rStyle w:val="Elision"/>
        </w:rPr>
        <w:t xml:space="preserve">[ … ]</w:t>
      </w:r>
    </w:p>
    <w:p>
      <w:pPr>
        <w:pStyle w:val="CaseBody"/>
      </w:pPr>
      <w:r>
        <w:t xml:space="preserve">declaratory relief is appropriate respecting the class as a whole.”</w:t>
      </w:r>
      <w:hyperlink w:anchor="Xd113f500196110a12caad8dc880c7e7c884f9c1">
        <w:r>
          <w:rPr>
            <w:rStyle w:val="Elision"/>
          </w:rPr>
          <w:t xml:space="preserve">[ … ]</w:t>
        </w:r>
      </w:hyperlink>
    </w:p>
    <w:p>
      <w:pPr>
        <w:pStyle w:val="CaseBody"/>
      </w:pPr>
      <w:r>
        <w:t xml:space="preserve">Invoking these provisions, respondents moved the District Court to certify a plaintiff class consisting of “‘[a] 11 women employed at any Wal-Mart domestic retail store at any time since December 26, 1998 who have been or may be subjected to Wal-Mart’s challenged pay and management track promotions policies and practices.’ ”</w:t>
      </w:r>
      <w:r>
        <w:rPr>
          <w:rStyle w:val="Elision"/>
        </w:rPr>
        <w:t xml:space="preserve">[ … ]</w:t>
      </w:r>
      <w:r>
        <w:t xml:space="preserve"> </w:t>
      </w:r>
      <w:r>
        <w:t xml:space="preserve">As evidence that there were indeed “questions of law or fact common to” all the women of Wal-Mart, as Rule 23(a)(2) requires, respondents relied chiefly on three forms of proof: statistical evidence about pay and promotion disparities between men and women at the company, anecdotal reports of discrimination from about 120 of Wal-Mart’s female employees, and the testimony of a sociologist, Dr. William Bielby, who conducted a “social framework analysis” of Wal-Mart’s “culture” and personnel practices, and concluded that the company was “vulnerable” to gender discrimination.</w:t>
      </w:r>
      <w:r>
        <w:t xml:space="preserve"> </w:t>
      </w:r>
      <w:r>
        <w:rPr>
          <w:rStyle w:val="Elision"/>
        </w:rPr>
        <w:t xml:space="preserve">[ … ]</w:t>
      </w:r>
    </w:p>
    <w:p>
      <w:pPr>
        <w:pStyle w:val="CaseBody"/>
      </w:pPr>
      <w:r>
        <w:t xml:space="preserve">Wal-Mart unsuccessfully moved to strike much of this evidence. It also offered its own countervailing statistical and other proof in an effort to defeat Rule 23(a)’s requirements</w:t>
      </w:r>
    </w:p>
    <w:p>
      <w:pPr>
        <w:pStyle w:val="CaseBody"/>
      </w:pPr>
      <w:r>
        <w:rPr>
          <w:rStyle w:val="Elision"/>
        </w:rPr>
        <w:t xml:space="preserve">[ … ]</w:t>
      </w:r>
    </w:p>
    <w:p>
      <w:pPr>
        <w:pStyle w:val="CaseBody"/>
      </w:pPr>
      <w:r>
        <w:t xml:space="preserve">of commonality, typicality, and adequate representation. Wal-Mart further contended that respondents’ monetary claims for backpay could not be certified under Rule 23(b)(2), first because that Rule refers only to injunctive and declaratory relief, and second because the backpay claims could not be manageably tried as a class without depriving Wal-Mart of its right to present certain statutory defenses.</w:t>
      </w:r>
      <w:r>
        <w:rPr>
          <w:rStyle w:val="Elision"/>
        </w:rPr>
        <w:t xml:space="preserve">[ … ]</w:t>
      </w:r>
      <w:r>
        <w:t xml:space="preserve"> </w:t>
      </w:r>
      <w:r>
        <w:t xml:space="preserve">the District Court granted respondents’ motion and certified their proposed class.</w:t>
      </w:r>
      <w:hyperlink w:anchor="X28a4c0ab9a369e3e8c4c01c8667c0a1853648f9">
        <w:r>
          <w:rPr>
            <w:rStyle w:val="Elision"/>
          </w:rPr>
          <w:t xml:space="preserve">[ … ]</w:t>
        </w:r>
      </w:hyperlink>
    </w:p>
    <w:p>
      <w:pPr>
        <w:pStyle w:val="CaseBody"/>
      </w:pPr>
      <w:r>
        <w:t xml:space="preserve">D</w:t>
      </w:r>
    </w:p>
    <w:p>
      <w:pPr>
        <w:pStyle w:val="CaseBody"/>
      </w:pPr>
      <w:r>
        <w:t xml:space="preserve">A divided en banc Court of Appeals substantially affirmed the District Court’s certification order.</w:t>
      </w:r>
      <w:r>
        <w:t xml:space="preserve"> </w:t>
      </w:r>
      <w:r>
        <w:rPr>
          <w:rStyle w:val="Elision"/>
        </w:rPr>
        <w:t xml:space="preserve">[ … ]</w:t>
      </w:r>
      <w:r>
        <w:t xml:space="preserve">The majority concluded that respondents’ evidence of commonality was sufficient to “raise the common question whether Wal-Mart’s female employees nationwide were subjected to a single set of corporate policies (not merely a number of independent discriminatory acts) that may have worked to unlawfully discriminate against them in violation of Title VII.”</w:t>
      </w:r>
    </w:p>
    <w:p>
      <w:pPr>
        <w:pStyle w:val="CaseBody"/>
      </w:pPr>
      <w:r>
        <w:rPr>
          <w:rStyle w:val="Elision"/>
        </w:rPr>
        <w:t xml:space="preserve">[ … ]</w:t>
      </w:r>
      <w:r>
        <w:t xml:space="preserve">. It also agreed with the District Court that the named plaintiffs’ claims were sufficiently typical of the class as a whole to satisfy Rule 23(a)(3), and that they could serve as adequate class representatives,</w:t>
      </w:r>
      <w:r>
        <w:t xml:space="preserve"> </w:t>
      </w:r>
      <w:r>
        <w:rPr>
          <w:rStyle w:val="Elision"/>
        </w:rPr>
        <w:t xml:space="preserve">[ … ]</w:t>
      </w:r>
      <w:r>
        <w:t xml:space="preserve"> </w:t>
      </w:r>
      <w:r>
        <w:t xml:space="preserve">With respect to the Rule 23(b)(2) question, the Ninth Circuit held that respondents’ backpay claims could be certified as part of a (b)(2) class because they did not “predominat[e]” over the requests for declaratory and injunctive relief, meaning they were not “superior in strength, influence, or authority”</w:t>
      </w:r>
      <w:r>
        <w:t xml:space="preserve"> </w:t>
      </w:r>
      <w:r>
        <w:rPr>
          <w:rStyle w:val="Elision"/>
        </w:rPr>
        <w:t xml:space="preserve">[ … ]</w:t>
      </w:r>
    </w:p>
    <w:p>
      <w:pPr>
        <w:pStyle w:val="CaseBody"/>
      </w:pPr>
      <w:r>
        <w:t xml:space="preserve">Finally, the Court of Appeals determined that the action could be man-ageably tried as a class action because the District Court could adopt the approach the Ninth Circuit approved in</w:t>
      </w:r>
      <w:r>
        <w:t xml:space="preserve"> </w:t>
      </w:r>
      <w:r>
        <w:rPr>
          <w:iCs/>
          <w:i/>
        </w:rPr>
        <w:t xml:space="preserve">Hilao</w:t>
      </w:r>
      <w:r>
        <w:t xml:space="preserve"> </w:t>
      </w:r>
      <w:r>
        <w:t xml:space="preserve">v.</w:t>
      </w:r>
      <w:r>
        <w:t xml:space="preserve"> </w:t>
      </w:r>
      <w:r>
        <w:rPr>
          <w:iCs/>
          <w:i/>
        </w:rPr>
        <w:t xml:space="preserve">Estate of Marcos,</w:t>
      </w:r>
      <w:r>
        <w:rPr>
          <w:rStyle w:val="Elision"/>
        </w:rPr>
        <w:t xml:space="preserve">[ … ]</w:t>
      </w:r>
      <w:r>
        <w:t xml:space="preserve">. There compensatory damages for some 9,541 class members were calculated by selecting 137 claims at random, referring those claims to a special master for valuation, and then extrapolating the validity and value of the untested claims from the sample set.</w:t>
      </w:r>
      <w:r>
        <w:rPr>
          <w:rStyle w:val="Elision"/>
        </w:rPr>
        <w:t xml:space="preserve">[ … ]</w:t>
      </w:r>
      <w:r>
        <w:t xml:space="preserve">The Court of Appeals</w:t>
      </w:r>
      <w:r>
        <w:t xml:space="preserve"> </w:t>
      </w:r>
      <w:r>
        <w:rPr>
          <w:rStyle w:val="Elision"/>
        </w:rPr>
        <w:t xml:space="preserve">[ … ]</w:t>
      </w:r>
      <w:r>
        <w:t xml:space="preserve">would allow Wal-Mart “to present individual defenses in the randomly selected ‘sample cases,’ thus revealing the approximate percentage of class members whose unequal pay or non-promotion was due to something other than gender discrimination.”</w:t>
      </w:r>
      <w:r>
        <w:t xml:space="preserve"> </w:t>
      </w:r>
      <w:r>
        <w:rPr>
          <w:rStyle w:val="Elision"/>
        </w:rPr>
        <w:t xml:space="preserve">[ … ]</w:t>
      </w:r>
    </w:p>
    <w:p>
      <w:pPr>
        <w:pStyle w:val="CaseBody"/>
      </w:pPr>
      <w:r>
        <w:t xml:space="preserve">We granted certiorari.</w:t>
      </w:r>
      <w:r>
        <w:t xml:space="preserve"> </w:t>
      </w:r>
      <w:r>
        <w:rPr>
          <w:rStyle w:val="Elision"/>
        </w:rPr>
        <w:t xml:space="preserve">[ … ]</w:t>
      </w:r>
    </w:p>
    <w:p>
      <w:pPr>
        <w:pStyle w:val="CaseBody"/>
      </w:pPr>
      <w:r>
        <w:t xml:space="preserve">II</w:t>
      </w:r>
    </w:p>
    <w:p>
      <w:pPr>
        <w:pStyle w:val="CaseBody"/>
      </w:pPr>
      <w:r>
        <w:t xml:space="preserve">The class action is “an exception to the usual rule that litigation is conducted by and on behalf of the individual named parties only.”</w:t>
      </w:r>
      <w:r>
        <w:t xml:space="preserve"> </w:t>
      </w:r>
      <w:r>
        <w:rPr>
          <w:rStyle w:val="Elision"/>
        </w:rPr>
        <w:t xml:space="preserve">[ … ]</w:t>
      </w:r>
      <w:r>
        <w:t xml:space="preserve"> </w:t>
      </w:r>
      <w:r>
        <w:t xml:space="preserve">In order to justify a departure from that rule, “a class representative must be part of the class and ‘possess the same interest and suffer the same injury’ as the</w:t>
      </w:r>
    </w:p>
    <w:p>
      <w:pPr>
        <w:pStyle w:val="CaseBody"/>
      </w:pPr>
      <w:r>
        <w:rPr>
          <w:rStyle w:val="Elision"/>
        </w:rPr>
        <w:t xml:space="preserve">[ … ]</w:t>
      </w:r>
    </w:p>
    <w:p>
      <w:pPr>
        <w:pStyle w:val="CaseBody"/>
      </w:pPr>
      <w:r>
        <w:t xml:space="preserve">class members.”</w:t>
      </w:r>
      <w:r>
        <w:t xml:space="preserve"> </w:t>
      </w:r>
      <w:r>
        <w:rPr>
          <w:rStyle w:val="Elision"/>
        </w:rPr>
        <w:t xml:space="preserve">[ … ]</w:t>
      </w:r>
      <w:r>
        <w:t xml:space="preserve">Rule 23(a) ensures that the named plaintiffs are appropriate representatives of the class whose claims they wish to litigate. The Rule’s four requirements—numerosity, commonality, typicality, and adequate representation—“effectively ‘limit the class claims to those fairly encompassed by the named plaintiff’s claims.’ ”</w:t>
      </w:r>
      <w:r>
        <w:t xml:space="preserve"> </w:t>
      </w:r>
      <w:r>
        <w:rPr>
          <w:rStyle w:val="Elision"/>
        </w:rPr>
        <w:t xml:space="preserve">[ … ]</w:t>
      </w:r>
    </w:p>
    <w:p>
      <w:pPr>
        <w:pStyle w:val="CaseBody"/>
      </w:pPr>
      <w:r>
        <w:t xml:space="preserve">A</w:t>
      </w:r>
    </w:p>
    <w:p>
      <w:pPr>
        <w:pStyle w:val="CaseBody"/>
      </w:pPr>
      <w:r>
        <w:t xml:space="preserve">The crux of this case is commonality—the rule requiring a plaintiff to show that “there are questions of law or fact common to the class.” Rule 23(a)(2).</w:t>
      </w:r>
      <w:hyperlink w:anchor="X4a4ef13691b2f127a31820ea68f393a4d3224c5">
        <w:r>
          <w:rPr>
            <w:rStyle w:val="Elision"/>
          </w:rPr>
          <w:t xml:space="preserve">[ … ]</w:t>
        </w:r>
      </w:hyperlink>
      <w:r>
        <w:t xml:space="preserve">That language is easy to misread, since “[a]ny competently crafted class complaint literally raises common ‘questions.’ ”</w:t>
      </w:r>
      <w:r>
        <w:t xml:space="preserve"> </w:t>
      </w:r>
      <w:r>
        <w:rPr>
          <w:rStyle w:val="Elision"/>
        </w:rPr>
        <w:t xml:space="preserve">[ … ]</w:t>
      </w:r>
      <w:r>
        <w:t xml:space="preserve"> </w:t>
      </w:r>
      <w:r>
        <w:t xml:space="preserve">For example: Do all of us plaintiffs indeed work for Wal-Mart? Do our managers have discretion over pay?</w:t>
      </w:r>
      <w:r>
        <w:t xml:space="preserve"> </w:t>
      </w:r>
      <w:r>
        <w:rPr>
          <w:rStyle w:val="Elision"/>
        </w:rPr>
        <w:t xml:space="preserve">[ … ]</w:t>
      </w:r>
      <w:r>
        <w:t xml:space="preserve"> </w:t>
      </w:r>
      <w:r>
        <w:t xml:space="preserve">Reciting these questions is not sufficient to obtain class certification. Commonality</w:t>
      </w:r>
    </w:p>
    <w:p>
      <w:pPr>
        <w:pStyle w:val="CaseBody"/>
      </w:pPr>
      <w:r>
        <w:rPr>
          <w:rStyle w:val="Elision"/>
        </w:rPr>
        <w:t xml:space="preserve">[ … ]</w:t>
      </w:r>
    </w:p>
    <w:p>
      <w:pPr>
        <w:pStyle w:val="CaseBody"/>
      </w:pPr>
      <w:r>
        <w:t xml:space="preserve">requires the plaintiff to demonstrate that the class members “have suffered the same injury,”</w:t>
      </w:r>
      <w:r>
        <w:t xml:space="preserve"> </w:t>
      </w:r>
      <w:r>
        <w:rPr>
          <w:rStyle w:val="Elision"/>
        </w:rPr>
        <w:t xml:space="preserve">[ … ]</w:t>
      </w:r>
      <w:r>
        <w:t xml:space="preserve">. This does not mean merely that they have all suffered a violation of the same provision of law. Title VII, for example, can be violated in many ways</w:t>
      </w:r>
      <w:r>
        <w:rPr>
          <w:rStyle w:val="Elision"/>
        </w:rPr>
        <w:t xml:space="preserve">[ … ]</w:t>
      </w:r>
      <w:r>
        <w:t xml:space="preserve">the mere claim by employees of the same company that they have suffered a Title VII injury</w:t>
      </w:r>
      <w:r>
        <w:rPr>
          <w:rStyle w:val="Elision"/>
        </w:rPr>
        <w:t xml:space="preserve">[ … ]</w:t>
      </w:r>
      <w:r>
        <w:t xml:space="preserve">gives no cause to believe that all their claims can productively be litigated at once. Their claims must depend upon a common contention—for example, the assertion of discriminatory bias on the part of the same supervisor. That common contention, moreover, must be of such a nature that it is capable of classwide resolution—which means that determination of its truth or falsity will resolve an issue that is central to the validity of each one of the claims in one stroke.</w:t>
      </w:r>
    </w:p>
    <w:p>
      <w:pPr>
        <w:pStyle w:val="BlockText"/>
      </w:pPr>
      <w:r>
        <w:t xml:space="preserve">“What matters to class certification ... is not the raising of common ‘questions’</w:t>
      </w:r>
      <w:r>
        <w:rPr>
          <w:rStyle w:val="Elision"/>
        </w:rPr>
        <w:t xml:space="preserve">[ … ]</w:t>
      </w:r>
      <w:r>
        <w:t xml:space="preserve">but, rather, the capacity of a class-wide proceeding to generate common</w:t>
      </w:r>
      <w:r>
        <w:t xml:space="preserve"> </w:t>
      </w:r>
      <w:r>
        <w:rPr>
          <w:iCs/>
          <w:i/>
        </w:rPr>
        <w:t xml:space="preserve">answers</w:t>
      </w:r>
      <w:r>
        <w:t xml:space="preserve"> </w:t>
      </w:r>
      <w:r>
        <w:t xml:space="preserve">apt to drive the resolution of the litigation. Dissimilarities within the proposed class are what have the potential to impede the generation of common answers.” Nagareda,</w:t>
      </w:r>
      <w:r>
        <w:t xml:space="preserve"> </w:t>
      </w:r>
      <w:r>
        <w:rPr>
          <w:iCs/>
          <w:i/>
        </w:rPr>
        <w:t xml:space="preserve">supra,</w:t>
      </w:r>
      <w:r>
        <w:t xml:space="preserve"> </w:t>
      </w:r>
      <w:r>
        <w:t xml:space="preserve">at 132.</w:t>
      </w:r>
    </w:p>
    <w:p>
      <w:pPr>
        <w:pStyle w:val="CaseBody"/>
      </w:pPr>
      <w:r>
        <w:rPr>
          <w:rStyle w:val="Elision"/>
        </w:rPr>
        <w:t xml:space="preserve">[ … ]</w:t>
      </w:r>
      <w:r>
        <w:t xml:space="preserve">A party seeking class certification must affirmatively demonstrate</w:t>
      </w:r>
      <w:r>
        <w:t xml:space="preserve"> </w:t>
      </w:r>
      <w:r>
        <w:rPr>
          <w:rStyle w:val="Elision"/>
        </w:rPr>
        <w:t xml:space="preserve">[ … ]</w:t>
      </w:r>
      <w:r>
        <w:t xml:space="preserve">that there are</w:t>
      </w:r>
      <w:r>
        <w:t xml:space="preserve"> </w:t>
      </w:r>
      <w:r>
        <w:rPr>
          <w:iCs/>
          <w:i/>
        </w:rPr>
        <w:t xml:space="preserve">in fact</w:t>
      </w:r>
      <w:r>
        <w:t xml:space="preserve"> </w:t>
      </w:r>
      <w:r>
        <w:t xml:space="preserve">sufficiently numerous parties, common questions of law or fact, etc. We recognized in</w:t>
      </w:r>
      <w:r>
        <w:t xml:space="preserve"> </w:t>
      </w:r>
      <w:r>
        <w:rPr>
          <w:iCs/>
          <w:i/>
        </w:rPr>
        <w:t xml:space="preserve">Falcon</w:t>
      </w:r>
      <w:r>
        <w:t xml:space="preserve"> </w:t>
      </w:r>
      <w:r>
        <w:t xml:space="preserve">that “sometimes it may be necessary for the court to probe behind the pleadings before coming to rest on the certification question,”</w:t>
      </w:r>
      <w:r>
        <w:rPr>
          <w:rStyle w:val="Elision"/>
        </w:rPr>
        <w:t xml:space="preserve">[ … ]</w:t>
      </w:r>
      <w:r>
        <w:t xml:space="preserve"> </w:t>
      </w:r>
      <w:r>
        <w:t xml:space="preserve">and that certification is proper only if “the trial court is satisfied, after a</w:t>
      </w:r>
    </w:p>
    <w:p>
      <w:pPr>
        <w:pStyle w:val="CaseBody"/>
      </w:pPr>
      <w:r>
        <w:rPr>
          <w:rStyle w:val="Elision"/>
        </w:rPr>
        <w:t xml:space="preserve">[ … ]</w:t>
      </w:r>
    </w:p>
    <w:p>
      <w:pPr>
        <w:pStyle w:val="CaseBody"/>
      </w:pPr>
      <w:r>
        <w:t xml:space="preserve">rigorous analysis, that the prerequisites of Rule 23(a) have been satisfied,”</w:t>
      </w:r>
      <w:r>
        <w:t xml:space="preserve"> </w:t>
      </w:r>
      <w:r>
        <w:rPr>
          <w:rStyle w:val="Elision"/>
        </w:rPr>
        <w:t xml:space="preserve">[ … ]</w:t>
      </w:r>
      <w:r>
        <w:t xml:space="preserve">. Frequently that “rigorous analysis” will entail some overlap with the merits of the plaintiffs underlying claim. That cannot be helped.</w:t>
      </w:r>
      <w:r>
        <w:t xml:space="preserve"> </w:t>
      </w:r>
      <w:r>
        <w:rPr>
          <w:rStyle w:val="Elision"/>
        </w:rPr>
        <w:t xml:space="preserve">[ … ]</w:t>
      </w:r>
      <w:r>
        <w:t xml:space="preserve"> </w:t>
      </w:r>
      <w:r>
        <w:t xml:space="preserve">Nor is there anything unusual about that consequence: The necessity of touching aspects of the merits in order to resolve</w:t>
      </w:r>
    </w:p>
    <w:p>
      <w:pPr>
        <w:pStyle w:val="CaseBody"/>
      </w:pPr>
      <w:r>
        <w:rPr>
          <w:rStyle w:val="Elision"/>
        </w:rPr>
        <w:t xml:space="preserve">[ … ]</w:t>
      </w:r>
    </w:p>
    <w:p>
      <w:pPr>
        <w:pStyle w:val="CaseBody"/>
      </w:pPr>
      <w:r>
        <w:t xml:space="preserve">preliminary matters,</w:t>
      </w:r>
      <w:r>
        <w:t xml:space="preserve"> </w:t>
      </w:r>
      <w:r>
        <w:rPr>
          <w:iCs/>
          <w:i/>
        </w:rPr>
        <w:t xml:space="preserve">e.g.,</w:t>
      </w:r>
      <w:r>
        <w:t xml:space="preserve"> </w:t>
      </w:r>
      <w:r>
        <w:t xml:space="preserve">jurisdiction and venue, is a familiar feature of litigation.</w:t>
      </w:r>
      <w:r>
        <w:rPr>
          <w:rStyle w:val="Elision"/>
        </w:rPr>
        <w:t xml:space="preserve">[ … ]</w:t>
      </w:r>
    </w:p>
    <w:p>
      <w:pPr>
        <w:pStyle w:val="CaseBody"/>
      </w:pPr>
      <w:r>
        <w:t xml:space="preserve">In this case, proof of commonality necessarily overlaps with respondents’ merits contention that Wal-Mart engages in a</w:t>
      </w:r>
      <w:r>
        <w:t xml:space="preserve"> </w:t>
      </w:r>
      <w:r>
        <w:rPr>
          <w:iCs/>
          <w:i/>
        </w:rPr>
        <w:t xml:space="preserve">pattern or practice</w:t>
      </w:r>
      <w:r>
        <w:t xml:space="preserve"> </w:t>
      </w:r>
      <w:r>
        <w:t xml:space="preserve">of discrimination.</w:t>
      </w:r>
      <w:hyperlink w:anchor="X12df8dc7984b16ab23eff08dcbf3150751e996f">
        <w:r>
          <w:rPr>
            <w:rStyle w:val="Elision"/>
          </w:rPr>
          <w:t xml:space="preserve">[ … ]</w:t>
        </w:r>
      </w:hyperlink>
      <w:r>
        <w:t xml:space="preserve"> </w:t>
      </w:r>
      <w:r>
        <w:t xml:space="preserve">That is so because, in resolving an individual’s Title VII claim, the crux of the inquiry is “the reason for a particular employment decision,”</w:t>
      </w:r>
      <w:r>
        <w:t xml:space="preserve"> </w:t>
      </w:r>
      <w:r>
        <w:rPr>
          <w:rStyle w:val="Elision"/>
        </w:rPr>
        <w:t xml:space="preserve">[ … ]</w:t>
      </w:r>
      <w:r>
        <w:t xml:space="preserve">. Here respondents wish to sue about literally millions of employment decisions at once. Without some glue holding the alleged</w:t>
      </w:r>
      <w:r>
        <w:t xml:space="preserve"> </w:t>
      </w:r>
      <w:r>
        <w:rPr>
          <w:iCs/>
          <w:i/>
        </w:rPr>
        <w:t xml:space="preserve">reasons</w:t>
      </w:r>
      <w:r>
        <w:t xml:space="preserve"> </w:t>
      </w:r>
      <w:r>
        <w:t xml:space="preserve">for all those decisions together, it will be impossible to say that examination of all the class members’ claims for relief will produce a common answer to the crucial question</w:t>
      </w:r>
      <w:r>
        <w:t xml:space="preserve"> </w:t>
      </w:r>
      <w:r>
        <w:rPr>
          <w:iCs/>
          <w:i/>
        </w:rPr>
        <w:t xml:space="preserve">why was I disfavored.</w:t>
      </w:r>
    </w:p>
    <w:p>
      <w:pPr>
        <w:pStyle w:val="CaseBody"/>
      </w:pPr>
      <w:r>
        <w:t xml:space="preserve">B</w:t>
      </w:r>
    </w:p>
    <w:p>
      <w:pPr>
        <w:pStyle w:val="CaseBody"/>
      </w:pPr>
      <w:r>
        <w:t xml:space="preserve">This Court’s opinion in</w:t>
      </w:r>
      <w:r>
        <w:t xml:space="preserve"> </w:t>
      </w:r>
      <w:r>
        <w:rPr>
          <w:iCs/>
          <w:i/>
        </w:rPr>
        <w:t xml:space="preserve">Falcon</w:t>
      </w:r>
      <w:r>
        <w:t xml:space="preserve"> </w:t>
      </w:r>
      <w:r>
        <w:t xml:space="preserve">describes how the commonality issue must be approached. There an employee who claimed that he was deliberately denied a promotion on account of race obtained certification of a class comprising all employees wrongfully denied promotions and all applicants wrongfully denied jobs.</w:t>
      </w:r>
      <w:r>
        <w:t xml:space="preserve"> </w:t>
      </w:r>
      <w:r>
        <w:rPr>
          <w:rStyle w:val="Elision"/>
        </w:rPr>
        <w:t xml:space="preserve">[ … ]</w:t>
      </w:r>
      <w:r>
        <w:t xml:space="preserve">We rejected that composite class for lack of commonality and typicality, explaining:</w:t>
      </w:r>
    </w:p>
    <w:p>
      <w:pPr>
        <w:pStyle w:val="BlockText"/>
      </w:pPr>
      <w:r>
        <w:t xml:space="preserve">“Conceptually, there is a wide gap between (a) an individual’s claim that he has been denied a promotion [or</w:t>
      </w:r>
    </w:p>
    <w:p>
      <w:pPr>
        <w:pStyle w:val="BlockText"/>
      </w:pPr>
      <w:r>
        <w:rPr>
          <w:rStyle w:val="Elision"/>
        </w:rPr>
        <w:t xml:space="preserve">[ … ]</w:t>
      </w:r>
    </w:p>
    <w:p>
      <w:pPr>
        <w:pStyle w:val="BlockText"/>
      </w:pPr>
      <w:r>
        <w:t xml:space="preserve">higher pay] on discriminatory grounds, and his otherwise unsupported allegation that the company has a policy of discrimination, and (b) the existence of a class of persons who have suffered the same injury as that individual, such that the individual’s claim and the class claims will share common questions of law or fact and that the individual’s claim will be typical of the class claims.”</w:t>
      </w:r>
      <w:r>
        <w:t xml:space="preserve"> </w:t>
      </w:r>
      <w:r>
        <w:rPr>
          <w:rStyle w:val="Elision"/>
        </w:rPr>
        <w:t xml:space="preserve">[ … ]</w:t>
      </w:r>
    </w:p>
    <w:p>
      <w:pPr>
        <w:pStyle w:val="CaseBody"/>
      </w:pPr>
      <w:r>
        <w:rPr>
          <w:iCs/>
          <w:i/>
        </w:rPr>
        <w:t xml:space="preserve">Falcon</w:t>
      </w:r>
      <w:r>
        <w:t xml:space="preserve"> </w:t>
      </w:r>
      <w:r>
        <w:t xml:space="preserve">suggested two ways in which that conceptual gap might be bridged. First, if the employer “used a biased testing procedure to evaluate both applicants for employment and incumbent employees, a class action on behalf of every applicant or employee who might have been prejudiced by the test clearly would satisfy the commonality and typicality requirements of Rule 23(a).”</w:t>
      </w:r>
      <w:r>
        <w:rPr>
          <w:rStyle w:val="Elision"/>
        </w:rPr>
        <w:t xml:space="preserve">[ … ]</w:t>
      </w:r>
      <w:r>
        <w:t xml:space="preserve">Second, “[s]ignificant proof that an employer operated under a general policy of discrimination conceivably could justify a class of both applicants and employees if the discrimination manifested itself in hiring and promotion practices in the same general fashion, such as through entirely subjective decisionmaking processes.”</w:t>
      </w:r>
    </w:p>
    <w:p>
      <w:pPr>
        <w:pStyle w:val="CaseBody"/>
      </w:pPr>
      <w:r>
        <w:rPr>
          <w:rStyle w:val="Elision"/>
        </w:rPr>
        <w:t xml:space="preserve">[ … ]</w:t>
      </w:r>
      <w:r>
        <w:t xml:space="preserve">We think that statement precisely describes respondents’ burden in this case. The first manner of bridging the gap obviously has no application here; Wal-Mart has no testing procedure or other companywide evaluation method that can be charged with bias. The whole point of permitting discretionary decisionmaking is to avoid evaluating employees under a common standard.</w:t>
      </w:r>
    </w:p>
    <w:p>
      <w:pPr>
        <w:pStyle w:val="CaseBody"/>
      </w:pPr>
      <w:r>
        <w:t xml:space="preserve">The second manner of bridging the gap requires “[s]ignificant proof’ that Wal-Mart “operated under a general policy of discrimination.” That is entirely absent here. Wal-Mart’s announced policy forbids sex discrimination</w:t>
      </w:r>
      <w:r>
        <w:rPr>
          <w:rStyle w:val="Elision"/>
        </w:rPr>
        <w:t xml:space="preserve">[ … ]</w:t>
      </w:r>
      <w:r>
        <w:t xml:space="preserve"> </w:t>
      </w:r>
      <w:r>
        <w:t xml:space="preserve">and as the District Court recognized the company imposes penalties for denials of equal employment opportunity,</w:t>
      </w:r>
      <w:r>
        <w:t xml:space="preserve"> </w:t>
      </w:r>
      <w:r>
        <w:rPr>
          <w:rStyle w:val="Elision"/>
        </w:rPr>
        <w:t xml:space="preserve">[ … ]</w:t>
      </w:r>
      <w:r>
        <w:t xml:space="preserve">. The only evidence of a “general policy of discrimination” respondents produced was the testimony of Dr. William Bielby, their sociological</w:t>
      </w:r>
    </w:p>
    <w:p>
      <w:pPr>
        <w:pStyle w:val="CaseBody"/>
      </w:pPr>
      <w:r>
        <w:rPr>
          <w:rStyle w:val="Elision"/>
        </w:rPr>
        <w:t xml:space="preserve">[ … ]</w:t>
      </w:r>
    </w:p>
    <w:p>
      <w:pPr>
        <w:pStyle w:val="CaseBody"/>
      </w:pPr>
      <w:r>
        <w:t xml:space="preserve">expert.</w:t>
      </w:r>
      <w:r>
        <w:t xml:space="preserve"> </w:t>
      </w:r>
      <w:r>
        <w:rPr>
          <w:rStyle w:val="Elision"/>
        </w:rPr>
        <w:t xml:space="preserve">[ … ]</w:t>
      </w:r>
      <w:r>
        <w:t xml:space="preserve">Bielby testified that Wal-Mart has a “strong corporate culture,” that makes it “vulnerable” to “gender bias.”</w:t>
      </w:r>
      <w:r>
        <w:t xml:space="preserve"> </w:t>
      </w:r>
      <w:r>
        <w:rPr>
          <w:rStyle w:val="Elision"/>
        </w:rPr>
        <w:t xml:space="preserve">[ … ]</w:t>
      </w:r>
      <w:r>
        <w:t xml:space="preserve">He could not, however, “determine with any specificity how regularly stereotypes play a meaningful role in employment decisions at Wal-Mart. At his deposition . . . Dr. Bielby conceded that he could not calculate whether 0.5 percent or 95 percent of the employment decisions at Wal-Mart might be determined by stereotyped thinking.”</w:t>
      </w:r>
      <w:r>
        <w:rPr>
          <w:rStyle w:val="Elision"/>
        </w:rPr>
        <w:t xml:space="preserve">[ … ]</w:t>
      </w:r>
      <w:r>
        <w:t xml:space="preserve">Bielby’s testimony does nothing to advance respondents’ case. “[WJhether 0.5 percent or 95 percent of the employment decisions at Wal-Mart might be determined by stereotyped thinking” is the essential question on which respondents’ theory of commonality depends. If Bielby admittedly has no answer to that question, we can safely disregard</w:t>
      </w:r>
    </w:p>
    <w:p>
      <w:pPr>
        <w:pStyle w:val="CaseBody"/>
      </w:pPr>
      <w:r>
        <w:rPr>
          <w:rStyle w:val="Elision"/>
        </w:rPr>
        <w:t xml:space="preserve">[ … ]</w:t>
      </w:r>
    </w:p>
    <w:p>
      <w:pPr>
        <w:pStyle w:val="CaseBody"/>
      </w:pPr>
      <w:r>
        <w:t xml:space="preserve">what he has to say. It is worlds away from “[s]ignificant proof’ that Wal-Mart “operated under a general policy of discrimination.”</w:t>
      </w:r>
    </w:p>
    <w:p>
      <w:pPr>
        <w:pStyle w:val="CaseBody"/>
      </w:pPr>
      <w:r>
        <w:t xml:space="preserve">C</w:t>
      </w:r>
    </w:p>
    <w:p>
      <w:pPr>
        <w:pStyle w:val="CaseBody"/>
      </w:pPr>
      <w:r>
        <w:t xml:space="preserve">The only corporate policy that the plaintiffs’ evidence convincingly establishes is Wal-Mart’s “policy” of</w:t>
      </w:r>
      <w:r>
        <w:t xml:space="preserve"> </w:t>
      </w:r>
      <w:r>
        <w:rPr>
          <w:iCs/>
          <w:i/>
        </w:rPr>
        <w:t xml:space="preserve">allowing discretion</w:t>
      </w:r>
      <w:r>
        <w:t xml:space="preserve"> </w:t>
      </w:r>
      <w:r>
        <w:t xml:space="preserve">by local supervisors over employment matters. On its face, of course, that is just the opposite of a uniform employment practice that would provide the commonality needed for a class action; it is a policy</w:t>
      </w:r>
      <w:r>
        <w:t xml:space="preserve"> </w:t>
      </w:r>
      <w:r>
        <w:rPr>
          <w:iCs/>
          <w:i/>
        </w:rPr>
        <w:t xml:space="preserve">against having</w:t>
      </w:r>
      <w:r>
        <w:t xml:space="preserve"> </w:t>
      </w:r>
      <w:r>
        <w:t xml:space="preserve">uniform employment practices. It is also a very common and presumptively reasonable way of doing business</w:t>
      </w:r>
      <w:r>
        <w:rPr>
          <w:rStyle w:val="Elision"/>
        </w:rPr>
        <w:t xml:space="preserve">[ … ]</w:t>
      </w:r>
    </w:p>
    <w:p>
      <w:pPr>
        <w:pStyle w:val="CaseBody"/>
      </w:pPr>
      <w:r>
        <w:rPr>
          <w:rStyle w:val="Elision"/>
        </w:rPr>
        <w:t xml:space="preserve">[ … ]</w:t>
      </w:r>
      <w:r>
        <w:t xml:space="preserve">we have recognized that, “in appropriate cases,” giving discretion to lower-level supervisors can be the basis of Title VII liability under a disparate-impact theory—since “an employer’s undisciplined system of subjective decisionmaking [can have] precisely the same effects as a system pervaded by impermissible intentional discrimination.”</w:t>
      </w:r>
    </w:p>
    <w:p>
      <w:pPr>
        <w:pStyle w:val="CaseBody"/>
      </w:pPr>
      <w:r>
        <w:rPr>
          <w:rStyle w:val="Elision"/>
        </w:rPr>
        <w:t xml:space="preserve">[ … ]</w:t>
      </w:r>
      <w:r>
        <w:t xml:space="preserve"> </w:t>
      </w:r>
      <w:r>
        <w:t xml:space="preserve">But the recognition that this type of Title VII claim “can” exist does not lead to the conclusion that every employee in a company using a system of discretion has such a claim in common. To the contrary, left to their own devices most managers in any corporation—and surely most managers in a corporation that forbids sex discrimination—would select sex-neutral, performance-based criteria for hiring and promotion that produce no actionable disparity at all. Others may choose to reward various attributes that produce disparate impact</w:t>
      </w:r>
      <w:r>
        <w:rPr>
          <w:rStyle w:val="Elision"/>
        </w:rPr>
        <w:t xml:space="preserve">[ … ]</w:t>
      </w:r>
      <w:r>
        <w:t xml:space="preserve">. And still other managers may be guilty of intentional discrimination that produces a sex-based disparity. In such a company, demonstrating the invalidity of one manager’s use</w:t>
      </w:r>
    </w:p>
    <w:p>
      <w:pPr>
        <w:pStyle w:val="CaseBody"/>
      </w:pPr>
      <w:r>
        <w:rPr>
          <w:rStyle w:val="Elision"/>
        </w:rPr>
        <w:t xml:space="preserve">[ … ]</w:t>
      </w:r>
    </w:p>
    <w:p>
      <w:pPr>
        <w:pStyle w:val="CaseBody"/>
      </w:pPr>
      <w:r>
        <w:t xml:space="preserve">of discretion will do nothing to demonstrate the invalidity of another’s. A party seeking to certify a nationwide class will be unable to show that all the employees’ Title VII claims will in fact depend on the answers to common questions.</w:t>
      </w:r>
    </w:p>
    <w:p>
      <w:pPr>
        <w:pStyle w:val="CaseBody"/>
      </w:pPr>
      <w:r>
        <w:t xml:space="preserve">Respondents have not identified a common mode of exercising discretion that pervades the entire company— aside from their reliance on Dr. Biel-by’s social-framework analysis that we have rejected. In a company of Wal-Mart’s size and geographical scope, it is quite unbelievable that all managers would exercise their discretion in a common way without some common direction. Respondents attempt to make that showing by means of statistical and anecdotal evidence, but their evidence falls well short.</w:t>
      </w:r>
    </w:p>
    <w:p>
      <w:pPr>
        <w:pStyle w:val="CaseBody"/>
      </w:pPr>
      <w:r>
        <w:t xml:space="preserve">The statistical evidence consists primarily of regression analyses performed by Dr. Richard Drogin, a statistician, and Dr. Marc Bendick, a labor economist. Drogin conducted his analysis region by region, comparing the number of women promoted into management positions with the percentage of women in the available pool of hourly workers.</w:t>
      </w:r>
      <w:r>
        <w:t xml:space="preserve"> </w:t>
      </w:r>
      <w:r>
        <w:rPr>
          <w:rStyle w:val="Elision"/>
        </w:rPr>
        <w:t xml:space="preserve">[ … ]</w:t>
      </w:r>
      <w:r>
        <w:t xml:space="preserve">Drogin concluded that “there are statistically significant disparities between men and women at Wal-Mart . . . [and] these disparities . . . can be explained only by gender discrimination.”</w:t>
      </w:r>
      <w:r>
        <w:rPr>
          <w:rStyle w:val="Elision"/>
        </w:rPr>
        <w:t xml:space="preserve">[ … ]</w:t>
      </w:r>
      <w:r>
        <w:t xml:space="preserve">Bendick compared workforce data from Wal-Mart and competitive retailers and concluded that Wal-Mart “promotes a lower percentage of women than its competitors.”</w:t>
      </w:r>
      <w:r>
        <w:rPr>
          <w:rStyle w:val="Elision"/>
        </w:rPr>
        <w:t xml:space="preserve">[ … ]</w:t>
      </w:r>
    </w:p>
    <w:p>
      <w:pPr>
        <w:pStyle w:val="CaseBody"/>
      </w:pPr>
      <w:r>
        <w:t xml:space="preserve">Even if they are taken at face value, these studies are insufficient to establish that respondents’ theory can be proved on a classwide basis.</w:t>
      </w:r>
      <w:r>
        <w:t xml:space="preserve"> </w:t>
      </w:r>
      <w:r>
        <w:rPr>
          <w:rStyle w:val="Elision"/>
        </w:rPr>
        <w:t xml:space="preserve">[ … ]</w:t>
      </w:r>
      <w:r>
        <w:t xml:space="preserve"> </w:t>
      </w:r>
      <w:r>
        <w:t xml:space="preserve">“[information about disparities at the regional and national level does not establish the existence</w:t>
      </w:r>
    </w:p>
    <w:p>
      <w:pPr>
        <w:pStyle w:val="CaseBody"/>
      </w:pPr>
      <w:r>
        <w:rPr>
          <w:rStyle w:val="Elision"/>
        </w:rPr>
        <w:t xml:space="preserve">[ … ]</w:t>
      </w:r>
    </w:p>
    <w:p>
      <w:pPr>
        <w:pStyle w:val="CaseBody"/>
      </w:pPr>
      <w:r>
        <w:t xml:space="preserve">of disparities at individual stores, let alone raise the inference that a company-wide policy of discrimination is implemented by discretionary decisions at the store and district level.”</w:t>
      </w:r>
      <w:r>
        <w:rPr>
          <w:rStyle w:val="Elision"/>
        </w:rPr>
        <w:t xml:space="preserve">[ … ]</w:t>
      </w:r>
      <w:r>
        <w:t xml:space="preserve">A regional pay disparity, for example, may be attributable to only a small set of Wal-Mart stores, and cannot by itself establish the uniform, store-by-store disparity upon which the plaintiffs’ theory of commonality depends.</w:t>
      </w:r>
    </w:p>
    <w:p>
      <w:pPr>
        <w:pStyle w:val="CaseBody"/>
      </w:pPr>
      <w:r>
        <w:t xml:space="preserve">There is another, more fundamental, respect in which respondents’ statistical proof fails. Even if it established (as it does not) a pay or promotion pattern that differs from the nationwide figures or the regional figures in</w:t>
      </w:r>
      <w:r>
        <w:t xml:space="preserve"> </w:t>
      </w:r>
      <w:r>
        <w:rPr>
          <w:iCs/>
          <w:i/>
        </w:rPr>
        <w:t xml:space="preserve">all</w:t>
      </w:r>
      <w:r>
        <w:t xml:space="preserve"> </w:t>
      </w:r>
      <w:r>
        <w:t xml:space="preserve">of Wal-Mart’s 3,400 stores, that would still not demonstrate that commonality of issue exists.</w:t>
      </w:r>
      <w:r>
        <w:t xml:space="preserve"> </w:t>
      </w:r>
      <w:r>
        <w:rPr>
          <w:rStyle w:val="Elision"/>
        </w:rPr>
        <w:t xml:space="preserve">[ … ]</w:t>
      </w:r>
      <w:r>
        <w:t xml:space="preserve">merely proving that the discretionary system has produced a racial or sexual disparity</w:t>
      </w:r>
      <w:r>
        <w:t xml:space="preserve"> </w:t>
      </w:r>
      <w:r>
        <w:rPr>
          <w:iCs/>
          <w:i/>
        </w:rPr>
        <w:t xml:space="preserve">is not enough.</w:t>
      </w:r>
      <w:r>
        <w:t xml:space="preserve"> </w:t>
      </w:r>
      <w:r>
        <w:t xml:space="preserve">“T]he plaintiff must begin by identifying the specific employment practice that is challenged.”</w:t>
      </w:r>
      <w:r>
        <w:t xml:space="preserve"> </w:t>
      </w:r>
      <w:r>
        <w:rPr>
          <w:rStyle w:val="Elision"/>
        </w:rPr>
        <w:t xml:space="preserve">[ … ]</w:t>
      </w:r>
      <w:r>
        <w:t xml:space="preserve">That is all the more necessary when a class of plaintiffs is sought to be certified. Other than the bare existence of delegated discretion, respondents have identified no “specific employment practice”—much less one that ties all their 1.5 million claims together. Merely showing that Wal-Mart’s policy of discretion has produced an overall sex-based disparity does not suffice.</w:t>
      </w:r>
    </w:p>
    <w:p>
      <w:pPr>
        <w:pStyle w:val="CaseBody"/>
      </w:pPr>
      <w:r>
        <w:rPr>
          <w:rStyle w:val="Elision"/>
        </w:rPr>
        <w:t xml:space="preserve">[ … ]</w:t>
      </w:r>
    </w:p>
    <w:p>
      <w:pPr>
        <w:pStyle w:val="CaseBody"/>
      </w:pPr>
      <w:r>
        <w:t xml:space="preserve">Respondents’ anecdotal evidence suffers from the same defects, and in addition is too weak to raise any inference that all the individual, discretionary personnel decisions are discriminatory. In</w:t>
      </w:r>
      <w:r>
        <w:t xml:space="preserve"> </w:t>
      </w:r>
      <w:r>
        <w:rPr>
          <w:iCs/>
          <w:i/>
        </w:rPr>
        <w:t xml:space="preserve">Teamsters</w:t>
      </w:r>
      <w:r>
        <w:t xml:space="preserve"> </w:t>
      </w:r>
      <w:r>
        <w:t xml:space="preserve">v.</w:t>
      </w:r>
      <w:r>
        <w:t xml:space="preserve"> </w:t>
      </w:r>
      <w:r>
        <w:rPr>
          <w:iCs/>
          <w:i/>
        </w:rPr>
        <w:t xml:space="preserve">United States,</w:t>
      </w:r>
      <w:r>
        <w:t xml:space="preserve"> </w:t>
      </w:r>
      <w:r>
        <w:rPr>
          <w:rStyle w:val="Elision"/>
        </w:rPr>
        <w:t xml:space="preserve">[ … ]</w:t>
      </w:r>
      <w:r>
        <w:t xml:space="preserve"> </w:t>
      </w:r>
      <w:r>
        <w:t xml:space="preserve">in addition to substantial statistical evidence of companywide discrimination, the Government</w:t>
      </w:r>
      <w:r>
        <w:t xml:space="preserve"> </w:t>
      </w:r>
      <w:r>
        <w:rPr>
          <w:rStyle w:val="Elision"/>
        </w:rPr>
        <w:t xml:space="preserve">[ … ]</w:t>
      </w:r>
      <w:r>
        <w:t xml:space="preserve">produced about 40 specific accounts of racial discrimination from particular individuals.</w:t>
      </w:r>
      <w:r>
        <w:t xml:space="preserve"> </w:t>
      </w:r>
      <w:r>
        <w:rPr>
          <w:rStyle w:val="Elision"/>
        </w:rPr>
        <w:t xml:space="preserve">[ … ]</w:t>
      </w:r>
      <w:r>
        <w:t xml:space="preserve"> </w:t>
      </w:r>
      <w:r>
        <w:t xml:space="preserve">That number was significant because the company involved had only 6,472 employees, of whom 571 were minorities</w:t>
      </w:r>
      <w:r>
        <w:rPr>
          <w:rStyle w:val="Elision"/>
        </w:rPr>
        <w:t xml:space="preserve">[ … ]</w:t>
      </w:r>
      <w:r>
        <w:t xml:space="preserve">Moreover,</w:t>
      </w:r>
      <w:r>
        <w:t xml:space="preserve"> </w:t>
      </w:r>
      <w:r>
        <w:rPr>
          <w:rStyle w:val="Elision"/>
        </w:rPr>
        <w:t xml:space="preserve">[ … ]</w:t>
      </w:r>
      <w:r>
        <w:t xml:space="preserve"> </w:t>
      </w:r>
      <w:r>
        <w:t xml:space="preserve">the anecdotes came from individuals “spread throughout” the company</w:t>
      </w:r>
      <w:r>
        <w:t xml:space="preserve"> </w:t>
      </w:r>
      <w:r>
        <w:rPr>
          <w:rStyle w:val="Elision"/>
        </w:rPr>
        <w:t xml:space="preserve">[ … ]</w:t>
      </w:r>
      <w:r>
        <w:t xml:space="preserve">Here, by contrast, respondents filed some 120 affidavits reporting experiences of discrimination— about 1 for every 12,500 class members—relating to only some 235 out of Wal-Mart’s 3,400 stores.</w:t>
      </w:r>
      <w:r>
        <w:rPr>
          <w:rStyle w:val="Elision"/>
        </w:rPr>
        <w:t xml:space="preserve">[ … ]</w:t>
      </w:r>
      <w:r>
        <w:t xml:space="preserve">. More than half of these reports are concentrated in only 6 States</w:t>
      </w:r>
      <w:r>
        <w:rPr>
          <w:rStyle w:val="Elision"/>
        </w:rPr>
        <w:t xml:space="preserve">[ … ]</w:t>
      </w:r>
      <w:r>
        <w:t xml:space="preserve"> </w:t>
      </w:r>
      <w:r>
        <w:t xml:space="preserve">and 14 States have no anecdotes about Wal-Mart’s operations at all.</w:t>
      </w:r>
    </w:p>
    <w:p>
      <w:pPr>
        <w:pStyle w:val="CaseBody"/>
      </w:pPr>
      <w:r>
        <w:rPr>
          <w:rStyle w:val="Elision"/>
        </w:rPr>
        <w:t xml:space="preserve">[ … ]</w:t>
      </w:r>
      <w:r>
        <w:t xml:space="preserve">Even if every single one of these accounts is true, that would not demonstrate that the entire company “operate [s] under a general policy of discrimination,”</w:t>
      </w:r>
      <w:r>
        <w:t xml:space="preserve"> </w:t>
      </w:r>
      <w:r>
        <w:rPr>
          <w:rStyle w:val="Elision"/>
        </w:rPr>
        <w:t xml:space="preserve">[ … ]</w:t>
      </w:r>
      <w:r>
        <w:t xml:space="preserve"> </w:t>
      </w:r>
      <w:r>
        <w:t xml:space="preserve">which is what respondents must show</w:t>
      </w:r>
      <w:r>
        <w:rPr>
          <w:rStyle w:val="Elision"/>
        </w:rPr>
        <w:t xml:space="preserve">[ … ]</w:t>
      </w:r>
    </w:p>
    <w:p>
      <w:pPr>
        <w:pStyle w:val="CaseBody"/>
      </w:pPr>
      <w:r>
        <w:t xml:space="preserve">The dissent misunderstands the nature of the foregoing analysis. It criticizes our focus on the dissimilarities between the putative class members on the ground that we have “blend[ed]” Rule 23(a)(2)’s commonality requirement with Rule 23(b)(3)’s inquiry into whether common questions “predominate” over individual ones.</w:t>
      </w:r>
      <w:r>
        <w:rPr>
          <w:rStyle w:val="Elision"/>
        </w:rPr>
        <w:t xml:space="preserve">[ … ]</w:t>
      </w:r>
      <w:r>
        <w:t xml:space="preserve">. That is not so. We quite agree that</w:t>
      </w:r>
      <w:r>
        <w:rPr>
          <w:rStyle w:val="Elision"/>
        </w:rPr>
        <w:t xml:space="preserve">[ … ]</w:t>
      </w:r>
      <w:r>
        <w:t xml:space="preserve"> </w:t>
      </w:r>
      <w:r>
        <w:t xml:space="preserve">for purposes of Rule 23(a)(2) “ ‘[e]ven a single [common] question’ ” will do</w:t>
      </w:r>
      <w:r>
        <w:rPr>
          <w:rStyle w:val="Elision"/>
        </w:rPr>
        <w:t xml:space="preserve">[ … ]</w:t>
      </w:r>
      <w:r>
        <w:t xml:space="preserve">. We consider dissimilarities not in order to determine (as Rule 23(b)(3) requires) whether common questions</w:t>
      </w:r>
      <w:r>
        <w:t xml:space="preserve"> </w:t>
      </w:r>
      <w:r>
        <w:rPr>
          <w:iCs/>
          <w:i/>
        </w:rPr>
        <w:t xml:space="preserve">predominate,</w:t>
      </w:r>
      <w:r>
        <w:t xml:space="preserve"> </w:t>
      </w:r>
      <w:r>
        <w:t xml:space="preserve">but in order to determine (as Rule 23(a)(2) requires) whether there</w:t>
      </w:r>
      <w:r>
        <w:t xml:space="preserve"> </w:t>
      </w:r>
      <w:r>
        <w:rPr>
          <w:iCs/>
          <w:i/>
        </w:rPr>
        <w:t xml:space="preserve">is</w:t>
      </w:r>
      <w:r>
        <w:t xml:space="preserve"> </w:t>
      </w:r>
      <w:r>
        <w:t xml:space="preserve">“[e]ven a single [common] question.” And there is not here. Because respondents provide no convincing proof of a compa-nywide discriminatory pay and promotion policy, we have concluded that they have not established the existence of any common question.</w:t>
      </w:r>
      <w:hyperlink w:anchor="Xe1f9cc89205fe5f88016982ee13b50a76f11359">
        <w:r>
          <w:rPr>
            <w:rStyle w:val="Elision"/>
          </w:rPr>
          <w:t xml:space="preserve">[ … ]</w:t>
        </w:r>
      </w:hyperlink>
    </w:p>
    <w:p>
      <w:pPr>
        <w:pStyle w:val="CaseBody"/>
      </w:pPr>
      <w:r>
        <w:t xml:space="preserve">In sum, we agree with Chief Judge Kozinski that the members of the class</w:t>
      </w:r>
    </w:p>
    <w:p>
      <w:pPr>
        <w:pStyle w:val="BlockText"/>
      </w:pPr>
      <w:r>
        <w:rPr>
          <w:rStyle w:val="Elision"/>
        </w:rPr>
        <w:t xml:space="preserve">[ … ]</w:t>
      </w:r>
    </w:p>
    <w:p>
      <w:pPr>
        <w:pStyle w:val="BlockText"/>
      </w:pPr>
      <w:r>
        <w:t xml:space="preserve">have little in common but their sex and this lawsuit.”</w:t>
      </w:r>
      <w:r>
        <w:rPr>
          <w:rStyle w:val="Elision"/>
        </w:rPr>
        <w:t xml:space="preserve">[ … ]</w:t>
      </w:r>
    </w:p>
    <w:p>
      <w:pPr>
        <w:pStyle w:val="CaseBody"/>
      </w:pPr>
      <w:r>
        <w:rPr>
          <w:rStyle w:val="Elision"/>
        </w:rPr>
        <w:t xml:space="preserve">[ … ]</w:t>
      </w:r>
    </w:p>
    <w:p>
      <w:pPr>
        <w:pStyle w:val="CaseBody"/>
      </w:pPr>
      <w:r>
        <w:drawing>
          <wp:inline>
            <wp:extent cx="3181350" cy="523875"/>
            <wp:effectExtent b="0" l="0" r="0" t="0"/>
            <wp:docPr descr="" title="" id="1" name="Picture"/>
            <a:graphic>
              <a:graphicData uri="http://schemas.openxmlformats.org/drawingml/2006/picture">
                <pic:pic>
                  <pic:nvPicPr>
                    <pic:cNvPr descr="data:image/png;base64,iVBORw0KGgoAAAANSUhEUgAAAU4AAAA3AQAAAABLcp55AAAAoUlEQVR4nO2UMQrDMBAET8F18IMCyc+Sx/gRKfIZp3DtdIHIlgvfWWtYgRtBirtuuNGy2EIhycGZTkdNEVf/Rt39Xw6mzg/YcqjTVdI6l0/KQyFqanrjaQ6qhnHM2wJY1+cASQXQRt8r1KNgXaW5QRAHUwfccjC1a2BbAG107qEehe27tm3OKYGeff0giEI0Nd5hSyHWuVnBnzdXXXW1iroAfl7sUdd6g08AAAAASUVORK5CYII=" id="0" name="Picture"/>
                    <pic:cNvPicPr>
                      <a:picLocks noChangeArrowheads="1" noChangeAspect="1"/>
                    </pic:cNvPicPr>
                  </pic:nvPicPr>
                  <pic:blipFill>
                    <a:blip r:embed="rId260"/>
                    <a:stretch>
                      <a:fillRect/>
                    </a:stretch>
                  </pic:blipFill>
                  <pic:spPr bwMode="auto">
                    <a:xfrm>
                      <a:off x="0" y="0"/>
                      <a:ext cx="3181350" cy="523875"/>
                    </a:xfrm>
                    <a:prstGeom prst="rect">
                      <a:avLst/>
                    </a:prstGeom>
                    <a:noFill/>
                    <a:ln w="9525">
                      <a:noFill/>
                      <a:headEnd/>
                      <a:tailEnd/>
                    </a:ln>
                  </pic:spPr>
                </pic:pic>
              </a:graphicData>
            </a:graphic>
          </wp:inline>
        </w:drawing>
      </w:r>
    </w:p>
    <w:p>
      <w:pPr>
        <w:pStyle w:val="CaseBody"/>
      </w:pPr>
      <w:r>
        <w:t xml:space="preserve">The judgment of the Court of Appeals is reversed.</w:t>
      </w:r>
    </w:p>
    <w:p>
      <w:pPr>
        <w:pStyle w:val="CaseBody"/>
      </w:pPr>
      <w:r>
        <w:rPr>
          <w:rStyle w:val="Elision"/>
        </w:rPr>
        <w:t xml:space="preserve">[ … ]</w:t>
      </w:r>
    </w:p>
    <w:p>
      <w:pPr>
        <w:pStyle w:val="CaseBody"/>
      </w:pPr>
      <w:r>
        <w:t xml:space="preserve">Justice Ginsburg,</w:t>
      </w:r>
    </w:p>
    <w:p>
      <w:pPr>
        <w:pStyle w:val="CaseBody"/>
      </w:pPr>
      <w:r>
        <w:t xml:space="preserve">with whom Justice Breyer, Justice Sotomayor, and Justice Kagan join, concurring in part and dissenting in part.</w:t>
      </w:r>
      <w:r>
        <w:rPr>
          <w:rStyle w:val="FootnoteReference"/>
        </w:rPr>
        <w:footnoteReference w:customMarkFollows="1" w:id="52"/>
        <w:t xml:space="preserve">*</w:t>
      </w:r>
    </w:p>
    <w:p>
      <w:pPr>
        <w:pStyle w:val="CaseBody"/>
      </w:pPr>
      <w:r>
        <w:t xml:space="preserve">The class in this case, I agree with the Court, should not have been certified under Federal Rule of Civil Procedure 23(b)(2). The plaintiffs</w:t>
      </w:r>
      <w:r>
        <w:rPr>
          <w:rStyle w:val="Elision"/>
        </w:rPr>
        <w:t xml:space="preserve">[ … ]</w:t>
      </w:r>
    </w:p>
    <w:p>
      <w:pPr>
        <w:pStyle w:val="CaseBody"/>
      </w:pPr>
      <w:r>
        <w:t xml:space="preserve"> </w:t>
      </w:r>
      <w:r>
        <w:t xml:space="preserve">seek monetary relief that is not merely incidental to any injunctive or declaratory relief</w:t>
      </w:r>
      <w:r>
        <w:t xml:space="preserve"> </w:t>
      </w:r>
      <w:r>
        <w:rPr>
          <w:rStyle w:val="Elision"/>
        </w:rPr>
        <w:t xml:space="preserve">[ … ]</w:t>
      </w:r>
    </w:p>
    <w:p>
      <w:pPr>
        <w:pStyle w:val="CaseBody"/>
      </w:pPr>
      <w:r>
        <w:t xml:space="preserve">Whether the class the plaintiffs describe meets the specific requirements of Rule 23(b)(3) is not before the Court, and I would reserve that matter for consideration and decision on remand.</w:t>
      </w:r>
      <w:hyperlink w:anchor="Xf987c8216f23fe24bab1ac904131b116032f307">
        <w:r>
          <w:rPr>
            <w:rStyle w:val="Elision"/>
          </w:rPr>
          <w:t xml:space="preserve">[ … ]</w:t>
        </w:r>
      </w:hyperlink>
      <w:r>
        <w:t xml:space="preserve">The Court, however, disqualifies the class at the starting gate, holding that the plaintiffs cannot cross the “commonality” line set by Rule 23(a)(2). In so ruling, the Court imports into the Rule 23(a) determination concerns properly addressed in a Rule 23(b)(3) assessment.</w:t>
      </w:r>
    </w:p>
    <w:p>
      <w:pPr>
        <w:pStyle w:val="CaseBody"/>
      </w:pPr>
      <w:r>
        <w:t xml:space="preserve">I</w:t>
      </w:r>
    </w:p>
    <w:p>
      <w:pPr>
        <w:pStyle w:val="CaseBody"/>
      </w:pPr>
      <w:r>
        <w:t xml:space="preserve">A</w:t>
      </w:r>
    </w:p>
    <w:p>
      <w:pPr>
        <w:pStyle w:val="CaseBody"/>
      </w:pPr>
      <w:r>
        <w:t xml:space="preserve">Rule 23(a)(2) establishes a preliminary requirement for maintaining a class action: “[T]here are questions of law or fact common to the class.”</w:t>
      </w:r>
      <w:hyperlink w:anchor="X3a24b9bd134b79d2a54897a666e8cdc8656f709">
        <w:r>
          <w:rPr>
            <w:rStyle w:val="Elision"/>
          </w:rPr>
          <w:t xml:space="preserve">[ … ]</w:t>
        </w:r>
      </w:hyperlink>
      <w:r>
        <w:t xml:space="preserve"> </w:t>
      </w:r>
      <w:r>
        <w:t xml:space="preserve">The Rule “does not require that all questions of law or fact raised in the litigation be common,”</w:t>
      </w:r>
    </w:p>
    <w:p>
      <w:pPr>
        <w:pStyle w:val="CaseBody"/>
      </w:pPr>
      <w:r>
        <w:rPr>
          <w:rStyle w:val="Elision"/>
        </w:rPr>
        <w:t xml:space="preserve">[ … ]</w:t>
      </w:r>
    </w:p>
    <w:p>
      <w:pPr>
        <w:pStyle w:val="CaseBody"/>
      </w:pPr>
      <w:r>
        <w:rPr>
          <w:rStyle w:val="Elision"/>
        </w:rPr>
        <w:t xml:space="preserve">[ … ]</w:t>
      </w:r>
      <w:r>
        <w:t xml:space="preserve">indeed, “[e]ven a single question of law or fact common to the members of the class will satisfy the commonality requirement,”</w:t>
      </w:r>
      <w:r>
        <w:t xml:space="preserve"> </w:t>
      </w:r>
      <w:r>
        <w:rPr>
          <w:rStyle w:val="Elision"/>
        </w:rPr>
        <w:t xml:space="preserve">[ … ]</w:t>
      </w:r>
    </w:p>
    <w:p>
      <w:pPr>
        <w:pStyle w:val="CaseBody"/>
      </w:pPr>
      <w:r>
        <w:t xml:space="preserve">a “question” “common to the class” must be a dispute, either of fact or of law, the resolution of which will advance the determination of the class members’ claims.</w:t>
      </w:r>
      <w:hyperlink w:anchor="Xcbaef6194bf4e22b5bf4ddfb97395cdfd45ae36">
        <w:r>
          <w:rPr>
            <w:rStyle w:val="Elision"/>
          </w:rPr>
          <w:t xml:space="preserve">[ … ]</w:t>
        </w:r>
      </w:hyperlink>
    </w:p>
    <w:p>
      <w:pPr>
        <w:pStyle w:val="CaseBody"/>
      </w:pPr>
      <w:r>
        <w:t xml:space="preserve">B</w:t>
      </w:r>
    </w:p>
    <w:p>
      <w:pPr>
        <w:pStyle w:val="CaseBody"/>
      </w:pPr>
      <w:r>
        <w:t xml:space="preserve">The District Court, recognizing that “one significant issue common to the class may be sufficient to warrant certification,”</w:t>
      </w:r>
      <w:r>
        <w:t xml:space="preserve"> </w:t>
      </w:r>
      <w:r>
        <w:rPr>
          <w:rStyle w:val="Elision"/>
        </w:rPr>
        <w:t xml:space="preserve">[ … ]</w:t>
      </w:r>
      <w:r>
        <w:t xml:space="preserve"> </w:t>
      </w:r>
      <w:r>
        <w:t xml:space="preserve">found that the plaintiffs easily met that test.</w:t>
      </w:r>
      <w:r>
        <w:t xml:space="preserve"> </w:t>
      </w:r>
      <w:r>
        <w:rPr>
          <w:rStyle w:val="Elision"/>
        </w:rPr>
        <w:t xml:space="preserve">[ … ]</w:t>
      </w:r>
    </w:p>
    <w:p>
      <w:pPr>
        <w:pStyle w:val="CaseBody"/>
      </w:pPr>
      <w:r>
        <w:t xml:space="preserve">The District Court certified a class of “[a] 11 women employed at any Wal-Mart domestic retail store at any time since December 26, 1998.”</w:t>
      </w:r>
      <w:r>
        <w:t xml:space="preserve"> </w:t>
      </w:r>
      <w:r>
        <w:rPr>
          <w:rStyle w:val="Elision"/>
        </w:rPr>
        <w:t xml:space="preserve">[ … ]</w:t>
      </w:r>
      <w:r>
        <w:t xml:space="preserve"> </w:t>
      </w:r>
      <w:r>
        <w:t xml:space="preserve">plaintiffs contend, by leaving pay and promotions in the hands of “a nearly all male managerial workforce” using “arbitrary and subjective criteria.”</w:t>
      </w:r>
      <w:r>
        <w:t xml:space="preserve"> </w:t>
      </w:r>
      <w:r>
        <w:rPr>
          <w:rStyle w:val="Elision"/>
        </w:rPr>
        <w:t xml:space="preserve">[ … ]</w:t>
      </w:r>
      <w:r>
        <w:t xml:space="preserve"> </w:t>
      </w:r>
      <w:r>
        <w:t xml:space="preserve"> </w:t>
      </w:r>
      <w:r>
        <w:t xml:space="preserve">Further alleged barriers to the advancement of female employees include the company’s requirement, “as a condition of promotion to management jobs, that employees be willing to relocate.”</w:t>
      </w:r>
      <w:r>
        <w:t xml:space="preserve"> </w:t>
      </w:r>
      <w:r>
        <w:rPr>
          <w:rStyle w:val="Elision"/>
        </w:rPr>
        <w:t xml:space="preserve">[ … ]</w:t>
      </w:r>
      <w:r>
        <w:t xml:space="preserve"> </w:t>
      </w:r>
      <w:r>
        <w:t xml:space="preserve">Absent instruction otherwise, there is a risk that managers will act on the familiar assumption that women, because of their services to husband and children, are less mobile than men.</w:t>
      </w:r>
      <w:r>
        <w:t xml:space="preserve"> </w:t>
      </w:r>
      <w:r>
        <w:rPr>
          <w:rStyle w:val="Elision"/>
        </w:rPr>
        <w:t xml:space="preserve">[ … ]</w:t>
      </w:r>
    </w:p>
    <w:p>
      <w:pPr>
        <w:pStyle w:val="CaseBody"/>
      </w:pPr>
      <w:r>
        <w:t xml:space="preserve">Women fill 70 percent of the hourly jobs in the retailer’s stores but make up only “33 percent of management employees.”</w:t>
      </w:r>
      <w:r>
        <w:rPr>
          <w:rStyle w:val="Elision"/>
        </w:rPr>
        <w:t xml:space="preserve">[ … ]</w:t>
      </w:r>
      <w:r>
        <w:t xml:space="preserve">“[T]he higher one looks in the organization the lower the percentage of women.”</w:t>
      </w:r>
      <w:r>
        <w:t xml:space="preserve"> </w:t>
      </w:r>
      <w:r>
        <w:rPr>
          <w:rStyle w:val="Elision"/>
        </w:rPr>
        <w:t xml:space="preserve">[ … ]</w:t>
      </w:r>
      <w:r>
        <w:t xml:space="preserve">The plaintiffs’ “largely uncontested descriptive statistics” also show that women working in the company’s stores “are paid less than men in every region” and “that the salary gap widens over time even for men and women hired into the same jobs at the same time.”</w:t>
      </w:r>
      <w:r>
        <w:t xml:space="preserve"> </w:t>
      </w:r>
      <w:r>
        <w:rPr>
          <w:rStyle w:val="Elision"/>
        </w:rPr>
        <w:t xml:space="preserve">[ … ]</w:t>
      </w:r>
    </w:p>
    <w:p>
      <w:pPr>
        <w:pStyle w:val="CaseBody"/>
      </w:pPr>
      <w:r>
        <w:t xml:space="preserve">The District Court identified “systems for . . . promoting in-store employees” that were “sufficiently similar across regions and stores” to conclude that “the manner in which</w:t>
      </w:r>
    </w:p>
    <w:p>
      <w:pPr>
        <w:pStyle w:val="CaseBody"/>
      </w:pPr>
      <w:r>
        <w:rPr>
          <w:rStyle w:val="Elision"/>
        </w:rPr>
        <w:t xml:space="preserve">[ … ]</w:t>
      </w:r>
    </w:p>
    <w:p>
      <w:pPr>
        <w:pStyle w:val="CaseBody"/>
      </w:pPr>
      <w:r>
        <w:t xml:space="preserve">these systems affect the class raises issues that are common to all class members.”</w:t>
      </w:r>
      <w:r>
        <w:rPr>
          <w:rStyle w:val="Elision"/>
        </w:rPr>
        <w:t xml:space="preserve">[ … ]</w:t>
      </w:r>
      <w:r>
        <w:t xml:space="preserve">The selection of employees for promotion to in-store management “is fairly characterized as a ‘tap on the shoulder’ process,” in which managers have discretion about whose shoulders to tap.</w:t>
      </w:r>
      <w:r>
        <w:t xml:space="preserve"> </w:t>
      </w:r>
      <w:r>
        <w:rPr>
          <w:rStyle w:val="Elision"/>
        </w:rPr>
        <w:t xml:space="preserve">[ … ]</w:t>
      </w:r>
      <w:r>
        <w:t xml:space="preserve">Vacancies are not regularly posted; from among those employees satisfying minimum qualifications, managers choose whom to promote on the basis of their own subjective impressions.</w:t>
      </w:r>
      <w:r>
        <w:rPr>
          <w:rStyle w:val="Elision"/>
        </w:rPr>
        <w:t xml:space="preserve">[ … ]</w:t>
      </w:r>
    </w:p>
    <w:p>
      <w:pPr>
        <w:pStyle w:val="CaseBody"/>
      </w:pPr>
      <w:r>
        <w:t xml:space="preserve">Wal-Mart’s compensation policies also operate uniformly across stores, the District Court found. The retailer leaves open a $2 band for every position’s hourly pay rate. Wal-Mart provides no standards or criteria for setting wages within that band, and thus does nothing to counter unconscious bias on the part of supervisors.</w:t>
      </w:r>
      <w:r>
        <w:rPr>
          <w:rStyle w:val="Elision"/>
        </w:rPr>
        <w:t xml:space="preserve">[ … ]</w:t>
      </w:r>
    </w:p>
    <w:p>
      <w:pPr>
        <w:pStyle w:val="CaseBody"/>
      </w:pPr>
      <w:r>
        <w:t xml:space="preserve">Wal-Mart’s supervisors do not make their discretionary decisions in a vacuum. The District Court reviewed means Wal-Mart used to maintain a “carefully constructed . . . corporate culture,” such as frequent meetings to reinforce the common way of thinking, regular transfers of managers between stores to ensure uniformity throughout the company, monitoring of stores “on a close and constant basis,” and “Wal-Mart TV,” “broadcast . . . into all stores.”</w:t>
      </w:r>
      <w:r>
        <w:t xml:space="preserve"> </w:t>
      </w:r>
      <w:r>
        <w:rPr>
          <w:rStyle w:val="Elision"/>
        </w:rPr>
        <w:t xml:space="preserve">[ … ]</w:t>
      </w:r>
    </w:p>
    <w:p>
      <w:pPr>
        <w:pStyle w:val="CaseBody"/>
      </w:pPr>
      <w:r>
        <w:t xml:space="preserve">The plaintiffs’ evidence, including class members’ tales of their own experiences,</w:t>
      </w:r>
      <w:hyperlink w:anchor="X875db78d00d5e1474537ce5943086a8a711adaa">
        <w:r>
          <w:rPr>
            <w:rStyle w:val="Elision"/>
          </w:rPr>
          <w:t xml:space="preserve">[ … ]</w:t>
        </w:r>
      </w:hyperlink>
      <w:r>
        <w:t xml:space="preserve"> </w:t>
      </w:r>
      <w:r>
        <w:t xml:space="preserve">suggests that gender bias suffused Wal-Mart’s company culture.</w:t>
      </w:r>
      <w:r>
        <w:t xml:space="preserve"> </w:t>
      </w:r>
      <w:r>
        <w:rPr>
          <w:rStyle w:val="Elision"/>
        </w:rPr>
        <w:t xml:space="preserve">[ … ]</w:t>
      </w:r>
      <w:r>
        <w:t xml:space="preserve">senior management often refer to female associates as “little Janie</w:t>
      </w:r>
    </w:p>
    <w:p>
      <w:pPr>
        <w:pStyle w:val="CaseBody"/>
      </w:pPr>
      <w:r>
        <w:rPr>
          <w:rStyle w:val="Elision"/>
        </w:rPr>
        <w:t xml:space="preserve">[ … ]</w:t>
      </w:r>
    </w:p>
    <w:p>
      <w:pPr>
        <w:pStyle w:val="CaseBody"/>
      </w:pPr>
      <w:r>
        <w:t xml:space="preserve">Qs.”</w:t>
      </w:r>
      <w:r>
        <w:t xml:space="preserve"> </w:t>
      </w:r>
      <w:r>
        <w:rPr>
          <w:rStyle w:val="Elision"/>
        </w:rPr>
        <w:t xml:space="preserve">[ … ]</w:t>
      </w:r>
      <w:r>
        <w:t xml:space="preserve">One manager told an employee that “[m]en are here to make a career and women aren’t.”</w:t>
      </w:r>
      <w:r>
        <w:t xml:space="preserve"> </w:t>
      </w:r>
      <w:r>
        <w:rPr>
          <w:rStyle w:val="Elision"/>
        </w:rPr>
        <w:t xml:space="preserve">[ … ]</w:t>
      </w:r>
      <w:r>
        <w:t xml:space="preserve"> </w:t>
      </w:r>
      <w:r>
        <w:t xml:space="preserve">A committee of female Wal-Mart executives concluded that “[stereotypes limit the opportunities offered to women.”</w:t>
      </w:r>
      <w:r>
        <w:t xml:space="preserve"> </w:t>
      </w:r>
      <w:r>
        <w:rPr>
          <w:rStyle w:val="Elision"/>
        </w:rPr>
        <w:t xml:space="preserve">[ … ]</w:t>
      </w:r>
    </w:p>
    <w:p>
      <w:pPr>
        <w:pStyle w:val="CaseBody"/>
      </w:pPr>
      <w:r>
        <w:t xml:space="preserve">Finally, the plaintiffs presented an expert’s appraisal to show that the pay and promotions disparities at Wal-Mart “can be explained only by gender discrimination and not by . . . neutral variables.”</w:t>
      </w:r>
      <w:r>
        <w:t xml:space="preserve"> </w:t>
      </w:r>
      <w:r>
        <w:rPr>
          <w:rStyle w:val="Elision"/>
        </w:rPr>
        <w:t xml:space="preserve">[ … ]</w:t>
      </w:r>
      <w:r>
        <w:t xml:space="preserve">Using regression analyses, their expert, Richard Drogin, controlled for factors including,</w:t>
      </w:r>
      <w:r>
        <w:t xml:space="preserve"> </w:t>
      </w:r>
      <w:r>
        <w:rPr>
          <w:iCs/>
          <w:i/>
        </w:rPr>
        <w:t xml:space="preserve">inter alia,</w:t>
      </w:r>
      <w:r>
        <w:t xml:space="preserve"> </w:t>
      </w:r>
      <w:r>
        <w:t xml:space="preserve">job performance, length of time with the company, and the store where an employee worked.</w:t>
      </w:r>
      <w:r>
        <w:t xml:space="preserve"> </w:t>
      </w:r>
      <w:r>
        <w:rPr>
          <w:rStyle w:val="Elision"/>
        </w:rPr>
        <w:t xml:space="preserve">[ … ]</w:t>
      </w:r>
      <w:r>
        <w:t xml:space="preserve"> </w:t>
      </w:r>
      <w:r>
        <w:t xml:space="preserve">The results, the District Court found, were sufficient to raise an “inference of discrimination.”</w:t>
      </w:r>
      <w:r>
        <w:rPr>
          <w:rStyle w:val="Elision"/>
        </w:rPr>
        <w:t xml:space="preserve">[ … ]</w:t>
      </w:r>
    </w:p>
    <w:p>
      <w:pPr>
        <w:pStyle w:val="CaseBody"/>
      </w:pPr>
      <w:r>
        <w:t xml:space="preserve">C</w:t>
      </w:r>
    </w:p>
    <w:p>
      <w:pPr>
        <w:pStyle w:val="CaseBody"/>
      </w:pPr>
      <w:r>
        <w:t xml:space="preserve">The District Court’s identification of a common question, whether Wal-Mart’s pay and promotions policies gave rise to unlawful discrimination, was hardly infirm. The practice of delegating to supervisors large discretion to make personnel decisions, uncontrolled by formal standards, has long been known to have the potential to produce disparate effects. Managers, like all humankind, may be prey to biases</w:t>
      </w:r>
    </w:p>
    <w:p>
      <w:pPr>
        <w:pStyle w:val="CaseBody"/>
      </w:pPr>
      <w:r>
        <w:rPr>
          <w:rStyle w:val="Elision"/>
        </w:rPr>
        <w:t xml:space="preserve">[ … ]</w:t>
      </w:r>
    </w:p>
    <w:p>
      <w:pPr>
        <w:pStyle w:val="CaseBody"/>
      </w:pPr>
      <w:r>
        <w:t xml:space="preserve">of which they are unaware.</w:t>
      </w:r>
      <w:hyperlink w:anchor="X1e49c48221b8247f6ca4efdf87d2de5662f51b9">
        <w:r>
          <w:rPr>
            <w:rStyle w:val="Elision"/>
          </w:rPr>
          <w:t xml:space="preserve">[ … ]</w:t>
        </w:r>
      </w:hyperlink>
      <w:r>
        <w:t xml:space="preserve">The risk of discrimination is heightened when those managers are predominantly of one sex, and are steeped in a corporate culture that perpetuates gender stereotypes.</w:t>
      </w:r>
    </w:p>
    <w:p>
      <w:pPr>
        <w:pStyle w:val="CaseBody"/>
      </w:pPr>
      <w:r>
        <w:rPr>
          <w:rStyle w:val="Elision"/>
        </w:rPr>
        <w:t xml:space="preserve">[ … ]</w:t>
      </w:r>
    </w:p>
    <w:p>
      <w:pPr>
        <w:pStyle w:val="CaseBody"/>
      </w:pPr>
      <w:r>
        <w:t xml:space="preserve">We have held that “discretionary employment practices” can give rise to Title VII claims, not only when such practices are motivated by discriminatory intent but also when they produce discriminatory results.</w:t>
      </w:r>
      <w:r>
        <w:t xml:space="preserve"> </w:t>
      </w:r>
      <w:r>
        <w:rPr>
          <w:rStyle w:val="Elision"/>
        </w:rPr>
        <w:t xml:space="preserve">[ … ]</w:t>
      </w:r>
      <w:r>
        <w:t xml:space="preserve">In</w:t>
      </w:r>
      <w:r>
        <w:t xml:space="preserve"> </w:t>
      </w:r>
      <w:r>
        <w:rPr>
          <w:iCs/>
          <w:i/>
        </w:rPr>
        <w:t xml:space="preserve">Watson,</w:t>
      </w:r>
      <w:r>
        <w:t xml:space="preserve"> </w:t>
      </w:r>
      <w:r>
        <w:t xml:space="preserve">as here, an employer had given its managers large authority over promotions. An employee sued the bank under Title VII, alleging that the “discretionary promotion system”</w:t>
      </w:r>
    </w:p>
    <w:p>
      <w:pPr>
        <w:pStyle w:val="CaseBody"/>
      </w:pPr>
      <w:r>
        <w:rPr>
          <w:rStyle w:val="Elision"/>
        </w:rPr>
        <w:t xml:space="preserve">[ … ]</w:t>
      </w:r>
    </w:p>
    <w:p>
      <w:pPr>
        <w:pStyle w:val="CaseBody"/>
      </w:pPr>
      <w:r>
        <w:t xml:space="preserve">caused a discriminatory effect based on race.</w:t>
      </w:r>
      <w:r>
        <w:t xml:space="preserve"> </w:t>
      </w:r>
      <w:r>
        <w:rPr>
          <w:rStyle w:val="Elision"/>
        </w:rPr>
        <w:t xml:space="preserve">[ … ]</w:t>
      </w:r>
      <w:r>
        <w:t xml:space="preserve">Four different supervisors had declined, on separate occasions, to promote the employee.</w:t>
      </w:r>
    </w:p>
    <w:p>
      <w:pPr>
        <w:pStyle w:val="CaseBody"/>
      </w:pPr>
      <w:r>
        <w:rPr>
          <w:rStyle w:val="Elision"/>
        </w:rPr>
        <w:t xml:space="preserve">[ … ]</w:t>
      </w:r>
      <w:r>
        <w:t xml:space="preserve">Their reasons were subjective and unknown. The employer, we noted, “had not developed precise and formal criteria for evaluating candidates”; “ [i]t relied instead on the subjective judgment of supervisors.”</w:t>
      </w:r>
    </w:p>
    <w:p>
      <w:pPr>
        <w:pStyle w:val="CaseBody"/>
      </w:pPr>
      <w:r>
        <w:rPr>
          <w:rStyle w:val="Elision"/>
        </w:rPr>
        <w:t xml:space="preserve">[ … ]</w:t>
      </w:r>
    </w:p>
    <w:p>
      <w:pPr>
        <w:pStyle w:val="CaseBody"/>
      </w:pPr>
      <w:r>
        <w:t xml:space="preserve">Aware of “the problem of subconscious stereotypes and prejudices,” we held that the employer’s “undisciplined system of subjective decision-making” was an “employment practice] ” that “may be analyzed under the disparate impact approach.”</w:t>
      </w:r>
      <w:r>
        <w:rPr>
          <w:rStyle w:val="Elision"/>
        </w:rPr>
        <w:t xml:space="preserve">[ … ]</w:t>
      </w:r>
    </w:p>
    <w:p>
      <w:pPr>
        <w:pStyle w:val="CaseBody"/>
      </w:pPr>
      <w:r>
        <w:t xml:space="preserve">The plaintiffs’ allegations state claims of gender discrimination in the form of biased decisionmaking in both pay and promotions. The evidence</w:t>
      </w:r>
      <w:r>
        <w:t xml:space="preserve"> </w:t>
      </w:r>
      <w:r>
        <w:rPr>
          <w:rStyle w:val="Elision"/>
        </w:rPr>
        <w:t xml:space="preserve">[ … ]</w:t>
      </w:r>
      <w:r>
        <w:t xml:space="preserve">adequately demonstrated that resolving those claims would necessitate examination of particular policies and practices alleged to affect, adversely and globally, women employed at Wal-Mart’s stores. Rule 23(a)(2), setting a necessary but not a sufficient criterion for class-action certification, demands nothing further.</w:t>
      </w:r>
    </w:p>
    <w:p>
      <w:pPr>
        <w:pStyle w:val="CaseBody"/>
      </w:pPr>
      <w:r>
        <w:t xml:space="preserve">II</w:t>
      </w:r>
    </w:p>
    <w:p>
      <w:pPr>
        <w:pStyle w:val="CaseBody"/>
      </w:pPr>
      <w:r>
        <w:t xml:space="preserve">A</w:t>
      </w:r>
    </w:p>
    <w:p>
      <w:pPr>
        <w:pStyle w:val="CaseBody"/>
      </w:pPr>
      <w:r>
        <w:t xml:space="preserve">The Court gives no credence to the key dispute common to the class: whether Wal-Mart’s discretionary pay and promotion policies are discriminatory.</w:t>
      </w:r>
      <w:r>
        <w:t xml:space="preserve"> </w:t>
      </w:r>
      <w:r>
        <w:rPr>
          <w:rStyle w:val="Elision"/>
        </w:rPr>
        <w:t xml:space="preserve">[ … ]</w:t>
      </w:r>
      <w:r>
        <w:t xml:space="preserve">“What matters,” the Court asserts, “is not the raising of common ‘questions,’ ” but whether there are “[d]issimilarities within the proposed</w:t>
      </w:r>
    </w:p>
    <w:p>
      <w:pPr>
        <w:pStyle w:val="CaseBody"/>
      </w:pPr>
      <w:r>
        <w:rPr>
          <w:rStyle w:val="Elision"/>
        </w:rPr>
        <w:t xml:space="preserve">[ … ]</w:t>
      </w:r>
    </w:p>
    <w:p>
      <w:pPr>
        <w:pStyle w:val="CaseBody"/>
      </w:pPr>
      <w:r>
        <w:t xml:space="preserve">class” that “have the potential to impede the generation of common answers.”</w:t>
      </w:r>
      <w:r>
        <w:t xml:space="preserve"> </w:t>
      </w:r>
      <w:r>
        <w:rPr>
          <w:rStyle w:val="Elision"/>
        </w:rPr>
        <w:t xml:space="preserve">[ … ]</w:t>
      </w:r>
    </w:p>
    <w:p>
      <w:pPr>
        <w:pStyle w:val="CaseBody"/>
      </w:pPr>
      <w:r>
        <w:t xml:space="preserve">The Court blends Rule 23(a)(2)’s threshold criterion with the more demanding criteria of Rule 23(b)(3), and thereby elevates the (a)(2) inquiry so that it is no longer “easily satisfied,”</w:t>
      </w:r>
      <w:r>
        <w:t xml:space="preserve"> </w:t>
      </w:r>
      <w:r>
        <w:rPr>
          <w:rStyle w:val="Elision"/>
        </w:rPr>
        <w:t xml:space="preserve">[ … ]</w:t>
      </w:r>
    </w:p>
    <w:p>
      <w:pPr>
        <w:pStyle w:val="CaseBody"/>
      </w:pPr>
      <w:r>
        <w:t xml:space="preserve">The Court’s emphasis on differences between class members mimics the Rule 23(b)(3) inquiry into whether common questions “predominate” over individual issues. And by asking whether the individual differences “impede” common adjudication</w:t>
      </w:r>
      <w:r>
        <w:rPr>
          <w:rStyle w:val="Elision"/>
        </w:rPr>
        <w:t xml:space="preserve">[ … ]</w:t>
      </w:r>
      <w:r>
        <w:t xml:space="preserve"> </w:t>
      </w:r>
      <w:r>
        <w:t xml:space="preserve">the Court duplicates 23(b)(3)’s question whether “a class action is superior” to other modes of adjudication. Indeed, Professor Nagareda, whose “dissimilarities” inquiry the Court endorses, developed his position in the context of Rule 23(b)(3).</w:t>
      </w:r>
      <w:r>
        <w:t xml:space="preserve"> </w:t>
      </w:r>
      <w:r>
        <w:rPr>
          <w:rStyle w:val="Elision"/>
        </w:rPr>
        <w:t xml:space="preserve">[ … ]</w:t>
      </w:r>
      <w:r>
        <w:t xml:space="preserve"> </w:t>
      </w:r>
      <w:r>
        <w:t xml:space="preserve">If courts must conduct a “dissimilarities” analysis at the Rule 23(a)(2) stage, no mission remains for Rule 23(b)(3).</w:t>
      </w:r>
    </w:p>
    <w:p>
      <w:pPr>
        <w:pStyle w:val="CaseBody"/>
      </w:pPr>
      <w:r>
        <w:t xml:space="preserve">Because Rule 23(a) is also a prerequisite for Rule 23(b)(1) and Rule 23(b)(2) classes, the Court’s “dissimilarities” position is far reaching. Individual differences should not bar a Rule 23(b)(1) or Rule 23(b)(2) class, so long as the Rule 23(a) threshold is met.</w:t>
      </w:r>
      <w:r>
        <w:rPr>
          <w:rStyle w:val="Elision"/>
        </w:rPr>
        <w:t xml:space="preserve">[ … ]</w:t>
      </w:r>
    </w:p>
    <w:p>
      <w:pPr>
        <w:pStyle w:val="CaseBody"/>
      </w:pPr>
      <w:r>
        <w:t xml:space="preserve">B</w:t>
      </w:r>
    </w:p>
    <w:p>
      <w:pPr>
        <w:pStyle w:val="CaseBody"/>
      </w:pPr>
      <w:r>
        <w:t xml:space="preserve">The “dissimilarities” approach leads the Court to train its attention on what distinguishes individual class members, rather than on what unites them. Given the lack of standards for pay and promotions, the majority says, “demonstrating the invalidity of one manager’s use of discretion will do nothing to demonstrate the invalidity of another’s.”</w:t>
      </w:r>
      <w:r>
        <w:rPr>
          <w:rStyle w:val="Elision"/>
        </w:rPr>
        <w:t xml:space="preserve">[ … ]</w:t>
      </w:r>
    </w:p>
    <w:p>
      <w:pPr>
        <w:pStyle w:val="CaseBody"/>
      </w:pPr>
      <w:r>
        <w:t xml:space="preserve">Wal-Mart’s delegation of discretion over pay and promotions is a policy uniform throughout all stores. The very nature of discretion is that people will exercise it in various ways. A system of delegated discretion,</w:t>
      </w:r>
      <w:r>
        <w:t xml:space="preserve"> </w:t>
      </w:r>
      <w:r>
        <w:rPr>
          <w:iCs/>
          <w:i/>
        </w:rPr>
        <w:t xml:space="preserve">Watson</w:t>
      </w:r>
      <w:r>
        <w:t xml:space="preserve"> </w:t>
      </w:r>
      <w:r>
        <w:t xml:space="preserve">held, is a practice actionable under Title VII when it produces discriminatory outcomes.</w:t>
      </w:r>
      <w:r>
        <w:t xml:space="preserve"> </w:t>
      </w:r>
      <w:r>
        <w:rPr>
          <w:rStyle w:val="Elision"/>
        </w:rPr>
        <w:t xml:space="preserve">[ … ]</w:t>
      </w:r>
      <w:r>
        <w:t xml:space="preserve">That each individual employee’s unique circumstances will ultimately determine whether she is entitled to backpay or damages</w:t>
      </w:r>
      <w:r>
        <w:rPr>
          <w:rStyle w:val="Elision"/>
        </w:rPr>
        <w:t xml:space="preserve">[ … ]</w:t>
      </w:r>
      <w:r>
        <w:t xml:space="preserve">should not factor into the Rule 23(a)(2) determination.</w:t>
      </w:r>
    </w:p>
    <w:p>
      <w:pPr>
        <w:pStyle w:val="CaseBody"/>
      </w:pPr>
      <w:r>
        <w:rPr>
          <w:rStyle w:val="Elision"/>
        </w:rPr>
        <w:t xml:space="preserve">[ … ]</w:t>
      </w:r>
    </w:p>
    <w:p>
      <w:pPr>
        <w:pStyle w:val="CaseBody"/>
      </w:pPr>
      <w:r>
        <w:drawing>
          <wp:inline>
            <wp:extent cx="2838450" cy="438150"/>
            <wp:effectExtent b="0" l="0" r="0" t="0"/>
            <wp:docPr descr="" title="" id="1" name="Picture"/>
            <a:graphic>
              <a:graphicData uri="http://schemas.openxmlformats.org/drawingml/2006/picture">
                <pic:pic>
                  <pic:nvPicPr>
                    <pic:cNvPr descr="data:image/png;base64,iVBORw0KGgoAAAANSUhEUgAAASoAAAAuAQAAAAC3p2kgAAAApUlEQVR4nO2TOw4CMQxEJ1FqPjUUHGUPwMG4ArfJdhxjLwFVyFBYwi6mWGm1EhLr7s2MlTiKEzGjxjwnBWyxJbEWJQUWe0VHwQp3e+eHKxIyALRbaJSQAaDU6o6ERAA4l8ktASNIkhNDCag26TFOpcBi9+hIIMl+2vsxCmoBgH65er8Ee7dhcEdCIgA+2+HrKLA9Td0NDWv83l2UFPz+Am6xP4x9ADG8eTwqW0TJAAAAAElFTkSuQmCC" id="0" name="Picture"/>
                    <pic:cNvPicPr>
                      <a:picLocks noChangeArrowheads="1" noChangeAspect="1"/>
                    </pic:cNvPicPr>
                  </pic:nvPicPr>
                  <pic:blipFill>
                    <a:blip r:embed="rId261"/>
                    <a:stretch>
                      <a:fillRect/>
                    </a:stretch>
                  </pic:blipFill>
                  <pic:spPr bwMode="auto">
                    <a:xfrm>
                      <a:off x="0" y="0"/>
                      <a:ext cx="2838450" cy="438150"/>
                    </a:xfrm>
                    <a:prstGeom prst="rect">
                      <a:avLst/>
                    </a:prstGeom>
                    <a:noFill/>
                    <a:ln w="9525">
                      <a:noFill/>
                      <a:headEnd/>
                      <a:tailEnd/>
                    </a:ln>
                  </pic:spPr>
                </pic:pic>
              </a:graphicData>
            </a:graphic>
          </wp:inline>
        </w:drawing>
      </w:r>
    </w:p>
    <w:p>
      <w:pPr>
        <w:pStyle w:val="CaseBody"/>
      </w:pPr>
      <w:r>
        <w:t xml:space="preserve">The Court errs in importing a “dissimilarities” notion suited to Rule 23(b)(3) into the Rule 23(a) commonality inquiry. I therefore cannot join Part II of the Court’s opinion.</w:t>
      </w:r>
    </w:p>
    <w:p>
      <w:pPr>
        <w:pStyle w:val="CaseFootnoteText"/>
      </w:pPr>
      <w:r>
        <w:rPr>
          <w:rStyle w:val="FootnoteReference"/>
        </w:rPr>
        <w:t xml:space="preserve">1</w:t>
      </w: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254" w:name="_auto_toc_254"/>
    <w:bookmarkEnd w:id="254"/>
    <w:p>
      <w:pPr>
        <w:pStyle w:val="ResourceNumber"/>
      </w:pPr>
      <w:r>
        <w:t xml:space="preserve">22.4</w:t>
      </w:r>
    </w:p>
    <w:p>
      <w:pPr>
        <w:pStyle w:val="ResourceTitle"/>
      </w:pPr>
      <w:r>
        <w:t xml:space="preserve">Amchem Products, Inc. v. Windsor</w:t>
      </w:r>
    </w:p>
    <w:p>
      <w:pPr>
        <w:pStyle w:val="HeadFieldSeparator"/>
      </w:pPr>
      <w:r>
        <w:t xml:space="preserve"> </w:t>
      </w:r>
    </w:p>
    <w:p>
      <w:pPr>
        <w:pStyle w:val="ResourceHeadnote"/>
      </w:pPr>
      <w:r>
        <w:t xml:space="preserve">This case was a massive class action against a company that manufactured asbestos products. All class members, including the named plaintiffs, asserted that the defendant had manufactured and sold a defective product (asbestos) without sufficient warnings and safety precautions. Some of the class members, including some of the named plaintiffs, showed signs of exposure to asbestos. Other class members, including other named plaintiffs, had been exposed but were as yet asymptomatic. The lawsuit included no subclasses or separate law firms to represent the two categories. Justice Ginsburg, writing for a 6-2 majority, held that the named plaintiffs had conflicts of interest such that the district court abused its discretion in finding that the class satisfied the representativeness prerequisite. Specifically, Justice Ginsburg reasoned that symptomatic class members wanted immediate pay-outs to fund medical care and monitoring, while asymptomatic (exposure-only) class members would prefer delayed payments in case they developed symptoms later in life.</w:t>
      </w:r>
    </w:p>
    <w:p>
      <w:pPr>
        <w:pStyle w:val="HeadEnd"/>
      </w:pPr>
      <w:r>
        <w:t xml:space="preserve"> </w:t>
      </w:r>
    </w:p>
    <w:p>
      <w:pPr>
        <w:pStyle w:val="CaseHeader"/>
      </w:pPr>
      <w:r>
        <w:t xml:space="preserve">Supreme Court of the United States</w:t>
      </w:r>
    </w:p>
    <w:p>
      <w:pPr>
        <w:pStyle w:val="CaseHeader"/>
      </w:pPr>
      <w:r>
        <w:t xml:space="preserve">521 U.S. 591, 138 L. Ed. 2d 689, 117 S. Ct. 2231, SCDB 1996-089, 1997 U.S. LEXIS 4032</w:t>
      </w:r>
    </w:p>
    <w:p>
      <w:pPr>
        <w:pStyle w:val="CaseHeader"/>
      </w:pPr>
      <w:r>
        <w:t xml:space="preserve">No. 96-270</w:t>
      </w:r>
    </w:p>
    <w:p>
      <w:pPr>
        <w:pStyle w:val="CaseHeader"/>
      </w:pPr>
      <w:r>
        <w:t xml:space="preserve">1997-06-25</w:t>
      </w:r>
    </w:p>
    <w:p>
      <w:pPr>
        <w:pStyle w:val="CaseBody"/>
      </w:pPr>
      <w:r>
        <w:rPr>
          <w:rStyle w:val="Elision"/>
        </w:rPr>
        <w:t xml:space="preserve">[ … ]</w:t>
      </w:r>
    </w:p>
    <w:bookmarkStart w:id="262" w:name="X1a9256d26209f64b2048ce6f291d899e8478651"/>
    <w:p>
      <w:pPr>
        <w:pStyle w:val="Heading2"/>
      </w:pPr>
      <w:r>
        <w:rPr>
          <w:rStyle w:val="Elision"/>
        </w:rPr>
        <w:t xml:space="preserve">[ … ]</w:t>
      </w:r>
      <w:r>
        <w:t xml:space="preserve">Justice Ginsburg, delivered the opinion of the Court.</w:t>
      </w:r>
    </w:p>
    <w:p>
      <w:pPr>
        <w:pStyle w:val="CaseBody"/>
      </w:pPr>
      <w:r>
        <w:t xml:space="preserve">This case concerns the legitimacy under Rule 23 of the Federal Rules of Civil Procedure of a class-action certification sought to achieve global settlement of current and future asbestos-related claims. The class proposed for certification potentially encompasses hundreds of thousands, perhaps millions, of individuals tied together by this commonality: Each was, or some day may be, adversely affected by past exposure to asbestos products manufactured by one or more of 20 companies. Those companies, defendants in the lower courts, are petitioners here.</w:t>
      </w:r>
    </w:p>
    <w:p>
      <w:pPr>
        <w:pStyle w:val="CaseBody"/>
      </w:pPr>
      <w:r>
        <w:t xml:space="preserve">The United States District Court for the Eastern District of Pennsylvania certified the class for settlement only, finding that the proposed settlement was fair and that representation and notice had been adequate. That court enjoined class members from separately pursuing asbestos-related personal-injury suits in any court, federal or state, pending the issuance of a final order. The Court of Appeals for the Third Circuit vacated the District Court's orders, holding that the class certification failed to satisfy Rule 23's requirements in several critical respects. We affirm the Court of Appeals' judgment.</w:t>
      </w:r>
    </w:p>
    <w:bookmarkEnd w:id="262"/>
    <w:bookmarkStart w:id="263" w:name="i-13"/>
    <w:p>
      <w:pPr>
        <w:pStyle w:val="Heading2"/>
      </w:pPr>
      <w:r>
        <w:t xml:space="preserve">I</w:t>
      </w:r>
    </w:p>
    <w:bookmarkEnd w:id="263"/>
    <w:bookmarkStart w:id="264" w:name="a-7"/>
    <w:p>
      <w:pPr>
        <w:pStyle w:val="Heading2"/>
      </w:pPr>
      <w:r>
        <w:t xml:space="preserve">A</w:t>
      </w:r>
    </w:p>
    <w:p>
      <w:pPr>
        <w:pStyle w:val="CaseBody"/>
      </w:pPr>
      <w:r>
        <w:t xml:space="preserve">The settlement-class certification we confront evolved in response to an asbestos-litigation crisis.</w:t>
      </w:r>
      <w:r>
        <w:t xml:space="preserve"> </w:t>
      </w:r>
      <w:r>
        <w:rPr>
          <w:rStyle w:val="Elision"/>
        </w:rPr>
        <w:t xml:space="preserve">[ … ]</w:t>
      </w:r>
      <w:r>
        <w:t xml:space="preserve">A United States Judicial Conference</w:t>
      </w:r>
      <w:r>
        <w:t xml:space="preserve"> </w:t>
      </w:r>
      <w:r>
        <w:rPr>
          <w:rStyle w:val="Elision"/>
        </w:rPr>
        <w:t xml:space="preserve">[ … ]</w:t>
      </w:r>
      <w:r>
        <w:t xml:space="preserve"> </w:t>
      </w:r>
      <w:r>
        <w:t xml:space="preserve">Ad Hoc Committee on Asbestos Litigation, appointed by The Chief Justice in September 1990, described facets of the problem in a 1991 report:</w:t>
      </w:r>
    </w:p>
    <w:p>
      <w:pPr>
        <w:pStyle w:val="BlockText"/>
      </w:pPr>
      <w:r>
        <w:t xml:space="preserve">"[This] is a tale of danger known in the 1930s, exposure inflicted upon millions of Americans in the 1940s and 1950s, injuries that began to take their toll in the 1960s, and a flood of lawsuits beginning in the 1970s. On the basis of past and current filing data, and because of a latency period that may last as long as 40 years for some asbestos related diseases, a continuing stream of claims can be expected. The final toll of asbestos related injuries is unknown. Predictions have been made of 200,000 asbestos disease deaths before the year 2000 and as many as 265,000 by the year 2015.</w:t>
      </w:r>
    </w:p>
    <w:p>
      <w:pPr>
        <w:pStyle w:val="BlockText"/>
      </w:pPr>
      <w:r>
        <w:t xml:space="preserve">"The most objectionable aspects of asbestos litigation can be briefly summarized: dockets in both federal and state courts continue to grow; long delays are routine; trials are too long; the same issues are litigated over and over; transaction costs exceed the victims' recovery by nearly two to one; exhaustion of assets threatens and distorts the process; and future claimants may lose altogether." Report of The Judicial Conference Ad Hoc Committee on Asbestos Litigation 2-3 (Mar. 1991).</w:t>
      </w:r>
    </w:p>
    <w:p>
      <w:pPr>
        <w:pStyle w:val="CaseBody"/>
      </w:pPr>
      <w:r>
        <w:t xml:space="preserve">Real reform, the report concluded, required federal legislation creating a national asbestos dispute-resolution scheme.</w:t>
      </w:r>
      <w:r>
        <w:t xml:space="preserve"> </w:t>
      </w:r>
      <w:r>
        <w:rPr>
          <w:rStyle w:val="Elision"/>
        </w:rPr>
        <w:t xml:space="preserve">[ … ]</w:t>
      </w:r>
      <w:r>
        <w:t xml:space="preserve"> </w:t>
      </w:r>
      <w:r>
        <w:t xml:space="preserve">As recommended by the Ad Hoc Committee, the Judicial Conference of the United States urged Congress to act.</w:t>
      </w:r>
      <w:r>
        <w:t xml:space="preserve"> </w:t>
      </w:r>
      <w:r>
        <w:rPr>
          <w:rStyle w:val="Elision"/>
        </w:rPr>
        <w:t xml:space="preserve">[ … ]</w:t>
      </w:r>
      <w:r>
        <w:t xml:space="preserve">To this date, no congressional response has emerged.</w:t>
      </w:r>
    </w:p>
    <w:p>
      <w:pPr>
        <w:pStyle w:val="CaseBody"/>
      </w:pPr>
      <w:r>
        <w:rPr>
          <w:rStyle w:val="Elision"/>
        </w:rPr>
        <w:t xml:space="preserve">[ … ]</w:t>
      </w:r>
      <w:r>
        <w:t xml:space="preserve"> </w:t>
      </w:r>
      <w:r>
        <w:t xml:space="preserve">In the face of legislative inaction, the federal courts—lacking authority to replace state tort systems with a national toxic tort compensation regime—endeavored to work with the procedural tools available to improve management of federal asbestos litigation.</w:t>
      </w:r>
      <w:r>
        <w:t xml:space="preserve"> </w:t>
      </w:r>
      <w:r>
        <w:rPr>
          <w:rStyle w:val="Elision"/>
        </w:rPr>
        <w:t xml:space="preserve">[ … ]</w:t>
      </w:r>
    </w:p>
    <w:p>
      <w:pPr>
        <w:pStyle w:val="CaseBody"/>
      </w:pPr>
      <w:r>
        <w:t xml:space="preserve">The class action thus instituted was not intended to be litigated. Rather, within the space of a single day, January 15, 1993, the settling parties—</w:t>
      </w:r>
      <w:r>
        <w:rPr>
          <w:rStyle w:val="ReplacementText"/>
        </w:rPr>
        <w:t xml:space="preserve">Center for Resolution Control (CCR) [20 former asbestos manufacturers]</w:t>
      </w:r>
      <w:r>
        <w:t xml:space="preserve"> </w:t>
      </w:r>
      <w:r>
        <w:t xml:space="preserve">and the representatives of the plaintiff class described below—presented to the District Court a complaint, an answer, a proposed</w:t>
      </w:r>
      <w:r>
        <w:rPr>
          <w:rStyle w:val="Elision"/>
        </w:rPr>
        <w:t xml:space="preserve">[ … ]</w:t>
      </w:r>
      <w:r>
        <w:t xml:space="preserve"> </w:t>
      </w:r>
      <w:r>
        <w:t xml:space="preserve">settlement agreement, and a joint motion for conditional class certification.</w:t>
      </w:r>
      <w:hyperlink w:anchor="X89ac17f3da098e001beb46ecddbf1fff48263cb">
        <w:r>
          <w:rPr>
            <w:rStyle w:val="Elision"/>
            <w:vertAlign w:val="superscript"/>
          </w:rPr>
          <w:t xml:space="preserve">[ … ]</w:t>
        </w:r>
      </w:hyperlink>
    </w:p>
    <w:p>
      <w:pPr>
        <w:pStyle w:val="CaseBody"/>
      </w:pPr>
      <w:r>
        <w:t xml:space="preserve">The complaint identified nine lead plaintiffs, designating them and members of their families as representatives of a class comprising all persons who had not filed an asbestosrelated lawsuit against a CCR defendant as of the date the class action commenced, but who (1) had been exposed— occupationally or through the occupational exposure of a spouse or household member—to asbestos or products containing asbestos attributable to a CCR defendant, or (2) whose spouse or family member had been so exposed.</w:t>
      </w:r>
      <w:hyperlink w:anchor="X83f69e2432c5e6c4f95bdc281db5c3ad3dcdfd1">
        <w:r>
          <w:rPr>
            <w:rStyle w:val="Elision"/>
            <w:vertAlign w:val="superscript"/>
          </w:rPr>
          <w:t xml:space="preserve">[ … ]</w:t>
        </w:r>
      </w:hyperlink>
      <w:r>
        <w:t xml:space="preserve">Untold numbers of individuals may fall within this description. All named plaintiffs alleged that they or a member of their family had been exposed to asbestos-containing products of</w:t>
      </w:r>
      <w:r>
        <w:t xml:space="preserve"> </w:t>
      </w:r>
      <w:r>
        <w:rPr>
          <w:rStyle w:val="Elision"/>
        </w:rPr>
        <w:t xml:space="preserve">[ … ]</w:t>
      </w:r>
      <w:r>
        <w:t xml:space="preserve">CCR defendants. More than half of the named plaintiffs alleged that they or their family members had already suffered various physical injuries as a result of the exposure. The others alleged that they had not yet manifested any asbestos-related condition. The complaint delineated no subclasses; all named plaintiffs were designated as representatives of the class as a whole.</w:t>
      </w:r>
    </w:p>
    <w:p>
      <w:pPr>
        <w:pStyle w:val="CaseBody"/>
      </w:pPr>
      <w:r>
        <w:t xml:space="preserve">The complaint invoked the District Court's diversity jurisdiction and asserted various state-law claims for relief, including (1) negligent failure to warn, (2) strict liability, (3) breach of express and implied warranty, (4) negligent infliction of emotional distress, (5) enhanced risk of disease, (6) medical monitoring, and (7) civil conspiracy. Each plaintiff requested unspecified damages in excess of $100,000. CCR defendants' answer denied the principal allegations of the complaint and asserted 11 affirmative defenses.</w:t>
      </w:r>
    </w:p>
    <w:p>
      <w:pPr>
        <w:pStyle w:val="CaseBody"/>
      </w:pPr>
      <w:r>
        <w:t xml:space="preserve">A stipulation of settlement accompanied the pleadings; it proposed to settle, and to preclude nearly all class members from litigating against CCR companies, all claims not filed before January 15, 1993, involving compensation for present and future asbestos-related personal injury or death. An exhaustive document exceeding 100 pages, the stipulation presents in detail an administrative mechanism and a schedule of payments to compensate class members who meet defined asbestos-exposure and medical requirements. The stipulation describes four categories of compensable disease: mesothelioma; lung cancer; certain "other cancers" (colonrectal, laryngeal, esophageal, and stomach cancer); and "non-malignant conditions" (asbestosis and bilateral pleural thickening). Persons with "exceptional" medical claims— claims that do not fall within the four described diagnostic categories—may in some instances qualify for compensation, but the settlement caps the number of "exceptional" claims CCR must cover.</w:t>
      </w:r>
    </w:p>
    <w:p>
      <w:pPr>
        <w:pStyle w:val="CaseBody"/>
      </w:pPr>
      <w:r>
        <w:t xml:space="preserve">For each qualifying disease category, the stipulation specifies the range of damages CCR will pay to qualifying claimants.</w:t>
      </w:r>
      <w:r>
        <w:rPr>
          <w:rStyle w:val="Elision"/>
        </w:rPr>
        <w:t xml:space="preserve">[ … ]</w:t>
      </w:r>
      <w:r>
        <w:t xml:space="preserve">Payments under the settlement are not adjustable for inflation. Mesothelioma claimants—the most highly compensated category—are scheduled to receive between $20,000 and $200,000. The stipulation provides that CCR is to propose the level of compensation within the prescribed ranges; it also establishes procedures to resolve disputes over medical diagnoses and levels of compensation.</w:t>
      </w:r>
    </w:p>
    <w:p>
      <w:pPr>
        <w:pStyle w:val="CaseBody"/>
      </w:pPr>
      <w:r>
        <w:t xml:space="preserve">Compensation above the fixed ranges may be obtained for "extraordinary" claims. But the settlement places both numerical caps and dollar limits on such claims.</w:t>
      </w:r>
      <w:hyperlink w:anchor="X13dbc432f9060efe6053d212f33cc89a7566afb">
        <w:r>
          <w:rPr>
            <w:rStyle w:val="Elision"/>
            <w:vertAlign w:val="superscript"/>
          </w:rPr>
          <w:t xml:space="preserve">[ … ]</w:t>
        </w:r>
      </w:hyperlink>
      <w:r>
        <w:t xml:space="preserve">The settlement also imposes "case flow maximums," which cap the number of claims payable for each disease in a given year.</w:t>
      </w:r>
    </w:p>
    <w:p>
      <w:pPr>
        <w:pStyle w:val="CaseBody"/>
      </w:pPr>
      <w:r>
        <w:t xml:space="preserve">Class members are to receive no compensation for certain kinds of claims, even if otherwise applicable state law recognizes such claims. Claims that garner no compensation under the settlement include claims by family members of asbestos-exposed individuals for loss of consortium, and claims by so-called "exposure-only" plaintiffs for increased risk of cancer, fear of future asbestos-related injury, and medical monitoring. "Pleural" claims, which might be asserted by persons with asbestos-related plaques on their lungs but no accompanying physical impairment, are also excluded. Although not entitled to present compensation, exposure-only claimants and pleural claimants may qualify for benefits when and if they develop a compensable disease and meet the relevant exposure and medical criteria. Defendants forgo defenses to liability, including statute of limitations pleas.</w:t>
      </w:r>
    </w:p>
    <w:p>
      <w:pPr>
        <w:pStyle w:val="CaseBody"/>
      </w:pPr>
      <w:r>
        <w:t xml:space="preserve">Class members, in the main, are bound by the settlement in perpetuity, while CCR defendants may choose to withdraw</w:t>
      </w:r>
      <w:r>
        <w:t xml:space="preserve"> </w:t>
      </w:r>
      <w:r>
        <w:rPr>
          <w:rStyle w:val="Elision"/>
        </w:rPr>
        <w:t xml:space="preserve">[ … ]</w:t>
      </w:r>
      <w:r>
        <w:t xml:space="preserve">from the settlement after ten years. A small number of class members—only a few per year—may reject the settlement and pursue their claims in court. Those permitted to exercise this option, however, may not assert any punitive damages claim or any claim for increased risk of cancer. Aspects of the administration of the settlement are to be monitored by the AFL—CIO and class counsel. Class counsel are to receive attorneys' fees in an amount to be approved by the District Court.</w:t>
      </w:r>
    </w:p>
    <w:bookmarkEnd w:id="264"/>
    <w:bookmarkStart w:id="265" w:name="d-1"/>
    <w:p>
      <w:pPr>
        <w:pStyle w:val="Heading2"/>
      </w:pPr>
      <w:r>
        <w:t xml:space="preserve">D</w:t>
      </w:r>
    </w:p>
    <w:p>
      <w:pPr>
        <w:pStyle w:val="CaseBody"/>
      </w:pPr>
      <w:r>
        <w:t xml:space="preserve">On January 29, 1993, as requested by the settling parties, the District Court conditionally certified, under Federal Rule of Civil Procedure 23(b)(3), an encompassing opt-out class. The certified class included persons occupationally exposed to defendants' asbestos products, and members of their families, who had not filed suit as of January 15. Judge Weiner appointed Locks, Motley, and Rice as class counsel, noting that "[t]he Court may in the future appoint additional counsel if it is deemed necessary and advisable."</w:t>
      </w:r>
      <w:r>
        <w:rPr>
          <w:rStyle w:val="Elision"/>
        </w:rPr>
        <w:t xml:space="preserve">[ … ]</w:t>
      </w:r>
      <w:r>
        <w:t xml:space="preserve"> </w:t>
      </w:r>
      <w:r>
        <w:t xml:space="preserve">At no stage of the proceedings, however, were additional counsel in fact appointed. Nor was the class ever divided into subclasses. In a separate order, Judge Weiner assigned to Judge Reed, also of the Eastern District of Pennsylvania, "the task of conducting fairness proceedings and of determining whether the proposed settlement is fair to the class."</w:t>
      </w:r>
      <w:r>
        <w:rPr>
          <w:rStyle w:val="Elision"/>
        </w:rPr>
        <w:t xml:space="preserve">[ … ]</w:t>
      </w:r>
      <w:r>
        <w:t xml:space="preserve"> </w:t>
      </w:r>
      <w:r>
        <w:t xml:space="preserve">Various class members raised objections to the settlement stipulation, and Judge Weiner granted the objectors full rights to participate in the subsequent proceedings.</w:t>
      </w:r>
      <w:r>
        <w:t xml:space="preserve"> </w:t>
      </w:r>
      <w:r>
        <w:rPr>
          <w:rStyle w:val="Elision"/>
        </w:rPr>
        <w:t xml:space="preserve">[ … ]</w:t>
      </w:r>
    </w:p>
    <w:p>
      <w:pPr>
        <w:pStyle w:val="CaseBody"/>
      </w:pPr>
      <w:r>
        <w:rPr>
          <w:rStyle w:val="Elision"/>
        </w:rPr>
        <w:t xml:space="preserve">[ … ]</w:t>
      </w:r>
      <w:r>
        <w:t xml:space="preserve">In preliminary rulings, Judge Reed held that the District Court had subject-matter jurisdiction,</w:t>
      </w:r>
      <w:r>
        <w:t xml:space="preserve"> </w:t>
      </w:r>
      <w:r>
        <w:rPr>
          <w:rStyle w:val="Elision"/>
        </w:rPr>
        <w:t xml:space="preserve">[ … ]</w:t>
      </w:r>
      <w:r>
        <w:t xml:space="preserve">and he approved the settling parties' elaborate plan for giving notice to the class</w:t>
      </w:r>
      <w:r>
        <w:rPr>
          <w:rStyle w:val="Elision"/>
        </w:rPr>
        <w:t xml:space="preserve">[ … ]</w:t>
      </w:r>
      <w:r>
        <w:t xml:space="preserve">The courtapproved notice informed recipients that they could exclude themselves from the class, if they so chose, within a threemonth opt-out period.</w:t>
      </w:r>
    </w:p>
    <w:p>
      <w:pPr>
        <w:pStyle w:val="CaseBody"/>
      </w:pPr>
      <w:r>
        <w:t xml:space="preserve">Objectors raised numerous challenges to the settlement.</w:t>
      </w:r>
      <w:r>
        <w:t xml:space="preserve"> </w:t>
      </w:r>
      <w:r>
        <w:rPr>
          <w:rStyle w:val="Elision"/>
        </w:rPr>
        <w:t xml:space="preserve">[ … ]</w:t>
      </w:r>
      <w:r>
        <w:t xml:space="preserve">Rejecting these and all other objections, Judge Reed concluded that the settlement terms were fair and had been negotiated without collusion.</w:t>
      </w:r>
      <w:r>
        <w:t xml:space="preserve"> </w:t>
      </w:r>
      <w:r>
        <w:rPr>
          <w:rStyle w:val="Elision"/>
        </w:rPr>
        <w:t xml:space="preserve">[ … ]</w:t>
      </w:r>
    </w:p>
    <w:p>
      <w:pPr>
        <w:pStyle w:val="CaseBody"/>
      </w:pPr>
      <w:r>
        <w:rPr>
          <w:rStyle w:val="Elision"/>
        </w:rPr>
        <w:t xml:space="preserve">[ … ]</w:t>
      </w:r>
    </w:p>
    <w:p>
      <w:pPr>
        <w:pStyle w:val="CaseBody"/>
      </w:pPr>
      <w:r>
        <w:t xml:space="preserve">Strenuous objections had been asserted regarding the adequacy of representation, a Rule 23(a)(4) requirement.</w:t>
      </w:r>
      <w:hyperlink w:anchor="X18350674cbfddfc5d79187c79617bd4ba93d6ab">
        <w:r>
          <w:rPr>
            <w:rStyle w:val="Elision"/>
            <w:vertAlign w:val="superscript"/>
          </w:rPr>
          <w:t xml:space="preserve">[ … ]</w:t>
        </w:r>
      </w:hyperlink>
      <w:r>
        <w:t xml:space="preserve"> </w:t>
      </w:r>
      <w:r>
        <w:t xml:space="preserve">Objectors maintained that class counsel and class representatives had disqualifying conflicts of interests. In particular, objectors urged, claimants whose injuries had become manifest and claimants without manifest injuries should not have common counsel and should not be aggregated in a single</w:t>
      </w:r>
      <w:r>
        <w:t xml:space="preserve"> </w:t>
      </w:r>
      <w:r>
        <w:rPr>
          <w:rStyle w:val="Elision"/>
        </w:rPr>
        <w:t xml:space="preserve">[ … ]</w:t>
      </w:r>
      <w:r>
        <w:t xml:space="preserve">class.</w:t>
      </w:r>
      <w:r>
        <w:t xml:space="preserve"> </w:t>
      </w:r>
      <w:r>
        <w:rPr>
          <w:rStyle w:val="Elision"/>
        </w:rPr>
        <w:t xml:space="preserve">[ … ]</w:t>
      </w:r>
    </w:p>
    <w:p>
      <w:pPr>
        <w:pStyle w:val="CaseBody"/>
      </w:pPr>
      <w:r>
        <w:t xml:space="preserve">Satisfied that class counsel had ably negotiated the settlement in the best interests of all concerned, and that the named parties served as adequate representatives, the District Court rejected these objections.</w:t>
      </w:r>
      <w:r>
        <w:t xml:space="preserve"> </w:t>
      </w:r>
      <w:r>
        <w:rPr>
          <w:rStyle w:val="Elision"/>
        </w:rPr>
        <w:t xml:space="preserve">[ … ]</w:t>
      </w:r>
    </w:p>
    <w:bookmarkEnd w:id="265"/>
    <w:bookmarkStart w:id="266" w:name="section-21"/>
    <w:p>
      <w:pPr>
        <w:pStyle w:val="Heading2"/>
      </w:pPr>
      <w:r>
        <w:rPr>
          <w:rStyle w:val="Elision"/>
        </w:rPr>
        <w:t xml:space="preserve">[ … ]</w:t>
      </w:r>
    </w:p>
    <w:bookmarkEnd w:id="266"/>
    <w:bookmarkStart w:id="267" w:name="iii-10"/>
    <w:p>
      <w:pPr>
        <w:pStyle w:val="Heading2"/>
      </w:pPr>
      <w:r>
        <w:t xml:space="preserve">III</w:t>
      </w:r>
    </w:p>
    <w:p>
      <w:pPr>
        <w:pStyle w:val="CaseBody"/>
      </w:pPr>
      <w:r>
        <w:rPr>
          <w:rStyle w:val="Elision"/>
        </w:rPr>
        <w:t xml:space="preserve">[ … ]</w:t>
      </w:r>
      <w:r>
        <w:t xml:space="preserve">Rule 23, governing federal-court class actions, stems from equity practice and gained its current shape in an innovative 1966 revision.</w:t>
      </w:r>
      <w:r>
        <w:t xml:space="preserve"> </w:t>
      </w:r>
      <w:r>
        <w:rPr>
          <w:rStyle w:val="Elision"/>
        </w:rPr>
        <w:t xml:space="preserve">[ … ]</w:t>
      </w:r>
    </w:p>
    <w:p>
      <w:pPr>
        <w:pStyle w:val="CaseBody"/>
      </w:pPr>
      <w:r>
        <w:t xml:space="preserve">In the 1966 class-action amendments, Rule 23(b)(3), the category at issue here, was "the most adventuresome" innovation.</w:t>
      </w:r>
      <w:r>
        <w:t xml:space="preserve"> </w:t>
      </w:r>
      <w:r>
        <w:rPr>
          <w:rStyle w:val="Elision"/>
        </w:rPr>
        <w:t xml:space="preserve">[ … ]</w:t>
      </w:r>
    </w:p>
    <w:p>
      <w:pPr>
        <w:pStyle w:val="CaseBody"/>
      </w:pPr>
      <w:r>
        <w:t xml:space="preserve">Framed for situations in which "class-action treatment is not as clearly called for" as it is in Rule 23(b)(1) and (b)(2) situations, Rule 23(b)(3) permits certification where class suit "may nevertheless be convenient and desirable."</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t xml:space="preserve">In the decades since the 1966 revision of Rule 23, classaction practice has become ever more "adventuresome" as a means of coping with claims too numerous to secure their</w:t>
      </w:r>
      <w:r>
        <w:t xml:space="preserve"> </w:t>
      </w:r>
      <w:r>
        <w:rPr>
          <w:rStyle w:val="Elision"/>
        </w:rPr>
        <w:t xml:space="preserve">[ … ]</w:t>
      </w:r>
      <w:r>
        <w:t xml:space="preserve"> </w:t>
      </w:r>
      <w:r>
        <w:t xml:space="preserve">"just, speedy, and inexpensive determination" one by one. See Fed. Rule Civ. Proc. 1. The development reflects concerns about the efficient use of court resources and the conservation of funds to compensate claimants who do not line up early in a litigation queue.</w:t>
      </w:r>
      <w:r>
        <w:t xml:space="preserve"> </w:t>
      </w:r>
      <w:r>
        <w:rPr>
          <w:rStyle w:val="Elision"/>
        </w:rPr>
        <w:t xml:space="preserve">[ … ]</w:t>
      </w:r>
    </w:p>
    <w:p>
      <w:pPr>
        <w:pStyle w:val="CaseBody"/>
      </w:pPr>
      <w:r>
        <w:rPr>
          <w:rStyle w:val="Elision"/>
        </w:rPr>
        <w:t xml:space="preserve">[ … ]</w:t>
      </w:r>
    </w:p>
    <w:p>
      <w:pPr>
        <w:pStyle w:val="CaseBody"/>
      </w:pPr>
      <w:r>
        <w:rPr>
          <w:rStyle w:val="Elision"/>
        </w:rPr>
        <w:t xml:space="preserve">[ … ]</w:t>
      </w:r>
      <w:r>
        <w:rPr>
          <w:rStyle w:val="Elision"/>
        </w:rPr>
        <w:t xml:space="preserve">[ … ]</w:t>
      </w:r>
      <w:r>
        <w:rPr>
          <w:rStyle w:val="Elision"/>
        </w:rPr>
        <w:t xml:space="preserve">[ … ]</w:t>
      </w: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bookmarkEnd w:id="267"/>
    <w:bookmarkStart w:id="268" w:name="a-8"/>
    <w:p>
      <w:pPr>
        <w:pStyle w:val="Heading2"/>
      </w:pPr>
      <w:r>
        <w:t xml:space="preserve">A</w:t>
      </w:r>
    </w:p>
    <w:p>
      <w:pPr>
        <w:pStyle w:val="CaseBody"/>
      </w:pPr>
      <w:r>
        <w:rPr>
          <w:rStyle w:val="ReplacementText"/>
        </w:rPr>
        <w:t xml:space="preserve">[Justice Ginsburg found that the class failed the predominance requirement.]</w:t>
      </w:r>
    </w:p>
    <w:bookmarkEnd w:id="268"/>
    <w:bookmarkStart w:id="269" w:name="b-7"/>
    <w:p>
      <w:pPr>
        <w:pStyle w:val="Heading2"/>
      </w:pPr>
      <w:r>
        <w:t xml:space="preserve">B</w:t>
      </w:r>
    </w:p>
    <w:p>
      <w:pPr>
        <w:pStyle w:val="CaseBody"/>
      </w:pPr>
      <w:r>
        <w:t xml:space="preserve">Nor can the class approved by the District Court satisfy Rule 23(a)(4)'s requirement that the named parties "will fairly and adequately protect the interests of the class." The adequacy inquiry under Rule 23(a)(4) serves to uncover conflicts of interest between named parties and the class they seek to represent.</w:t>
      </w:r>
      <w:r>
        <w:t xml:space="preserve"> </w:t>
      </w:r>
      <w:r>
        <w:rPr>
          <w:rStyle w:val="Elision"/>
        </w:rPr>
        <w:t xml:space="preserve">[ … ]</w:t>
      </w:r>
      <w:r>
        <w:t xml:space="preserve">"[A] class representative must be part of the class and `possess [626] the same interest and suffer the same injury' as the class members."</w:t>
      </w:r>
      <w:r>
        <w:t xml:space="preserve"> </w:t>
      </w:r>
      <w:r>
        <w:rPr>
          <w:rStyle w:val="Elision"/>
        </w:rPr>
        <w:t xml:space="preserve">[ … ]</w:t>
      </w:r>
    </w:p>
    <w:p>
      <w:pPr>
        <w:pStyle w:val="CaseBody"/>
      </w:pPr>
      <w:r>
        <w:t xml:space="preserve">A</w:t>
      </w:r>
      <w:r>
        <w:rPr>
          <w:rStyle w:val="Elision"/>
        </w:rPr>
        <w:t xml:space="preserve">[ … ]</w:t>
      </w:r>
      <w:r>
        <w:t xml:space="preserve"> </w:t>
      </w:r>
      <w:r>
        <w:t xml:space="preserve">the Third Circuit pointed out, named parties with diverse medical conditions sought to act on behalf of a single giant class rather than on behalf of discrete subclasses. In significant respects, the interests of those within the single class are not aligned. Most saliently, for the currently injured, the critical goal is generous immediate payments. That goal tugs against the interest of exposure-only plaintiffs in ensuring an ample, inflation-protected fund for the future.</w:t>
      </w:r>
      <w:r>
        <w:t xml:space="preserve"> </w:t>
      </w:r>
      <w:r>
        <w:rPr>
          <w:rStyle w:val="Elision"/>
        </w:rPr>
        <w:t xml:space="preserve">[ … ]</w:t>
      </w:r>
      <w:r>
        <w:rPr>
          <w:rStyle w:val="Elision"/>
        </w:rPr>
        <w:t xml:space="preserve">[ … ]</w:t>
      </w:r>
      <w:r>
        <w:rPr>
          <w:rStyle w:val="Elision"/>
        </w:rPr>
        <w:t xml:space="preserve">[ … ]</w:t>
      </w:r>
      <w:r>
        <w:rPr>
          <w:rStyle w:val="Elision"/>
        </w:rPr>
        <w:t xml:space="preserve">[ … ]</w:t>
      </w:r>
      <w:r>
        <w:t xml:space="preserve">").</w:t>
      </w:r>
    </w:p>
    <w:p>
      <w:pPr>
        <w:pStyle w:val="CaseBody"/>
      </w:pPr>
      <w:r>
        <w:t xml:space="preserve">The disparity between the currently injured and exposure-only categories of plaintiffs, and the diversity within each category are not made insignificant by the District Court's finding that petitioners' assets suffice to pay claims under the settlement.</w:t>
      </w:r>
      <w:r>
        <w:t xml:space="preserve"> </w:t>
      </w:r>
      <w:r>
        <w:rPr>
          <w:rStyle w:val="Elision"/>
        </w:rPr>
        <w:t xml:space="preserve">[ … ]</w:t>
      </w:r>
      <w:r>
        <w:t xml:space="preserve">Although</w:t>
      </w:r>
      <w:r>
        <w:t xml:space="preserve"> </w:t>
      </w:r>
      <w:r>
        <w:rPr>
          <w:rStyle w:val="Elision"/>
        </w:rPr>
        <w:t xml:space="preserve">[ … ]</w:t>
      </w:r>
      <w:r>
        <w:t xml:space="preserve">this is not a "limited fund" case certified under Rule 23(b)(1)(B), the terms of the settlement reflect essential allocation decisions designed to confine compensation and to limit defendants' liability. For example, as earlier described,</w:t>
      </w:r>
      <w:r>
        <w:t xml:space="preserve"> </w:t>
      </w:r>
      <w:r>
        <w:rPr>
          <w:rStyle w:val="Elision"/>
        </w:rPr>
        <w:t xml:space="preserve">[ … ]</w:t>
      </w:r>
      <w:r>
        <w:t xml:space="preserve">the settlement includes no adjustment for inflation; only a few claimants per year can opt out at the back end; and loss-of-consortium claims are extinguished with no compensation.</w:t>
      </w:r>
    </w:p>
    <w:p>
      <w:pPr>
        <w:pStyle w:val="CaseBody"/>
      </w:pPr>
      <w:r>
        <w:t xml:space="preserve">The settling parties, in sum, achieved a global compromise with no structural assurance of fair and adequate representation for the diverse groups and individuals affected. Although the named parties alleged a range of complaints, each served generally as representative for the whole, not for a separate constituency.</w:t>
      </w:r>
      <w:r>
        <w:t xml:space="preserve"> </w:t>
      </w:r>
      <w:r>
        <w:rPr>
          <w:rStyle w:val="Elision"/>
        </w:rPr>
        <w:t xml:space="preserve">[ … ]</w:t>
      </w:r>
    </w:p>
    <w:bookmarkEnd w:id="269"/>
    <w:bookmarkStart w:id="270" w:name="section-22"/>
    <w:p>
      <w:pPr>
        <w:pStyle w:val="Heading2"/>
      </w:pPr>
      <w:r>
        <w:rPr>
          <w:rStyle w:val="Elision"/>
        </w:rPr>
        <w:t xml:space="preserve">[ … ]</w:t>
      </w:r>
    </w:p>
    <w:p>
      <w:pPr>
        <w:pStyle w:val="CaseBody"/>
      </w:pPr>
      <w:r>
        <w:t xml:space="preserve">For the reasons stated, the judgment of the Court of Appeals for the Third Circuit is</w:t>
      </w:r>
    </w:p>
    <w:p>
      <w:pPr>
        <w:pStyle w:val="CaseBody"/>
      </w:pPr>
      <w:r>
        <w:rPr>
          <w:iCs/>
          <w:i/>
        </w:rPr>
        <w:t xml:space="preserve">Affirmed.</w:t>
      </w:r>
    </w:p>
    <w:p>
      <w:pPr>
        <w:pStyle w:val="CaseBody"/>
      </w:pPr>
      <w:r>
        <w:rPr>
          <w:rStyle w:val="Elision"/>
        </w:rPr>
        <w:t xml:space="preserve">[ … ]</w:t>
      </w:r>
    </w:p>
    <w:p>
      <w:pPr>
        <w:pStyle w:val="CaseBody"/>
      </w:pPr>
      <w:r>
        <w:rPr>
          <w:rStyle w:val="Elision"/>
        </w:rPr>
        <w:t xml:space="preserve">[ … ]</w:t>
      </w:r>
    </w:p>
    <w:p>
      <w:pPr>
        <w:pStyle w:val="CaseBody"/>
      </w:pPr>
      <w:hyperlink w:anchor="Xbc4c1a24307d5374223898a41586bd3ad8f02a9">
        <w:r>
          <w:rPr>
            <w:rStyle w:val="Elision"/>
          </w:rPr>
          <w:t xml:space="preserve">[ … ]</w:t>
        </w:r>
      </w:hyperlink>
    </w:p>
    <w:bookmarkEnd w:id="270"/>
    <w:p>
      <w:pPr>
        <w:pStyle w:val="NodeEnd"/>
      </w:pPr>
      <w:r>
        <w:t xml:space="preserve"> </w:t>
      </w:r>
    </w:p>
    <w:p>
      <w:pPr>
        <w:pStyle w:val="NodeStart"/>
      </w:pPr>
      <w:r>
        <w:t xml:space="preserve"> </w:t>
      </w:r>
    </w:p>
    <w:p>
      <w:pPr>
        <w:pStyle w:val="HeadSeparator"/>
      </w:pPr>
      <w:r>
        <w:t xml:space="preserve"> </w:t>
      </w:r>
    </w:p>
    <w:bookmarkStart w:id="255" w:name="_auto_toc_255"/>
    <w:bookmarkEnd w:id="255"/>
    <w:p>
      <w:pPr>
        <w:pStyle w:val="ResourceNumber"/>
      </w:pPr>
      <w:r>
        <w:t xml:space="preserve">22.5</w:t>
      </w:r>
    </w:p>
    <w:p>
      <w:pPr>
        <w:pStyle w:val="ResourceTitle"/>
      </w:pPr>
      <w:r>
        <w:t xml:space="preserve">Phillips Petroleum Co. v. Shutts</w:t>
      </w:r>
    </w:p>
    <w:p>
      <w:pPr>
        <w:pStyle w:val="HeadFieldSeparator"/>
      </w:pPr>
      <w:r>
        <w:t xml:space="preserve"> </w:t>
      </w:r>
    </w:p>
    <w:p>
      <w:pPr>
        <w:pStyle w:val="ResourceHeadnote"/>
      </w:pPr>
      <w:r>
        <w:t xml:space="preserve">This case addresses two questions:</w:t>
      </w:r>
    </w:p>
    <w:p>
      <w:pPr>
        <w:pStyle w:val="ResourceHeadnote"/>
      </w:pPr>
      <w:r>
        <w:t xml:space="preserve">1) Are there procedural due process concerns with the class action device vis-a-vis the unnamed plaintiffs, who face the prospect of having their claims adjudicated (and thus extinguished) in a proceeding in which they exercised little, if any, control?</w:t>
      </w:r>
    </w:p>
    <w:p>
      <w:pPr>
        <w:pStyle w:val="ResourceHeadnote"/>
      </w:pPr>
      <w:r>
        <w:t xml:space="preserve">2) Are there constitutional limits on horizontal choice of law? For example, could a state court choose to apply its own state's law to transactions bearing little, if any, connection to that state?</w:t>
      </w:r>
    </w:p>
    <w:p>
      <w:pPr>
        <w:pStyle w:val="HeadEnd"/>
      </w:pPr>
      <w:r>
        <w:t xml:space="preserve"> </w:t>
      </w:r>
    </w:p>
    <w:p>
      <w:pPr>
        <w:pStyle w:val="CaseHeader"/>
      </w:pPr>
      <w:r>
        <w:t xml:space="preserve">Supreme Court of the United States</w:t>
      </w:r>
    </w:p>
    <w:p>
      <w:pPr>
        <w:pStyle w:val="CaseHeader"/>
      </w:pPr>
      <w:r>
        <w:t xml:space="preserve">472 U.S. 797, 86 L. Ed. 2d 628, 105 S. Ct. 2965, SCDB 1984-143, 1985 U.S. LEXIS 104</w:t>
      </w:r>
    </w:p>
    <w:p>
      <w:pPr>
        <w:pStyle w:val="CaseHeader"/>
      </w:pPr>
      <w:r>
        <w:t xml:space="preserve">No. 84-233</w:t>
      </w:r>
    </w:p>
    <w:p>
      <w:pPr>
        <w:pStyle w:val="CaseHeader"/>
      </w:pPr>
      <w:r>
        <w:t xml:space="preserve">1985-06-26</w:t>
      </w:r>
    </w:p>
    <w:p>
      <w:pPr>
        <w:pStyle w:val="CaseBody"/>
      </w:pPr>
      <w:r>
        <w:t xml:space="preserve">472 U.S. 797 (1985)</w:t>
      </w:r>
    </w:p>
    <w:p>
      <w:pPr>
        <w:pStyle w:val="CaseHeader"/>
      </w:pPr>
      <w:r>
        <w:t xml:space="preserve">PHILLIPS PETROLEUM CO.</w:t>
      </w:r>
      <w:r>
        <w:br/>
      </w:r>
      <w:r>
        <w:t xml:space="preserve">v.</w:t>
      </w:r>
      <w:r>
        <w:br/>
      </w:r>
      <w:r>
        <w:t xml:space="preserve">SHUTTS ET AL.</w:t>
      </w:r>
    </w:p>
    <w:p>
      <w:pPr>
        <w:pStyle w:val="CaseBody"/>
      </w:pPr>
      <w:r>
        <w:t xml:space="preserve">No. 84-233.</w:t>
      </w:r>
    </w:p>
    <w:p>
      <w:pPr>
        <w:pStyle w:val="CaseBody"/>
      </w:pPr>
      <w:r>
        <w:t xml:space="preserve">Supreme Court of United States.</w:t>
      </w:r>
    </w:p>
    <w:p>
      <w:pPr>
        <w:pStyle w:val="CaseBody"/>
      </w:pPr>
      <w:r>
        <w:t xml:space="preserve">Argued February 25, 1985</w:t>
      </w:r>
    </w:p>
    <w:p>
      <w:pPr>
        <w:pStyle w:val="CaseBody"/>
      </w:pPr>
      <w:r>
        <w:t xml:space="preserve">Decided June 26, 1985</w:t>
      </w:r>
    </w:p>
    <w:bookmarkStart w:id="271" w:name="section-23"/>
    <w:p>
      <w:pPr>
        <w:pStyle w:val="Heading2"/>
      </w:pPr>
      <w:r>
        <w:rPr>
          <w:rStyle w:val="Elision"/>
        </w:rPr>
        <w:t xml:space="preserve">[ … ]</w:t>
      </w:r>
    </w:p>
    <w:bookmarkEnd w:id="271"/>
    <w:bookmarkStart w:id="272" w:name="Xa5a815f37826da902d13bbd03d109524f8a79b5"/>
    <w:p>
      <w:pPr>
        <w:pStyle w:val="Heading2"/>
      </w:pPr>
      <w:r>
        <w:t xml:space="preserve">JUSTICE REHNQUIST delivered the opinion of the Court.</w:t>
      </w:r>
    </w:p>
    <w:p>
      <w:pPr>
        <w:pStyle w:val="CaseBody"/>
      </w:pPr>
      <w:r>
        <w:t xml:space="preserve">Petitioner is a Delaware corporation which has its principal place of business in Oklahoma. During the 1970's it produced or purchased natural gas from leased land located in 11 different States, and sold most of the gas in interstate commerce. Respondents are some 28,000 of the royalty owners possessing rights to the leases from which petitioner produced the gas; they reside in all 50 States, the District of Columbia, and several foreign countries. Respondents brought a class action</w:t>
      </w:r>
      <w:r>
        <w:t xml:space="preserve"> </w:t>
      </w:r>
      <w:r>
        <w:rPr>
          <w:rStyle w:val="Elision"/>
        </w:rPr>
        <w:t xml:space="preserve">[ … ]</w:t>
      </w:r>
      <w:r>
        <w:t xml:space="preserve">in the Kansas state court, seeking to recover interest on royalty payments which had been delayed</w:t>
      </w:r>
      <w:r>
        <w:rPr>
          <w:rStyle w:val="Elision"/>
        </w:rPr>
        <w:t xml:space="preserve">[ … ]</w:t>
      </w:r>
      <w:r>
        <w:t xml:space="preserve">. They recovered judgment in the trial court, and the Supreme Court of Kansas affirmed the judgment over petitioner's contentions that the Due Process Clause of the Fourteenth Amendment prevented Kansas from adjudicating the claims of all the respondents, and that the Due Process Clause and the Full Faith and Credit Clause of Article IV of the Constitution prohibited the application of Kansas law to all of the transactions</w:t>
      </w:r>
      <w:r>
        <w:t xml:space="preserve"> </w:t>
      </w:r>
      <w:r>
        <w:rPr>
          <w:rStyle w:val="Elision"/>
        </w:rPr>
        <w:t xml:space="preserve">[ … ]</w:t>
      </w:r>
      <w:r>
        <w:t xml:space="preserve">We reject petitioner's jurisdictional claim, but sustain its claim regarding the choice of law.</w:t>
      </w:r>
    </w:p>
    <w:p>
      <w:pPr>
        <w:pStyle w:val="CaseBody"/>
      </w:pPr>
      <w:r>
        <w:t xml:space="preserve">Because petitioner sold the gas to its customers in interstate commerce, it was required to secure approval for price increases from what was then the Federal Power Commission</w:t>
      </w:r>
      <w:r>
        <w:rPr>
          <w:rStyle w:val="Elision"/>
        </w:rPr>
        <w:t xml:space="preserve">[ … ]</w:t>
      </w:r>
      <w:r>
        <w:t xml:space="preserve">Under its regulations the</w:t>
      </w:r>
      <w:r>
        <w:t xml:space="preserve"> </w:t>
      </w:r>
      <w:r>
        <w:rPr>
          <w:rStyle w:val="Elision"/>
        </w:rPr>
        <w:t xml:space="preserve">[ … ]</w:t>
      </w:r>
      <w:r>
        <w:t xml:space="preserve">Commission permitted petitioner to propose and collect tentative higher gas prices, subject to final approval</w:t>
      </w:r>
      <w:r>
        <w:t xml:space="preserve"> </w:t>
      </w:r>
      <w:r>
        <w:rPr>
          <w:rStyle w:val="Elision"/>
        </w:rPr>
        <w:t xml:space="preserve">[ … ]</w:t>
      </w:r>
      <w:r>
        <w:t xml:space="preserve"> </w:t>
      </w:r>
      <w:r>
        <w:t xml:space="preserve">If the Commission eventually denied petitioner's proposed price increase</w:t>
      </w:r>
      <w:r>
        <w:rPr>
          <w:rStyle w:val="Elision"/>
        </w:rPr>
        <w:t xml:space="preserve">[ … ]</w:t>
      </w:r>
      <w:r>
        <w:t xml:space="preserve">, petitioner would</w:t>
      </w:r>
      <w:r>
        <w:rPr>
          <w:rStyle w:val="Elision"/>
        </w:rPr>
        <w:t xml:space="preserve">[ … ]</w:t>
      </w:r>
      <w:r>
        <w:t xml:space="preserve"> </w:t>
      </w:r>
      <w:r>
        <w:t xml:space="preserve">have to refund to its customers the difference</w:t>
      </w:r>
      <w:r>
        <w:t xml:space="preserve"> </w:t>
      </w:r>
      <w:r>
        <w:rPr>
          <w:rStyle w:val="Elision"/>
        </w:rPr>
        <w:t xml:space="preserve">[ … ]</w:t>
      </w:r>
      <w:r>
        <w:t xml:space="preserve"> </w:t>
      </w:r>
      <w:r>
        <w:t xml:space="preserve">plus interest</w:t>
      </w:r>
      <w:r>
        <w:rPr>
          <w:rStyle w:val="Elision"/>
        </w:rPr>
        <w:t xml:space="preserve">[ … ]</w:t>
      </w:r>
    </w:p>
    <w:p>
      <w:pPr>
        <w:pStyle w:val="CaseBody"/>
      </w:pPr>
      <w:r>
        <w:t xml:space="preserve">Although petitioner received higher gas prices pending review</w:t>
      </w:r>
      <w:r>
        <w:t xml:space="preserve"> </w:t>
      </w:r>
      <w:r>
        <w:rPr>
          <w:rStyle w:val="Elision"/>
        </w:rPr>
        <w:t xml:space="preserve">[ … ]</w:t>
      </w:r>
      <w:r>
        <w:t xml:space="preserve">, petitioner</w:t>
      </w:r>
      <w:r>
        <w:t xml:space="preserve"> </w:t>
      </w:r>
      <w:r>
        <w:rPr>
          <w:rStyle w:val="Elision"/>
        </w:rPr>
        <w:t xml:space="preserve">[ … ]</w:t>
      </w:r>
      <w:r>
        <w:t xml:space="preserve">agreed to pay the higher royalty only if the royalty owners would provide petitioner with a bond or indemnity</w:t>
      </w:r>
      <w:r>
        <w:t xml:space="preserve"> </w:t>
      </w:r>
      <w:r>
        <w:rPr>
          <w:rStyle w:val="Elision"/>
        </w:rPr>
        <w:t xml:space="preserve">[ … ]</w:t>
      </w:r>
      <w:r>
        <w:t xml:space="preserve">A small percentage</w:t>
      </w:r>
      <w:r>
        <w:t xml:space="preserve"> </w:t>
      </w:r>
      <w:r>
        <w:rPr>
          <w:rStyle w:val="Elision"/>
        </w:rPr>
        <w:t xml:space="preserve">[ … ]</w:t>
      </w:r>
      <w:r>
        <w:t xml:space="preserve">provided this indemnity and received royalties immediately</w:t>
      </w:r>
      <w:r>
        <w:t xml:space="preserve"> </w:t>
      </w:r>
      <w:r>
        <w:rPr>
          <w:rStyle w:val="Elision"/>
        </w:rPr>
        <w:t xml:space="preserve">[ … ]</w:t>
      </w:r>
      <w:r>
        <w:t xml:space="preserve">;</w:t>
      </w:r>
      <w:r>
        <w:t xml:space="preserve"> </w:t>
      </w:r>
      <w:r>
        <w:rPr>
          <w:rStyle w:val="ReplacementText"/>
        </w:rPr>
        <w:t xml:space="preserve">they</w:t>
      </w:r>
      <w:r>
        <w:t xml:space="preserve">are unimportant to this case.</w:t>
      </w:r>
    </w:p>
    <w:p>
      <w:pPr>
        <w:pStyle w:val="CaseBody"/>
      </w:pPr>
      <w:r>
        <w:t xml:space="preserve">The remaining royalty owners received no royalty on the unapproved portion of the prices until the</w:t>
      </w:r>
      <w:r>
        <w:t xml:space="preserve"> </w:t>
      </w:r>
      <w:r>
        <w:rPr>
          <w:rStyle w:val="ReplacementText"/>
        </w:rPr>
        <w:t xml:space="preserve">Commission</w:t>
      </w:r>
      <w:r>
        <w:t xml:space="preserve"> </w:t>
      </w:r>
      <w:r>
        <w:t xml:space="preserve">approval of those prices became final.</w:t>
      </w:r>
      <w:r>
        <w:t xml:space="preserve"> </w:t>
      </w:r>
      <w:r>
        <w:rPr>
          <w:rStyle w:val="Elision"/>
        </w:rPr>
        <w:t xml:space="preserve">[ … ]</w:t>
      </w:r>
      <w:r>
        <w:t xml:space="preserve">In three written opinions the Commission approved all of petitioner's tentative price increases, so petitioner paid to its royalty owners the suspended royalties</w:t>
      </w:r>
      <w:r>
        <w:rPr>
          <w:rStyle w:val="Elision"/>
        </w:rPr>
        <w:t xml:space="preserve">[ … ]</w:t>
      </w:r>
      <w:r>
        <w:t xml:space="preserve">Petitioner paid no interest to the royalty owners</w:t>
      </w:r>
      <w:r>
        <w:t xml:space="preserve"> </w:t>
      </w:r>
      <w:r>
        <w:rPr>
          <w:rStyle w:val="Elision"/>
        </w:rPr>
        <w:t xml:space="preserve">[ … ]</w:t>
      </w:r>
    </w:p>
    <w:p>
      <w:pPr>
        <w:pStyle w:val="CaseBody"/>
      </w:pPr>
      <w:r>
        <w:t xml:space="preserve">Respondents Irl Shutts, Robert Anderson, and Betty Anderson filed suit against petitioner in Kansas state court, seeking interest payments on their suspended royalties</w:t>
      </w:r>
      <w:r>
        <w:t xml:space="preserve"> </w:t>
      </w:r>
      <w:r>
        <w:rPr>
          <w:rStyle w:val="Elision"/>
        </w:rPr>
        <w:t xml:space="preserve">[ … ]</w:t>
      </w:r>
      <w:r>
        <w:t xml:space="preserve"> </w:t>
      </w:r>
      <w:r>
        <w:t xml:space="preserve">Shutts is a resident of Kansas, and the Andersons live in Oklahoma. Shutts and the Andersons</w:t>
      </w:r>
      <w:r>
        <w:rPr>
          <w:rStyle w:val="Elision"/>
        </w:rPr>
        <w:t xml:space="preserve">[ … ]</w:t>
      </w:r>
      <w:r>
        <w:t xml:space="preserve"> </w:t>
      </w:r>
      <w:r>
        <w:t xml:space="preserve">own gas leases in Oklahoma and Texas. Over petitioner's objection the Kansas trial court granted respondents' motion to certify the suit as a class action under Kansas law.</w:t>
      </w:r>
      <w:r>
        <w:t xml:space="preserve"> </w:t>
      </w:r>
      <w:r>
        <w:rPr>
          <w:rStyle w:val="Elision"/>
        </w:rPr>
        <w:t xml:space="preserve">[ … ]</w:t>
      </w:r>
      <w:r>
        <w:t xml:space="preserve"> </w:t>
      </w:r>
      <w:r>
        <w:t xml:space="preserve">The class as certified was comprised of 33,000 royalty owners who had royalties suspended by petitioner. The average claim of each royalty owner for interest on the suspended royalties was $100.</w:t>
      </w:r>
    </w:p>
    <w:p>
      <w:pPr>
        <w:pStyle w:val="CaseBody"/>
      </w:pPr>
      <w:r>
        <w:t xml:space="preserve">After the class was certified respondents provided each class member with notice through first-class mail. The notice</w:t>
      </w:r>
      <w:r>
        <w:t xml:space="preserve"> </w:t>
      </w:r>
      <w:r>
        <w:rPr>
          <w:rStyle w:val="Elision"/>
        </w:rPr>
        <w:t xml:space="preserve">[ … ]</w:t>
      </w:r>
      <w:r>
        <w:t xml:space="preserve">stated that class members would be included in the class and bound by the judgment unless they "opted out" of the lawsuit by executing and returning a "request for exclusion"</w:t>
      </w:r>
      <w:r>
        <w:rPr>
          <w:rStyle w:val="Elision"/>
        </w:rPr>
        <w:t xml:space="preserve">[ … ]</w:t>
      </w:r>
      <w:r>
        <w:t xml:space="preserve">The final class as certified contained 28,100 members; 3,400 had "opted out" of the class by returning the request for exclusion, and notice could not be delivered to another 1,500 members, who were also excluded. Less than 1,000 of the class members resided in Kansas. Only a minuscule amount</w:t>
      </w:r>
      <w:r>
        <w:rPr>
          <w:rStyle w:val="Elision"/>
        </w:rPr>
        <w:t xml:space="preserve">[ … ]</w:t>
      </w:r>
      <w:r>
        <w:t xml:space="preserve">of the gas leases involved in the lawsuit were on Kansas land.</w:t>
      </w:r>
    </w:p>
    <w:p>
      <w:pPr>
        <w:pStyle w:val="CaseBody"/>
      </w:pPr>
      <w:r>
        <w:rPr>
          <w:rStyle w:val="Elision"/>
        </w:rPr>
        <w:t xml:space="preserve">[ … ]</w:t>
      </w:r>
      <w:r>
        <w:t xml:space="preserve"> </w:t>
      </w:r>
      <w:r>
        <w:t xml:space="preserve">The court found petitioner liable under Kansas law for interest on the suspended royalties to all class members.</w:t>
      </w:r>
      <w:r>
        <w:t xml:space="preserve"> </w:t>
      </w:r>
      <w:r>
        <w:rPr>
          <w:rStyle w:val="Elision"/>
        </w:rPr>
        <w:t xml:space="preserve">[ … ]</w:t>
      </w:r>
    </w:p>
    <w:p>
      <w:pPr>
        <w:pStyle w:val="CaseBody"/>
      </w:pPr>
      <w:r>
        <w:t xml:space="preserve">The trial court did not determine whether any difference existed between the laws of Kansas and other States, or whether another State's laws should be applied to non-Kansas plaintiffs or to royalties from leases in States other than Kansas.</w:t>
      </w:r>
      <w:r>
        <w:t xml:space="preserve"> </w:t>
      </w:r>
      <w:r>
        <w:rPr>
          <w:rStyle w:val="Elision"/>
        </w:rPr>
        <w:t xml:space="preserve">[ … ]</w:t>
      </w:r>
    </w:p>
    <w:p>
      <w:pPr>
        <w:pStyle w:val="CaseBody"/>
      </w:pPr>
      <w:r>
        <w:t xml:space="preserve">Petitioner raised two principal claims in its appeal</w:t>
      </w:r>
      <w:r>
        <w:t xml:space="preserve"> </w:t>
      </w:r>
      <w:r>
        <w:rPr>
          <w:rStyle w:val="Elision"/>
        </w:rPr>
        <w:t xml:space="preserve">[ … ]</w:t>
      </w:r>
      <w:r>
        <w:t xml:space="preserve">. It first asserted that the Kansas trial court did not possess personal jurisdiction over absent plaintiff class members as required by</w:t>
      </w:r>
      <w:r>
        <w:t xml:space="preserve"> </w:t>
      </w:r>
      <w:r>
        <w:rPr>
          <w:iCs/>
          <w:i/>
        </w:rPr>
        <w:t xml:space="preserve">International Shoe Co.</w:t>
      </w:r>
      <w:r>
        <w:t xml:space="preserve"> </w:t>
      </w:r>
      <w:r>
        <w:rPr>
          <w:rStyle w:val="Elision"/>
        </w:rPr>
        <w:t xml:space="preserve">[ … ]</w:t>
      </w:r>
      <w:r>
        <w:t xml:space="preserve">and similar cases. Related to this first claim was petitioner's contention that the "opt-out" notice to absent class members</w:t>
      </w:r>
      <w:r>
        <w:rPr>
          <w:rStyle w:val="Elision"/>
        </w:rPr>
        <w:t xml:space="preserve">[ … ]</w:t>
      </w:r>
      <w:r>
        <w:t xml:space="preserve">was insufficient to bind class members who were not residents of Kansas or who did not possess "minimum contacts" with Kansas. Second, petitioner claimed that Kansas courts could not apply Kansas law to every claim in the dispute. The trial court should have looked to the laws of each State</w:t>
      </w:r>
      <w:r>
        <w:rPr>
          <w:rStyle w:val="Elision"/>
        </w:rPr>
        <w:t xml:space="preserve">[ … ]</w:t>
      </w:r>
      <w:r>
        <w:t xml:space="preserve"> </w:t>
      </w:r>
      <w:r>
        <w:t xml:space="preserve">where the leases were located to determine, on the basis of conflict of laws principles, whether interest on the suspended royalties was recoverable, and at what rate.</w:t>
      </w:r>
    </w:p>
    <w:p>
      <w:pPr>
        <w:pStyle w:val="CaseBody"/>
      </w:pPr>
      <w:r>
        <w:t xml:space="preserve">The Supreme Court of Kansas</w:t>
      </w:r>
      <w:r>
        <w:t xml:space="preserve"> </w:t>
      </w:r>
      <w:r>
        <w:rPr>
          <w:rStyle w:val="Elision"/>
        </w:rPr>
        <w:t xml:space="preserve">[ … ]</w:t>
      </w:r>
      <w:r>
        <w:t xml:space="preserve">rejected both of petitioner's claims.</w:t>
      </w:r>
      <w:r>
        <w:t xml:space="preserve"> </w:t>
      </w:r>
      <w:r>
        <w:rPr>
          <w:rStyle w:val="Elision"/>
        </w:rPr>
        <w:t xml:space="preserve">[ … ]</w:t>
      </w:r>
    </w:p>
    <w:bookmarkEnd w:id="272"/>
    <w:bookmarkStart w:id="273" w:name="section-24"/>
    <w:p>
      <w:pPr>
        <w:pStyle w:val="Heading2"/>
      </w:pPr>
      <w:r>
        <w:rPr>
          <w:rStyle w:val="Elision"/>
        </w:rPr>
        <w:t xml:space="preserve">[ … ]</w:t>
      </w:r>
    </w:p>
    <w:p>
      <w:pPr>
        <w:pStyle w:val="CaseBody"/>
      </w:pPr>
      <w:r>
        <w:rPr>
          <w:rStyle w:val="Elision"/>
        </w:rPr>
        <w:t xml:space="preserve">[ … ]</w:t>
      </w:r>
    </w:p>
    <w:p>
      <w:pPr>
        <w:pStyle w:val="CaseBody"/>
      </w:pPr>
      <w:r>
        <w:rPr>
          <w:rStyle w:val="Elision"/>
        </w:rPr>
        <w:t xml:space="preserve">[ … ]</w:t>
      </w:r>
    </w:p>
    <w:bookmarkEnd w:id="273"/>
    <w:bookmarkStart w:id="274" w:name="ii-10"/>
    <w:p>
      <w:pPr>
        <w:pStyle w:val="Heading2"/>
      </w:pPr>
      <w:r>
        <w:t xml:space="preserve">II</w:t>
      </w:r>
    </w:p>
    <w:p>
      <w:pPr>
        <w:pStyle w:val="CaseBody"/>
      </w:pPr>
      <w:r>
        <w:t xml:space="preserve">Reduced to its essentials, petitioner's argument is that unless out-of-state plaintiffs affirmatively consent, the Kansas courts may not exert jurisdiction over their claims. Petitioner claims that failure to execute and return the "request for exclusion" provided with the class notice cannot constitute consent of the out-of-state plaintiffs; thus Kansas courts may exercise jurisdiction over these plaintiffs only if the plaintiffs possess the sufficient "minimum contacts" with Kansas as that term is used in cases involving personal jurisdiction over out-of-state defendants.</w:t>
      </w:r>
      <w:r>
        <w:t xml:space="preserve"> </w:t>
      </w:r>
      <w:r>
        <w:rPr>
          <w:rStyle w:val="Elision"/>
        </w:rPr>
        <w:t xml:space="preserve">[ … ]</w:t>
      </w:r>
      <w:r>
        <w:t xml:space="preserve">Since Kansas had no prelitigation contact with many of the plaintiffs and leases involved, petitioner claims that Kansas has exceeded its jurisdictional reach and thereby violated the due process rights of the absent plaintiffs.</w:t>
      </w:r>
    </w:p>
    <w:p>
      <w:pPr>
        <w:pStyle w:val="CaseBody"/>
      </w:pPr>
      <w:r>
        <w:t xml:space="preserve">In</w:t>
      </w:r>
      <w:r>
        <w:t xml:space="preserve"> </w:t>
      </w:r>
      <w:r>
        <w:rPr>
          <w:iCs/>
          <w:i/>
        </w:rPr>
        <w:t xml:space="preserve">International Shoe</w:t>
      </w:r>
      <w:r>
        <w:t xml:space="preserve"> </w:t>
      </w:r>
      <w:r>
        <w:rPr>
          <w:rStyle w:val="Elision"/>
        </w:rPr>
        <w:t xml:space="preserve">[ … ]</w:t>
      </w:r>
      <w:r>
        <w:t xml:space="preserve">We noted that the Due Process Clause did not permit a State to make a binding judgment against a person with whom the State had no contacts,</w:t>
      </w:r>
      <w:r>
        <w:t xml:space="preserve"> </w:t>
      </w:r>
      <w:r>
        <w:rPr>
          <w:rStyle w:val="Elision"/>
        </w:rPr>
        <w:t xml:space="preserve">[ … ]</w:t>
      </w:r>
      <w:r>
        <w:t xml:space="preserve"> </w:t>
      </w:r>
      <w:r>
        <w:t xml:space="preserve">ties, or relations.</w:t>
      </w:r>
      <w:r>
        <w:t xml:space="preserve"> </w:t>
      </w:r>
      <w:r>
        <w:rPr>
          <w:rStyle w:val="Elision"/>
        </w:rPr>
        <w:t xml:space="preserve">[ … ]</w:t>
      </w:r>
      <w:r>
        <w:t xml:space="preserve">If the defendant possessed certain minimum contacts with the State, so that it was "reasonable and just, according to our traditional conception of fair play and substantial justice" for a State to exercise personal jurisdiction, the State could force the defendant to defend himself in the forum</w:t>
      </w:r>
      <w:r>
        <w:rPr>
          <w:rStyle w:val="Elision"/>
        </w:rPr>
        <w:t xml:space="preserve">[ … ]</w:t>
      </w:r>
    </w:p>
    <w:p>
      <w:pPr>
        <w:pStyle w:val="CaseBody"/>
      </w:pPr>
      <w:r>
        <w:t xml:space="preserve">The purpose of this test, of course, is to protect a defendant from the travail of defending in a distant forum, unless the defendant's contacts with the forum make it just to force him to defend there.</w:t>
      </w:r>
      <w:r>
        <w:t xml:space="preserve"> </w:t>
      </w:r>
      <w:r>
        <w:rPr>
          <w:rStyle w:val="Elision"/>
        </w:rPr>
        <w:t xml:space="preserve">[ … ]</w:t>
      </w:r>
    </w:p>
    <w:p>
      <w:pPr>
        <w:pStyle w:val="CaseBody"/>
      </w:pPr>
      <w:r>
        <w:t xml:space="preserve">Although the cases like</w:t>
      </w:r>
      <w:r>
        <w:t xml:space="preserve"> </w:t>
      </w:r>
      <w:r>
        <w:rPr>
          <w:iCs/>
          <w:i/>
        </w:rPr>
        <w:t xml:space="preserve">Shaffer</w:t>
      </w:r>
      <w:r>
        <w:t xml:space="preserve"> </w:t>
      </w:r>
      <w:r>
        <w:t xml:space="preserve">and</w:t>
      </w:r>
      <w:r>
        <w:t xml:space="preserve"> </w:t>
      </w:r>
      <w:r>
        <w:rPr>
          <w:iCs/>
          <w:i/>
        </w:rPr>
        <w:t xml:space="preserve">Woodson</w:t>
      </w:r>
      <w:r>
        <w:t xml:space="preserve"> </w:t>
      </w:r>
      <w:r>
        <w:t xml:space="preserve">which petitioner relies on for a minimum contacts requirement all dealt with out-of-state defendants or parties in the procedural posture of a defendant,</w:t>
      </w:r>
      <w:r>
        <w:t xml:space="preserve"> </w:t>
      </w:r>
      <w:r>
        <w:rPr>
          <w:rStyle w:val="Elision"/>
        </w:rPr>
        <w:t xml:space="preserve">[ … ]</w:t>
      </w:r>
      <w:r>
        <w:t xml:space="preserve">petitioner claims that the same analysis must apply to absent class-action plaintiffs. In this regard petitioner correctly points out that a chose in action is a constitutionally recognized property interest possessed by each of the plaintiffs.</w:t>
      </w:r>
      <w:r>
        <w:t xml:space="preserve"> </w:t>
      </w:r>
      <w:r>
        <w:rPr>
          <w:rStyle w:val="Elision"/>
        </w:rPr>
        <w:t xml:space="preserve">[ … ]</w:t>
      </w:r>
      <w:r>
        <w:t xml:space="preserve">An adverse judgment by Kansas courts in this case may extinguish the chose in action forever through res judicata. Such an adverse judgment, petitioner claims, would be every bit as onerous to an absent plaintiff as an adverse judgment on the merits would be to a defendant.</w:t>
      </w:r>
      <w:r>
        <w:t xml:space="preserve"> </w:t>
      </w:r>
      <w:r>
        <w:rPr>
          <w:rStyle w:val="Elision"/>
        </w:rPr>
        <w:t xml:space="preserve">[ … ]</w:t>
      </w:r>
      <w:r>
        <w:t xml:space="preserve">Thus, the same due process protections should apply to absent plaintiffs: Kansas should not be able to exert jurisdiction over the plaintiffs' claims unless the plaintiffs have sufficient minimum contacts with Kansas.</w:t>
      </w:r>
    </w:p>
    <w:p>
      <w:pPr>
        <w:pStyle w:val="CaseBody"/>
      </w:pPr>
      <w:r>
        <w:t xml:space="preserve">We think petitioner's premise is in error. The burdens placed by a State upon an absent class-action plaintiff are not of the same order or magnitude as those it places upon an absent defendant. An out-of-state defendant summoned by a plaintiff is faced with the full powers of the forum State to render judgment</w:t>
      </w:r>
      <w:r>
        <w:t xml:space="preserve"> </w:t>
      </w:r>
      <w:r>
        <w:rPr>
          <w:iCs/>
          <w:i/>
        </w:rPr>
        <w:t xml:space="preserve">against</w:t>
      </w:r>
      <w:r>
        <w:t xml:space="preserve"> </w:t>
      </w:r>
      <w:r>
        <w:t xml:space="preserve">it. The defendant must generally hire counsel and travel to the forum to defend itself from the plaintiff's claim, or suffer a default judgment. The defendant may be forced to participate in extended and often costly discovery, and will be forced to respond in damages or to comply with some other form of remedy imposed by the court should it lose the suit. The defendant may also face liability for court costs and attorney's fees. These burdens are substantial, and the minimum contacts requirement of the Due Process Clause prevents the forum State from unfairly imposing them upon the defendant.</w:t>
      </w:r>
    </w:p>
    <w:p>
      <w:pPr>
        <w:pStyle w:val="CaseBody"/>
      </w:pPr>
      <w:r>
        <w:t xml:space="preserve">A class-action plaintiff, however, is in quite a different posture.</w:t>
      </w:r>
      <w:r>
        <w:t xml:space="preserve"> </w:t>
      </w:r>
      <w:r>
        <w:rPr>
          <w:rStyle w:val="Elision"/>
        </w:rPr>
        <w:t xml:space="preserve">[ … ]</w:t>
      </w:r>
      <w:r>
        <w:t xml:space="preserve"> </w:t>
      </w:r>
      <w:r>
        <w:t xml:space="preserve">a "class" or "representative" suit was an exception to the rule that one could not be bound by judgment</w:t>
      </w:r>
      <w:r>
        <w:t xml:space="preserve"> </w:t>
      </w:r>
      <w:r>
        <w:rPr>
          <w:iCs/>
          <w:i/>
        </w:rPr>
        <w:t xml:space="preserve">in personam</w:t>
      </w:r>
      <w:r>
        <w:t xml:space="preserve"> </w:t>
      </w:r>
      <w:r>
        <w:t xml:space="preserve">unless one was made fully a party in the traditional sense.</w:t>
      </w:r>
      <w:r>
        <w:rPr>
          <w:rStyle w:val="Elision"/>
        </w:rPr>
        <w:t xml:space="preserve">[ … ]</w:t>
      </w:r>
      <w:r>
        <w:t xml:space="preserve">the class action was an invention of equity to enable it to proceed to a decree in suits where the number of those interested in the litigation was too great to permit joinder.</w:t>
      </w:r>
      <w:r>
        <w:t xml:space="preserve"> </w:t>
      </w:r>
      <w:r>
        <w:rPr>
          <w:rStyle w:val="Elision"/>
        </w:rPr>
        <w:t xml:space="preserve">[ … ]</w:t>
      </w:r>
    </w:p>
    <w:p>
      <w:pPr>
        <w:pStyle w:val="CaseBody"/>
      </w:pPr>
      <w:r>
        <w:rPr>
          <w:rStyle w:val="Elision"/>
        </w:rPr>
        <w:t xml:space="preserve">[ … ]</w:t>
      </w:r>
      <w:r>
        <w:t xml:space="preserve">Modern plaintiff class actions follow the same goals, permitting litigation of a suit involving common questions when there are too many plaintiffs for proper joinder. Class actions also may permit the plaintiffs to pool claims which would be uneconomical to litigate individually.</w:t>
      </w:r>
      <w:r>
        <w:t xml:space="preserve"> </w:t>
      </w:r>
      <w:r>
        <w:rPr>
          <w:rStyle w:val="Elision"/>
        </w:rPr>
        <w:t xml:space="preserve">[ … ]</w:t>
      </w:r>
    </w:p>
    <w:p>
      <w:pPr>
        <w:pStyle w:val="CaseBody"/>
      </w:pPr>
      <w:r>
        <w:t xml:space="preserve">In sharp contrast to the predicament of a defendant haled into an out-of-state forum, the plaintiffs in this suit were not haled anywhere to defend themselves upon pain of a default judgment.</w:t>
      </w:r>
      <w:r>
        <w:t xml:space="preserve"> </w:t>
      </w:r>
      <w:r>
        <w:rPr>
          <w:rStyle w:val="Elision"/>
        </w:rPr>
        <w:t xml:space="preserve">[ … ]</w:t>
      </w:r>
    </w:p>
    <w:p>
      <w:pPr>
        <w:pStyle w:val="CaseBody"/>
      </w:pPr>
      <w:r>
        <w:t xml:space="preserve">A plaintiff class in Kansas and numerous other jurisdictions cannot first be certified unless the judge, with the aid of the named plaintiffs and defendant, conducts an inquiry into the common nature of the named plaintiffs' and the absent plaintiffs' claims, the adequacy of representation, the jurisdiction possessed over the class, and any other matters that will bear upon proper representation of the absent plaintiffs' interest.</w:t>
      </w:r>
      <w:r>
        <w:t xml:space="preserve"> </w:t>
      </w:r>
      <w:r>
        <w:rPr>
          <w:rStyle w:val="Elision"/>
        </w:rPr>
        <w:t xml:space="preserve">[ … ]</w:t>
      </w:r>
      <w:r>
        <w:t xml:space="preserve">Unlike a defendant in a civil suit, a class-action plaintiff is not required to fend for himself.</w:t>
      </w:r>
      <w:r>
        <w:t xml:space="preserve"> </w:t>
      </w:r>
      <w:r>
        <w:rPr>
          <w:rStyle w:val="Elision"/>
        </w:rPr>
        <w:t xml:space="preserve">[ … ]</w:t>
      </w:r>
      <w:r>
        <w:t xml:space="preserve">. The court and named plaintiffs protect his interests. Indeed, the class-action defendant itself has a great interest in ensuring that the absent plaintiffs' claims are properly before the forum. In this case, for</w:t>
      </w:r>
      <w:r>
        <w:rPr>
          <w:rStyle w:val="Elision"/>
        </w:rPr>
        <w:t xml:space="preserve">[ … ]</w:t>
      </w:r>
      <w:r>
        <w:t xml:space="preserve"> </w:t>
      </w:r>
      <w:r>
        <w:t xml:space="preserve">example, the defendant sought to avoid class certification by alleging that the absent plaintiffs would not be adequately represented and were not amendable to jurisdiction.</w:t>
      </w:r>
      <w:r>
        <w:t xml:space="preserve"> </w:t>
      </w:r>
      <w:r>
        <w:rPr>
          <w:rStyle w:val="Elision"/>
        </w:rPr>
        <w:t xml:space="preserve">[ … ]</w:t>
      </w:r>
    </w:p>
    <w:p>
      <w:pPr>
        <w:pStyle w:val="CaseBody"/>
      </w:pPr>
      <w:r>
        <w:t xml:space="preserve">The concern of the typical class-action rules for the absent plaintiffs is manifested in other ways. Most jurisdictions, including Kansas, require that a class action, once certified, may not be dismissed or compromised without the approval of the court. In many jurisdictions such as Kansas the court may amend the pleadings to ensure that all sections of the class are represented adequately.</w:t>
      </w:r>
      <w:r>
        <w:t xml:space="preserve"> </w:t>
      </w:r>
      <w:r>
        <w:rPr>
          <w:rStyle w:val="Elision"/>
        </w:rPr>
        <w:t xml:space="preserve">[ … ]</w:t>
      </w:r>
    </w:p>
    <w:p>
      <w:pPr>
        <w:pStyle w:val="CaseBody"/>
      </w:pPr>
      <w:r>
        <w:t xml:space="preserve">Besides this</w:t>
      </w:r>
      <w:r>
        <w:rPr>
          <w:rStyle w:val="Elision"/>
        </w:rPr>
        <w:t xml:space="preserve">[ … ]</w:t>
      </w:r>
      <w:r>
        <w:t xml:space="preserve">, absent plaintiff class members are not subject to other burdens imposed upon defendants. They need not hire counsel or appear. They are almost never subject to counter claims or cross-claims, or liability for fees or costs.</w:t>
      </w:r>
      <w:hyperlink w:anchor="Xc51030e15a71746be338f04a221f3d7ffa10017">
        <w:r>
          <w:rPr>
            <w:rStyle w:val="Elision"/>
            <w:vertAlign w:val="superscript"/>
          </w:rPr>
          <w:t xml:space="preserve">[ … ]</w:t>
        </w:r>
      </w:hyperlink>
      <w:r>
        <w:t xml:space="preserve">Absent plaintiff class members are not subject to coercive or punitive remedies. Nor will an adverse judgment typically bind an absent plaintiff for any damages, although a valid adverse judgment may extinguish any of the plaintiff's claims which were litigated.</w:t>
      </w:r>
    </w:p>
    <w:p>
      <w:pPr>
        <w:pStyle w:val="CaseBody"/>
      </w:pPr>
      <w:r>
        <w:t xml:space="preserve">Unlike a defendant in a normal civil suit, an absent class-action plaintiff is not required to do anything. He may sit back and allow the litigation to run its course, content in knowing that there are safeguards provided for his protection. In most class actions an absent plaintiff is provided at least with an opportunity to "opt out" of the class, and if he takes advantage of that opportunity he is removed from the</w:t>
      </w:r>
      <w:r>
        <w:t xml:space="preserve"> </w:t>
      </w:r>
      <w:r>
        <w:rPr>
          <w:rStyle w:val="Elision"/>
        </w:rPr>
        <w:t xml:space="preserve">[ … ]</w:t>
      </w:r>
      <w:r>
        <w:t xml:space="preserve"> </w:t>
      </w:r>
      <w:r>
        <w:t xml:space="preserve">litigation entirely. This was true of the Kansas proceedings in this case. The Kansas procedure provided for the mailing of a notice to each class member by first-class mail. The notice, as we have previously indicated, described the action and informed the class member that he could appear in person or by counsel, in default of which he would be represented by the named plaintiffs and their attorneys. The notice further stated that class members would be included in the class and bound by the judgment unless they "opted out" by executing and returning a "request for exclusion" that was included in the notice.</w:t>
      </w:r>
    </w:p>
    <w:p>
      <w:pPr>
        <w:pStyle w:val="CaseBody"/>
      </w:pPr>
      <w:r>
        <w:t xml:space="preserve">Petitioner contends, however, that the "opt out" procedure provided by Kansas is not good enough, and that an "opt in" procedure is required to satisfy the Due Process Clause of the Fourteenth Amendment. Insofar as plaintiffs who have no minimum contacts with the forum State are concerned, an "opt in" provision would require that each class member affirmatively consent to his inclusion within the class.</w:t>
      </w:r>
    </w:p>
    <w:p>
      <w:pPr>
        <w:pStyle w:val="CaseBody"/>
      </w:pPr>
      <w:r>
        <w:t xml:space="preserve">Because States place fewer burdens upon absent class plaintiffs than they do upon absent defendants in nonclass suits, the Due Process Clause need not and does not afford the former as much protection from state-court jurisdiction as it does the latter.</w:t>
      </w:r>
      <w:r>
        <w:t xml:space="preserve"> </w:t>
      </w:r>
      <w:r>
        <w:rPr>
          <w:rStyle w:val="Elision"/>
        </w:rPr>
        <w:t xml:space="preserve">[ … ]</w:t>
      </w:r>
      <w:r>
        <w:t xml:space="preserve">In this case we hold that a forum State may exercise jurisdiction over the claim of an absent class-action plaintiff, even though that plaintiff may not possess the minimum contacts with the forum which would support personal jurisdiction over a defendant. If the forum State wishes to bind an absent plaintiff concerning a claim for money damages or similar relief at law,</w:t>
      </w:r>
      <w:hyperlink w:anchor="Xa5ddf189e8f9f3c863740c0835ee51695d66c7b">
        <w:r>
          <w:rPr>
            <w:rStyle w:val="Elision"/>
            <w:vertAlign w:val="superscript"/>
          </w:rPr>
          <w:t xml:space="preserve">[ … ]</w:t>
        </w:r>
      </w:hyperlink>
      <w:r>
        <w:t xml:space="preserve">it must provide minimal</w:t>
      </w:r>
      <w:r>
        <w:t xml:space="preserve"> </w:t>
      </w:r>
      <w:r>
        <w:rPr>
          <w:rStyle w:val="Elision"/>
        </w:rPr>
        <w:t xml:space="preserve">[ … ]</w:t>
      </w:r>
      <w:r>
        <w:t xml:space="preserve"> </w:t>
      </w:r>
      <w:r>
        <w:t xml:space="preserve">procedural due process protection. The plaintiff must receive notice plus an opportunity to be heard and participate in the litigation, whether in person or through counsel. The notice must be the best practicable, "reasonably calculated, under all the circumstances, to apprise interested parties of the pendency of the action and afford them an opportunity to present their objections."</w:t>
      </w:r>
      <w:r>
        <w:t xml:space="preserve"> </w:t>
      </w:r>
      <w:r>
        <w:rPr>
          <w:rStyle w:val="Elision"/>
        </w:rPr>
        <w:t xml:space="preserve">[ … ]</w:t>
      </w:r>
      <w:r>
        <w:t xml:space="preserve">The notice should describe the action and the plaintiffs' rights in it. Additionally, we hold that due process requires at a minimum that an absent plaintiff be provided with an opportunity to remove himself from the class by executing and returning an "opt out" or "request for exclusion" form to the court. Finally, the Due Process Clause of course requires that the named plaintiff at all times adequately represent the interests of the absent class members.</w:t>
      </w:r>
      <w:r>
        <w:t xml:space="preserve"> </w:t>
      </w:r>
      <w:r>
        <w:rPr>
          <w:rStyle w:val="Elision"/>
        </w:rPr>
        <w:t xml:space="preserve">[ … ]</w:t>
      </w:r>
    </w:p>
    <w:p>
      <w:pPr>
        <w:pStyle w:val="CaseBody"/>
      </w:pPr>
      <w:r>
        <w:t xml:space="preserve">We reject petitioner's contention that the Due Process Clause of the Fourteenth Amendment requires that absent plaintiffs affirmatively "opt in" to the class,</w:t>
      </w:r>
      <w:r>
        <w:rPr>
          <w:rStyle w:val="Elision"/>
        </w:rPr>
        <w:t xml:space="preserve">[ … ]</w:t>
      </w:r>
      <w:r>
        <w:t xml:space="preserve">such a contention is supported by little, if any precedent, and that it ignores the differences between class-action plaintiffs, on the one hand, and defendants in nonclass civil suits on the other.</w:t>
      </w:r>
      <w:r>
        <w:t xml:space="preserve"> </w:t>
      </w:r>
      <w:r>
        <w:rPr>
          <w:rStyle w:val="Elision"/>
        </w:rPr>
        <w:t xml:space="preserve">[ … ]</w:t>
      </w:r>
      <w:r>
        <w:t xml:space="preserve">The essential question, then, is how stringent the requirement for a showing of consent will be.</w:t>
      </w:r>
    </w:p>
    <w:p>
      <w:pPr>
        <w:pStyle w:val="CaseBody"/>
      </w:pPr>
      <w:r>
        <w:t xml:space="preserve">We think that the procedure followed by Kansas, where a fully descriptive notice is sent first-class mail to each class member, with an explanation of the right to "opt out," satisfies due process. Requiring a plaintiff to affirmatively</w:t>
      </w:r>
      <w:r>
        <w:t xml:space="preserve"> </w:t>
      </w:r>
      <w:r>
        <w:rPr>
          <w:rStyle w:val="Elision"/>
        </w:rPr>
        <w:t xml:space="preserve">[ … ]</w:t>
      </w:r>
      <w:r>
        <w:t xml:space="preserve">request inclusion would probably impede the prosecution of those class actions involving an aggregation of small individual claims, where a large number of claims are required to make it economical to bring suit.</w:t>
      </w:r>
      <w:r>
        <w:t xml:space="preserve"> </w:t>
      </w:r>
      <w:r>
        <w:rPr>
          <w:rStyle w:val="Elision"/>
        </w:rPr>
        <w:t xml:space="preserve">[ … ]</w:t>
      </w:r>
      <w:r>
        <w:t xml:space="preserve">The plaintiff's claim may be so small, or the plaintiff so unfamiliar with the law, that he would not file suit individually, nor would he affirmatively request inclusion in the class if such a request were required by the Constitution.</w:t>
      </w:r>
      <w:hyperlink w:anchor="X0747a2f4c34cf2c2a33ebffc42e8a9f19676278">
        <w:r>
          <w:rPr>
            <w:rStyle w:val="Elision"/>
            <w:vertAlign w:val="superscript"/>
          </w:rPr>
          <w:t xml:space="preserve">[ … ]</w:t>
        </w:r>
      </w:hyperlink>
      <w:r>
        <w:t xml:space="preserve"> </w:t>
      </w:r>
      <w:r>
        <w:t xml:space="preserve">If, on the other hand, the plaintiff's claim is sufficiently large or important that he wishes to litigate it on his own, he will likely have retained an attorney or have thought about filing suit, and should be fully capable of exercising his right to "opt out."</w:t>
      </w:r>
    </w:p>
    <w:p>
      <w:pPr>
        <w:pStyle w:val="CaseBody"/>
      </w:pPr>
      <w:r>
        <w:t xml:space="preserve">In this case over 3,400 members of the potential class did "opt out," which belies the contention that "opt out" procedures result in guaranteed jurisdiction by inertia. Another 1,500 were excluded because the notice and "opt out" form was undeliverable. We think that such results show that the "opt out" procedure provided by Kansas is by no means</w:t>
      </w:r>
      <w:r>
        <w:t xml:space="preserve"> </w:t>
      </w:r>
      <w:r>
        <w:rPr>
          <w:iCs/>
          <w:i/>
        </w:rPr>
        <w:t xml:space="preserve">pro forma,</w:t>
      </w:r>
      <w:r>
        <w:t xml:space="preserve"> </w:t>
      </w:r>
      <w:r>
        <w:t xml:space="preserve">and that the Constitution does not require more to protect what must be the somewhat rare species of class member who is unwilling to execute an "opt out" form, but whose claim is nonetheless so important that he cannot be presumed to consent to being a member of the class by his failure to do so. Petitioner's "opt in" requirement would require the invalidation of scores of state statutes and of the class-action provision of the Federal Rules of Civil Procedure,</w:t>
      </w:r>
      <w:hyperlink w:anchor="Xf1a806df8025222aa9adcef5ea6b44f75dc9acd">
        <w:r>
          <w:rPr>
            <w:rStyle w:val="Elision"/>
            <w:vertAlign w:val="superscript"/>
          </w:rPr>
          <w:t xml:space="preserve">[ … ]</w:t>
        </w:r>
      </w:hyperlink>
      <w:r>
        <w:t xml:space="preserve"> </w:t>
      </w:r>
      <w:r>
        <w:t xml:space="preserve">and for the reasons stated we do not think that the Constitution requires the State to sacrifice the obvious advantages in judicial efficiency resulting form the "opt out" approach</w:t>
      </w:r>
      <w:r>
        <w:rPr>
          <w:rStyle w:val="Elision"/>
        </w:rPr>
        <w:t xml:space="preserve">[ … ]</w:t>
      </w:r>
    </w:p>
    <w:p>
      <w:pPr>
        <w:pStyle w:val="CaseBody"/>
      </w:pPr>
      <w:r>
        <w:t xml:space="preserve">We therefore hold that the protection afforded the plaintiff class members by the Kansas statute satisfies the Due Process Clause.</w:t>
      </w:r>
      <w:r>
        <w:t xml:space="preserve"> </w:t>
      </w:r>
      <w:r>
        <w:rPr>
          <w:rStyle w:val="Elision"/>
        </w:rPr>
        <w:t xml:space="preserve">[ … ]</w:t>
      </w:r>
      <w:r>
        <w:t xml:space="preserve">Both the Kansas trial court and the Supreme Court of Kansas held that the class received adequate representation, and no party disputes that conclusion here. We conclude that the Kansas court properly asserted personal jurisdiction over the absent plaintiffs and their claims against petitioner.</w:t>
      </w:r>
    </w:p>
    <w:bookmarkEnd w:id="274"/>
    <w:bookmarkStart w:id="275" w:name="iii-11"/>
    <w:p>
      <w:pPr>
        <w:pStyle w:val="Heading2"/>
      </w:pPr>
      <w:r>
        <w:t xml:space="preserve">III</w:t>
      </w:r>
    </w:p>
    <w:p>
      <w:pPr>
        <w:pStyle w:val="CaseBody"/>
      </w:pPr>
      <w:r>
        <w:t xml:space="preserve">The Kansas courts applied Kansas contract and Kansas equity law to every claim in this case, notwithstanding that</w:t>
      </w:r>
      <w:r>
        <w:t xml:space="preserve"> </w:t>
      </w:r>
      <w:r>
        <w:rPr>
          <w:rStyle w:val="Elision"/>
        </w:rPr>
        <w:t xml:space="preserve">[ … ]</w:t>
      </w:r>
      <w:r>
        <w:t xml:space="preserve"> </w:t>
      </w:r>
      <w:r>
        <w:t xml:space="preserve">over 99% of the gas leases and some 97% of the plaintiffs in the case had no apparent connection to the State of Kansas except for this lawsuit.</w:t>
      </w:r>
      <w:hyperlink w:anchor="X57c6d47cc035c31c3f3723214b3046de6319a37">
        <w:r>
          <w:rPr>
            <w:rStyle w:val="Elision"/>
            <w:vertAlign w:val="superscript"/>
          </w:rPr>
          <w:t xml:space="preserve">[ … ]</w:t>
        </w:r>
      </w:hyperlink>
      <w:r>
        <w:t xml:space="preserve">Petitioner protested that the Kansas</w:t>
      </w:r>
      <w:r>
        <w:t xml:space="preserve"> </w:t>
      </w:r>
      <w:r>
        <w:rPr>
          <w:rStyle w:val="Elision"/>
        </w:rPr>
        <w:t xml:space="preserve">[ … ]</w:t>
      </w:r>
      <w:r>
        <w:t xml:space="preserve"> </w:t>
      </w:r>
      <w:r>
        <w:t xml:space="preserve">courts should apply the laws of the States where the leases were located, or at least apply Texas and Oklahoma law because so many of the leases came from those States. The Kansas courts disregarded this contention and found petitioner liable for interest on the suspended royalties as a matter of Kansas law, and set the interest rates under Kansas equity principles.</w:t>
      </w:r>
    </w:p>
    <w:p>
      <w:pPr>
        <w:pStyle w:val="CaseBody"/>
      </w:pPr>
      <w:r>
        <w:t xml:space="preserve">Petitioner contends that total application of Kansas substantive law violated the constitutional limitations on choice of law mandated by the Due Process Clause of the Fourteenth Amendment and the Full Faith and Credit Clause of Article IV, § 1. We must first determine whether Kansas law conflicts in any material way with any other law which could apply. There can be no injury in applying Kansas law if it is not in conflict with that of any other jurisdiction connected to this suit.</w:t>
      </w:r>
    </w:p>
    <w:p>
      <w:pPr>
        <w:pStyle w:val="CaseBody"/>
      </w:pPr>
      <w:r>
        <w:t xml:space="preserve">Petitioner claims that Kansas law conflicts with that of a number of States connected to this litigation, especially Texas and Oklahoma. These putative conflicts range from the direct to the tangential, and may be addressed by the Supreme Court of Kansas on remand under the correct constitutional standard. For example, there is no recorded</w:t>
      </w:r>
      <w:r>
        <w:t xml:space="preserve"> </w:t>
      </w:r>
      <w:r>
        <w:rPr>
          <w:rStyle w:val="Elision"/>
        </w:rPr>
        <w:t xml:space="preserve">[ … ]</w:t>
      </w:r>
      <w:r>
        <w:t xml:space="preserve"> </w:t>
      </w:r>
      <w:r>
        <w:t xml:space="preserve">Oklahoma decision dealing with interest liability for suspended royalties: whether Oklahoma is likely to impose liability would require a survey of Oklahoma oil and gas law.</w:t>
      </w:r>
      <w:r>
        <w:t xml:space="preserve"> </w:t>
      </w:r>
      <w:r>
        <w:rPr>
          <w:rStyle w:val="Elision"/>
        </w:rPr>
        <w:t xml:space="preserve">[ … ]</w:t>
      </w:r>
    </w:p>
    <w:p>
      <w:pPr>
        <w:pStyle w:val="CaseBody"/>
      </w:pPr>
      <w:r>
        <w:t xml:space="preserve">Petitioner also points out several conflicts between Kansas and Texas law. Although Texas recognizes interest liability for suspended royalties, Texas has never awarded any such interest at a rate greater than 6%</w:t>
      </w:r>
      <w:r>
        <w:rPr>
          <w:rStyle w:val="Elision"/>
        </w:rPr>
        <w:t xml:space="preserve">[ … ]</w:t>
      </w:r>
      <w:r>
        <w:t xml:space="preserve">Moreover, at least one court interpreting Texas law appears to have held that Texas excuses interest</w:t>
      </w:r>
      <w:r>
        <w:rPr>
          <w:rStyle w:val="Elision"/>
        </w:rPr>
        <w:t xml:space="preserve">[ … ]</w:t>
      </w:r>
      <w:r>
        <w:t xml:space="preserve">liability once the gas company offers to take an indemnity</w:t>
      </w:r>
      <w:r>
        <w:rPr>
          <w:rStyle w:val="Elision"/>
        </w:rPr>
        <w:t xml:space="preserve">[ … ]</w:t>
      </w:r>
      <w:r>
        <w:t xml:space="preserve">Such a rule is contrary to Kansas law as applied below, but if applied</w:t>
      </w:r>
      <w:r>
        <w:t xml:space="preserve"> </w:t>
      </w:r>
      <w:r>
        <w:rPr>
          <w:rStyle w:val="Elision"/>
        </w:rPr>
        <w:t xml:space="preserve">[ … ]</w:t>
      </w:r>
      <w:r>
        <w:t xml:space="preserve">would vastly reduce petitioner's liability.</w:t>
      </w:r>
    </w:p>
    <w:p>
      <w:pPr>
        <w:pStyle w:val="CaseBody"/>
      </w:pPr>
      <w:r>
        <w:t xml:space="preserve">The conflicts on the applicable interest rates, alone</w:t>
      </w:r>
      <w:r>
        <w:t xml:space="preserve"> </w:t>
      </w:r>
      <w:r>
        <w:rPr>
          <w:rStyle w:val="Elision"/>
        </w:rPr>
        <w:t xml:space="preserve">[ … ]</w:t>
      </w:r>
      <w:r>
        <w:t xml:space="preserve"> </w:t>
      </w:r>
      <w:r>
        <w:t xml:space="preserve">certainly amounted to millions of dollars in liability. We think that the Supreme Court of Kansas erred in deciding on the basis that it did that the application of its laws to all claims would be constitutional.</w:t>
      </w:r>
    </w:p>
    <w:p>
      <w:pPr>
        <w:pStyle w:val="CaseBody"/>
      </w:pPr>
      <w:r>
        <w:t xml:space="preserve">Four Terms ago we addressed a similar situation in</w:t>
      </w:r>
      <w:r>
        <w:t xml:space="preserve"> </w:t>
      </w:r>
      <w:r>
        <w:rPr>
          <w:iCs/>
          <w:i/>
        </w:rPr>
        <w:t xml:space="preserve">Allstate Ins. Co.</w:t>
      </w:r>
      <w:r>
        <w:t xml:space="preserve"> </w:t>
      </w:r>
      <w:r>
        <w:t xml:space="preserve">v.</w:t>
      </w:r>
      <w:r>
        <w:t xml:space="preserve"> </w:t>
      </w:r>
      <w:r>
        <w:rPr>
          <w:iCs/>
          <w:i/>
        </w:rPr>
        <w:t xml:space="preserve">Hague</w:t>
      </w:r>
      <w:r>
        <w:rPr>
          <w:rStyle w:val="Elision"/>
        </w:rPr>
        <w:t xml:space="preserve">[ … ]</w:t>
      </w:r>
      <w:r>
        <w:t xml:space="preserve">. In that case we were confronted with two conflicting rules of state insurance law. Minnesota permitted the "stacking" of separate uninsured motorist policies while Wisconsin did not. Although the decedent lived in Wisconsin, took out insurance policies and was killed there, he was employed in Minnesota, and after his death his widow moved to Minnesota for reasons unrelated to the litigation, and was appointed personal representative of his estate. She filed suit in Minnesota courts, which applied the Minnesota stacking rule.</w:t>
      </w:r>
    </w:p>
    <w:p>
      <w:pPr>
        <w:pStyle w:val="CaseBody"/>
      </w:pPr>
      <w:r>
        <w:rPr>
          <w:rStyle w:val="Elision"/>
        </w:rPr>
        <w:t xml:space="preserve">[ … ]</w:t>
      </w:r>
      <w:r>
        <w:t xml:space="preserve"> </w:t>
      </w:r>
      <w:r>
        <w:t xml:space="preserve">The plurality recognized, however, that the Due Process Clause and the Full Faith and Credit Clause provided modest restrictions on the application of forum law. These restrictions required "that for a State's substantive law to be selected in a constitutionally permissible manner, that State must have a significant contact or significant aggregation of contacts, creating state interests, such that choice of its law is neither arbitrary nor fundamentally unfair."</w:t>
      </w:r>
      <w:r>
        <w:t xml:space="preserve"> </w:t>
      </w:r>
      <w:r>
        <w:rPr>
          <w:rStyle w:val="Elision"/>
        </w:rPr>
        <w:t xml:space="preserve">[ … ]</w:t>
      </w:r>
    </w:p>
    <w:p>
      <w:pPr>
        <w:pStyle w:val="CaseBody"/>
      </w:pPr>
      <w:r>
        <w:t xml:space="preserve">The plurality in</w:t>
      </w:r>
      <w:r>
        <w:t xml:space="preserve"> </w:t>
      </w:r>
      <w:r>
        <w:rPr>
          <w:iCs/>
          <w:i/>
        </w:rPr>
        <w:t xml:space="preserve">Allstate</w:t>
      </w:r>
      <w:r>
        <w:t xml:space="preserve"> </w:t>
      </w:r>
      <w:r>
        <w:t xml:space="preserve">affirmed the application of Minnesota law because of the forum's significant contacts to the litigation which supported the State's interest in applying its law.</w:t>
      </w:r>
      <w:r>
        <w:t xml:space="preserve"> </w:t>
      </w:r>
      <w:r>
        <w:rPr>
          <w:rStyle w:val="Elision"/>
        </w:rPr>
        <w:t xml:space="preserve">[ … ]</w:t>
      </w:r>
      <w:r>
        <w:t xml:space="preserve">Kansas' contacts to this litigation, as explained by the Kansas Supreme Court, can be gleaned from the opinion below.</w:t>
      </w:r>
    </w:p>
    <w:p>
      <w:pPr>
        <w:pStyle w:val="CaseBody"/>
      </w:pPr>
      <w:r>
        <w:t xml:space="preserve">Petitioner owns property and conducts substantial business in the State, so Kansas certainly has an interest in regulating petitioner's conduct in Kansas.</w:t>
      </w:r>
      <w:r>
        <w:t xml:space="preserve"> </w:t>
      </w:r>
      <w:r>
        <w:rPr>
          <w:rStyle w:val="Elision"/>
        </w:rPr>
        <w:t xml:space="preserve">[ … ]</w:t>
      </w:r>
      <w:r>
        <w:t xml:space="preserve">Moreover, oil and gas extraction is an important business to Kansas, and although only a few leases in issue are located in Kansas, hundreds of Kansas plaintiffs were affected by petitioner's suspension of royalties; thus the court held that the State has a real interest in protecting "the rights of these royalty owners</w:t>
      </w:r>
      <w:r>
        <w:t xml:space="preserve"> </w:t>
      </w:r>
      <w:r>
        <w:rPr>
          <w:rStyle w:val="Elision"/>
        </w:rPr>
        <w:t xml:space="preserve">[ … ]</w:t>
      </w:r>
      <w:r>
        <w:t xml:space="preserve">Finally, the Kansas court buttressed its use of Kansas law by stating that this lawsuit was analogous to a suit against a "common fund" located in Kansas.</w:t>
      </w:r>
      <w:r>
        <w:t xml:space="preserve"> </w:t>
      </w:r>
      <w:r>
        <w:rPr>
          <w:rStyle w:val="Elision"/>
        </w:rPr>
        <w:t xml:space="preserve">[ … ]</w:t>
      </w:r>
    </w:p>
    <w:p>
      <w:pPr>
        <w:pStyle w:val="CaseBody"/>
      </w:pPr>
      <w:r>
        <w:t xml:space="preserve">We do not lightly discount this description of Kansas' contacts</w:t>
      </w:r>
      <w:r>
        <w:t xml:space="preserve"> </w:t>
      </w:r>
      <w:r>
        <w:rPr>
          <w:rStyle w:val="Elision"/>
        </w:rPr>
        <w:t xml:space="preserve">[ … ]</w:t>
      </w:r>
      <w:r>
        <w:t xml:space="preserve">. There is, however, no "common fund" located in Kansas that</w:t>
      </w:r>
      <w:r>
        <w:t xml:space="preserve"> </w:t>
      </w:r>
      <w:r>
        <w:rPr>
          <w:rStyle w:val="Elision"/>
        </w:rPr>
        <w:t xml:space="preserve">[ … ]</w:t>
      </w:r>
      <w:r>
        <w:t xml:space="preserve"> </w:t>
      </w:r>
      <w:r>
        <w:t xml:space="preserve">would require or support the application of only Kansas law to all these claims.</w:t>
      </w:r>
      <w:r>
        <w:t xml:space="preserve"> </w:t>
      </w:r>
      <w:r>
        <w:rPr>
          <w:rStyle w:val="Elision"/>
        </w:rPr>
        <w:t xml:space="preserve">[ … ]</w:t>
      </w:r>
      <w:r>
        <w:t xml:space="preserve">Only by somehow aggregating all the separate claims in this case could a "common fund" in any sense be created, and the term becomes all but meaningless when used in such an expansive sense.</w:t>
      </w:r>
    </w:p>
    <w:p>
      <w:pPr>
        <w:pStyle w:val="CaseBody"/>
      </w:pPr>
      <w:r>
        <w:rPr>
          <w:rStyle w:val="Elision"/>
        </w:rPr>
        <w:t xml:space="preserve">[ … ]</w:t>
      </w:r>
      <w:r>
        <w:rPr>
          <w:rStyle w:val="Elision"/>
        </w:rPr>
        <w:t xml:space="preserve">[ … ]</w:t>
      </w:r>
      <w:r>
        <w:rPr>
          <w:rStyle w:val="Elision"/>
        </w:rPr>
        <w:t xml:space="preserve">[ … ]</w:t>
      </w:r>
    </w:p>
    <w:p>
      <w:pPr>
        <w:pStyle w:val="CaseBody"/>
      </w:pPr>
      <w:r>
        <w:t xml:space="preserve">The Supreme Court of Kansas in its opinion in this case expressed the view that by reason of the fact that it was adjudicating a nationwide class action, it had much greater latitude in applying its own law to the transactions in question than might otherwise be the case:</w:t>
      </w:r>
    </w:p>
    <w:p>
      <w:pPr>
        <w:pStyle w:val="BlockText"/>
      </w:pPr>
      <w:r>
        <w:rPr>
          <w:rStyle w:val="Elision"/>
        </w:rPr>
        <w:t xml:space="preserve">[ … ]</w:t>
      </w:r>
      <w:r>
        <w:t xml:space="preserve">Where a state court determines it has jurisdiction over a nationwide class action and procedural due process guarantees of notice and adequate representation are present, we believe the law of the forum should be applied unless compelling reasons exist for applying a different law. . . .</w:t>
      </w:r>
      <w:r>
        <w:t xml:space="preserve"> </w:t>
      </w:r>
      <w:r>
        <w:rPr>
          <w:rStyle w:val="Elision"/>
        </w:rPr>
        <w:t xml:space="preserve">[ … ]</w:t>
      </w:r>
    </w:p>
    <w:p>
      <w:pPr>
        <w:pStyle w:val="CaseBody"/>
      </w:pPr>
      <w:r>
        <w:t xml:space="preserve">We think that this is something of a "bootstrap" argument.</w:t>
      </w:r>
      <w:r>
        <w:t xml:space="preserve"> </w:t>
      </w:r>
      <w:r>
        <w:rPr>
          <w:rStyle w:val="Elision"/>
        </w:rPr>
        <w:t xml:space="preserve">[ … ]</w:t>
      </w:r>
      <w:r>
        <w:t xml:space="preserve">while a State may</w:t>
      </w:r>
      <w:r>
        <w:rPr>
          <w:rStyle w:val="Elision"/>
        </w:rPr>
        <w:t xml:space="preserve">[ … ]</w:t>
      </w:r>
      <w:r>
        <w:t xml:space="preserve">assume jurisdiction over the claims of plaintiffs whose principal contacts are with other States, it may not use this assumption</w:t>
      </w:r>
      <w:r>
        <w:t xml:space="preserve"> </w:t>
      </w:r>
      <w:r>
        <w:rPr>
          <w:rStyle w:val="Elision"/>
        </w:rPr>
        <w:t xml:space="preserve">[ … ]</w:t>
      </w:r>
      <w:r>
        <w:t xml:space="preserve"> </w:t>
      </w:r>
      <w:r>
        <w:t xml:space="preserve">as an added weight in the scale when considering the permissible constitutional limits on choice of substantive law. It may not take a transaction with little or no relationship to the forum and apply the law of the forum in order to satisfy the procedural requirement that there be a "common question of law." The issue of personal jurisdiction over plaintiffs in a class action is entirely distinct from the question of the constitutional limitations on choice of law</w:t>
      </w:r>
      <w:r>
        <w:rPr>
          <w:rStyle w:val="Elision"/>
        </w:rPr>
        <w:t xml:space="preserve">[ … ]</w:t>
      </w:r>
    </w:p>
    <w:p>
      <w:pPr>
        <w:pStyle w:val="CaseBody"/>
      </w:pPr>
      <w:r>
        <w:t xml:space="preserve">Kansas must have a "significant contact or significant aggregation of contacts" to the claims asserted by each member of the plaintiff class, contacts "creating state interests," in order to ensure that the choice of Kansas law is not arbitrary</w:t>
      </w:r>
      <w:r>
        <w:t xml:space="preserve"> </w:t>
      </w:r>
      <w:r>
        <w:rPr>
          <w:rStyle w:val="Elision"/>
        </w:rPr>
        <w:t xml:space="preserve">[ … ]</w:t>
      </w:r>
      <w:r>
        <w:t xml:space="preserve">or unfair.</w:t>
      </w:r>
      <w:r>
        <w:t xml:space="preserve"> </w:t>
      </w:r>
      <w:r>
        <w:rPr>
          <w:rStyle w:val="Elision"/>
        </w:rPr>
        <w:t xml:space="preserve">[ … ]</w:t>
      </w:r>
      <w:r>
        <w:t xml:space="preserve">Given Kansas' lack of "interest" in claims unrelated to that State, and the substantive conflict with jurisdictions such as Texas, we conclude that application of Kansas law to every claim in this case is sufficiently arbitrary and unfair as to exceed constitutional limits.</w:t>
      </w:r>
      <w:hyperlink w:anchor="X87bb18623224e04d0ffcbc859ca7246d07ad83a">
        <w:r>
          <w:rPr>
            <w:rStyle w:val="Elision"/>
            <w:vertAlign w:val="superscript"/>
          </w:rPr>
          <w:t xml:space="preserve">[ … ]</w:t>
        </w:r>
      </w:hyperlink>
    </w:p>
    <w:p>
      <w:pPr>
        <w:pStyle w:val="CaseBody"/>
      </w:pPr>
      <w:r>
        <w:rPr>
          <w:rStyle w:val="Elision"/>
        </w:rPr>
        <w:t xml:space="preserve">[ … ]</w:t>
      </w:r>
      <w:r>
        <w:rPr>
          <w:rStyle w:val="Elision"/>
        </w:rPr>
        <w:t xml:space="preserve">[ … ]</w:t>
      </w:r>
      <w:r>
        <w:rPr>
          <w:rStyle w:val="Elision"/>
        </w:rPr>
        <w:t xml:space="preserve">[ … ]</w:t>
      </w:r>
      <w:r>
        <w:rPr>
          <w:rStyle w:val="Elision"/>
        </w:rPr>
        <w:t xml:space="preserve">[ … ]</w:t>
      </w:r>
    </w:p>
    <w:p>
      <w:pPr>
        <w:pStyle w:val="CaseBody"/>
      </w:pPr>
      <w:r>
        <w:rPr>
          <w:rStyle w:val="Elision"/>
        </w:rPr>
        <w:t xml:space="preserve">[ … ]</w:t>
      </w:r>
      <w:r>
        <w:rPr>
          <w:rStyle w:val="Elision"/>
        </w:rPr>
        <w:t xml:space="preserve">[ … ]</w:t>
      </w:r>
      <w:r>
        <w:rPr>
          <w:rStyle w:val="Elision"/>
        </w:rPr>
        <w:t xml:space="preserve">[ … ]</w:t>
      </w:r>
    </w:p>
    <w:p>
      <w:pPr>
        <w:pStyle w:val="CaseBody"/>
      </w:pPr>
      <w:r>
        <w:t xml:space="preserve">We therefore affirm the judgment of the Supreme Court of Kansas insofar as it upheld the jurisdiction of the Kansas courts over the plaintiff class members in this case, and reverse its judgment insofar as it held that Kansas law was applicable to all of the transactions which it sought to adjudicate. We remand the case to that court for further proceedings not inconsistent with this opinion.</w:t>
      </w:r>
    </w:p>
    <w:p>
      <w:pPr>
        <w:pStyle w:val="CaseBody"/>
      </w:pPr>
      <w:r>
        <w:rPr>
          <w:rStyle w:val="Elision"/>
        </w:rPr>
        <w:t xml:space="preserve">[ … ]</w:t>
      </w:r>
    </w:p>
    <w:p>
      <w:pPr>
        <w:pStyle w:val="CaseBody"/>
      </w:pPr>
      <w:r>
        <w:rPr>
          <w:rStyle w:val="Elision"/>
        </w:rPr>
        <w:t xml:space="preserve">[ … ]</w:t>
      </w:r>
    </w:p>
    <w:bookmarkEnd w:id="275"/>
    <w:p>
      <w:pPr>
        <w:pStyle w:val="NodeEnd"/>
      </w:pPr>
      <w:r>
        <w:t xml:space="preserve"> </w:t>
      </w:r>
    </w:p>
    <w:p>
      <w:pPr>
        <w:pStyle w:val="NodeStart"/>
      </w:pPr>
      <w:r>
        <w:t xml:space="preserve"> </w:t>
      </w:r>
    </w:p>
    <w:p>
      <w:pPr>
        <w:pStyle w:val="HeadSeparator"/>
      </w:pPr>
      <w:r>
        <w:t xml:space="preserve"> </w:t>
      </w:r>
    </w:p>
    <w:bookmarkStart w:id="256" w:name="_auto_toc_256"/>
    <w:bookmarkEnd w:id="256"/>
    <w:p>
      <w:pPr>
        <w:pStyle w:val="ResourceNumber"/>
      </w:pPr>
      <w:r>
        <w:t xml:space="preserve">22.6</w:t>
      </w:r>
    </w:p>
    <w:p>
      <w:pPr>
        <w:pStyle w:val="ResourceTitle"/>
      </w:pPr>
      <w:r>
        <w:t xml:space="preserve">Note following Shutts</w:t>
      </w:r>
    </w:p>
    <w:p>
      <w:pPr>
        <w:pStyle w:val="HeadEnd"/>
      </w:pPr>
      <w:r>
        <w:t xml:space="preserve"> </w:t>
      </w:r>
    </w:p>
    <w:p>
      <w:pPr>
        <w:pStyle w:val="BodyText"/>
      </w:pPr>
      <w:r>
        <w:t xml:space="preserve">In</w:t>
      </w:r>
      <w:r>
        <w:t xml:space="preserve"> </w:t>
      </w:r>
      <w:r>
        <w:rPr>
          <w:iCs/>
          <w:i/>
        </w:rPr>
        <w:t xml:space="preserve">Shutts</w:t>
      </w:r>
      <w:r>
        <w:t xml:space="preserve">, the Court stated that Kansas law conflicted with the law of a number of other states where many of the leases in question were located. They left the specific conflicts of law to be determined by the Supreme Court of Kansas on remand. On remand, the Supreme Court of Kansas conducted the analysis across five states, those which contained most of the leases; the Court found no conflicts of law:          </w:t>
      </w:r>
    </w:p>
    <w:p>
      <w:pPr>
        <w:pStyle w:val="BlockText"/>
      </w:pPr>
      <w:r>
        <w:t xml:space="preserve">“After reviewing the law of the five enumerated states in accordance with the proper due process constitutional standard, we find all of the five states enumerated would find interest payable when the FPC approved the various rate increases."</w:t>
      </w:r>
    </w:p>
    <w:p>
      <w:pPr>
        <w:pStyle w:val="NodeEnd"/>
      </w:pPr>
      <w:r>
        <w:t xml:space="preserve"> </w:t>
      </w:r>
    </w:p>
    <w:p>
      <w:pPr>
        <w:pStyle w:val="NodeStart"/>
      </w:pPr>
      <w:r>
        <w:t xml:space="preserve"> </w:t>
      </w:r>
    </w:p>
    <w:p>
      <w:pPr>
        <w:pStyle w:val="HeadSeparator"/>
      </w:pPr>
      <w:r>
        <w:t xml:space="preserve"> </w:t>
      </w:r>
    </w:p>
    <w:bookmarkStart w:id="257" w:name="_auto_toc_257"/>
    <w:bookmarkEnd w:id="257"/>
    <w:p>
      <w:pPr>
        <w:pStyle w:val="ResourceNumber"/>
      </w:pPr>
      <w:r>
        <w:t xml:space="preserve">22.7</w:t>
      </w:r>
    </w:p>
    <w:p>
      <w:pPr>
        <w:pStyle w:val="ResourceTitle"/>
      </w:pPr>
      <w:r>
        <w:t xml:space="preserve">Bristol-Myers Squibb Co. v. Superior Court of Cal.</w:t>
      </w:r>
    </w:p>
    <w:p>
      <w:pPr>
        <w:pStyle w:val="HeadFieldSeparator"/>
      </w:pPr>
      <w:r>
        <w:t xml:space="preserve"> </w:t>
      </w:r>
    </w:p>
    <w:p>
      <w:pPr>
        <w:pStyle w:val="ResourceHeadnote"/>
      </w:pPr>
      <w:r>
        <w:rPr>
          <w:iCs/>
          <w:i/>
        </w:rPr>
        <w:t xml:space="preserve">Shutts</w:t>
      </w:r>
      <w:r>
        <w:rPr>
          <w:iCs/>
          <w:i/>
        </w:rPr>
        <w:t xml:space="preserve"> </w:t>
      </w:r>
      <w:r>
        <w:t xml:space="preserve">concerned litigants' personal jurisdictional rights in a class action context.</w:t>
      </w:r>
      <w:r>
        <w:t xml:space="preserve"> </w:t>
      </w:r>
      <w:r>
        <w:t xml:space="preserve"> </w:t>
      </w:r>
      <w:r>
        <w:rPr>
          <w:iCs/>
          <w:i/>
        </w:rPr>
        <w:t xml:space="preserve">Bristol-Myers Squibb</w:t>
      </w:r>
      <w:r>
        <w:t xml:space="preserve"> </w:t>
      </w:r>
      <w:r>
        <w:t xml:space="preserve">is not a class action case, but it also concerns litigants' personal jurisdictional rights, and its holding may apply to class actions. What is the difference between the personal jurisdiction issue in</w:t>
      </w:r>
      <w:r>
        <w:t xml:space="preserve"> </w:t>
      </w:r>
      <w:r>
        <w:rPr>
          <w:iCs/>
          <w:i/>
        </w:rPr>
        <w:t xml:space="preserve">Shutts</w:t>
      </w:r>
      <w:r>
        <w:t xml:space="preserve"> </w:t>
      </w:r>
      <w:r>
        <w:t xml:space="preserve">and that in</w:t>
      </w:r>
      <w:r>
        <w:t xml:space="preserve"> </w:t>
      </w:r>
      <w:r>
        <w:rPr>
          <w:iCs/>
          <w:i/>
        </w:rPr>
        <w:t xml:space="preserve">Bristol-Myers Squibb?</w:t>
      </w:r>
    </w:p>
    <w:p>
      <w:pPr>
        <w:pStyle w:val="ResourceHeadnote"/>
      </w:pPr>
      <w:r>
        <w:t xml:space="preserve">In this case, a group of plaintiffs — most of whom were not California residents — sued Bristol–Myers Squibb Company (BMS) in California state court, alleging that the company's drug Plavix had damaged their health. The action relied on a simple joinder of parties (as opposed to a class action).</w:t>
      </w:r>
    </w:p>
    <w:p>
      <w:pPr>
        <w:pStyle w:val="ResourceHeadnote"/>
      </w:pPr>
      <w:r>
        <w:t xml:space="preserve">BMS was incorporated in Delaware and headquartered in New York. Although it engaged in business activities in California and sold</w:t>
      </w:r>
      <w:r>
        <w:t xml:space="preserve"> </w:t>
      </w:r>
      <w:r>
        <w:t xml:space="preserve">Plavix</w:t>
      </w:r>
      <w:r>
        <w:t xml:space="preserve"> </w:t>
      </w:r>
      <w:r>
        <w:t xml:space="preserve">there, BMS did not develop a marketing strategy for, manufacture, package, or work on the regulatory approval for Plavix in California. Some of the plaintiffs were California residents who obtained and consumed Plavix in California. Others were not California residents. These nonresident plaintiffs did not allege that they obtained</w:t>
      </w:r>
      <w:r>
        <w:t xml:space="preserve"> </w:t>
      </w:r>
      <w:r>
        <w:t xml:space="preserve">Plavix</w:t>
      </w:r>
      <w:r>
        <w:t xml:space="preserve"> </w:t>
      </w:r>
      <w:r>
        <w:t xml:space="preserve">from a California source, that they were injured by</w:t>
      </w:r>
      <w:r>
        <w:t xml:space="preserve"> </w:t>
      </w:r>
      <w:r>
        <w:t xml:space="preserve">Plavix in California, or that they were treated for their injuries</w:t>
      </w:r>
      <w:r>
        <w:t xml:space="preserve"> </w:t>
      </w:r>
      <w:r>
        <w:t xml:space="preserve">in California.</w:t>
      </w:r>
    </w:p>
    <w:p>
      <w:pPr>
        <w:pStyle w:val="ResourceHeadnote"/>
      </w:pPr>
      <w:r>
        <w:t xml:space="preserve">BMS challenged whether California courts could exercise personal jurisdiction over it with respect to the nonresidents’ claims. The California Superior Court held that BMS’s extensive activities in the state gave the California courts general jurisdiction over the nonresidents’ claims. The state Court of Appeal found that while the California courts lacked general jurisdiction, they had specific jurisdiction over the claims brought by the nonresident plaintiffs. The California Supreme Court affirmed and applied a “sliding scale approach” to jurisdiction (something of a mixture of specific and general jurisdiction), concluding that BMS's “wide ranging” contacts with California were enough to support a finding of specific jurisdiction. The Supreme Court granted certioari.</w:t>
      </w:r>
    </w:p>
    <w:p>
      <w:pPr>
        <w:pStyle w:val="ResourceHeadnote"/>
      </w:pPr>
      <w:r>
        <w:t xml:space="preserve">Note: the H2O Casebook editing functions did not work well for this case. If you'd prefer, you may stop reading after the following sentence: "What is needed-and what is missing here-is a connection between the forum and the specific claims at issue."</w:t>
      </w:r>
    </w:p>
    <w:p>
      <w:pPr>
        <w:pStyle w:val="HeadEnd"/>
      </w:pPr>
      <w:r>
        <w:t xml:space="preserve"> </w:t>
      </w:r>
    </w:p>
    <w:p>
      <w:pPr>
        <w:pStyle w:val="CaseHeader"/>
      </w:pPr>
      <w:r>
        <w:t xml:space="preserve">Supreme Court of the United States</w:t>
      </w:r>
    </w:p>
    <w:p>
      <w:pPr>
        <w:pStyle w:val="CaseHeader"/>
      </w:pPr>
      <w:r>
        <w:t xml:space="preserve">137 S. Ct. 1773, 198 L. Ed. 2d 395</w:t>
      </w:r>
    </w:p>
    <w:p>
      <w:pPr>
        <w:pStyle w:val="CaseHeader"/>
      </w:pPr>
      <w:r>
        <w:t xml:space="preserve">No. 16–466.</w:t>
      </w:r>
    </w:p>
    <w:p>
      <w:pPr>
        <w:pStyle w:val="CaseHeader"/>
      </w:pPr>
      <w:r>
        <w:t xml:space="preserve">2017-06-19</w:t>
      </w:r>
    </w:p>
    <w:p>
      <w:pPr>
        <w:pStyle w:val="CaseBody"/>
      </w:pPr>
      <w:r>
        <w:rPr>
          <w:rStyle w:val="Elision"/>
        </w:rPr>
        <w:t xml:space="preserve">[ … ]</w:t>
      </w:r>
    </w:p>
    <w:p>
      <w:pPr>
        <w:pStyle w:val="CaseBody"/>
      </w:pPr>
      <w:r>
        <w:t xml:space="preserve">Justice ALITO delivered the opinion of the Court.</w:t>
      </w:r>
    </w:p>
    <w:p>
      <w:pPr>
        <w:pStyle w:val="CaseBody"/>
      </w:pPr>
      <w:r>
        <w:t xml:space="preserve">More than 600 plaintiffs, most of whom are not California residents, filed this civil action in a California state court against Bristol-Myers Squibb Company (BMS), asserting a variety of state-law claims based on injuries allegedly caused by a BMS drug called Plavix. The California Supreme Court held that the California courts have specific jurisdiction to entertain the nonresidents' claims. We now reverse.</w:t>
      </w:r>
    </w:p>
    <w:p>
      <w:pPr>
        <w:pStyle w:val="CaseBody"/>
      </w:pPr>
      <w:r>
        <w:t xml:space="preserve">I</w:t>
      </w:r>
    </w:p>
    <w:p>
      <w:pPr>
        <w:pStyle w:val="CaseBody"/>
      </w:pPr>
      <w:r>
        <w:t xml:space="preserve">A</w:t>
      </w:r>
    </w:p>
    <w:p>
      <w:pPr>
        <w:pStyle w:val="CaseBody"/>
      </w:pPr>
      <w:r>
        <w:t xml:space="preserve">BMS, a large pharmaceutical company, is incorporated in Delaware and headquartered in New York, and it maintains substantial operations in both New York and New Jersey.</w:t>
      </w:r>
      <w:r>
        <w:t xml:space="preserve"> </w:t>
      </w:r>
      <w:r>
        <w:t xml:space="preserve">1 Cal.5th 783</w:t>
      </w:r>
      <w:r>
        <w:t xml:space="preserve">, 790,</w:t>
      </w:r>
      <w:r>
        <w:t xml:space="preserve"> </w:t>
      </w:r>
      <w:r>
        <w:t xml:space="preserve">206 Cal.Rptr.3d 636</w:t>
      </w:r>
      <w:r>
        <w:t xml:space="preserve">,</w:t>
      </w:r>
      <w:r>
        <w:t xml:space="preserve"> </w:t>
      </w:r>
      <w:r>
        <w:t xml:space="preserve">377 P.3d 874</w:t>
      </w:r>
      <w:r>
        <w:t xml:space="preserve">, 879 (2016). Over 50 per</w:t>
      </w:r>
      <w:r>
        <w:rPr>
          <w:rStyle w:val="Elision"/>
        </w:rPr>
        <w:t xml:space="preserve">[ … ]</w:t>
      </w:r>
    </w:p>
    <w:p>
      <w:pPr>
        <w:pStyle w:val="CaseBody"/>
      </w:pPr>
      <w:r>
        <w:t xml:space="preserve">epresentatives in California and maintains a small state-government advocacy office in Sacramento.</w:t>
      </w:r>
      <w:r>
        <w:t xml:space="preserve"> </w:t>
      </w:r>
      <w:r>
        <w:rPr>
          <w:iCs/>
          <w:i/>
        </w:rPr>
        <w:t xml:space="preserve">Ibid.</w:t>
      </w:r>
    </w:p>
    <w:p>
      <w:pPr>
        <w:pStyle w:val="CaseBody"/>
      </w:pPr>
      <w:r>
        <w:t xml:space="preserve">One of the pharmaceuticals that BMS manufactures and sells is Plavix, a prescription drug that thins the blood and inhibits blood clotting. BMS did not develop Plavix in California, did not create a marketing strategy for Plavix in California, and did not manufacture, label, package, or work on the regulatory approval of the product in California.</w:t>
      </w:r>
      <w:r>
        <w:t xml:space="preserve"> </w:t>
      </w:r>
      <w:r>
        <w:rPr>
          <w:iCs/>
          <w:i/>
        </w:rPr>
        <w:t xml:space="preserve">Ibid.</w:t>
      </w:r>
      <w:r>
        <w:t xml:space="preserve"> </w:t>
      </w:r>
      <w:r>
        <w:t xml:space="preserve">BMS instead engaged in all of these activities in either New York or New Jersey.</w:t>
      </w:r>
      <w:r>
        <w:t xml:space="preserve"> </w:t>
      </w:r>
      <w:r>
        <w:rPr>
          <w:iCs/>
          <w:i/>
        </w:rPr>
        <w:t xml:space="preserve">Ibid.</w:t>
      </w:r>
      <w:r>
        <w:t xml:space="preserve"> </w:t>
      </w:r>
      <w:r>
        <w:t xml:space="preserve">But BMS does sell Plavix in California. Between 2006 and 2012, it sold almost 187 million Plavix pills in the State and took in more than $900 million from those sales.</w:t>
      </w:r>
      <w:r>
        <w:t xml:space="preserve"> </w:t>
      </w:r>
      <w:r>
        <w:t xml:space="preserve">1 Cal.5th, at 790-791</w:t>
      </w:r>
      <w:r>
        <w:t xml:space="preserve">,</w:t>
      </w:r>
      <w:r>
        <w:t xml:space="preserve"> </w:t>
      </w:r>
      <w:r>
        <w:t xml:space="preserve">206 Cal.Rptr.3d 636</w:t>
      </w:r>
      <w:r>
        <w:t xml:space="preserve">,</w:t>
      </w:r>
      <w:r>
        <w:t xml:space="preserve"> </w:t>
      </w:r>
      <w:r>
        <w:t xml:space="preserve">377 P.3d, at 879</w:t>
      </w:r>
      <w:r>
        <w:t xml:space="preserve">. This amounts to a little over one percent of the company's nationwide sales revenue.</w:t>
      </w:r>
      <w:r>
        <w:t xml:space="preserve"> </w:t>
      </w:r>
      <w:r>
        <w:rPr>
          <w:iCs/>
          <w:i/>
        </w:rPr>
        <w:t xml:space="preserve">Id.,</w:t>
      </w:r>
      <w:r>
        <w:t xml:space="preserve"> </w:t>
      </w:r>
      <w:r>
        <w:t xml:space="preserve">at 790,</w:t>
      </w:r>
      <w:r>
        <w:t xml:space="preserve"> </w:t>
      </w:r>
      <w:r>
        <w:t xml:space="preserve">206 Cal.Rptr.3d 636</w:t>
      </w:r>
      <w:r>
        <w:t xml:space="preserve">,</w:t>
      </w:r>
      <w:r>
        <w:t xml:space="preserve"> </w:t>
      </w:r>
      <w:r>
        <w:t xml:space="preserve">377 P.3d, at 879</w:t>
      </w:r>
      <w:r>
        <w:t xml:space="preserve">.</w:t>
      </w:r>
    </w:p>
    <w:p>
      <w:pPr>
        <w:pStyle w:val="CaseBody"/>
      </w:pPr>
      <w:r>
        <w:t xml:space="preserve">B</w:t>
      </w:r>
    </w:p>
    <w:p>
      <w:pPr>
        <w:pStyle w:val="CaseBody"/>
      </w:pPr>
      <w:r>
        <w:t xml:space="preserve">A group of plaintiffs-consisting of 86 California residents and 592 residents from 33 other States-filed eight separate complaints in California Superior Court, alleging that Plavix had damaged their health.</w:t>
      </w:r>
      <w:r>
        <w:t xml:space="preserve"> </w:t>
      </w:r>
      <w:r>
        <w:rPr>
          <w:iCs/>
          <w:i/>
        </w:rPr>
        <w:t xml:space="preserve">Id.,</w:t>
      </w:r>
      <w:r>
        <w:t xml:space="preserve"> </w:t>
      </w:r>
      <w:r>
        <w:t xml:space="preserve">at 789,</w:t>
      </w:r>
      <w:r>
        <w:t xml:space="preserve"> </w:t>
      </w:r>
      <w:r>
        <w:t xml:space="preserve">206 Cal.Rptr.3d 636</w:t>
      </w:r>
      <w:r>
        <w:t xml:space="preserve">,</w:t>
      </w:r>
      <w:r>
        <w:t xml:space="preserve"> </w:t>
      </w:r>
      <w:r>
        <w:t xml:space="preserve">377 P.3d, at 878</w:t>
      </w:r>
      <w:r>
        <w:t xml:space="preserve">. All the complaints asserted 13 claims under California law, including products liability, negligent misrepresentation, and misleading advertising claims.</w:t>
      </w:r>
      <w:r>
        <w:t xml:space="preserve"> </w:t>
      </w:r>
      <w:r>
        <w:rPr>
          <w:iCs/>
          <w:i/>
        </w:rPr>
        <w:t xml:space="preserve">Ibid.</w:t>
      </w:r>
      <w:r>
        <w:t xml:space="preserve"> </w:t>
      </w:r>
      <w:r>
        <w:t xml:space="preserve">The nonresident plaintiffs did not allege that they obtained Plavix through California physicians or from any other California source; nor did they claim that they were injured by Plavix or were treated for their injuries in California.</w:t>
      </w:r>
    </w:p>
    <w:p>
      <w:pPr>
        <w:pStyle w:val="CaseBody"/>
      </w:pPr>
      <w:r>
        <w:t xml:space="preserve">Asserting lack of personal jurisdiction, BMS moved to quash service of summons on the nonresidents' claims, but the California Superior Court denied this motion, finding that the California courts had general jurisdiction over BMS "[b]ecause [it] engages in extensive activities in California." App. to Pet. for Cert. 150. BMS unsuccessfully petitioned the State Court of Appeal for a writ of mandate, but after our decision on general jurisdiction in</w:t>
      </w:r>
      <w:r>
        <w:t xml:space="preserve"> </w:t>
      </w:r>
      <w:r>
        <w:rPr>
          <w:iCs/>
          <w:i/>
        </w:rPr>
        <w:t xml:space="preserve">Daimler AG v. Bauman,</w:t>
      </w:r>
      <w:r>
        <w:t xml:space="preserve"> </w:t>
      </w:r>
      <w:r>
        <w:t xml:space="preserve">571 U.S. ----,</w:t>
      </w:r>
      <w:r>
        <w:t xml:space="preserve"> </w:t>
      </w:r>
      <w:r>
        <w:t xml:space="preserve">134 S.Ct. 746</w:t>
      </w:r>
      <w:r>
        <w:t xml:space="preserve">,</w:t>
      </w:r>
      <w:r>
        <w:t xml:space="preserve"> </w:t>
      </w:r>
      <w:r>
        <w:t xml:space="preserve">187 L.Ed.2d 624</w:t>
      </w:r>
      <w:r>
        <w:t xml:space="preserve"> </w:t>
      </w:r>
      <w:r>
        <w:t xml:space="preserve">(2014), the California Supreme Court instructed the Court of Appeal "to vacate its order denying mandate and to issue an order to show cause why relief sought in the petition should not be granted." App. 9-10.</w:t>
      </w:r>
    </w:p>
    <w:p>
      <w:pPr>
        <w:pStyle w:val="CaseBody"/>
      </w:pPr>
      <w:r>
        <w:t xml:space="preserve">The Court of Appeal then changed its decision on the question of general jurisdiction.</w:t>
      </w:r>
      <w:r>
        <w:t xml:space="preserve"> </w:t>
      </w:r>
      <w:r>
        <w:t xml:space="preserve">228 Cal.App.4th 605</w:t>
      </w:r>
      <w:r>
        <w:t xml:space="preserve">,</w:t>
      </w:r>
      <w:r>
        <w:t xml:space="preserve"> </w:t>
      </w:r>
      <w:r>
        <w:t xml:space="preserve">175 Cal.Rptr.3d 412</w:t>
      </w:r>
      <w:r>
        <w:t xml:space="preserve"> </w:t>
      </w:r>
      <w:r>
        <w:t xml:space="preserve">(2014). Under</w:t>
      </w:r>
      <w:r>
        <w:t xml:space="preserve"> </w:t>
      </w:r>
      <w:r>
        <w:rPr>
          <w:iCs/>
          <w:i/>
        </w:rPr>
        <w:t xml:space="preserve">Daimler,</w:t>
      </w:r>
      <w:r>
        <w:t xml:space="preserve"> </w:t>
      </w:r>
      <w:r>
        <w:t xml:space="preserve">it held, general jurisdiction was clearly lacking, but it went on to find that the California courts had specific jurisdiction over the nonresidents' claims against BMS.</w:t>
      </w:r>
      <w:r>
        <w:t xml:space="preserve"> </w:t>
      </w:r>
      <w:r>
        <w:t xml:space="preserve">228 Cal.App.4th 605</w:t>
      </w:r>
      <w:r>
        <w:t xml:space="preserve">,</w:t>
      </w:r>
      <w:r>
        <w:t xml:space="preserve"> </w:t>
      </w:r>
      <w:r>
        <w:t xml:space="preserve">175 Cal.Rptr.3d, at 425-439</w:t>
      </w:r>
      <w:r>
        <w:t xml:space="preserve">.</w:t>
      </w:r>
    </w:p>
    <w:p>
      <w:pPr>
        <w:pStyle w:val="CaseBody"/>
      </w:pPr>
      <w:r>
        <w:t xml:space="preserve">The California Supreme Court affirmed. The court unanimously agreed with the Court of Appeal on the issue of general jurisdiction, but the court was divided on the question of specific jurisdiction. The majority applied a "sliding scale approach to specific jurisdiction."</w:t>
      </w:r>
      <w:r>
        <w:t xml:space="preserve"> </w:t>
      </w:r>
      <w:r>
        <w:t xml:space="preserve">1 Cal.5th, at 806</w:t>
      </w:r>
      <w:r>
        <w:t xml:space="preserve">,</w:t>
      </w:r>
      <w:r>
        <w:t xml:space="preserve"> </w:t>
      </w:r>
      <w:r>
        <w:t xml:space="preserve">206 Cal.Rptr.3d 636</w:t>
      </w:r>
      <w:r>
        <w:t xml:space="preserve">,</w:t>
      </w:r>
      <w:r>
        <w:t xml:space="preserve"> </w:t>
      </w:r>
      <w:r>
        <w:t xml:space="preserve">377 P.3d, at 889</w:t>
      </w:r>
      <w:r>
        <w:t xml:space="preserve">. Under this approach, "the more wide ranging the defendant's forum contacts, the more readily is shown a connection between the forum contacts and the claim."</w:t>
      </w:r>
      <w:r>
        <w:t xml:space="preserve"> </w:t>
      </w:r>
      <w:r>
        <w:rPr>
          <w:iCs/>
          <w:i/>
        </w:rPr>
        <w:t xml:space="preserve">Ibid.</w:t>
      </w:r>
      <w:r>
        <w:t xml:space="preserve"> </w:t>
      </w:r>
      <w:r>
        <w:t xml:space="preserve">(internal quotation marks omitted). Applying this test, the majority concluded that "BMS's extensive contacts with California" permitted the exercise of specific jurisdiction "based on a less direct connection between BMS's forum activities and plaintiffs' claims than might otherwise be required."</w:t>
      </w:r>
      <w:r>
        <w:t xml:space="preserve"> </w:t>
      </w:r>
      <w:r>
        <w:rPr>
          <w:iCs/>
          <w:i/>
        </w:rPr>
        <w:t xml:space="preserve">Ibid</w:t>
      </w:r>
      <w:r>
        <w:t xml:space="preserve"> </w:t>
      </w:r>
      <w:r>
        <w:t xml:space="preserve">. This attenuated requirement was met, the majority found, because the claims of the nonresidents were similar in several ways to the claims of the California residents (as to which specific jurisdiction was uncontested).</w:t>
      </w:r>
      <w:r>
        <w:t xml:space="preserve"> </w:t>
      </w:r>
      <w:r>
        <w:rPr>
          <w:iCs/>
          <w:i/>
        </w:rPr>
        <w:t xml:space="preserve">Id.,</w:t>
      </w:r>
      <w:r>
        <w:t xml:space="preserve"> </w:t>
      </w:r>
      <w:r>
        <w:t xml:space="preserve">at 803-806,</w:t>
      </w:r>
      <w:r>
        <w:t xml:space="preserve"> </w:t>
      </w:r>
      <w:r>
        <w:t xml:space="preserve">206 Cal.Rptr.3d 636</w:t>
      </w:r>
      <w:r>
        <w:t xml:space="preserve">,</w:t>
      </w:r>
      <w:r>
        <w:t xml:space="preserve"> </w:t>
      </w:r>
      <w:r>
        <w:t xml:space="preserve">377 P.3d, at 887-889</w:t>
      </w:r>
      <w:r>
        <w:t xml:space="preserve">. The court noted that "[b]oth the resident and nonresident plaintiffs' claims are based on the same allegedly defective product and the assertedly misleading marketing and promotion of that product."</w:t>
      </w:r>
      <w:r>
        <w:t xml:space="preserve"> </w:t>
      </w:r>
      <w:r>
        <w:rPr>
          <w:iCs/>
          <w:i/>
        </w:rPr>
        <w:t xml:space="preserve">Id.,</w:t>
      </w:r>
      <w:r>
        <w:t xml:space="preserve"> </w:t>
      </w:r>
      <w:r>
        <w:t xml:space="preserve">at 804,</w:t>
      </w:r>
      <w:r>
        <w:t xml:space="preserve"> </w:t>
      </w:r>
      <w:r>
        <w:t xml:space="preserve">206 Cal.Rptr.3d 636</w:t>
      </w:r>
      <w:r>
        <w:t xml:space="preserve">,</w:t>
      </w:r>
      <w:r>
        <w:t xml:space="preserve"> </w:t>
      </w:r>
      <w:r>
        <w:t xml:space="preserve">377 P.3d, at 888</w:t>
      </w:r>
      <w:r>
        <w:t xml:space="preserve">. And while acknowledging that "there is no claim that Plavix itself was designed and developed in [BMS's California research facilities]," the court thought it significant that other research was done in the State.</w:t>
      </w:r>
      <w:r>
        <w:t xml:space="preserve"> </w:t>
      </w:r>
      <w:r>
        <w:rPr>
          <w:iCs/>
          <w:i/>
        </w:rPr>
        <w:t xml:space="preserve">Ibid</w:t>
      </w:r>
      <w:r>
        <w:t xml:space="preserve"> </w:t>
      </w:r>
      <w:r>
        <w:t xml:space="preserve">.</w:t>
      </w:r>
    </w:p>
    <w:p>
      <w:pPr>
        <w:pStyle w:val="CaseBody"/>
      </w:pPr>
      <w:r>
        <w:t xml:space="preserve">Three justices dissented. "The claims of ... nonresidents injured by their use of Plavix they purchased and used in other states," they wrote, "in no sense arise from BMS's marketing and sales of Plavix in California," and they found that the "mere similarity" of the residents' and nonresidents' claims was not enough.</w:t>
      </w:r>
      <w:r>
        <w:t xml:space="preserve"> </w:t>
      </w:r>
      <w:r>
        <w:rPr>
          <w:iCs/>
          <w:i/>
        </w:rPr>
        <w:t xml:space="preserve">Id.,</w:t>
      </w:r>
      <w:r>
        <w:t xml:space="preserve"> </w:t>
      </w:r>
      <w:r>
        <w:t xml:space="preserve">at 819,</w:t>
      </w:r>
      <w:r>
        <w:t xml:space="preserve"> </w:t>
      </w:r>
      <w:r>
        <w:t xml:space="preserve">206 Cal.Rptr.3d 636</w:t>
      </w:r>
      <w:r>
        <w:t xml:space="preserve">,</w:t>
      </w:r>
      <w:r>
        <w:t xml:space="preserve"> </w:t>
      </w:r>
      <w:r>
        <w:t xml:space="preserve">377 P.3d, at 898</w:t>
      </w:r>
      <w:r>
        <w:t xml:space="preserve"> </w:t>
      </w:r>
      <w:r>
        <w:t xml:space="preserve">(opinion of Werdegar, J.). The dissent accused the majority of "expand[ing] specific jurisdiction to the point that, for a large category of defendants, it becomes indistinguishable from general jurisdiction."</w:t>
      </w:r>
      <w:r>
        <w:t xml:space="preserve"> </w:t>
      </w:r>
      <w:r>
        <w:rPr>
          <w:iCs/>
          <w:i/>
        </w:rPr>
        <w:t xml:space="preserve">Id.,</w:t>
      </w:r>
      <w:r>
        <w:t xml:space="preserve"> </w:t>
      </w:r>
      <w:r>
        <w:t xml:space="preserve">at 816,</w:t>
      </w:r>
      <w:r>
        <w:t xml:space="preserve"> </w:t>
      </w:r>
      <w:r>
        <w:t xml:space="preserve">206 Cal.Rptr.3d 636</w:t>
      </w:r>
      <w:r>
        <w:t xml:space="preserve">,</w:t>
      </w:r>
      <w:r>
        <w:t xml:space="preserve"> </w:t>
      </w:r>
      <w:r>
        <w:t xml:space="preserve">377 P.3d, at 896</w:t>
      </w:r>
      <w:r>
        <w:t xml:space="preserve">.</w:t>
      </w:r>
    </w:p>
    <w:p>
      <w:pPr>
        <w:pStyle w:val="CaseBody"/>
      </w:pPr>
      <w:r>
        <w:t xml:space="preserve">We granted certiorari to decide whether the California courts' exercise of jurisdiction in this case violates the Due Process Clause of the Fourteenth Amendment. 580 U.S. ----,</w:t>
      </w:r>
      <w:r>
        <w:t xml:space="preserve"> </w:t>
      </w:r>
      <w:r>
        <w:t xml:space="preserve">137 S.Ct. 827</w:t>
      </w:r>
      <w:r>
        <w:t xml:space="preserve">,</w:t>
      </w:r>
      <w:r>
        <w:t xml:space="preserve"> </w:t>
      </w:r>
      <w:r>
        <w:t xml:space="preserve">196 L.Ed.2d 610</w:t>
      </w:r>
      <w:r>
        <w:t xml:space="preserve"> </w:t>
      </w:r>
      <w:r>
        <w:t xml:space="preserve">(2017).</w:t>
      </w:r>
      <w:r>
        <w:rPr>
          <w:rStyle w:val="FootnoteReference"/>
        </w:rPr>
        <w:footnoteReference w:customMarkFollows="1" w:id="172"/>
        <w:t xml:space="preserve">1</w:t>
      </w:r>
    </w:p>
    <w:p>
      <w:pPr>
        <w:pStyle w:val="CaseBody"/>
      </w:pPr>
      <w:r>
        <w:t xml:space="preserve">II</w:t>
      </w:r>
    </w:p>
    <w:p>
      <w:pPr>
        <w:pStyle w:val="CaseBody"/>
      </w:pPr>
      <w:r>
        <w:t xml:space="preserve">A</w:t>
      </w:r>
    </w:p>
    <w:p>
      <w:pPr>
        <w:pStyle w:val="CaseBody"/>
      </w:pPr>
      <w:r>
        <w:t xml:space="preserve">It has long been established that the Fourteenth Amendment limits the personal jurisdiction of state courts. See,</w:t>
      </w:r>
      <w:r>
        <w:t xml:space="preserve"> </w:t>
      </w:r>
      <w:r>
        <w:rPr>
          <w:iCs/>
          <w:i/>
        </w:rPr>
        <w:t xml:space="preserve">e.g.,</w:t>
      </w:r>
      <w:r>
        <w:t xml:space="preserve"> </w:t>
      </w:r>
      <w:r>
        <w:rPr>
          <w:iCs/>
          <w:i/>
        </w:rPr>
        <w:t xml:space="preserve">Daimler, supra,</w:t>
      </w:r>
      <w:r>
        <w:t xml:space="preserve"> </w:t>
      </w:r>
      <w:r>
        <w:t xml:space="preserve">at ---- - ----,</w:t>
      </w:r>
      <w:r>
        <w:t xml:space="preserve"> </w:t>
      </w:r>
      <w:r>
        <w:t xml:space="preserve">134 S.Ct., at</w:t>
      </w:r>
      <w:r>
        <w:t xml:space="preserve"> </w:t>
      </w:r>
      <w:r>
        <w:t xml:space="preserve">753-757 ;</w:t>
      </w:r>
      <w:r>
        <w:t xml:space="preserve"> </w:t>
      </w:r>
      <w:r>
        <w:rPr>
          <w:iCs/>
          <w:i/>
        </w:rPr>
        <w:t xml:space="preserve">World-Wide Volkswagen Corp. v. Woodson,</w:t>
      </w:r>
      <w:r>
        <w:t xml:space="preserve"> </w:t>
      </w:r>
      <w:r>
        <w:t xml:space="preserve">444 U.S. 286</w:t>
      </w:r>
      <w:r>
        <w:t xml:space="preserve">, 291,</w:t>
      </w:r>
      <w:r>
        <w:t xml:space="preserve"> </w:t>
      </w:r>
      <w:r>
        <w:t xml:space="preserve">100 S.Ct. 559</w:t>
      </w:r>
      <w:r>
        <w:t xml:space="preserve">,</w:t>
      </w:r>
      <w:r>
        <w:t xml:space="preserve"> </w:t>
      </w:r>
      <w:r>
        <w:t xml:space="preserve">62 L.Ed.2d 490</w:t>
      </w:r>
      <w:r>
        <w:t xml:space="preserve"> </w:t>
      </w:r>
      <w:r>
        <w:t xml:space="preserve">(1980) ;</w:t>
      </w:r>
      <w:r>
        <w:t xml:space="preserve"> </w:t>
      </w:r>
      <w:r>
        <w:rPr>
          <w:iCs/>
          <w:i/>
        </w:rPr>
        <w:t xml:space="preserve">International Shoe Co. v. Washington,</w:t>
      </w:r>
      <w:r>
        <w:t xml:space="preserve"> </w:t>
      </w:r>
      <w:r>
        <w:t xml:space="preserve">326 U.S. 310</w:t>
      </w:r>
      <w:r>
        <w:t xml:space="preserve">, 316-317,</w:t>
      </w:r>
      <w:r>
        <w:t xml:space="preserve"> </w:t>
      </w:r>
      <w:r>
        <w:t xml:space="preserve">66 S.Ct. 154</w:t>
      </w:r>
      <w:r>
        <w:t xml:space="preserve">,</w:t>
      </w:r>
      <w:r>
        <w:t xml:space="preserve"> </w:t>
      </w:r>
      <w:r>
        <w:t xml:space="preserve">90 L.Ed. 95</w:t>
      </w:r>
      <w:r>
        <w:t xml:space="preserve"> </w:t>
      </w:r>
      <w:r>
        <w:t xml:space="preserve">(1945) ;</w:t>
      </w:r>
      <w:r>
        <w:t xml:space="preserve"> </w:t>
      </w:r>
      <w:r>
        <w:rPr>
          <w:iCs/>
          <w:i/>
        </w:rPr>
        <w:t xml:space="preserve">Pennoyer v. Neff,</w:t>
      </w:r>
      <w:r>
        <w:t xml:space="preserve"> </w:t>
      </w:r>
      <w:r>
        <w:t xml:space="preserve">95 U.S. 714</w:t>
      </w:r>
      <w:r>
        <w:t xml:space="preserve">, 733,</w:t>
      </w:r>
      <w:r>
        <w:t xml:space="preserve"> </w:t>
      </w:r>
      <w:r>
        <w:t xml:space="preserve">24 L.Ed. 565</w:t>
      </w:r>
      <w:r>
        <w:t xml:space="preserve"> </w:t>
      </w:r>
      <w:r>
        <w:t xml:space="preserve">(1878). Because "[a] state court's assertion of jurisdiction exposes defendants to the State's coercive power," it is "subject to review for compatibility with the Fourteenth Amendment's Due Process Clause,"</w:t>
      </w:r>
      <w:r>
        <w:t xml:space="preserve"> </w:t>
      </w:r>
      <w:r>
        <w:rPr>
          <w:iCs/>
          <w:i/>
        </w:rPr>
        <w:t xml:space="preserve">Goodyear Dunlop Tires Operations, S.A. v. Brown,</w:t>
      </w:r>
      <w:r>
        <w:t xml:space="preserve"> </w:t>
      </w:r>
      <w:r>
        <w:t xml:space="preserve">564 U.S. 915</w:t>
      </w:r>
      <w:r>
        <w:t xml:space="preserve">, 918,</w:t>
      </w:r>
      <w:r>
        <w:t xml:space="preserve"> </w:t>
      </w:r>
      <w:r>
        <w:t xml:space="preserve">131 S.Ct. 2846</w:t>
      </w:r>
      <w:r>
        <w:t xml:space="preserve">,</w:t>
      </w:r>
      <w:r>
        <w:t xml:space="preserve"> </w:t>
      </w:r>
      <w:r>
        <w:t xml:space="preserve">180 L.Ed.2d 796</w:t>
      </w:r>
      <w:r>
        <w:t xml:space="preserve"> </w:t>
      </w:r>
      <w:r>
        <w:t xml:space="preserve">(2011), which "limits the power of a state court to render a valid personal judgment against a nonresident defendant,"</w:t>
      </w:r>
      <w:r>
        <w:t xml:space="preserve"> </w:t>
      </w:r>
      <w:r>
        <w:rPr>
          <w:iCs/>
          <w:i/>
        </w:rPr>
        <w:t xml:space="preserve">World-Wide Volkswagen, supra,</w:t>
      </w:r>
      <w:r>
        <w:t xml:space="preserve"> </w:t>
      </w:r>
      <w:r>
        <w:t xml:space="preserve">at 291,</w:t>
      </w:r>
      <w:r>
        <w:t xml:space="preserve"> </w:t>
      </w:r>
      <w:r>
        <w:t xml:space="preserve">100 S.Ct. 559</w:t>
      </w:r>
      <w:r>
        <w:t xml:space="preserve">. The primary focus of our personal jurisdiction inquiry is the defendant's relationship to the forum State. See</w:t>
      </w:r>
      <w:r>
        <w:t xml:space="preserve"> </w:t>
      </w:r>
      <w:r>
        <w:rPr>
          <w:iCs/>
          <w:i/>
        </w:rPr>
        <w:t xml:space="preserve">Walden v. Fiore,</w:t>
      </w:r>
      <w:r>
        <w:t xml:space="preserve"> </w:t>
      </w:r>
      <w:r>
        <w:t xml:space="preserve">571 U.S. ----, ---- - ----,</w:t>
      </w:r>
      <w:r>
        <w:t xml:space="preserve"> </w:t>
      </w:r>
      <w:r>
        <w:t xml:space="preserve">134 S.Ct. 1115</w:t>
      </w:r>
      <w:r>
        <w:t xml:space="preserve">, 1121-1123,</w:t>
      </w:r>
      <w:r>
        <w:t xml:space="preserve"> </w:t>
      </w:r>
      <w:r>
        <w:t xml:space="preserve">188 L.Ed.2d 12</w:t>
      </w:r>
      <w:r>
        <w:t xml:space="preserve"> </w:t>
      </w:r>
      <w:r>
        <w:t xml:space="preserve">(2014) ;</w:t>
      </w:r>
      <w:r>
        <w:t xml:space="preserve"> </w:t>
      </w:r>
      <w:r>
        <w:rPr>
          <w:iCs/>
          <w:i/>
        </w:rPr>
        <w:t xml:space="preserve">Phillips Petroleum Co. v. Shutts,</w:t>
      </w:r>
      <w:r>
        <w:t xml:space="preserve"> </w:t>
      </w:r>
      <w:r>
        <w:t xml:space="preserve">472 U.S. 797</w:t>
      </w:r>
      <w:r>
        <w:t xml:space="preserve">, 806-807,</w:t>
      </w:r>
      <w:r>
        <w:t xml:space="preserve"> </w:t>
      </w:r>
      <w:r>
        <w:t xml:space="preserve">105 S.Ct. 2965</w:t>
      </w:r>
      <w:r>
        <w:t xml:space="preserve">,</w:t>
      </w:r>
      <w:r>
        <w:t xml:space="preserve"> </w:t>
      </w:r>
      <w:r>
        <w:t xml:space="preserve">86 L.Ed.2d 628</w:t>
      </w:r>
      <w:r>
        <w:t xml:space="preserve"> </w:t>
      </w:r>
      <w:r>
        <w:t xml:space="preserve">(1985).</w:t>
      </w:r>
    </w:p>
    <w:p>
      <w:pPr>
        <w:pStyle w:val="CaseBody"/>
      </w:pPr>
      <w:r>
        <w:t xml:space="preserve">Since our seminal decision in</w:t>
      </w:r>
      <w:r>
        <w:t xml:space="preserve"> </w:t>
      </w:r>
      <w:r>
        <w:rPr>
          <w:iCs/>
          <w:i/>
        </w:rPr>
        <w:t xml:space="preserve">International Shoe,</w:t>
      </w:r>
      <w:r>
        <w:t xml:space="preserve"> </w:t>
      </w:r>
      <w:r>
        <w:t xml:space="preserve">our decisions have recognized two types of personal jurisdiction: "general" (sometimes called "all-purpose") jurisdiction and "specific" (sometimes called "case-linked") jurisdiction.</w:t>
      </w:r>
      <w:r>
        <w:t xml:space="preserve"> </w:t>
      </w:r>
      <w:r>
        <w:rPr>
          <w:iCs/>
          <w:i/>
        </w:rPr>
        <w:t xml:space="preserve">Goodyear,</w:t>
      </w:r>
      <w:r>
        <w:t xml:space="preserve"> </w:t>
      </w:r>
      <w:r>
        <w:t xml:space="preserve">564 U.S., at 919</w:t>
      </w:r>
      <w:r>
        <w:t xml:space="preserve">,</w:t>
      </w:r>
      <w:r>
        <w:t xml:space="preserve"> </w:t>
      </w:r>
      <w:r>
        <w:t xml:space="preserve">131 S.Ct. 2846</w:t>
      </w:r>
      <w:r>
        <w:t xml:space="preserve">. "For an individual, the paradigm forum for the exercise of general jurisdiction is the individual's domicile; for a corporation, it is an equivalent place, one in which the corporation is fairly regarded as at home."</w:t>
      </w:r>
      <w:r>
        <w:t xml:space="preserve"> </w:t>
      </w:r>
      <w:r>
        <w:rPr>
          <w:iCs/>
          <w:i/>
        </w:rPr>
        <w:t xml:space="preserve">Id</w:t>
      </w:r>
      <w:r>
        <w:t xml:space="preserve"> </w:t>
      </w:r>
      <w:r>
        <w:t xml:space="preserve">., at 924,</w:t>
      </w:r>
      <w:r>
        <w:t xml:space="preserve"> </w:t>
      </w:r>
      <w:r>
        <w:t xml:space="preserve">131 S.Ct. 2846</w:t>
      </w:r>
      <w:r>
        <w:t xml:space="preserve">. A court with general jurisdiction may hear</w:t>
      </w:r>
      <w:r>
        <w:t xml:space="preserve"> </w:t>
      </w:r>
      <w:r>
        <w:rPr>
          <w:iCs/>
          <w:i/>
        </w:rPr>
        <w:t xml:space="preserve">any</w:t>
      </w:r>
      <w:r>
        <w:t xml:space="preserve"> </w:t>
      </w:r>
      <w:r>
        <w:t xml:space="preserve">claim against that defendant, even if all the incidents underlying the claim occurred in a different State.</w:t>
      </w:r>
      <w:r>
        <w:t xml:space="preserve"> </w:t>
      </w:r>
      <w:r>
        <w:rPr>
          <w:iCs/>
          <w:i/>
        </w:rPr>
        <w:t xml:space="preserve">Id.,</w:t>
      </w:r>
      <w:r>
        <w:t xml:space="preserve"> </w:t>
      </w:r>
      <w:r>
        <w:t xml:space="preserve">at 919</w:t>
      </w:r>
      <w:r>
        <w:t xml:space="preserve">,</w:t>
      </w:r>
      <w:r>
        <w:t xml:space="preserve"> </w:t>
      </w:r>
      <w:r>
        <w:t xml:space="preserve">131 S.Ct. 2846</w:t>
      </w:r>
      <w:r>
        <w:t xml:space="preserve">. But "only a limited set of affiliations with a forum will render a defendant amenable to" general jurisdiction in that State.</w:t>
      </w:r>
      <w:r>
        <w:t xml:space="preserve"> </w:t>
      </w:r>
      <w:r>
        <w:rPr>
          <w:iCs/>
          <w:i/>
        </w:rPr>
        <w:t xml:space="preserve">Daimler,</w:t>
      </w:r>
      <w:r>
        <w:t xml:space="preserve"> </w:t>
      </w:r>
      <w:r>
        <w:t xml:space="preserve">571 U.S., at ----, 134 S.Ct., at 760.</w:t>
      </w:r>
    </w:p>
    <w:p>
      <w:pPr>
        <w:pStyle w:val="CaseBody"/>
      </w:pPr>
      <w:r>
        <w:t xml:space="preserve">Specific jurisdiction is very different. In order for a state court to exercise specific jurisdiction, "the</w:t>
      </w:r>
      <w:r>
        <w:t xml:space="preserve"> </w:t>
      </w:r>
      <w:r>
        <w:rPr>
          <w:iCs/>
          <w:i/>
        </w:rPr>
        <w:t xml:space="preserve">suit</w:t>
      </w:r>
      <w:r>
        <w:t xml:space="preserve"> </w:t>
      </w:r>
      <w:r>
        <w:t xml:space="preserve">" must "aris[e] out of or relat[e] to the defendant's contacts with the</w:t>
      </w:r>
      <w:r>
        <w:t xml:space="preserve"> </w:t>
      </w:r>
      <w:r>
        <w:rPr>
          <w:iCs/>
          <w:i/>
        </w:rPr>
        <w:t xml:space="preserve">forum</w:t>
      </w:r>
      <w:r>
        <w:t xml:space="preserve"> </w:t>
      </w:r>
      <w:r>
        <w:t xml:space="preserve">."</w:t>
      </w:r>
      <w:r>
        <w:t xml:space="preserve"> </w:t>
      </w:r>
      <w:r>
        <w:rPr>
          <w:iCs/>
          <w:i/>
        </w:rPr>
        <w:t xml:space="preserve">Id.,</w:t>
      </w:r>
      <w:r>
        <w:t xml:space="preserve"> </w:t>
      </w:r>
      <w:r>
        <w:t xml:space="preserve">at ----, 134 S.Ct., at 754 (internal quotation marks omitted; emphasis added); see</w:t>
      </w:r>
      <w:r>
        <w:t xml:space="preserve"> </w:t>
      </w:r>
      <w:r>
        <w:rPr>
          <w:iCs/>
          <w:i/>
        </w:rPr>
        <w:t xml:space="preserve">Burger King Corp. v. Rudzewicz,</w:t>
      </w:r>
      <w:r>
        <w:t xml:space="preserve"> </w:t>
      </w:r>
      <w:r>
        <w:t xml:space="preserve">471 U.S. 462</w:t>
      </w:r>
      <w:r>
        <w:t xml:space="preserve">, 472-473,</w:t>
      </w:r>
      <w:r>
        <w:t xml:space="preserve"> </w:t>
      </w:r>
      <w:r>
        <w:t xml:space="preserve">105 S.Ct. 2174</w:t>
      </w:r>
      <w:r>
        <w:t xml:space="preserve">,</w:t>
      </w:r>
      <w:r>
        <w:t xml:space="preserve"> </w:t>
      </w:r>
      <w:r>
        <w:t xml:space="preserve">85 L.Ed.2d 528</w:t>
      </w:r>
      <w:r>
        <w:t xml:space="preserve"> </w:t>
      </w:r>
      <w:r>
        <w:t xml:space="preserve">(1985) ;</w:t>
      </w:r>
      <w:r>
        <w:t xml:space="preserve"> </w:t>
      </w:r>
      <w:r>
        <w:rPr>
          <w:iCs/>
          <w:i/>
        </w:rPr>
        <w:t xml:space="preserve">Helicopteros Nacionales de Colombia, S.A. v. Hall,</w:t>
      </w:r>
      <w:r>
        <w:t xml:space="preserve"> </w:t>
      </w:r>
      <w:r>
        <w:t xml:space="preserve">466 U.S. 408</w:t>
      </w:r>
      <w:r>
        <w:t xml:space="preserve">, 414,</w:t>
      </w:r>
      <w:r>
        <w:t xml:space="preserve"> </w:t>
      </w:r>
      <w:r>
        <w:t xml:space="preserve">104 S.Ct. 1868</w:t>
      </w:r>
      <w:r>
        <w:t xml:space="preserve">,</w:t>
      </w:r>
      <w:r>
        <w:t xml:space="preserve"> </w:t>
      </w:r>
      <w:r>
        <w:t xml:space="preserve">80 L.Ed.2d 404</w:t>
      </w:r>
      <w:r>
        <w:t xml:space="preserve"> </w:t>
      </w:r>
      <w:r>
        <w:t xml:space="preserve">(1984). In other words, there must be "an affiliation between the forum and the underlying controversy, principally, [an] activity or an occurrence that takes place in the forum State and is therefore subject to the State's regulation."</w:t>
      </w:r>
      <w:r>
        <w:t xml:space="preserve"> </w:t>
      </w:r>
      <w:r>
        <w:rPr>
          <w:iCs/>
          <w:i/>
        </w:rPr>
        <w:t xml:space="preserve">Goodyear,</w:t>
      </w:r>
      <w:r>
        <w:t xml:space="preserve"> </w:t>
      </w:r>
      <w:r>
        <w:t xml:space="preserve">564 U.S., at 919</w:t>
      </w:r>
      <w:r>
        <w:t xml:space="preserve">,</w:t>
      </w:r>
      <w:r>
        <w:t xml:space="preserve"> </w:t>
      </w:r>
      <w:r>
        <w:t xml:space="preserve">131 S.Ct. 2846</w:t>
      </w:r>
      <w:r>
        <w:t xml:space="preserve"> </w:t>
      </w:r>
      <w:r>
        <w:t xml:space="preserve">(internal quotation marks and brackets omitted). For this reason, "specific jurisdiction is confined to adjudication of issues deriving from, or connected with, the very controversy that establishes jurisdiction."</w:t>
      </w:r>
      <w:r>
        <w:t xml:space="preserve"> </w:t>
      </w:r>
      <w:r>
        <w:rPr>
          <w:iCs/>
          <w:i/>
        </w:rPr>
        <w:t xml:space="preserve">Ibid.</w:t>
      </w:r>
      <w:r>
        <w:t xml:space="preserve"> </w:t>
      </w:r>
      <w:r>
        <w:t xml:space="preserve">(internal quotation marks omitted).</w:t>
      </w:r>
    </w:p>
    <w:p>
      <w:pPr>
        <w:pStyle w:val="CaseBody"/>
      </w:pPr>
      <w:r>
        <w:t xml:space="preserve">B</w:t>
      </w:r>
    </w:p>
    <w:p>
      <w:pPr>
        <w:pStyle w:val="CaseBody"/>
      </w:pPr>
      <w:r>
        <w:t xml:space="preserve">In determining whether personal jurisdiction is present, a court must consider a variety of interests. These include "the interests of the forum State and of the plaintiff in proceeding with the cause in the plaintiff's forum of choice."</w:t>
      </w:r>
      <w:r>
        <w:t xml:space="preserve"> </w:t>
      </w:r>
      <w:r>
        <w:rPr>
          <w:iCs/>
          <w:i/>
        </w:rPr>
        <w:t xml:space="preserve">Kulko v. Superior Court of Cal., City and County of San Francisco,</w:t>
      </w:r>
      <w:r>
        <w:t xml:space="preserve"> </w:t>
      </w:r>
      <w:r>
        <w:t xml:space="preserve">436 U.S. 84</w:t>
      </w:r>
      <w:r>
        <w:t xml:space="preserve">, 92,</w:t>
      </w:r>
      <w:r>
        <w:t xml:space="preserve"> </w:t>
      </w:r>
      <w:r>
        <w:t xml:space="preserve">98 S.Ct. 1690</w:t>
      </w:r>
      <w:r>
        <w:t xml:space="preserve">,</w:t>
      </w:r>
      <w:r>
        <w:t xml:space="preserve"> </w:t>
      </w:r>
      <w:r>
        <w:t xml:space="preserve">56 L.Ed.2d 132</w:t>
      </w:r>
      <w:r>
        <w:t xml:space="preserve"> </w:t>
      </w:r>
      <w:r>
        <w:t xml:space="preserve">(1978) ; see</w:t>
      </w:r>
      <w:r>
        <w:t xml:space="preserve"> </w:t>
      </w:r>
      <w:r>
        <w:rPr>
          <w:iCs/>
          <w:i/>
        </w:rPr>
        <w:t xml:space="preserve">Daimler, supra,</w:t>
      </w:r>
      <w:r>
        <w:t xml:space="preserve"> </w:t>
      </w:r>
      <w:r>
        <w:t xml:space="preserve">at ---- - ----, n. 20, 134 S.Ct., at 762, n. 20 ;</w:t>
      </w:r>
      <w:r>
        <w:t xml:space="preserve"> </w:t>
      </w:r>
      <w:r>
        <w:rPr>
          <w:iCs/>
          <w:i/>
        </w:rPr>
        <w:t xml:space="preserve">Asahi Metal Industry Co. v. Superior Court of Cal., Solano Cty.,</w:t>
      </w:r>
      <w:r>
        <w:t xml:space="preserve"> </w:t>
      </w:r>
      <w:r>
        <w:t xml:space="preserve">480 U.S. 102</w:t>
      </w:r>
      <w:r>
        <w:t xml:space="preserve">, 113,</w:t>
      </w:r>
      <w:r>
        <w:t xml:space="preserve"> </w:t>
      </w:r>
      <w:r>
        <w:t xml:space="preserve">107 S.Ct. 1026</w:t>
      </w:r>
      <w:r>
        <w:t xml:space="preserve">,</w:t>
      </w:r>
      <w:r>
        <w:t xml:space="preserve"> </w:t>
      </w:r>
      <w:r>
        <w:t xml:space="preserve">94 L.Ed.2d 92</w:t>
      </w:r>
      <w:r>
        <w:t xml:space="preserve"> </w:t>
      </w:r>
      <w:r>
        <w:t xml:space="preserve">(1987) ;</w:t>
      </w:r>
      <w:r>
        <w:t xml:space="preserve"> </w:t>
      </w:r>
      <w:r>
        <w:rPr>
          <w:iCs/>
          <w:i/>
        </w:rPr>
        <w:t xml:space="preserve">World-Wide Volkswagen,</w:t>
      </w:r>
      <w:r>
        <w:t xml:space="preserve"> </w:t>
      </w:r>
      <w:r>
        <w:t xml:space="preserve">444 U.S., at 292</w:t>
      </w:r>
      <w:r>
        <w:t xml:space="preserve">,</w:t>
      </w:r>
      <w:r>
        <w:t xml:space="preserve"> </w:t>
      </w:r>
      <w:r>
        <w:t xml:space="preserve">100 S.Ct. 559</w:t>
      </w:r>
      <w:r>
        <w:t xml:space="preserve">. But the "primary concern" is "the burden on the defendant."</w:t>
      </w:r>
      <w:r>
        <w:t xml:space="preserve"> </w:t>
      </w:r>
      <w:r>
        <w:rPr>
          <w:iCs/>
          <w:i/>
        </w:rPr>
        <w:t xml:space="preserve">Id.,</w:t>
      </w:r>
      <w:r>
        <w:t xml:space="preserve"> </w:t>
      </w:r>
      <w:r>
        <w:t xml:space="preserve">at 292</w:t>
      </w:r>
      <w:r>
        <w:t xml:space="preserve">,</w:t>
      </w:r>
      <w:r>
        <w:t xml:space="preserve"> </w:t>
      </w:r>
      <w:r>
        <w:t xml:space="preserve">100 S.Ct. 559</w:t>
      </w:r>
      <w:r>
        <w:t xml:space="preserve">. Assessing this burden obviously requires a court to consider the practical problems resulting from litigating in the forum, but it also encompasses the more abstract matter of submitting to the coercive power of a State that may have little legitimate interest in the claims in question. As we have put it, restrictions on personal jurisdiction "are more than a guarantee of immunity from inconvenient or distant litigation. They are a consequence of territorial limitations on the power of the respective States."</w:t>
      </w:r>
      <w:r>
        <w:t xml:space="preserve"> </w:t>
      </w:r>
      <w:r>
        <w:rPr>
          <w:iCs/>
          <w:i/>
        </w:rPr>
        <w:t xml:space="preserve">Hanson v. Denckla,</w:t>
      </w:r>
      <w:r>
        <w:t xml:space="preserve"> </w:t>
      </w:r>
      <w:r>
        <w:t xml:space="preserve">357 U.S. 235</w:t>
      </w:r>
      <w:r>
        <w:t xml:space="preserve">, 251,</w:t>
      </w:r>
      <w:r>
        <w:t xml:space="preserve"> </w:t>
      </w:r>
      <w:r>
        <w:t xml:space="preserve">78 S.Ct. 1228</w:t>
      </w:r>
      <w:r>
        <w:t xml:space="preserve">,</w:t>
      </w:r>
      <w:r>
        <w:t xml:space="preserve"> </w:t>
      </w:r>
      <w:r>
        <w:t xml:space="preserve">2 L.Ed.2d 1283</w:t>
      </w:r>
      <w:r>
        <w:t xml:space="preserve"> </w:t>
      </w:r>
      <w:r>
        <w:t xml:space="preserve">(1958). "[T]he States retain many essential attributes of sovereignty, including, in particular, the sovereign power to try causes in their courts. The sovereignty of each State ... implie[s] a limitation on the sovereignty of all its sister States."</w:t>
      </w:r>
      <w:r>
        <w:t xml:space="preserve"> </w:t>
      </w:r>
      <w:r>
        <w:rPr>
          <w:iCs/>
          <w:i/>
        </w:rPr>
        <w:t xml:space="preserve">World-Wide Volkswagen,</w:t>
      </w:r>
      <w:r>
        <w:t xml:space="preserve"> </w:t>
      </w:r>
      <w:r>
        <w:t xml:space="preserve">444 U.S., at 293</w:t>
      </w:r>
      <w:r>
        <w:t xml:space="preserve">,</w:t>
      </w:r>
      <w:r>
        <w:t xml:space="preserve"> </w:t>
      </w:r>
      <w:r>
        <w:t xml:space="preserve">100 S.Ct. 559</w:t>
      </w:r>
      <w:r>
        <w:t xml:space="preserve">. And at times, this federalism interest may be decisive. As we explained in</w:t>
      </w:r>
      <w:r>
        <w:t xml:space="preserve"> </w:t>
      </w:r>
      <w:r>
        <w:rPr>
          <w:iCs/>
          <w:i/>
        </w:rPr>
        <w:t xml:space="preserve">World-Wide Volkswagen,</w:t>
      </w:r>
      <w:r>
        <w:t xml:space="preserve"> </w:t>
      </w:r>
      <w:r>
        <w:t xml:space="preserve">"[e]ven if the defendant would suffer minimal or no inconvenience from being forced to litigate before the tribunals of another State; even if the forum State has a strong interest in applying its law to the controversy; even if the forum State is the most convenient location for litigation, the Due Process Clause, acting as an instrument of interstate federalism, may sometimes act to divest the State of its power to render a valid judgment."</w:t>
      </w:r>
      <w:r>
        <w:t xml:space="preserve"> </w:t>
      </w:r>
      <w:r>
        <w:rPr>
          <w:iCs/>
          <w:i/>
        </w:rPr>
        <w:t xml:space="preserve">Id.,</w:t>
      </w:r>
      <w:r>
        <w:t xml:space="preserve"> </w:t>
      </w:r>
      <w:r>
        <w:t xml:space="preserve">at 294</w:t>
      </w:r>
      <w:r>
        <w:t xml:space="preserve">,</w:t>
      </w:r>
      <w:r>
        <w:t xml:space="preserve"> </w:t>
      </w:r>
      <w:r>
        <w:t xml:space="preserve">100 S.Ct. 559</w:t>
      </w:r>
      <w:r>
        <w:t xml:space="preserve">.</w:t>
      </w:r>
    </w:p>
    <w:p>
      <w:pPr>
        <w:pStyle w:val="CaseBody"/>
      </w:pPr>
      <w:r>
        <w:t xml:space="preserve">III</w:t>
      </w:r>
    </w:p>
    <w:p>
      <w:pPr>
        <w:pStyle w:val="CaseBody"/>
      </w:pPr>
      <w:r>
        <w:t xml:space="preserve">A</w:t>
      </w:r>
    </w:p>
    <w:p>
      <w:pPr>
        <w:pStyle w:val="CaseBody"/>
      </w:pPr>
      <w:r>
        <w:t xml:space="preserve">Our settled principles regarding specific jurisdiction control this case. In order for a court to exercise specific jurisdiction over a claim, there must be an "affiliation between the forum and the underlying controversy, principally, [an] activity or an occurrence that takes place in the forum State."</w:t>
      </w:r>
      <w:r>
        <w:t xml:space="preserve"> </w:t>
      </w:r>
      <w:r>
        <w:rPr>
          <w:iCs/>
          <w:i/>
        </w:rPr>
        <w:t xml:space="preserve">Goodyear,</w:t>
      </w:r>
      <w:r>
        <w:t xml:space="preserve"> </w:t>
      </w:r>
      <w:r>
        <w:t xml:space="preserve">564 U.S., at 919</w:t>
      </w:r>
      <w:r>
        <w:t xml:space="preserve">,</w:t>
      </w:r>
      <w:r>
        <w:t xml:space="preserve"> </w:t>
      </w:r>
      <w:r>
        <w:t xml:space="preserve">131 S.Ct. 2846</w:t>
      </w:r>
      <w:r>
        <w:t xml:space="preserve"> </w:t>
      </w:r>
      <w:r>
        <w:t xml:space="preserve">(internal quotation marks and brackets in original omitted). When there is no such connection, specific jurisdiction is lacking regardless of the extent of a defendant's unconnected activities in the State. See</w:t>
      </w:r>
      <w:r>
        <w:t xml:space="preserve"> </w:t>
      </w:r>
      <w:r>
        <w:rPr>
          <w:iCs/>
          <w:i/>
        </w:rPr>
        <w:t xml:space="preserve">id.,</w:t>
      </w:r>
      <w:r>
        <w:t xml:space="preserve"> </w:t>
      </w:r>
      <w:r>
        <w:t xml:space="preserve">at 931, n. 6</w:t>
      </w:r>
      <w:r>
        <w:t xml:space="preserve">,</w:t>
      </w:r>
      <w:r>
        <w:t xml:space="preserve"> </w:t>
      </w:r>
      <w:r>
        <w:t xml:space="preserve">131 S.Ct. 2846</w:t>
      </w:r>
      <w:r>
        <w:t xml:space="preserve"> </w:t>
      </w:r>
      <w:r>
        <w:t xml:space="preserve">("[E]ven regularly occurring sales of a product in a State do not justify the exercise of jurisdiction over a claim unrelated to those sales").</w:t>
      </w:r>
    </w:p>
    <w:p>
      <w:pPr>
        <w:pStyle w:val="CaseBody"/>
      </w:pPr>
      <w:r>
        <w:t xml:space="preserve">For this reason, the California Supreme Court's "sliding scale approach" is difficult to square with our precedents. Under the California approach, the strength of the requisite connection between the forum and the specific claims at issue is relaxed if the defendant has extensive forum contacts that are unrelated to those claims. Our cases provide no support for this approach, which resembles a loose and spurious form of general jurisdiction. For specific jurisdiction, a defendant's general connections with the forum are not enough. As we have said, "[a] corporation's 'continuous activity of some sorts within a state ... is not enough to support the demand that the corporation be amenable to suits unrelated to that activity.' "</w:t>
      </w:r>
      <w:r>
        <w:t xml:space="preserve"> </w:t>
      </w:r>
      <w:r>
        <w:rPr>
          <w:iCs/>
          <w:i/>
        </w:rPr>
        <w:t xml:space="preserve">Id.,</w:t>
      </w:r>
      <w:r>
        <w:t xml:space="preserve"> </w:t>
      </w:r>
      <w:r>
        <w:t xml:space="preserve">at 927</w:t>
      </w:r>
      <w:r>
        <w:t xml:space="preserve">,</w:t>
      </w:r>
      <w:r>
        <w:t xml:space="preserve"> </w:t>
      </w:r>
      <w:r>
        <w:t xml:space="preserve">131 S.Ct. 2846</w:t>
      </w:r>
      <w:r>
        <w:t xml:space="preserve"> </w:t>
      </w:r>
      <w:r>
        <w:t xml:space="preserve">(quoting</w:t>
      </w:r>
      <w:r>
        <w:t xml:space="preserve"> </w:t>
      </w:r>
      <w:r>
        <w:rPr>
          <w:iCs/>
          <w:i/>
        </w:rPr>
        <w:t xml:space="preserve">International Shoe,</w:t>
      </w:r>
      <w:r>
        <w:t xml:space="preserve"> </w:t>
      </w:r>
      <w:r>
        <w:t xml:space="preserve">326 U.S., at 318</w:t>
      </w:r>
      <w:r>
        <w:t xml:space="preserve">,</w:t>
      </w:r>
      <w:r>
        <w:t xml:space="preserve"> </w:t>
      </w:r>
      <w:r>
        <w:t xml:space="preserve">66 S.Ct. 154</w:t>
      </w:r>
      <w:r>
        <w:t xml:space="preserve"> </w:t>
      </w:r>
      <w:r>
        <w:t xml:space="preserve">).</w:t>
      </w:r>
    </w:p>
    <w:p>
      <w:pPr>
        <w:pStyle w:val="CaseBody"/>
      </w:pPr>
      <w:r>
        <w:t xml:space="preserve">The present case illustrates the danger of the California approach. The State Supreme Court found that specific jurisdiction was present without identifying any adequate link between the State and the nonresidents' claims. As noted, the nonresidents were not prescribed Plavix in California, did not purchase Plavix in California, did not ingest Plavix in California, and were not injured by Plavix in California. The mere fact that</w:t>
      </w:r>
      <w:r>
        <w:t xml:space="preserve"> </w:t>
      </w:r>
      <w:r>
        <w:rPr>
          <w:iCs/>
          <w:i/>
        </w:rPr>
        <w:t xml:space="preserve">other</w:t>
      </w:r>
      <w:r>
        <w:t xml:space="preserve"> </w:t>
      </w:r>
      <w:r>
        <w:t xml:space="preserve">plaintiffs were prescribed, obtained, and ingested Plavix in California-and allegedly sustained the same injuries as did the nonresidents-does not allow the State to assert specific jurisdiction over the nonresidents' claims. As we have explained, "a defendant's relationship with a ... third party, standing alone, is an insufficient basis for jurisdiction."</w:t>
      </w:r>
      <w:r>
        <w:t xml:space="preserve"> </w:t>
      </w:r>
      <w:r>
        <w:rPr>
          <w:iCs/>
          <w:i/>
        </w:rPr>
        <w:t xml:space="preserve">Walden,</w:t>
      </w:r>
      <w:r>
        <w:t xml:space="preserve"> </w:t>
      </w:r>
      <w:r>
        <w:t xml:space="preserve">571 U.S., at ----, 134 S.Ct., at 1123. This remains true even when third parties (here, the plaintiffs who reside in California) can bring claims similar to those brought by the nonresidents. Nor is it sufficient-or even relevant-that BMS conducted research in California on matters unrelated to Plavix. What is needed-and what is missing here-is a connection between the forum and the specific claims at issue.</w:t>
      </w:r>
    </w:p>
    <w:p>
      <w:pPr>
        <w:pStyle w:val="CaseBody"/>
      </w:pPr>
      <w:r>
        <w:t xml:space="preserve">Our decision in</w:t>
      </w:r>
      <w:r>
        <w:t xml:space="preserve"> </w:t>
      </w:r>
      <w:r>
        <w:rPr>
          <w:iCs/>
          <w:i/>
        </w:rPr>
        <w:t xml:space="preserve">Walden,</w:t>
      </w:r>
      <w:r>
        <w:rPr>
          <w:iCs/>
          <w:i/>
        </w:rPr>
        <w:t xml:space="preserve"> </w:t>
      </w:r>
      <w:r>
        <w:rPr>
          <w:iCs/>
          <w:i/>
        </w:rPr>
        <w:t xml:space="preserve">supra,</w:t>
      </w:r>
      <w:r>
        <w:t xml:space="preserve"> </w:t>
      </w:r>
      <w:r>
        <w:t xml:space="preserve">illustrates this requirement. In that case, Nevada plaintiffs sued an out-of-state defendant for conducting an allegedly unlawful search of the plaintiffs while they were in Georgia preparing to board a plane bound for Nevada. We held that the Nevada courts lacked specific jurisdiction even though the plaintiffs were Nevada residents and "suffered foreseeable harm in Nevada."</w:t>
      </w:r>
      <w:r>
        <w:t xml:space="preserve"> </w:t>
      </w:r>
      <w:r>
        <w:rPr>
          <w:iCs/>
          <w:i/>
        </w:rPr>
        <w:t xml:space="preserve">Id.,</w:t>
      </w:r>
      <w:r>
        <w:t xml:space="preserve"> </w:t>
      </w:r>
      <w:r>
        <w:t xml:space="preserve">at ----, 134 S.Ct., at 1124. Because the "</w:t>
      </w:r>
      <w:r>
        <w:rPr>
          <w:iCs/>
          <w:i/>
        </w:rPr>
        <w:t xml:space="preserve">relevant</w:t>
      </w:r>
      <w:r>
        <w:t xml:space="preserve"> </w:t>
      </w:r>
      <w:r>
        <w:t xml:space="preserve">conduct occurred entirely in Georgi[a] ... the mere fact that [this] conduct affected plaintiffs with connections to the forum State d [id] not suffice to authorize jurisdiction."</w:t>
      </w:r>
      <w:r>
        <w:t xml:space="preserve"> </w:t>
      </w:r>
      <w:r>
        <w:rPr>
          <w:iCs/>
          <w:i/>
        </w:rPr>
        <w:t xml:space="preserve">Id.,</w:t>
      </w:r>
      <w:r>
        <w:t xml:space="preserve"> </w:t>
      </w:r>
      <w:r>
        <w:t xml:space="preserve">at ----, 134 S.Ct., at 1126 (emphasis added).</w:t>
      </w:r>
    </w:p>
    <w:p>
      <w:pPr>
        <w:pStyle w:val="CaseBody"/>
      </w:pPr>
      <w:r>
        <w:t xml:space="preserve">In today's case, the connection between the nonresidents' claims and the forum is even weaker. The relevant plaintiffs are not California residents and do not claim to have suffered harm in that State. In addition, as in</w:t>
      </w:r>
      <w:r>
        <w:t xml:space="preserve"> </w:t>
      </w:r>
      <w:r>
        <w:rPr>
          <w:iCs/>
          <w:i/>
        </w:rPr>
        <w:t xml:space="preserve">Walden,</w:t>
      </w:r>
      <w:r>
        <w:t xml:space="preserve"> </w:t>
      </w:r>
      <w:r>
        <w:t xml:space="preserve">all the conduct giving rise to the nonresidents' claims occurred elsewhere. It follows that the California courts cannot claim specific jurisdiction. See</w:t>
      </w:r>
      <w:r>
        <w:t xml:space="preserve"> </w:t>
      </w:r>
      <w:r>
        <w:rPr>
          <w:iCs/>
          <w:i/>
        </w:rPr>
        <w:t xml:space="preserve">World-Wide Volkswagen, supra,</w:t>
      </w:r>
      <w:r>
        <w:t xml:space="preserve"> </w:t>
      </w:r>
      <w:r>
        <w:t xml:space="preserve">at 295,</w:t>
      </w:r>
      <w:r>
        <w:t xml:space="preserve"> </w:t>
      </w:r>
      <w:r>
        <w:t xml:space="preserve">100 S.Ct. 559</w:t>
      </w:r>
      <w:r>
        <w:t xml:space="preserve"> </w:t>
      </w:r>
      <w:r>
        <w:t xml:space="preserve">(finding no personal jurisdiction in Oklahoma because the defendant "carr[ied] on no activity whatsoever in Oklahoma" and dismissing "the fortuitous circumstance that a single Audi automobile, sold [by defendants] in New York to New York residents, happened to suffer an accident while passing through Oklahoma" as an "isolated occurrence").</w:t>
      </w:r>
    </w:p>
    <w:p>
      <w:pPr>
        <w:pStyle w:val="CaseBody"/>
      </w:pPr>
      <w:r>
        <w:t xml:space="preserve">B</w:t>
      </w:r>
    </w:p>
    <w:p>
      <w:pPr>
        <w:pStyle w:val="CaseBody"/>
      </w:pPr>
      <w:r>
        <w:t xml:space="preserve">The nonresidents maintain that two of our cases support the decision below, but they misinterpret those precedents.</w:t>
      </w:r>
    </w:p>
    <w:p>
      <w:pPr>
        <w:pStyle w:val="CaseBody"/>
      </w:pPr>
      <w:r>
        <w:t xml:space="preserve">In</w:t>
      </w:r>
      <w:r>
        <w:t xml:space="preserve"> </w:t>
      </w:r>
      <w:r>
        <w:rPr>
          <w:iCs/>
          <w:i/>
        </w:rPr>
        <w:t xml:space="preserve">Keeton v. Hustler Magazine, Inc.,</w:t>
      </w:r>
      <w:r>
        <w:t xml:space="preserve"> </w:t>
      </w:r>
      <w:r>
        <w:t xml:space="preserve">465 U.S. 770</w:t>
      </w:r>
      <w:r>
        <w:t xml:space="preserve">,</w:t>
      </w:r>
      <w:r>
        <w:t xml:space="preserve"> </w:t>
      </w:r>
      <w:r>
        <w:t xml:space="preserve">104 S.Ct. 1473</w:t>
      </w:r>
      <w:r>
        <w:t xml:space="preserve">,</w:t>
      </w:r>
      <w:r>
        <w:t xml:space="preserve"> </w:t>
      </w:r>
      <w:r>
        <w:t xml:space="preserve">79 L.Ed.2d 790</w:t>
      </w:r>
      <w:r>
        <w:t xml:space="preserve"> </w:t>
      </w:r>
      <w:r>
        <w:t xml:space="preserve">(1984), a New York resident sued Hustler in New Hampshire, claiming that she had been libeled in five issues of the magazine, which was distributed throughout the country, including in New Hampshire, where it sold 10,000 to 15,000 copies per month. Concluding that specific jurisdiction was present, we relied principally on the connection between the circulation of the magazine in New Hampshire and damage allegedly caused within the State. We noted that "[f]alse statements of fact harm both the subject of the falsehood and the readers of the statement."</w:t>
      </w:r>
      <w:r>
        <w:t xml:space="preserve"> </w:t>
      </w:r>
      <w:r>
        <w:rPr>
          <w:iCs/>
          <w:i/>
        </w:rPr>
        <w:t xml:space="preserve">Id</w:t>
      </w:r>
      <w:r>
        <w:t xml:space="preserve"> </w:t>
      </w:r>
      <w:r>
        <w:t xml:space="preserve">., at 776,</w:t>
      </w:r>
      <w:r>
        <w:t xml:space="preserve"> </w:t>
      </w:r>
      <w:r>
        <w:t xml:space="preserve">104 S.Ct. 1473</w:t>
      </w:r>
      <w:r>
        <w:t xml:space="preserve"> </w:t>
      </w:r>
      <w:r>
        <w:t xml:space="preserve">(emphasis deleted). This factor amply distinguishes</w:t>
      </w:r>
      <w:r>
        <w:t xml:space="preserve"> </w:t>
      </w:r>
      <w:r>
        <w:rPr>
          <w:iCs/>
          <w:i/>
        </w:rPr>
        <w:t xml:space="preserve">Keeton</w:t>
      </w:r>
      <w:r>
        <w:t xml:space="preserve"> </w:t>
      </w:r>
      <w:r>
        <w:t xml:space="preserve">from the present case, for here the nonresidents' claims involve no harm in California and no harm to California residents.</w:t>
      </w:r>
    </w:p>
    <w:p>
      <w:pPr>
        <w:pStyle w:val="CaseBody"/>
      </w:pPr>
      <w:r>
        <w:t xml:space="preserve">The nonresident plaintiffs in this case point to our holding in</w:t>
      </w:r>
      <w:r>
        <w:t xml:space="preserve"> </w:t>
      </w:r>
      <w:r>
        <w:rPr>
          <w:iCs/>
          <w:i/>
        </w:rPr>
        <w:t xml:space="preserve">Keeton</w:t>
      </w:r>
      <w:r>
        <w:t xml:space="preserve"> </w:t>
      </w:r>
      <w:r>
        <w:t xml:space="preserve">that there was jurisdiction in New Hampshire to entertain the plaintiff's request for damages suffered outside the State,</w:t>
      </w:r>
      <w:r>
        <w:t xml:space="preserve"> </w:t>
      </w:r>
      <w:r>
        <w:rPr>
          <w:iCs/>
          <w:i/>
        </w:rPr>
        <w:t xml:space="preserve">id.,</w:t>
      </w:r>
      <w:r>
        <w:t xml:space="preserve"> </w:t>
      </w:r>
      <w:r>
        <w:t xml:space="preserve">at 774</w:t>
      </w:r>
      <w:r>
        <w:t xml:space="preserve">,</w:t>
      </w:r>
      <w:r>
        <w:t xml:space="preserve"> </w:t>
      </w:r>
      <w:r>
        <w:t xml:space="preserve">104 S.Ct. 1473</w:t>
      </w:r>
      <w:r>
        <w:t xml:space="preserve"> </w:t>
      </w:r>
      <w:r>
        <w:t xml:space="preserve">but that holding concerned jurisdiction to determine</w:t>
      </w:r>
      <w:r>
        <w:t xml:space="preserve"> </w:t>
      </w:r>
      <w:r>
        <w:rPr>
          <w:iCs/>
          <w:i/>
        </w:rPr>
        <w:t xml:space="preserve">the scope of a claim</w:t>
      </w:r>
      <w:r>
        <w:t xml:space="preserve"> </w:t>
      </w:r>
      <w:r>
        <w:t xml:space="preserve">involving in-state injury and injury to residents of the State, not, as in this case, jurisdiction to entertain claims involving no in-state injury and no injury to residents of the forum State.</w:t>
      </w:r>
      <w:r>
        <w:t xml:space="preserve"> </w:t>
      </w:r>
      <w:r>
        <w:rPr>
          <w:iCs/>
          <w:i/>
        </w:rPr>
        <w:t xml:space="preserve">Keeton</w:t>
      </w:r>
      <w:r>
        <w:t xml:space="preserve"> </w:t>
      </w:r>
      <w:r>
        <w:t xml:space="preserve">held that there was jurisdiction in New Hampshire to consider the full measure of the plaintiff's claim, but whether she could actually recover out-of-state damages was a merits question governed by New Hampshire libel law.</w:t>
      </w:r>
      <w:r>
        <w:t xml:space="preserve"> </w:t>
      </w:r>
      <w:r>
        <w:rPr>
          <w:iCs/>
          <w:i/>
        </w:rPr>
        <w:t xml:space="preserve">Id</w:t>
      </w:r>
      <w:r>
        <w:t xml:space="preserve"> </w:t>
      </w:r>
      <w:r>
        <w:t xml:space="preserve">., at 778, n. 9,</w:t>
      </w:r>
      <w:r>
        <w:t xml:space="preserve"> </w:t>
      </w:r>
      <w:r>
        <w:t xml:space="preserve">104 S.Ct. 1473</w:t>
      </w:r>
      <w:r>
        <w:t xml:space="preserve">.</w:t>
      </w:r>
    </w:p>
    <w:p>
      <w:pPr>
        <w:pStyle w:val="CaseBody"/>
      </w:pPr>
      <w:r>
        <w:t xml:space="preserve">The Court's decision in</w:t>
      </w:r>
      <w:r>
        <w:t xml:space="preserve"> </w:t>
      </w:r>
      <w:r>
        <w:rPr>
          <w:iCs/>
          <w:i/>
        </w:rPr>
        <w:t xml:space="preserve">Phillips Petroleum Co. v. Shutts,</w:t>
      </w:r>
      <w:r>
        <w:t xml:space="preserve"> </w:t>
      </w:r>
      <w:r>
        <w:t xml:space="preserve">472 U.S. 797</w:t>
      </w:r>
      <w:r>
        <w:t xml:space="preserve">,</w:t>
      </w:r>
      <w:r>
        <w:t xml:space="preserve"> </w:t>
      </w:r>
      <w:r>
        <w:t xml:space="preserve">105 S.Ct. 2965</w:t>
      </w:r>
      <w:r>
        <w:t xml:space="preserve">,</w:t>
      </w:r>
      <w:r>
        <w:t xml:space="preserve"> </w:t>
      </w:r>
      <w:r>
        <w:t xml:space="preserve">86 L.Ed.2d 628</w:t>
      </w:r>
      <w:r>
        <w:t xml:space="preserve"> </w:t>
      </w:r>
      <w:r>
        <w:t xml:space="preserve">(1985), which involved a class action filed in Kansas, is even less relevant. The Kansas court exercised personal jurisdiction over the claims of nonresident class members, and the defendant, Phillips Petroleum, argued that this violated the due process rights of these class members because they lacked minimum contacts with the State.</w:t>
      </w:r>
      <w:r>
        <w:t xml:space="preserve"> </w:t>
      </w:r>
      <w:r>
        <w:t xml:space="preserve">According to the defendant, the out-of-state class members should not have been kept in the case unless they affirmatively opted in, instead of merely failing to opt out after receiving notice.</w:t>
      </w:r>
      <w:r>
        <w:t xml:space="preserve"> </w:t>
      </w:r>
      <w:r>
        <w:rPr>
          <w:iCs/>
          <w:i/>
        </w:rPr>
        <w:t xml:space="preserve">Id.,</w:t>
      </w:r>
      <w:r>
        <w:t xml:space="preserve"> </w:t>
      </w:r>
      <w:r>
        <w:t xml:space="preserve">at 812</w:t>
      </w:r>
      <w:r>
        <w:t xml:space="preserve">,</w:t>
      </w:r>
      <w:r>
        <w:t xml:space="preserve"> </w:t>
      </w:r>
      <w:r>
        <w:t xml:space="preserve">105 S.Ct. 2965</w:t>
      </w:r>
      <w:r>
        <w:t xml:space="preserve">.</w:t>
      </w:r>
    </w:p>
    <w:p>
      <w:pPr>
        <w:pStyle w:val="CaseBody"/>
      </w:pPr>
      <w:r>
        <w:t xml:space="preserve">Holding that there had been no due process violation, the Court explained that the authority of a State to entertain the claims of nonresident class members is entirely different from its authority to exercise jurisdiction over an out-of-state defendant.</w:t>
      </w:r>
      <w:r>
        <w:t xml:space="preserve"> </w:t>
      </w:r>
      <w:r>
        <w:rPr>
          <w:iCs/>
          <w:i/>
        </w:rPr>
        <w:t xml:space="preserve">Id.,</w:t>
      </w:r>
      <w:r>
        <w:t xml:space="preserve"> </w:t>
      </w:r>
      <w:r>
        <w:t xml:space="preserve">at 808-812</w:t>
      </w:r>
      <w:r>
        <w:t xml:space="preserve">,</w:t>
      </w:r>
      <w:r>
        <w:t xml:space="preserve"> </w:t>
      </w:r>
      <w:r>
        <w:t xml:space="preserve">105 S.Ct. 2965</w:t>
      </w:r>
      <w:r>
        <w:t xml:space="preserve">. Since</w:t>
      </w:r>
      <w:r>
        <w:t xml:space="preserve"> </w:t>
      </w:r>
      <w:r>
        <w:rPr>
          <w:iCs/>
          <w:i/>
        </w:rPr>
        <w:t xml:space="preserve">Shutts</w:t>
      </w:r>
      <w:r>
        <w:t xml:space="preserve"> </w:t>
      </w:r>
      <w:r>
        <w:t xml:space="preserve">concerned the due process rights of</w:t>
      </w:r>
      <w:r>
        <w:t xml:space="preserve"> </w:t>
      </w:r>
      <w:r>
        <w:rPr>
          <w:iCs/>
          <w:i/>
        </w:rPr>
        <w:t xml:space="preserve">plaintiffs,</w:t>
      </w:r>
      <w:r>
        <w:t xml:space="preserve"> </w:t>
      </w:r>
      <w:r>
        <w:t xml:space="preserve">it has no bearing on the question presented here.</w:t>
      </w:r>
    </w:p>
    <w:p>
      <w:pPr>
        <w:pStyle w:val="CaseBody"/>
      </w:pPr>
      <w:r>
        <w:t xml:space="preserve">Respondents nevertheless contend that</w:t>
      </w:r>
      <w:r>
        <w:t xml:space="preserve"> </w:t>
      </w:r>
      <w:r>
        <w:rPr>
          <w:iCs/>
          <w:i/>
        </w:rPr>
        <w:t xml:space="preserve">Shutts</w:t>
      </w:r>
      <w:r>
        <w:t xml:space="preserve"> </w:t>
      </w:r>
      <w:r>
        <w:t xml:space="preserve">supports their position because, in their words, it would be "absurd to believe that [this Court] would have reached the exact opposite result if the petitioner [Phillips] had only invoked its own due-process rights, rather than those of the non-resident plaintiffs." Brief for Respondents 28-29, n. 6 (emphasis deleted). But the fact remains that Phillips did not assert that Kansas improperly exercised personal jurisdiction over it, and the Court did not address that issue.</w:t>
      </w:r>
      <w:r>
        <w:t xml:space="preserve"> </w:t>
      </w:r>
      <w:r>
        <w:t xml:space="preserve">Indeed, the Court stated specifically that its "discussion of personal jurisdiction [did not] address class actions where the jurisdiction is asserted against a</w:t>
      </w:r>
      <w:r>
        <w:t xml:space="preserve"> </w:t>
      </w:r>
      <w:r>
        <w:rPr>
          <w:iCs/>
          <w:i/>
        </w:rPr>
        <w:t xml:space="preserve">defendant</w:t>
      </w:r>
      <w:r>
        <w:t xml:space="preserve"> </w:t>
      </w:r>
      <w:r>
        <w:t xml:space="preserve">class."</w:t>
      </w:r>
      <w:r>
        <w:t xml:space="preserve"> </w:t>
      </w:r>
      <w:r>
        <w:rPr>
          <w:iCs/>
          <w:i/>
        </w:rPr>
        <w:t xml:space="preserve">Shutts,</w:t>
      </w:r>
      <w:r>
        <w:t xml:space="preserve"> </w:t>
      </w:r>
      <w:r>
        <w:rPr>
          <w:iCs/>
          <w:i/>
        </w:rPr>
        <w:t xml:space="preserve">supra,</w:t>
      </w:r>
      <w:r>
        <w:t xml:space="preserve"> </w:t>
      </w:r>
      <w:r>
        <w:t xml:space="preserve">at 812, n. 3</w:t>
      </w:r>
      <w:r>
        <w:t xml:space="preserve">,</w:t>
      </w:r>
      <w:r>
        <w:t xml:space="preserve"> </w:t>
      </w:r>
      <w:r>
        <w:t xml:space="preserve">105 S.Ct. 2965</w:t>
      </w:r>
      <w:r>
        <w:t xml:space="preserve">.</w:t>
      </w:r>
    </w:p>
    <w:p>
      <w:pPr>
        <w:pStyle w:val="CaseBody"/>
      </w:pPr>
      <w:r>
        <w:t xml:space="preserve">C</w:t>
      </w:r>
    </w:p>
    <w:p>
      <w:pPr>
        <w:pStyle w:val="CaseBody"/>
      </w:pPr>
      <w:r>
        <w:t xml:space="preserve">In a last ditch contention, respondents contend that BMS's "decision to contract with a California company [McKesson] to distribute [Plavix ] nationally" provides a sufficient basis for personal jurisdiction. Tr. of Oral Arg. 32. But as we have explained, "[t]he requirements of</w:t>
      </w:r>
      <w:r>
        <w:t xml:space="preserve"> </w:t>
      </w:r>
      <w:r>
        <w:rPr>
          <w:iCs/>
          <w:i/>
        </w:rPr>
        <w:t xml:space="preserve">International Shoe</w:t>
      </w:r>
      <w:r>
        <w:t xml:space="preserve"> </w:t>
      </w:r>
      <w:r>
        <w:t xml:space="preserve">... must be met as to each defendant over whom a state court exercises jurisdiction."</w:t>
      </w:r>
      <w:r>
        <w:t xml:space="preserve"> </w:t>
      </w:r>
      <w:r>
        <w:rPr>
          <w:iCs/>
          <w:i/>
        </w:rPr>
        <w:t xml:space="preserve">Rush v. Savchuk,</w:t>
      </w:r>
      <w:r>
        <w:t xml:space="preserve"> </w:t>
      </w:r>
      <w:r>
        <w:t xml:space="preserve">444 U.S. 320</w:t>
      </w:r>
      <w:r>
        <w:t xml:space="preserve">, 332,</w:t>
      </w:r>
      <w:r>
        <w:t xml:space="preserve"> </w:t>
      </w:r>
      <w:r>
        <w:t xml:space="preserve">100 S.Ct. 571</w:t>
      </w:r>
      <w:r>
        <w:t xml:space="preserve">,</w:t>
      </w:r>
      <w:r>
        <w:t xml:space="preserve"> </w:t>
      </w:r>
      <w:r>
        <w:t xml:space="preserve">62 L.Ed.2d 516</w:t>
      </w:r>
      <w:r>
        <w:t xml:space="preserve"> </w:t>
      </w:r>
      <w:r>
        <w:t xml:space="preserve">(1980) ; see</w:t>
      </w:r>
      <w:r>
        <w:t xml:space="preserve"> </w:t>
      </w:r>
      <w:r>
        <w:rPr>
          <w:iCs/>
          <w:i/>
        </w:rPr>
        <w:t xml:space="preserve">Walden,</w:t>
      </w:r>
      <w:r>
        <w:t xml:space="preserve"> </w:t>
      </w:r>
      <w:r>
        <w:t xml:space="preserve">571 U.S., at ----, 134 S.Ct., at 1123 ("[A] defendant's relationship with a ... third party, standing alone, is an insufficient basis for jurisdiction"). In this case, it is not alleged that BMS engaged in relevant acts together with McKesson in California. Nor is it alleged that BMS is derivatively liable for McKesson's conduct in California. And the nonresidents "have adduced no evidence to show how or by whom the Plavix they took was distributed to the pharmacies that dispensed it to them."</w:t>
      </w:r>
      <w:r>
        <w:t xml:space="preserve"> </w:t>
      </w:r>
      <w:r>
        <w:t xml:space="preserve">1 Cal.5th, at 815</w:t>
      </w:r>
      <w:r>
        <w:t xml:space="preserve">,</w:t>
      </w:r>
      <w:r>
        <w:t xml:space="preserve"> </w:t>
      </w:r>
      <w:r>
        <w:t xml:space="preserve">206 Cal.Rptr.3d 636</w:t>
      </w:r>
      <w:r>
        <w:t xml:space="preserve">,</w:t>
      </w:r>
      <w:r>
        <w:t xml:space="preserve"> </w:t>
      </w:r>
      <w:r>
        <w:t xml:space="preserve">377 P.3d, at 895</w:t>
      </w:r>
      <w:r>
        <w:t xml:space="preserve"> </w:t>
      </w:r>
      <w:r>
        <w:t xml:space="preserve">(Werdegar, J., dissenting) (emphasis deleted). See Tr. of Oral Arg. 33 ("It is impossible to trace a particular pill to a particular person.... It's not possible for us to track particularly to McKesson"). The bare fact that BMS contracted with a California distributor is not enough to establish personal jurisdiction in the State.</w:t>
      </w:r>
    </w:p>
    <w:p>
      <w:pPr>
        <w:pStyle w:val="CaseBody"/>
      </w:pPr>
      <w:r>
        <w:t xml:space="preserve">IV</w:t>
      </w:r>
    </w:p>
    <w:p>
      <w:pPr>
        <w:pStyle w:val="CaseBody"/>
      </w:pPr>
      <w:r>
        <w:t xml:space="preserve">Our straightforward application in this case of settled principles of personal jurisdiction will not result in the parade of horribles that respondents conjure up. See Brief for Respondents 38-47. Our decision does not prevent the California and out-of-state plaintiffs from joining together in a consolidated action in the States that have general jurisdiction over BMS. BMS concedes that such suits could be brought in either New York or Delaware. See Brief for Petitioner 13. Alternatively, the plaintiffs who are residents of a particular State-for example, the 92 plaintiffs from Texas and the 71 from Ohio-could probably sue together in their home States. In addition, since our decision concerns the due process limits on the exercise of specific jurisdiction by a State, we leave open the question whether the Fifth Amendment imposes the same restrictions on the exercise of personal jurisdiction by a federal court. See</w:t>
      </w:r>
      <w:r>
        <w:t xml:space="preserve"> </w:t>
      </w:r>
      <w:r>
        <w:rPr>
          <w:iCs/>
          <w:i/>
        </w:rPr>
        <w:t xml:space="preserve">Omni Capital Int'l, Ltd. v. Rudolf Wolff &amp; Co.,</w:t>
      </w:r>
      <w:r>
        <w:t xml:space="preserve"> </w:t>
      </w:r>
      <w:r>
        <w:t xml:space="preserve">484 U.S. 97</w:t>
      </w:r>
      <w:r>
        <w:t xml:space="preserve">, 102, n. 5,</w:t>
      </w:r>
      <w:r>
        <w:t xml:space="preserve"> </w:t>
      </w:r>
      <w:r>
        <w:t xml:space="preserve">108 S.Ct. 404</w:t>
      </w:r>
      <w:r>
        <w:t xml:space="preserve">,</w:t>
      </w:r>
      <w:r>
        <w:t xml:space="preserve"> </w:t>
      </w:r>
      <w:r>
        <w:t xml:space="preserve">98 L.Ed.2d 415</w:t>
      </w:r>
      <w:r>
        <w:t xml:space="preserve"> </w:t>
      </w:r>
      <w:r>
        <w:t xml:space="preserve">(1987).</w:t>
      </w:r>
    </w:p>
    <w:p>
      <w:pPr>
        <w:pStyle w:val="CaseBody"/>
      </w:pPr>
      <w:r>
        <w:t xml:space="preserve">* * *</w:t>
      </w:r>
    </w:p>
    <w:p>
      <w:pPr>
        <w:pStyle w:val="CaseBody"/>
      </w:pPr>
      <w:r>
        <w:t xml:space="preserve">The judgment of the California Supreme Court is reversed, and the case is remanded for further proceedings not inconsistent with this opinion.</w:t>
      </w:r>
    </w:p>
    <w:p>
      <w:pPr>
        <w:pStyle w:val="CaseBody"/>
      </w:pPr>
      <w:r>
        <w:rPr>
          <w:iCs/>
          <w:i/>
        </w:rPr>
        <w:t xml:space="preserve">It is so ordered.</w:t>
      </w:r>
    </w:p>
    <w:p>
      <w:pPr>
        <w:pStyle w:val="CaseBody"/>
      </w:pPr>
      <w:hyperlink w:anchor="X11e4d18a26d05136a0ce8edf62017665318c3b3">
        <w:r>
          <w:rPr>
            <w:rStyle w:val="Elision"/>
          </w:rPr>
          <w:t xml:space="preserve">[ … ]</w:t>
        </w:r>
      </w:hyperlink>
    </w:p>
    <w:p>
      <w:pPr>
        <w:pStyle w:val="NodeEnd"/>
      </w:pPr>
      <w:r>
        <w:t xml:space="preserve"> </w:t>
      </w:r>
    </w:p>
    <w:p>
      <w:pPr>
        <w:pStyle w:val="NodeStart"/>
      </w:pPr>
      <w:r>
        <w:t xml:space="preserve"> </w:t>
      </w:r>
    </w:p>
    <w:p>
      <w:pPr>
        <w:pStyle w:val="HeadSeparator"/>
      </w:pPr>
      <w:r>
        <w:t xml:space="preserve"> </w:t>
      </w:r>
    </w:p>
    <w:bookmarkStart w:id="258" w:name="_auto_toc_258"/>
    <w:bookmarkEnd w:id="258"/>
    <w:p>
      <w:pPr>
        <w:pStyle w:val="ResourceNumber"/>
      </w:pPr>
      <w:r>
        <w:t xml:space="preserve">22.8</w:t>
      </w:r>
    </w:p>
    <w:p>
      <w:pPr>
        <w:pStyle w:val="ResourceTitle"/>
      </w:pPr>
      <w:r>
        <w:t xml:space="preserve">Supreme Tribe of Ben-Hur, Snyder, Clark, and Zahn</w:t>
      </w:r>
    </w:p>
    <w:p>
      <w:pPr>
        <w:pStyle w:val="HeadFieldSeparator"/>
      </w:pPr>
      <w:r>
        <w:t xml:space="preserve"> </w:t>
      </w:r>
    </w:p>
    <w:p>
      <w:pPr>
        <w:pStyle w:val="ResourceHeadnote"/>
      </w:pPr>
      <w:r>
        <w:t xml:space="preserve">How do the diversity and amount-in-controversy requirements of §1332 diversity jurisdiction apply to class action lawsuits (in cases not governed by §1332(d), also known as the "Class Action Fairness Act," which we will not study in this class)?</w:t>
      </w:r>
      <w:r>
        <w:t xml:space="preserve"> </w:t>
      </w:r>
    </w:p>
    <w:p>
      <w:pPr>
        <w:pStyle w:val="HeadEnd"/>
      </w:pPr>
      <w:r>
        <w:t xml:space="preserve"> </w:t>
      </w:r>
    </w:p>
    <w:p>
      <w:pPr>
        <w:pStyle w:val="BodyText"/>
      </w:pPr>
      <w:r>
        <w:t xml:space="preserve">This note summarizes the law on the question above prior to the 1990 passage of the supplemental jurisdiction statute, 28 U.S.C.</w:t>
      </w:r>
      <w:r>
        <w:t xml:space="preserve"> </w:t>
      </w:r>
      <w:r>
        <w:t xml:space="preserve">§ 1367. As you will see, in the case excerpted in the next entry in this casebook</w:t>
      </w:r>
      <w:r>
        <w:t xml:space="preserve"> </w:t>
      </w:r>
      <w:r>
        <w:rPr>
          <w:iCs/>
          <w:i/>
        </w:rPr>
        <w:t xml:space="preserve">(Exxon),</w:t>
      </w:r>
      <w:r>
        <w:t xml:space="preserve"> </w:t>
      </w:r>
      <w:r>
        <w:t xml:space="preserve">the Supreme Court held that section 1367 changed the law regarding class actions and the AIC (but not regarding complete diversity).</w:t>
      </w:r>
    </w:p>
    <w:p>
      <w:pPr>
        <w:pStyle w:val="BodyText"/>
      </w:pPr>
      <w:r>
        <w:t xml:space="preserve"> </w:t>
      </w:r>
    </w:p>
    <w:p>
      <w:pPr>
        <w:pStyle w:val="BodyText"/>
      </w:pPr>
      <w:r>
        <w:rPr>
          <w:bCs/>
          <w:b/>
        </w:rPr>
        <w:t xml:space="preserve">Diversity</w:t>
      </w:r>
    </w:p>
    <w:p>
      <w:pPr>
        <w:pStyle w:val="BodyText"/>
      </w:pPr>
      <w:r>
        <w:t xml:space="preserve">In</w:t>
      </w:r>
      <w:r>
        <w:t xml:space="preserve"> </w:t>
      </w:r>
      <w:r>
        <w:rPr>
          <w:iCs/>
          <w:i/>
        </w:rPr>
        <w:t xml:space="preserve">Supreme Tribe of Ben-Hur</w:t>
      </w:r>
      <w:r>
        <w:t xml:space="preserve">, 255 U.S. 356 (1921), </w:t>
      </w:r>
      <w:r>
        <w:t xml:space="preserve">the Supreme Court held that the diversity requirement was met in an equity precursor to what is now the class action as long as there was complete diversity between the named plaintiffs and defendants, even if there were unnamed class members as to whom complete diversity was lacking.  This holding is generally understood to apply equally to the modern class action. In other words, in assessing complete diversity in a class action, what matters is the citizenship of the named plaintiffs. The unnamed class members citizenships are irrelevant.</w:t>
      </w:r>
    </w:p>
    <w:p>
      <w:pPr>
        <w:pStyle w:val="BodyText"/>
      </w:pPr>
      <w:r>
        <w:t xml:space="preserve"> </w:t>
      </w:r>
    </w:p>
    <w:p>
      <w:pPr>
        <w:pStyle w:val="BodyText"/>
      </w:pPr>
      <w:r>
        <w:rPr>
          <w:bCs/>
          <w:b/>
        </w:rPr>
        <w:t xml:space="preserve">Amount in Controversy</w:t>
      </w:r>
      <w:r>
        <w:t xml:space="preserve"> </w:t>
      </w:r>
    </w:p>
    <w:p>
      <w:pPr>
        <w:pStyle w:val="BodyText"/>
      </w:pPr>
      <w:r>
        <w:rPr>
          <w:iCs/>
          <w:i/>
        </w:rPr>
        <w:t xml:space="preserve">Clark v. Paul Gray, Inc.</w:t>
      </w:r>
      <w:r>
        <w:t xml:space="preserve">,</w:t>
      </w:r>
      <w:r>
        <w:t xml:space="preserve"> </w:t>
      </w:r>
      <w:r>
        <w:t xml:space="preserve">306 U.S. 583 (1939), the plaintiffs sought an injunction (based on the Constitution's Commerce Clause) against a California law imposing a fee on cars shipped into the state. The plaintiffs sued together under F.R.C.P. 20,</w:t>
      </w:r>
      <w:r>
        <w:t xml:space="preserve"> </w:t>
      </w:r>
      <w:r>
        <w:rPr>
          <w:iCs/>
          <w:i/>
        </w:rPr>
        <w:t xml:space="preserve">i.e.</w:t>
      </w:r>
      <w:r>
        <w:t xml:space="preserve">, simple joinder, meaning they did not seek class certification. Only one of the plaintiffs independently met the amount in contoversy requirement. The Supreme Court held that it could exercise subject matter jurisdiction with respect to only the suit of the AIC-sufficient plaintiff's claim. It dismissed the other, AIC-deficient claims for lack of subject matter jurisdiction.</w:t>
      </w:r>
    </w:p>
    <w:p>
      <w:pPr>
        <w:pStyle w:val="BodyText"/>
      </w:pPr>
      <w:r>
        <w:t xml:space="preserve">In</w:t>
      </w:r>
      <w:r>
        <w:t xml:space="preserve"> </w:t>
      </w:r>
      <w:r>
        <w:rPr>
          <w:iCs/>
          <w:i/>
        </w:rPr>
        <w:t xml:space="preserve">Snyder v. Harris</w:t>
      </w:r>
      <w:r>
        <w:t xml:space="preserve">, 394 U. S. 332 (1969), a shareholder of an insurance company brought a shareholders' derivative class action against members of the company’s board of directors for insider trading. Snyder’s individual claim did not meet the amount in controversy requirement. In fact, no individual member of the class had a claim that met the AIC threshold. But an aggregation of all shareholders claims would have done so. The Supreme Court dismissed the entire lawsuit for lack of subject matter jurisdiction. It held that distinct claims in a class action could not be added together (that is, stacked) to satisfy the amount in controversy requirement.  This case is still good law today (even after</w:t>
      </w:r>
      <w:r>
        <w:t xml:space="preserve"> </w:t>
      </w:r>
      <w:r>
        <w:rPr>
          <w:iCs/>
          <w:i/>
        </w:rPr>
        <w:t xml:space="preserve">Exxon</w:t>
      </w:r>
      <w:r>
        <w:t xml:space="preserve">): stacking of class members' claims to meet the amount in controversy is not allowed.</w:t>
      </w:r>
    </w:p>
    <w:p>
      <w:pPr>
        <w:pStyle w:val="BodyText"/>
      </w:pPr>
      <w:r>
        <w:t xml:space="preserve">In</w:t>
      </w:r>
      <w:r>
        <w:t xml:space="preserve"> </w:t>
      </w:r>
      <w:r>
        <w:rPr>
          <w:iCs/>
          <w:i/>
        </w:rPr>
        <w:t xml:space="preserve">Zahn v. International Paper Co.</w:t>
      </w:r>
      <w:r>
        <w:t xml:space="preserve">, 414 U. S. 291 (1973)</w:t>
      </w:r>
      <w:r>
        <w:t xml:space="preserve">, a group of owners of lakeshore property sought to bring a 23(b)(3) class action against a pulp and paper-making plant for polluting the lake. The claims of the named plaintiffs — but not those of the unnamed plaintiffs — met the jurisdictional AIC amount. The case was thus a hybrid situation of</w:t>
      </w:r>
      <w:r>
        <w:t xml:space="preserve"> </w:t>
      </w:r>
      <w:r>
        <w:rPr>
          <w:iCs/>
          <w:i/>
        </w:rPr>
        <w:t xml:space="preserve">Clark</w:t>
      </w:r>
      <w:r>
        <w:t xml:space="preserve"> </w:t>
      </w:r>
      <w:r>
        <w:t xml:space="preserve">and</w:t>
      </w:r>
      <w:r>
        <w:t xml:space="preserve"> </w:t>
      </w:r>
      <w:r>
        <w:rPr>
          <w:iCs/>
          <w:i/>
        </w:rPr>
        <w:t xml:space="preserve">Snyder</w:t>
      </w:r>
      <w:r>
        <w:t xml:space="preserve">: some but not all of plaintiffs' claims met the AIC (like</w:t>
      </w:r>
      <w:r>
        <w:t xml:space="preserve"> </w:t>
      </w:r>
      <w:r>
        <w:rPr>
          <w:iCs/>
          <w:i/>
        </w:rPr>
        <w:t xml:space="preserve">Clark</w:t>
      </w:r>
      <w:r>
        <w:t xml:space="preserve">), and the case was a class action (like </w:t>
      </w:r>
      <w:r>
        <w:rPr>
          <w:iCs/>
          <w:i/>
        </w:rPr>
        <w:t xml:space="preserve">Snyder</w:t>
      </w:r>
      <w:r>
        <w:t xml:space="preserve">).</w:t>
      </w:r>
      <w:r>
        <w:t xml:space="preserve"> </w:t>
      </w:r>
      <w:r>
        <w:t xml:space="preserve">The Supreme Court</w:t>
      </w:r>
      <w:r>
        <w:t xml:space="preserve"> </w:t>
      </w:r>
      <w:r>
        <w:t xml:space="preserve">held that it lacked subject matter jurisdiction over the AIC-deficient plaintiffs' claims, and therefore that the class could not be certified (because once the unnamed class members were dismissed, the putative class lacked numerosity). In essence, each plaintiff in a Rule 23(b)(3) class action must independently satisfy the amount in controversy requirement of §1332 jurisdiction.</w:t>
      </w:r>
    </w:p>
    <w:p>
      <w:pPr>
        <w:pStyle w:val="BodyText"/>
      </w:pPr>
      <w:r>
        <w:t xml:space="preserve">According to</w:t>
      </w:r>
      <w:r>
        <w:t xml:space="preserve"> </w:t>
      </w:r>
      <w:r>
        <w:rPr>
          <w:iCs/>
          <w:i/>
        </w:rPr>
        <w:t xml:space="preserve">Exxon Mobil Corp. v. Allapattah Services, Inc.</w:t>
      </w:r>
      <w:r>
        <w:t xml:space="preserve">, which you will read next, what effect did the passage of the supplemental jurisdiction statute, 28 U.S.C. § 1367, have on the rules from</w:t>
      </w:r>
      <w:r>
        <w:t xml:space="preserve"> </w:t>
      </w:r>
      <w:r>
        <w:rPr>
          <w:iCs/>
          <w:i/>
        </w:rPr>
        <w:t xml:space="preserve">Clark</w:t>
      </w:r>
      <w:r>
        <w:t xml:space="preserve"> </w:t>
      </w:r>
      <w:r>
        <w:t xml:space="preserve">and</w:t>
      </w:r>
      <w:r>
        <w:t xml:space="preserve"> </w:t>
      </w:r>
      <w:r>
        <w:rPr>
          <w:iCs/>
          <w:i/>
        </w:rPr>
        <w:t xml:space="preserve">Zahn</w:t>
      </w:r>
      <w:r>
        <w:t xml:space="preserve">?</w:t>
      </w:r>
    </w:p>
    <w:p>
      <w:pPr>
        <w:pStyle w:val="NodeEnd"/>
      </w:pPr>
      <w:r>
        <w:t xml:space="preserve"> </w:t>
      </w:r>
    </w:p>
    <w:p>
      <w:pPr>
        <w:pStyle w:val="NodeStart"/>
      </w:pPr>
      <w:r>
        <w:t xml:space="preserve"> </w:t>
      </w:r>
    </w:p>
    <w:p>
      <w:pPr>
        <w:pStyle w:val="HeadSeparator"/>
      </w:pPr>
      <w:r>
        <w:t xml:space="preserve"> </w:t>
      </w:r>
    </w:p>
    <w:bookmarkStart w:id="259" w:name="_auto_toc_259"/>
    <w:bookmarkEnd w:id="259"/>
    <w:p>
      <w:pPr>
        <w:pStyle w:val="ResourceNumber"/>
      </w:pPr>
      <w:r>
        <w:t xml:space="preserve">22.9</w:t>
      </w:r>
    </w:p>
    <w:p>
      <w:pPr>
        <w:pStyle w:val="ResourceTitle"/>
      </w:pPr>
      <w:r>
        <w:t xml:space="preserve">Exxon Mobil Corp. v. Allapattah Services, Inc.</w:t>
      </w:r>
    </w:p>
    <w:p>
      <w:pPr>
        <w:pStyle w:val="HeadEnd"/>
      </w:pPr>
      <w:r>
        <w:t xml:space="preserve"> </w:t>
      </w:r>
    </w:p>
    <w:p>
      <w:pPr>
        <w:pStyle w:val="CaseHeader"/>
      </w:pPr>
      <w:r>
        <w:t xml:space="preserve">Supreme Court of the United States</w:t>
      </w:r>
    </w:p>
    <w:p>
      <w:pPr>
        <w:pStyle w:val="CaseHeader"/>
      </w:pPr>
      <w:r>
        <w:t xml:space="preserve">545 U.S. 546, 162 L. Ed. 2d 502, 125 S. Ct. 2611, 2005 U.S. LEXIS 5015, SCDB 2004-071</w:t>
      </w:r>
    </w:p>
    <w:p>
      <w:pPr>
        <w:pStyle w:val="CaseHeader"/>
      </w:pPr>
      <w:r>
        <w:t xml:space="preserve">No. 04-70</w:t>
      </w:r>
    </w:p>
    <w:p>
      <w:pPr>
        <w:pStyle w:val="CaseHeader"/>
      </w:pPr>
      <w:r>
        <w:t xml:space="preserve">2005-06-23</w:t>
      </w:r>
    </w:p>
    <w:p>
      <w:pPr>
        <w:pStyle w:val="CaseBody"/>
      </w:pPr>
      <w:r>
        <w:rPr>
          <w:rStyle w:val="Elision"/>
        </w:rPr>
        <w:t xml:space="preserve">[ … ]</w:t>
      </w:r>
    </w:p>
    <w:bookmarkStart w:id="276" w:name="X68bc8abaa585011b0d950de966a60c39953e01d"/>
    <w:p>
      <w:pPr>
        <w:pStyle w:val="Heading2"/>
      </w:pPr>
      <w:r>
        <w:t xml:space="preserve">JUSTICE KENNEDY delivered the opinion of the Court.</w:t>
      </w:r>
    </w:p>
    <w:p>
      <w:pPr>
        <w:pStyle w:val="CaseBody"/>
      </w:pPr>
      <w:r>
        <w:t xml:space="preserve">These consolidated cases present the question whether a federal court in a diversity action may exercise supplemental jurisdiction over additional plaintiffs whose claims do not satisfy the minimum amount-in-controversy requirement, provided the claims are part of the same case or controversy as the claims of plaintiffs who do allege a sufficient amount in controversy. Our decision turns on the correct interpretation of 28 U. S. C. § 1367. The question has divided the Courts of Appeals, and we granted certiorari to resolve the conflict.</w:t>
      </w:r>
      <w:r>
        <w:rPr>
          <w:rStyle w:val="Elision"/>
        </w:rPr>
        <w:t xml:space="preserve">[ … ]</w:t>
      </w:r>
    </w:p>
    <w:p>
      <w:pPr>
        <w:pStyle w:val="CaseBody"/>
      </w:pPr>
      <w:r>
        <w:t xml:space="preserve">We hold that, where the other elements of jurisdiction are present and at least one named plaintiff in the action satisfies the amount-in-controversy requirement, § 1367 does authorize supplemental jurisdiction over the claims of other plaintiffs in the same Article III case or controversy, even if those claims are for less than the jurisdictional amount specified in the statute setting forth the requirements for diversity jurisdiction.</w:t>
      </w:r>
      <w:r>
        <w:t xml:space="preserve"> </w:t>
      </w:r>
      <w:r>
        <w:rPr>
          <w:rStyle w:val="Elision"/>
        </w:rPr>
        <w:t xml:space="preserve">[ … ]</w:t>
      </w:r>
    </w:p>
    <w:bookmarkEnd w:id="276"/>
    <w:bookmarkStart w:id="277" w:name="i-14"/>
    <w:p>
      <w:pPr>
        <w:pStyle w:val="Heading2"/>
      </w:pPr>
      <w:r>
        <w:t xml:space="preserve">I</w:t>
      </w:r>
    </w:p>
    <w:p>
      <w:pPr>
        <w:pStyle w:val="CaseBody"/>
      </w:pPr>
      <w:r>
        <w:t xml:space="preserve">In 1991, about 10,000 Exxon dealers filed a class-action suit against the Exxon Corporation in the United States District Court for the Northern District of Florida. The dealers alleged an intentional and systematic scheme by Exxon under which they were overcharged for fuel purchased from Exxon. The plaintiffs invoked the District Court's § 1332(a) diversity jurisdiction. After a unanimous jury verdict in favor of the plaintiffs, the District Court certified the case for interlocutory review, asking whether it had properly exercised § 1367 supplemental jurisdiction over the claims of class members who did not meet the jurisdictional minimum amount in controversy.</w:t>
      </w:r>
    </w:p>
    <w:p>
      <w:pPr>
        <w:pStyle w:val="CaseBody"/>
      </w:pPr>
      <w:r>
        <w:t xml:space="preserve">The Court of Appeals for the Eleventh Circuit upheld the District Court's extension of supplemental jurisdiction to these class members.</w:t>
      </w:r>
      <w:r>
        <w:t xml:space="preserve"> </w:t>
      </w:r>
      <w:r>
        <w:rPr>
          <w:rStyle w:val="Elision"/>
        </w:rPr>
        <w:t xml:space="preserve">[ … ]</w:t>
      </w:r>
      <w:r>
        <w:t xml:space="preserve"> </w:t>
      </w:r>
      <w:r>
        <w:t xml:space="preserve">"[W]e find," the court held, "that § 1367 clearly and unambiguously provides district courts with the authority in diversity class actions to exercise supplemental jurisdiction over the claims of class members who do not meet the minimum amount in controversy as long as the district court has original jurisdiction over the claims of at least one of the class representatives."</w:t>
      </w:r>
      <w:r>
        <w:rPr>
          <w:rStyle w:val="Elision"/>
        </w:rPr>
        <w:t xml:space="preserve">[ … ]</w:t>
      </w:r>
    </w:p>
    <w:p>
      <w:pPr>
        <w:pStyle w:val="CaseBody"/>
      </w:pPr>
      <w:r>
        <w:t xml:space="preserve">In the other case now before us the Court of Appeals for the First Circuit took a different position on the meaning of § 1367(a)</w:t>
      </w:r>
      <w:r>
        <w:rPr>
          <w:rStyle w:val="Elision"/>
        </w:rPr>
        <w:t xml:space="preserve">[ … ]</w:t>
      </w:r>
      <w:r>
        <w:t xml:space="preserve">. In that case, a 9-year-old girl sued Star-Kist in a diversity action in the United States District Court for the District of Puerto Rico, seeking damages for unusually severe injuries she received when she sliced her finger on a tuna can. Her family joined in the suit, seeking damages for emotional distress and certain medical expenses. The District Court granted summary judgment to Star-Kist, finding that none of the plaintiffs met the minimum amount-in-controversy requirement. The Court of Appeals for the First Circuit, however, ruled that the injured girl, but not her family members, had made allegations of damages in the requisite amount.</w:t>
      </w:r>
    </w:p>
    <w:p>
      <w:pPr>
        <w:pStyle w:val="CaseBody"/>
      </w:pPr>
      <w:r>
        <w:t xml:space="preserve">The Court of Appeals then addressed whether, in light of the fact that one plaintiff met the requirements for original jurisdiction, supplemental jurisdiction over the remaining plaintiffs' claims was proper under § 1367. The court held that § 1367 authorizes supplemental jurisdiction only when the district court has original jurisdiction over the action, and that in a diversity case original jurisdiction is lacking if one plaintiff fails to satisfy the amount-in-controversy requirement. Although the Court of Appeals claimed to "express no view" on whether the result would be the same in a class action,</w:t>
      </w:r>
      <w:r>
        <w:t xml:space="preserve"> </w:t>
      </w:r>
      <w:r>
        <w:rPr>
          <w:rStyle w:val="Elision"/>
        </w:rPr>
        <w:t xml:space="preserve">[ … ]</w:t>
      </w:r>
      <w:r>
        <w:t xml:space="preserve"> </w:t>
      </w:r>
      <w:r>
        <w:t xml:space="preserve">its analysis is inconsistent with that of the Court of Appeals for the Eleventh Circuit. The Court of Appeals for the First Circuit's view of § 1367 is, however, shared by the Courts of Appeals for the Third, Eighth, and Tenth Circuits, and the latter two Courts of Appeals have expressly applied this rule to class actions.</w:t>
      </w:r>
      <w:r>
        <w:t xml:space="preserve"> </w:t>
      </w:r>
      <w:r>
        <w:rPr>
          <w:rStyle w:val="Elision"/>
        </w:rPr>
        <w:t xml:space="preserve">[ … ]</w:t>
      </w:r>
    </w:p>
    <w:bookmarkEnd w:id="277"/>
    <w:bookmarkStart w:id="278" w:name="ii-11"/>
    <w:p>
      <w:pPr>
        <w:pStyle w:val="Heading2"/>
      </w:pPr>
      <w:r>
        <w:t xml:space="preserve">II</w:t>
      </w:r>
    </w:p>
    <w:bookmarkEnd w:id="278"/>
    <w:bookmarkStart w:id="279" w:name="a-9"/>
    <w:p>
      <w:pPr>
        <w:pStyle w:val="Heading2"/>
      </w:pPr>
      <w:r>
        <w:t xml:space="preserve">A</w:t>
      </w:r>
    </w:p>
    <w:p>
      <w:pPr>
        <w:pStyle w:val="CaseBody"/>
      </w:pPr>
      <w:r>
        <w:t xml:space="preserve">The district courts of the United States, as we have said many times, are "courts of limited jurisdiction. They possess only that power authorized by Constitution and statute,"</w:t>
      </w:r>
      <w:r>
        <w:t xml:space="preserve"> </w:t>
      </w:r>
      <w:r>
        <w:rPr>
          <w:rStyle w:val="Elision"/>
        </w:rPr>
        <w:t xml:space="preserve">[ … ]</w:t>
      </w:r>
      <w:r>
        <w:t xml:space="preserve">In order to provide a neutral forum for what have come to be known as diversity cases, Congress also has granted district courts original jurisdiction in civil actions between citizens of different States, between U. S. citizens and foreign citizens, or by foreign states against U. S. citizens. § 1332. To ensure that diversity jurisdiction does not flood the federal courts with minor disputes, § 1332(a) requires that the matter in controversy in a diversity case exceed a specified amount, currently $75,000.</w:t>
      </w:r>
    </w:p>
    <w:p>
      <w:pPr>
        <w:pStyle w:val="CaseBody"/>
      </w:pPr>
      <w:r>
        <w:t xml:space="preserve">Although the district courts may not exercise jurisdiction absent a statutory basis, it is well established—in certain classes of cases—that, once a court has original jurisdiction over some claims in the action, it may exercise supplemental jurisdiction over additional claims that are part of the same case or controversy. The leading modern case for this principle is</w:t>
      </w:r>
      <w:r>
        <w:t xml:space="preserve"> </w:t>
      </w:r>
      <w:r>
        <w:rPr>
          <w:iCs/>
          <w:i/>
        </w:rPr>
        <w:t xml:space="preserve">Mine Workers</w:t>
      </w:r>
      <w:r>
        <w:t xml:space="preserve"> </w:t>
      </w:r>
      <w:r>
        <w:t xml:space="preserve">v.</w:t>
      </w:r>
      <w:r>
        <w:t xml:space="preserve"> </w:t>
      </w:r>
      <w:r>
        <w:rPr>
          <w:iCs/>
          <w:i/>
        </w:rPr>
        <w:t xml:space="preserve">Gibbs,</w:t>
      </w:r>
      <w:r>
        <w:rPr>
          <w:rStyle w:val="Elision"/>
        </w:rPr>
        <w:t xml:space="preserve">[ … ]</w:t>
      </w:r>
      <w:r>
        <w:rPr>
          <w:rStyle w:val="Elision"/>
        </w:rPr>
        <w:t xml:space="preserve">[ … ]</w:t>
      </w:r>
    </w:p>
    <w:p>
      <w:pPr>
        <w:pStyle w:val="CaseBody"/>
      </w:pPr>
      <w:r>
        <w:t xml:space="preserve">We have not, however, applied</w:t>
      </w:r>
      <w:r>
        <w:t xml:space="preserve"> </w:t>
      </w:r>
      <w:r>
        <w:rPr>
          <w:iCs/>
          <w:i/>
        </w:rPr>
        <w:t xml:space="preserve">Gibbs'</w:t>
      </w:r>
      <w:r>
        <w:t xml:space="preserve"> </w:t>
      </w:r>
      <w:r>
        <w:t xml:space="preserve">expansive interpretive approach to other aspects of the jurisdictional statutes. For instance, we have consistently interpreted § 1332 as requiring complete diversity: In a case with multiple plaintiffs and multiple defendants, the presence in the action of a single plaintiff from the same State as a single defendant deprives the district court of original diversity jurisdiction over the entire action.</w:t>
      </w:r>
      <w:r>
        <w:t xml:space="preserve"> </w:t>
      </w:r>
      <w:r>
        <w:rPr>
          <w:iCs/>
          <w:i/>
        </w:rPr>
        <w:t xml:space="preserve">Strawbridge</w:t>
      </w:r>
      <w:r>
        <w:t xml:space="preserve"> </w:t>
      </w:r>
      <w:r>
        <w:t xml:space="preserve">v.</w:t>
      </w:r>
      <w:r>
        <w:t xml:space="preserve"> </w:t>
      </w:r>
      <w:r>
        <w:rPr>
          <w:iCs/>
          <w:i/>
        </w:rPr>
        <w:t xml:space="preserve">Curtiss,</w:t>
      </w:r>
      <w:r>
        <w:rPr>
          <w:rStyle w:val="Elision"/>
        </w:rPr>
        <w:t xml:space="preserve">[ … ]</w:t>
      </w:r>
      <w:r>
        <w:t xml:space="preserve">The complete diversity requirement is not mandated by the Constitution,</w:t>
      </w:r>
      <w:r>
        <w:t xml:space="preserve"> </w:t>
      </w:r>
      <w:r>
        <w:rPr>
          <w:rStyle w:val="Elision"/>
        </w:rPr>
        <w:t xml:space="preserve">[ … ]</w:t>
      </w:r>
      <w:r>
        <w:t xml:space="preserve"> </w:t>
      </w:r>
      <w:r>
        <w:t xml:space="preserve">or by the plain text of § 1332(a). The Court, nonetheless, has adhered to the complete diversity rule in light of the purpose of the diversity requirement, which is to provide a federal forum for important disputes where state courts might favor, or be</w:t>
      </w:r>
      <w:r>
        <w:rPr>
          <w:rStyle w:val="Elision"/>
        </w:rPr>
        <w:t xml:space="preserve">[ … ]</w:t>
      </w:r>
      <w:r>
        <w:t xml:space="preserve"> </w:t>
      </w:r>
      <w:r>
        <w:t xml:space="preserve">perceived as favoring, home-state litigants. The presence of parties from the same State on both sides of a case dispels this concern, eliminating a principal reason for conferring § 1332 jurisdiction over any of the claims in the action.</w:t>
      </w:r>
      <w:r>
        <w:t xml:space="preserve"> </w:t>
      </w:r>
      <w:r>
        <w:rPr>
          <w:rStyle w:val="Elision"/>
        </w:rPr>
        <w:t xml:space="preserve">[ … ]</w:t>
      </w:r>
    </w:p>
    <w:p>
      <w:pPr>
        <w:pStyle w:val="CaseBody"/>
      </w:pPr>
      <w:r>
        <w:t xml:space="preserve">In contrast to the diversity requirement, most of the other statutory prerequisites for federal jurisdiction, including the federal-question and amount-in-controversy requirements, can be analyzed claim by claim.</w:t>
      </w:r>
      <w:r>
        <w:t xml:space="preserve"> </w:t>
      </w:r>
      <w:r>
        <w:rPr>
          <w:rStyle w:val="Elision"/>
        </w:rPr>
        <w:t xml:space="preserve">[ … ]</w:t>
      </w:r>
    </w:p>
    <w:p>
      <w:pPr>
        <w:pStyle w:val="CaseBody"/>
      </w:pPr>
      <w:r>
        <w:t xml:space="preserve">Thus, with respect to plaintiff-specific jurisdictional requirements, the Court held in</w:t>
      </w:r>
      <w:r>
        <w:t xml:space="preserve"> </w:t>
      </w:r>
      <w:r>
        <w:rPr>
          <w:rStyle w:val="Elision"/>
        </w:rPr>
        <w:t xml:space="preserve">[ … ]</w:t>
      </w:r>
      <w:r>
        <w:t xml:space="preserve"> </w:t>
      </w:r>
      <w:r>
        <w:t xml:space="preserve">that every plaintiff must separately satisfy the amount-in-controversy requirement.</w:t>
      </w:r>
      <w:r>
        <w:t xml:space="preserve"> </w:t>
      </w:r>
      <w:r>
        <w:rPr>
          <w:rStyle w:val="Elision"/>
        </w:rPr>
        <w:t xml:space="preserve">[ … ]</w:t>
      </w:r>
      <w:r>
        <w:rPr>
          <w:rStyle w:val="Elision"/>
        </w:rPr>
        <w:t xml:space="preserve">[ … ]</w:t>
      </w:r>
      <w:r>
        <w:t xml:space="preserve">, in the context of a class action brought invoking § 1332(a) diversity jurisdiction, in</w:t>
      </w:r>
      <w:r>
        <w:t xml:space="preserve"> </w:t>
      </w:r>
      <w:r>
        <w:rPr>
          <w:iCs/>
          <w:i/>
        </w:rPr>
        <w:t xml:space="preserve">Zahn</w:t>
      </w:r>
      <w:r>
        <w:t xml:space="preserve"> </w:t>
      </w:r>
      <w:r>
        <w:t xml:space="preserve">v.</w:t>
      </w:r>
      <w:r>
        <w:t xml:space="preserve"> </w:t>
      </w:r>
      <w:r>
        <w:rPr>
          <w:iCs/>
          <w:i/>
        </w:rPr>
        <w:t xml:space="preserve">International Paper Co.,</w:t>
      </w:r>
      <w:r>
        <w:t xml:space="preserve"> </w:t>
      </w:r>
      <w:r>
        <w:rPr>
          <w:rStyle w:val="Elision"/>
        </w:rPr>
        <w:t xml:space="preserve">[ … ]</w:t>
      </w:r>
      <w:r>
        <w:rPr>
          <w:rStyle w:val="Elision"/>
        </w:rPr>
        <w:t xml:space="preserve">[ … ]</w:t>
      </w:r>
    </w:p>
    <w:p>
      <w:pPr>
        <w:pStyle w:val="CaseBody"/>
      </w:pPr>
      <w:r>
        <w:t xml:space="preserve">As the jurisdictional statutes existed in 1989, then, here is how matters stood: First, the diversity requirement in § 1332(a) required complete diversity; absent complete diversity, the district court lacked original jurisdiction over all of the claims in the action.</w:t>
      </w:r>
      <w:r>
        <w:t xml:space="preserve"> </w:t>
      </w:r>
      <w:r>
        <w:rPr>
          <w:iCs/>
          <w:i/>
        </w:rPr>
        <w:t xml:space="preserve">Strawbridge,</w:t>
      </w:r>
      <w:r>
        <w:rPr>
          <w:rStyle w:val="Elision"/>
        </w:rPr>
        <w:t xml:space="preserve">[ … ]</w:t>
      </w:r>
      <w:r>
        <w:t xml:space="preserve">. Second, if the district court had original jurisdiction over at least one claim, the jurisdictional statutes implicitly authorized supplemental jurisdiction over all other claims between the same parties arising out of the same Article III case or controversy.</w:t>
      </w:r>
      <w:r>
        <w:t xml:space="preserve"> </w:t>
      </w:r>
      <w:r>
        <w:rPr>
          <w:iCs/>
          <w:i/>
        </w:rPr>
        <w:t xml:space="preserve">Gibbs</w:t>
      </w:r>
      <w:r>
        <w:rPr>
          <w:rStyle w:val="Elision"/>
        </w:rPr>
        <w:t xml:space="preserve">[ … ]</w:t>
      </w:r>
      <w:r>
        <w:t xml:space="preserve">. Third, even when the district court had original</w:t>
      </w:r>
      <w:r>
        <w:t xml:space="preserve"> </w:t>
      </w:r>
      <w:r>
        <w:rPr>
          <w:rStyle w:val="Elision"/>
        </w:rPr>
        <w:t xml:space="preserve">[ … ]</w:t>
      </w:r>
      <w:r>
        <w:t xml:space="preserve">jurisdiction over one or more claims between particular parties, the jurisdictional statutes did not authorize supplemental jurisdiction over additional claims involving other parties.</w:t>
      </w:r>
      <w:r>
        <w:t xml:space="preserve"> </w:t>
      </w:r>
      <w:r>
        <w:rPr>
          <w:iCs/>
          <w:i/>
        </w:rPr>
        <w:t xml:space="preserve">Clark</w:t>
      </w:r>
      <w:r>
        <w:rPr>
          <w:rStyle w:val="Elision"/>
        </w:rPr>
        <w:t xml:space="preserve">[ … ]</w:t>
      </w:r>
      <w:r>
        <w:t xml:space="preserve">;</w:t>
      </w:r>
      <w:r>
        <w:t xml:space="preserve"> </w:t>
      </w:r>
      <w:r>
        <w:rPr>
          <w:iCs/>
          <w:i/>
        </w:rPr>
        <w:t xml:space="preserve">Zahn</w:t>
      </w:r>
      <w:r>
        <w:rPr>
          <w:rStyle w:val="Elision"/>
        </w:rPr>
        <w:t xml:space="preserve">[ … ]</w:t>
      </w:r>
      <w:r>
        <w:t xml:space="preserve">;</w:t>
      </w:r>
      <w:r>
        <w:t xml:space="preserve"> </w:t>
      </w:r>
      <w:r>
        <w:rPr>
          <w:iCs/>
          <w:i/>
        </w:rPr>
        <w:t xml:space="preserve">Finley</w:t>
      </w:r>
      <w:r>
        <w:rPr>
          <w:rStyle w:val="Elision"/>
        </w:rPr>
        <w:t xml:space="preserve">[ … ]</w:t>
      </w:r>
      <w:r>
        <w:t xml:space="preserve">.</w:t>
      </w:r>
    </w:p>
    <w:bookmarkEnd w:id="279"/>
    <w:bookmarkStart w:id="280" w:name="b-8"/>
    <w:p>
      <w:pPr>
        <w:pStyle w:val="Heading2"/>
      </w:pPr>
      <w:r>
        <w:t xml:space="preserve">B</w:t>
      </w:r>
    </w:p>
    <w:p>
      <w:pPr>
        <w:pStyle w:val="CaseBody"/>
      </w:pPr>
      <w:r>
        <w:t xml:space="preserve">In</w:t>
      </w:r>
      <w:r>
        <w:t xml:space="preserve"> </w:t>
      </w:r>
      <w:r>
        <w:rPr>
          <w:iCs/>
          <w:i/>
        </w:rPr>
        <w:t xml:space="preserve">Finley</w:t>
      </w:r>
      <w:r>
        <w:t xml:space="preserve"> </w:t>
      </w:r>
      <w:r>
        <w:t xml:space="preserve">we emphasized that "[w]hatever we say regarding the scope of jurisdiction conferred by a particular statute can of course be changed by Congress."</w:t>
      </w:r>
      <w:r>
        <w:rPr>
          <w:rStyle w:val="Elision"/>
        </w:rPr>
        <w:t xml:space="preserve">[ … ]</w:t>
      </w:r>
      <w:r>
        <w:t xml:space="preserve"> </w:t>
      </w:r>
      <w:r>
        <w:t xml:space="preserve">In 1990, Congress accepted the invitation.</w:t>
      </w:r>
      <w:r>
        <w:t xml:space="preserve"> </w:t>
      </w:r>
      <w:r>
        <w:rPr>
          <w:rStyle w:val="Elision"/>
        </w:rPr>
        <w:t xml:space="preserve">[ … ]</w:t>
      </w:r>
    </w:p>
    <w:p>
      <w:pPr>
        <w:pStyle w:val="CaseBody"/>
      </w:pPr>
      <w:r>
        <w:t xml:space="preserve">All parties to this litigation and all courts to consider the question agree that § 1367 overturned the result in</w:t>
      </w:r>
      <w:r>
        <w:t xml:space="preserve"> </w:t>
      </w:r>
      <w:r>
        <w:rPr>
          <w:iCs/>
          <w:i/>
        </w:rPr>
        <w:t xml:space="preserve">Finley.</w:t>
      </w:r>
      <w:r>
        <w:t xml:space="preserve"> </w:t>
      </w:r>
      <w:r>
        <w:t xml:space="preserve">There is no warrant, however, for assuming that § 1367 did no more than to overrule</w:t>
      </w:r>
      <w:r>
        <w:t xml:space="preserve"> </w:t>
      </w:r>
      <w:r>
        <w:rPr>
          <w:iCs/>
          <w:i/>
        </w:rPr>
        <w:t xml:space="preserve">Finley</w:t>
      </w:r>
      <w:r>
        <w:t xml:space="preserve"> </w:t>
      </w:r>
      <w:r>
        <w:t xml:space="preserve">and otherwise to codify the existing state of the law of supplemental jurisdiction. We must not give jurisdictional statutes a more expansive interpretation than their text warrants</w:t>
      </w:r>
      <w:r>
        <w:rPr>
          <w:rStyle w:val="Elision"/>
        </w:rPr>
        <w:t xml:space="preserve">[ … ]</w:t>
      </w:r>
      <w:r>
        <w:t xml:space="preserve">; but it is just as important not to adopt an artificial construction that is narrower than what the text provides. No sound canon of interpretation requires Congress to speak with extraordinary clarity in order to modify the rules of federal jurisdiction within appropriate constitutional bounds. Ordinary principles of statutory construction apply.</w:t>
      </w:r>
      <w:r>
        <w:t xml:space="preserve"> </w:t>
      </w:r>
      <w:r>
        <w:rPr>
          <w:rStyle w:val="Elision"/>
        </w:rPr>
        <w:t xml:space="preserve">[ … ]</w:t>
      </w:r>
    </w:p>
    <w:p>
      <w:pPr>
        <w:pStyle w:val="CaseBody"/>
      </w:pPr>
      <w:r>
        <w:t xml:space="preserve">Section 1367(a) is a broad grant of supplemental jurisdiction over other claims within the same case or controversy, as long as the action is one in which the district courts would have original jurisdiction. The last sentence of § 1367(a) makes it clear that the grant of supplemental jurisdiction extends to claims involving joinder or intervention of additional parties. The single question before us, therefore, is whether a diversity case in which the claims of some plaintiffs satisfy the amount-in-controversy requirement, but the claims of other plaintiffs do not, presents a "civil action of which the district courts have original jurisdiction." If the answer is yes, § 1367(a) confers supplemental jurisdiction over all claims, including those that do not independently satisfy the amount-in-controversy requirement, if the claims are part of the same Article III case or controversy. If the answer is no, § 1367(a) is inapplicable and, in light of our holdings in</w:t>
      </w:r>
      <w:r>
        <w:t xml:space="preserve"> </w:t>
      </w:r>
      <w:r>
        <w:rPr>
          <w:iCs/>
          <w:i/>
        </w:rPr>
        <w:t xml:space="preserve">Clark</w:t>
      </w:r>
      <w:r>
        <w:t xml:space="preserve"> </w:t>
      </w:r>
      <w:r>
        <w:t xml:space="preserve">and</w:t>
      </w:r>
      <w:r>
        <w:t xml:space="preserve"> </w:t>
      </w:r>
      <w:r>
        <w:rPr>
          <w:iCs/>
          <w:i/>
        </w:rPr>
        <w:t xml:space="preserve">Zahn,</w:t>
      </w:r>
      <w:r>
        <w:t xml:space="preserve"> </w:t>
      </w:r>
      <w:r>
        <w:t xml:space="preserve">the district court has no statutory basis for exercising supplemental jurisdiction over the additional claims.</w:t>
      </w:r>
    </w:p>
    <w:p>
      <w:pPr>
        <w:pStyle w:val="CaseBody"/>
      </w:pPr>
      <w:r>
        <w:rPr>
          <w:rStyle w:val="Elision"/>
        </w:rPr>
        <w:t xml:space="preserve">[ … ]</w:t>
      </w:r>
      <w:r>
        <w:t xml:space="preserve">We now conclude the answer must be yes. When the well-pleaded complaint contains at least one claim that satisfies the amount-in-controversy requirement, and there are no other relevant jurisdictional defects, the district court, beyond all question, has original jurisdiction over that claim. The presence of other claims in the complaint, over which the district court may lack original jurisdiction, is of no moment. If the court has original jurisdiction over a single claim in the complaint, it has original jurisdiction over a "civil action" within the meaning of § 1367(a), even if the civil action over which it has jurisdiction comprises fewer claims than were included in the complaint. Once the court determines it has original jurisdiction over the civil action, it can turn to the question whether it has a constitutional and statutory basis for exercising supplemental jurisdiction over the other claims in the action.</w:t>
      </w:r>
    </w:p>
    <w:p>
      <w:pPr>
        <w:pStyle w:val="CaseBody"/>
      </w:pPr>
      <w:r>
        <w:t xml:space="preserve">Section 1367(a) commences with the direction that §§ 1367(b) and (c), or other relevant statutes, may provide specific exceptions, but otherwise § 1367(a) is a broad jurisdictional grant</w:t>
      </w:r>
      <w:r>
        <w:rPr>
          <w:rStyle w:val="Elision"/>
        </w:rPr>
        <w:t xml:space="preserve">[ … ]</w:t>
      </w:r>
      <w:r>
        <w:t xml:space="preserve">. In fact, the last sentence of § 1367(a) makes clear that the provision grants supplemental jurisdiction over claims involving joinder or intervention of additional parties. The terms of § 1367 do not acknowledge any distinction between pendent jurisdiction and the doctrine of so-called ancillary jurisdiction.</w:t>
      </w:r>
      <w:r>
        <w:t xml:space="preserve"> </w:t>
      </w:r>
      <w:r>
        <w:rPr>
          <w:rStyle w:val="Elision"/>
        </w:rPr>
        <w:t xml:space="preserve">[ … ]</w:t>
      </w:r>
    </w:p>
    <w:p>
      <w:pPr>
        <w:pStyle w:val="CaseBody"/>
      </w:pPr>
      <w:r>
        <w:t xml:space="preserve">If § 1367(a) were the sum total of the relevant statutory language, our holding would rest on that language alone.</w:t>
      </w:r>
      <w:r>
        <w:t xml:space="preserve"> </w:t>
      </w:r>
      <w:r>
        <w:rPr>
          <w:rStyle w:val="Elision"/>
        </w:rPr>
        <w:t xml:space="preserve">[ … ]</w:t>
      </w:r>
      <w:r>
        <w:t xml:space="preserve">The statute, of course, instructs us to examine § 1367(b) to determine if any of its exceptions apply, so we proceed to that section. While § 1367(b) qualifies the broad rule of § 1367(a), it does not withdraw supplemental jurisdiction over the claims of the additional parties at issue here. The specific exceptions to § 1367(a) contained in § 1367(b), moreover, provide additional support for our conclusion that § 1367(a) confers supplemental jurisdiction over these claims. Section 1367(b), which applies only to diversity cases, withholds supplemental jurisdiction over the claims of plaintiffs proposed to be joined as indispensable parties under Federal Rule of Civil Procedure 19, or who seek to intervene pursuant to Rule 24. Nothing in the text of § 1367(b), however, withholds supplemental jurisdiction over the claims of plaintiffs permissively joined under Rule 20 (like the additional plaintiffs in No. 04-79) or certified as class-action members pursuant to Rule 23 (like the additional plaintiffs in No. 04-70). The natural, indeed the necessary, inference is that § 1367 confers supplemental jurisdiction over claims by Rule 20 and Rule 23 plaintiffs. This inference, at least with respect to Rule 20 plaintiffs, is strengthened by the fact that § 1367(b) explicitly excludes supplemental jurisdiction over claims against defendants joined under Rule 20.</w:t>
      </w:r>
    </w:p>
    <w:p>
      <w:pPr>
        <w:pStyle w:val="CaseBody"/>
      </w:pPr>
      <w:r>
        <w:t xml:space="preserve">We cannot accept the view</w:t>
      </w:r>
      <w:r>
        <w:rPr>
          <w:rStyle w:val="Elision"/>
        </w:rPr>
        <w:t xml:space="preserve">[ … ]</w:t>
      </w:r>
      <w:r>
        <w:t xml:space="preserve">that a district court lacks original jurisdiction over a civil action unless the court has original jurisdiction over every claim in the complaint. As we understand this position, it requires assuming either that all claims in the complaint must stand or fall as a single, indivisible "civil action" as a matter of definitional necessity —what we will refer to as the "indivisibility theory"—or else that the inclusion of a claim or party falling outside the district court's original jurisdiction somehow contaminates every other claim in the complaint, depriving the court of original jurisdiction over any of these claims—what we will refer to as the "contamination theory."</w:t>
      </w:r>
    </w:p>
    <w:p>
      <w:pPr>
        <w:pStyle w:val="CaseBody"/>
      </w:pPr>
      <w:r>
        <w:rPr>
          <w:rStyle w:val="Elision"/>
        </w:rPr>
        <w:t xml:space="preserve">[ … ]</w:t>
      </w:r>
      <w:r>
        <w:t xml:space="preserve">The indivisibility theory is easily dismissed, as it is inconsistent with the whole notion of supplemental jurisdiction. If a district court must have original jurisdiction over every claim in the complaint in order to have "original jurisdiction" over a "civil action," then in</w:t>
      </w:r>
      <w:r>
        <w:t xml:space="preserve"> </w:t>
      </w:r>
      <w:r>
        <w:rPr>
          <w:iCs/>
          <w:i/>
        </w:rPr>
        <w:t xml:space="preserve">Gibbs</w:t>
      </w:r>
      <w:r>
        <w:t xml:space="preserve"> </w:t>
      </w:r>
      <w:r>
        <w:t xml:space="preserve">there was no civil action of which the district court could assume original jurisdiction under § 1331, and so no basis for exercising supplemental jurisdiction over any of the claims. The indivisibility theory is further belied by our practice</w:t>
      </w:r>
      <w:r>
        <w:rPr>
          <w:rStyle w:val="Elision"/>
        </w:rPr>
        <w:t xml:space="preserve">[ … ]</w:t>
      </w:r>
      <w:r>
        <w:t xml:space="preserve">of allowing federal courts to cure jurisdictional defects by dismissing the offending parties rather than dismissing the entire action.</w:t>
      </w:r>
      <w:r>
        <w:t xml:space="preserve"> </w:t>
      </w:r>
      <w:r>
        <w:rPr>
          <w:rStyle w:val="Elision"/>
        </w:rPr>
        <w:t xml:space="preserve">[ … ]</w:t>
      </w:r>
      <w:r>
        <w:t xml:space="preserve">If the presence of jurisdictionally problematic claims in the complaint meant the district court was without original jurisdiction over the single, indivisible civil action before it, then the district court would have to dismiss the whole action rather than particular parties.</w:t>
      </w:r>
    </w:p>
    <w:p>
      <w:pPr>
        <w:pStyle w:val="CaseBody"/>
      </w:pPr>
      <w:r>
        <w:t xml:space="preserve">We also find it unconvincing to say that the definitional indivisibility theory applies in the context of diversity cases but not in the context of federal-question cases. The broad and general language of the statute does not permit this result.</w:t>
      </w:r>
      <w:r>
        <w:t xml:space="preserve"> </w:t>
      </w:r>
      <w:r>
        <w:rPr>
          <w:rStyle w:val="Elision"/>
        </w:rPr>
        <w:t xml:space="preserve">[ … ]</w:t>
      </w:r>
    </w:p>
    <w:p>
      <w:pPr>
        <w:pStyle w:val="CaseBody"/>
      </w:pPr>
      <w:r>
        <w:t xml:space="preserve">The contamination theory, as we have noted, can make some sense in the special context of the complete diversity requirement because the presence of nondiverse parties on both sides of a lawsuit eliminates the justification for providing a federal forum. The theory, however, makes little sense with respect to the amount-in-controversy requirement, which is meant to ensure that a dispute is sufficiently important to warrant federal-court attention. The presence of a single nondiverse party may eliminate the fear of bias with respect to all claims, but the presence of a claim that falls short of the minimum amount in controversy does nothing to reduce the importance of the claims that do meet this requirement.</w:t>
      </w:r>
    </w:p>
    <w:p>
      <w:pPr>
        <w:pStyle w:val="CaseBody"/>
      </w:pPr>
      <w:r>
        <w:t xml:space="preserve">It is fallacious to suppose, simply from the proposition that § 1332 imposes both the diversity requirement and the amount-in-controversy requirement, that the contamination theory germane to the former is also relevant to the latter. There is no inherent logical connection between the amount-in-controversy requirement and § 1332 diversity jurisdiction. After all, federal-question jurisdiction once had an amount-in-controversy requirement as well. If such a requirement were revived under § 1331, it is clear beyond peradventure that § 1367(a) provides supplemental jurisdiction over federal-question cases where some, but not all, of the federal-law claims involve a sufficient amount in controversy. In other words, § 1367(a) unambiguously overrules the holding and the result in</w:t>
      </w:r>
      <w:r>
        <w:t xml:space="preserve"> </w:t>
      </w:r>
      <w:r>
        <w:rPr>
          <w:iCs/>
          <w:i/>
        </w:rPr>
        <w:t xml:space="preserve">Clark.</w:t>
      </w:r>
      <w:r>
        <w:t xml:space="preserve"> </w:t>
      </w:r>
      <w:r>
        <w:t xml:space="preserve">If that is so, however, it would be quite extraordinary to say that § 1367 did not also overrule</w:t>
      </w:r>
      <w:r>
        <w:t xml:space="preserve"> </w:t>
      </w:r>
      <w:r>
        <w:rPr>
          <w:iCs/>
          <w:i/>
        </w:rPr>
        <w:t xml:space="preserve">Zahn,</w:t>
      </w:r>
      <w:r>
        <w:t xml:space="preserve"> </w:t>
      </w:r>
      <w:r>
        <w:t xml:space="preserve">a case that was premised in substantial part on the holding in</w:t>
      </w:r>
      <w:r>
        <w:t xml:space="preserve"> </w:t>
      </w:r>
      <w:r>
        <w:rPr>
          <w:iCs/>
          <w:i/>
        </w:rPr>
        <w:t xml:space="preserve">Clark.</w:t>
      </w:r>
    </w:p>
    <w:p>
      <w:pPr>
        <w:pStyle w:val="CaseBody"/>
      </w:pPr>
      <w:r>
        <w:t xml:space="preserve">In addition to the theoretical difficulties with the argument that a district court has original jurisdiction over a civil action only if it has original jurisdiction over each individual claim in the complaint, we have already considered and rejected a virtually identical argument in the closely analogous context of removal jurisdiction.</w:t>
      </w:r>
      <w:r>
        <w:t xml:space="preserve"> </w:t>
      </w:r>
      <w:r>
        <w:rPr>
          <w:rStyle w:val="Elision"/>
        </w:rPr>
        <w:t xml:space="preserve">[ … ]</w:t>
      </w:r>
    </w:p>
    <w:p>
      <w:pPr>
        <w:pStyle w:val="CaseBody"/>
      </w:pPr>
      <w:r>
        <w:t xml:space="preserve">We also reject the argument</w:t>
      </w:r>
      <w:r>
        <w:rPr>
          <w:rStyle w:val="Elision"/>
        </w:rPr>
        <w:t xml:space="preserve">[ … ]</w:t>
      </w:r>
      <w:r>
        <w:t xml:space="preserve"> </w:t>
      </w:r>
      <w:r>
        <w:t xml:space="preserve">that while the presence of additional claims over which the district court lacks jurisdiction does not mean the civil action is outside the purview of § 1367(a), the presence of additional parties does. The basis for this distinction is not altogether clear, and it is in considerable tension with statutory text. Section 1367(a) applies by its terms to any civil action of which the district courts have original jurisdiction, and the last sentence of § 1367(a) expressly contemplates that the court may have supplemental jurisdiction over additional parties. So it cannot be the case that the presence of those parties destroys the court's original jurisdiction, within the meaning of § 1367(a), over a civil action otherwise properly before it. Also, § 1367(b) expressly withholds supplemental jurisdiction in diversity cases over claims by plaintiffs joined as indispensable parties under Rule 19. If joinder of such</w:t>
      </w:r>
      <w:r>
        <w:t xml:space="preserve"> </w:t>
      </w:r>
      <w:r>
        <w:rPr>
          <w:rStyle w:val="Elision"/>
        </w:rPr>
        <w:t xml:space="preserve">[ … ]</w:t>
      </w:r>
      <w:r>
        <w:t xml:space="preserve"> </w:t>
      </w:r>
      <w:r>
        <w:t xml:space="preserve">parties were sufficient to deprive the district court of original jurisdiction over the civil action within the meaning of § 1367(a), this specific limitation on supplemental jurisdiction in § 1367(b) would be superfluous. The argument that the presence of additional parties removes the civil action from the scope of § 1367(a) also would mean that § 1367 left the</w:t>
      </w:r>
      <w:r>
        <w:t xml:space="preserve"> </w:t>
      </w:r>
      <w:r>
        <w:rPr>
          <w:iCs/>
          <w:i/>
        </w:rPr>
        <w:t xml:space="preserve">Finley</w:t>
      </w:r>
      <w:r>
        <w:t xml:space="preserve"> </w:t>
      </w:r>
      <w:r>
        <w:t xml:space="preserve">result undisturbed.</w:t>
      </w:r>
      <w:r>
        <w:t xml:space="preserve"> </w:t>
      </w:r>
      <w:r>
        <w:rPr>
          <w:rStyle w:val="Elision"/>
        </w:rPr>
        <w:t xml:space="preserve">[ … ]</w:t>
      </w:r>
      <w:r>
        <w:t xml:space="preserve"> </w:t>
      </w:r>
      <w:r>
        <w:t xml:space="preserve">Yet all concede that one purpose of § 1367 was to change the result reached in</w:t>
      </w:r>
      <w:r>
        <w:t xml:space="preserve"> </w:t>
      </w:r>
      <w:r>
        <w:rPr>
          <w:iCs/>
          <w:i/>
        </w:rPr>
        <w:t xml:space="preserve">Finley.</w:t>
      </w:r>
    </w:p>
    <w:p>
      <w:pPr>
        <w:pStyle w:val="CaseBody"/>
      </w:pPr>
      <w:r>
        <w:t xml:space="preserve">Finally, it is suggested that our interpretation of § 1367(a) creates an anomaly regarding the exceptions listed in § 1367(b): It is not immediately obvious why Congress would withhold supplemental jurisdiction over plaintiffs joined as parties "needed for just adjudication" under Rule 19 but would allow supplemental jurisdiction over plaintiffs permissively joined under Rule 20. The omission of Rule 20 plaintiffs from the list of exceptions in § 1367(b) may have been an "unintentional drafting gap,"</w:t>
      </w:r>
      <w:r>
        <w:t xml:space="preserve"> </w:t>
      </w:r>
      <w:r>
        <w:rPr>
          <w:rStyle w:val="Elision"/>
        </w:rPr>
        <w:t xml:space="preserve">[ … ]</w:t>
      </w:r>
      <w:r>
        <w:t xml:space="preserve"> </w:t>
      </w:r>
      <w:r>
        <w:t xml:space="preserve">If that is the case, it is up to Congress rather than the courts to fix it. The omission may seem odd, but it is not absurd. An alternative explanation for the different treatment of Rules 19 and 20 is that Congress was concerned that extending supplemental jurisdiction to Rule 19 plaintiffs would allow circumvention of the complete diversity rule: A nondiverse plaintiff might be omitted intentionally from the original action, but joined later under Rule 19 as a necessary party.</w:t>
      </w:r>
      <w:r>
        <w:t xml:space="preserve"> </w:t>
      </w:r>
      <w:r>
        <w:rPr>
          <w:rStyle w:val="Elision"/>
        </w:rPr>
        <w:t xml:space="preserve">[ … ]</w:t>
      </w:r>
      <w:r>
        <w:t xml:space="preserve">The contamination theory described above, if applicable, means this ruse would fail, but Congress may have wanted to make assurance double sure. More generally, Congress may have concluded that federal jurisdiction is only appropriate if the district court would have original jurisdiction over the claims of all those plaintiffs who are so essential to the action that they could be joined under Rule 19.</w:t>
      </w:r>
    </w:p>
    <w:p>
      <w:pPr>
        <w:pStyle w:val="CaseBody"/>
      </w:pPr>
      <w:r>
        <w:rPr>
          <w:rStyle w:val="Elision"/>
        </w:rPr>
        <w:t xml:space="preserve">[ … ]</w:t>
      </w:r>
      <w:r>
        <w:t xml:space="preserve">To the extent that the omission of Rule 20 plaintiffs from the list of § 1367(b) exceptions is anomalous, moreover, it is no more anomalous than the inclusion of Rule 19 plaintiffs in that list would be if the alternative view of § 1367(a) were to prevail. If the district court lacks original jurisdiction over a civil diversity action where any plaintiff's claims fail to comply with all the requirements of § 1332, there is no need for a special § 1367(b) exception for Rule 19 plaintiffs who do not meet these requirements. Though the omission of Rule 20 plaintiffs from § 1367(b) presents something of a puzzle on our view of the statute, the inclusion of Rule 19 plaintiffs in this section is at least as difficult to explain under the alternative view.</w:t>
      </w:r>
    </w:p>
    <w:p>
      <w:pPr>
        <w:pStyle w:val="CaseBody"/>
      </w:pPr>
      <w:r>
        <w:t xml:space="preserve">And so we circle back to the original question. When the well-pleaded complaint in district court includes multiple claims, all part of the same case or controversy, and some, but not all, of the claims are within the court's original jurisdiction, does the court have before it "any civil action of which the district courts have original jurisdiction"? It does. Under § 1367, the court has original jurisdiction over the civil action comprising the claims for which there is no jurisdictional defect. No other reading of § 1367 is plausible in light of the text and structure of the jurisdictional statute. Though the special nature and purpose of the diversity requirement mean that a single nondiverse party can contaminate every other claim in the lawsuit, the contamination does not occur with respect to jurisdictional defects that go only to the substantive importance of individual claims.</w:t>
      </w:r>
    </w:p>
    <w:p>
      <w:pPr>
        <w:pStyle w:val="CaseBody"/>
      </w:pPr>
      <w:r>
        <w:rPr>
          <w:rStyle w:val="Elision"/>
        </w:rPr>
        <w:t xml:space="preserve">[ … ]</w:t>
      </w:r>
      <w:r>
        <w:t xml:space="preserve">We hold that § 1367 by its plain text overruled</w:t>
      </w:r>
      <w:r>
        <w:t xml:space="preserve"> </w:t>
      </w:r>
      <w:r>
        <w:rPr>
          <w:iCs/>
          <w:i/>
        </w:rPr>
        <w:t xml:space="preserve">Clark</w:t>
      </w:r>
      <w:r>
        <w:t xml:space="preserve"> </w:t>
      </w:r>
      <w:r>
        <w:t xml:space="preserve">and</w:t>
      </w:r>
      <w:r>
        <w:t xml:space="preserve"> </w:t>
      </w:r>
      <w:r>
        <w:rPr>
          <w:iCs/>
          <w:i/>
        </w:rPr>
        <w:t xml:space="preserve">Zahn</w:t>
      </w:r>
      <w:r>
        <w:t xml:space="preserve"> </w:t>
      </w:r>
      <w:r>
        <w:t xml:space="preserve">and authorized supplemental jurisdiction over all claims by diverse parties arising out of the same Article III case or controversy,</w:t>
      </w:r>
      <w:r>
        <w:t xml:space="preserve"> </w:t>
      </w:r>
      <w:r>
        <w:rPr>
          <w:rStyle w:val="Elision"/>
        </w:rPr>
        <w:t xml:space="preserve">[ … ]</w:t>
      </w:r>
      <w:r>
        <w:t xml:space="preserve"> </w:t>
      </w:r>
      <w:r>
        <w:t xml:space="preserve">subject only to enumerated exceptions not applicable in the cases now before us.</w:t>
      </w:r>
    </w:p>
    <w:bookmarkEnd w:id="280"/>
    <w:bookmarkStart w:id="281" w:name="c-3"/>
    <w:p>
      <w:pPr>
        <w:pStyle w:val="Heading2"/>
      </w:pPr>
      <w:r>
        <w:t xml:space="preserve">C</w:t>
      </w:r>
    </w:p>
    <w:p>
      <w:pPr>
        <w:pStyle w:val="CaseBody"/>
      </w:pPr>
      <w:r>
        <w:t xml:space="preserve">The proponents of the alternative view of § 1367 insist that the statute is at least ambiguous and that we should look to other interpretive tools, including the legislative history of § 1367, which supposedly demonstrate Congress did not intend § 1367 to overrule</w:t>
      </w:r>
      <w:r>
        <w:t xml:space="preserve"> </w:t>
      </w:r>
      <w:r>
        <w:rPr>
          <w:iCs/>
          <w:i/>
        </w:rPr>
        <w:t xml:space="preserve">Zahn.</w:t>
      </w:r>
      <w:r>
        <w:t xml:space="preserve"> </w:t>
      </w:r>
      <w:r>
        <w:t xml:space="preserve">We can reject this argument at the very outset simply because § 1367 is not ambiguous.</w:t>
      </w:r>
      <w:r>
        <w:rPr>
          <w:rStyle w:val="Elision"/>
        </w:rPr>
        <w:t xml:space="preserve">[ … ]</w:t>
      </w:r>
    </w:p>
    <w:p>
      <w:pPr>
        <w:pStyle w:val="CaseBody"/>
      </w:pPr>
      <w:r>
        <w:t xml:space="preserve">Those who urge that the legislative history refutes our interpretation rely primarily on the House Judiciary Committee Report on the Judicial Improvements Act.</w:t>
      </w:r>
      <w:r>
        <w:t xml:space="preserve"> </w:t>
      </w:r>
      <w:r>
        <w:rPr>
          <w:rStyle w:val="Elision"/>
        </w:rPr>
        <w:t xml:space="preserve">[ … ]</w:t>
      </w:r>
      <w:r>
        <w:t xml:space="preserve"> </w:t>
      </w:r>
      <w:r>
        <w:t xml:space="preserve">This Report explained that § 1367 would "authorize jurisdiction in a case like</w:t>
      </w:r>
      <w:r>
        <w:t xml:space="preserve"> </w:t>
      </w:r>
      <w:r>
        <w:rPr>
          <w:iCs/>
          <w:i/>
        </w:rPr>
        <w:t xml:space="preserve">Finley,</w:t>
      </w:r>
      <w:r>
        <w:t xml:space="preserve"> </w:t>
      </w:r>
      <w:r>
        <w:t xml:space="preserve">as well as essentially restore the pre-</w:t>
      </w:r>
      <w:r>
        <w:rPr>
          <w:iCs/>
          <w:i/>
        </w:rPr>
        <w:t xml:space="preserve">Finley</w:t>
      </w:r>
      <w:r>
        <w:t xml:space="preserve"> </w:t>
      </w:r>
      <w:r>
        <w:t xml:space="preserve">understandings of the authorization for and limits on other forms of supplemental jurisdiction."</w:t>
      </w:r>
      <w:r>
        <w:t xml:space="preserve"> </w:t>
      </w:r>
      <w:r>
        <w:rPr>
          <w:rStyle w:val="Elision"/>
        </w:rPr>
        <w:t xml:space="preserve">[ … ]</w:t>
      </w:r>
      <w:r>
        <w:t xml:space="preserve">The Report stated that § 1367(a) "generally authorizes the district court to exercise jurisdiction over a supplemental claim whenever it forms part of the same constitutional case or controversy as the claim or claims that provide the basis of the district court's original jurisdiction," and in so doing codifies</w:t>
      </w:r>
      <w:r>
        <w:t xml:space="preserve"> </w:t>
      </w:r>
      <w:r>
        <w:rPr>
          <w:iCs/>
          <w:i/>
        </w:rPr>
        <w:t xml:space="preserve">Gibbs</w:t>
      </w:r>
      <w:r>
        <w:t xml:space="preserve"> </w:t>
      </w:r>
      <w:r>
        <w:t xml:space="preserve">and fills the statutory gap recognized in</w:t>
      </w:r>
      <w:r>
        <w:t xml:space="preserve"> </w:t>
      </w:r>
      <w:r>
        <w:rPr>
          <w:iCs/>
          <w:i/>
        </w:rPr>
        <w:t xml:space="preserve">Finley.</w:t>
      </w:r>
      <w:r>
        <w:t xml:space="preserve"> </w:t>
      </w:r>
      <w:r>
        <w:rPr>
          <w:rStyle w:val="Elision"/>
        </w:rPr>
        <w:t xml:space="preserve">[ … ]</w:t>
      </w:r>
      <w:r>
        <w:t xml:space="preserve"> </w:t>
      </w:r>
      <w:r>
        <w:t xml:space="preserve">The Report then remarked that § 1367(b) "is not intended to affect the jurisdictional requirements of [§ 1332] in diversity-only class</w:t>
      </w:r>
      <w:r>
        <w:t xml:space="preserve"> </w:t>
      </w:r>
      <w:r>
        <w:rPr>
          <w:rStyle w:val="Elision"/>
        </w:rPr>
        <w:t xml:space="preserve">[ … ]</w:t>
      </w:r>
      <w:r>
        <w:t xml:space="preserve"> </w:t>
      </w:r>
      <w:r>
        <w:t xml:space="preserve">actions, as those requirements were interpreted prior to</w:t>
      </w:r>
      <w:r>
        <w:t xml:space="preserve"> </w:t>
      </w:r>
      <w:r>
        <w:rPr>
          <w:iCs/>
          <w:i/>
        </w:rPr>
        <w:t xml:space="preserve">Finley,</w:t>
      </w:r>
      <w:r>
        <w:t xml:space="preserve">" citing, without further elaboration,</w:t>
      </w:r>
      <w:r>
        <w:t xml:space="preserve"> </w:t>
      </w:r>
      <w:r>
        <w:rPr>
          <w:iCs/>
          <w:i/>
        </w:rPr>
        <w:t xml:space="preserve">Zahn</w:t>
      </w:r>
      <w:r>
        <w:t xml:space="preserve"> </w:t>
      </w:r>
      <w:r>
        <w:t xml:space="preserve">and</w:t>
      </w:r>
      <w:r>
        <w:t xml:space="preserve"> </w:t>
      </w:r>
      <w:r>
        <w:rPr>
          <w:iCs/>
          <w:i/>
        </w:rPr>
        <w:t xml:space="preserve">Supreme Tribe of Ben-Hur</w:t>
      </w:r>
      <w:r>
        <w:t xml:space="preserve"> </w:t>
      </w:r>
      <w:r>
        <w:t xml:space="preserve">v.</w:t>
      </w:r>
      <w:r>
        <w:t xml:space="preserve"> </w:t>
      </w:r>
      <w:r>
        <w:rPr>
          <w:iCs/>
          <w:i/>
        </w:rPr>
        <w:t xml:space="preserve">Cauble,</w:t>
      </w:r>
      <w:r>
        <w:t xml:space="preserve"> </w:t>
      </w:r>
      <w:r>
        <w:rPr>
          <w:rStyle w:val="Elision"/>
        </w:rPr>
        <w:t xml:space="preserve">[ … ]</w:t>
      </w:r>
    </w:p>
    <w:p>
      <w:pPr>
        <w:pStyle w:val="CaseBody"/>
      </w:pPr>
      <w:r>
        <w:t xml:space="preserve">As we have repeatedly held, the authoritative statement is the statutory text, not the legislative history or any other extrinsic material.</w:t>
      </w:r>
      <w:r>
        <w:t xml:space="preserve"> </w:t>
      </w:r>
      <w:r>
        <w:rPr>
          <w:rStyle w:val="Elision"/>
        </w:rPr>
        <w:t xml:space="preserve">[ … ]</w:t>
      </w:r>
    </w:p>
    <w:p>
      <w:pPr>
        <w:pStyle w:val="CaseBody"/>
      </w:pPr>
      <w:r>
        <w:t xml:space="preserve">First of all, the legislative history of § 1367 is far murkier than selective quotation from the House Report would suggest.</w:t>
      </w:r>
      <w:r>
        <w:rPr>
          <w:rStyle w:val="Elision"/>
        </w:rPr>
        <w:t xml:space="preserve">[ … ]</w:t>
      </w:r>
      <w:r>
        <w:rPr>
          <w:rStyle w:val="Elision"/>
        </w:rPr>
        <w:t xml:space="preserve">[ … ]</w:t>
      </w:r>
      <w:r>
        <w:rPr>
          <w:rStyle w:val="Elision"/>
        </w:rPr>
        <w:t xml:space="preserve">[ … ]</w:t>
      </w:r>
      <w:r>
        <w:rPr>
          <w:rStyle w:val="Elision"/>
        </w:rPr>
        <w:t xml:space="preserve">[ … ]</w:t>
      </w:r>
      <w:r>
        <w:rPr>
          <w:rStyle w:val="Elision"/>
        </w:rPr>
        <w:t xml:space="preserve">[ … ]</w:t>
      </w:r>
    </w:p>
    <w:p>
      <w:pPr>
        <w:pStyle w:val="CaseBody"/>
      </w:pPr>
      <w:r>
        <w:rPr>
          <w:rStyle w:val="Elision"/>
        </w:rPr>
        <w:t xml:space="preserve">[ … ]</w:t>
      </w:r>
      <w:r>
        <w:rPr>
          <w:rStyle w:val="Elision"/>
        </w:rPr>
        <w:t xml:space="preserve">[ … ]</w:t>
      </w:r>
      <w:r>
        <w:rPr>
          <w:rStyle w:val="Elision"/>
        </w:rPr>
        <w:t xml:space="preserve">[ … ]</w:t>
      </w:r>
    </w:p>
    <w:p>
      <w:pPr>
        <w:pStyle w:val="CaseBody"/>
      </w:pPr>
      <w:r>
        <w:t xml:space="preserve">In sum, even if we believed resort to legislative history were appropriate in these cases—a point we do not concede—we would not give significant weight to the House Report.</w:t>
      </w:r>
      <w:r>
        <w:t xml:space="preserve"> </w:t>
      </w:r>
      <w:r>
        <w:rPr>
          <w:rStyle w:val="Elision"/>
        </w:rPr>
        <w:t xml:space="preserve">[ … ]</w:t>
      </w:r>
    </w:p>
    <w:bookmarkEnd w:id="281"/>
    <w:bookmarkStart w:id="282" w:name="section-25"/>
    <w:p>
      <w:pPr>
        <w:pStyle w:val="Heading2"/>
      </w:pPr>
      <w:r>
        <w:rPr>
          <w:rStyle w:val="Elision"/>
        </w:rPr>
        <w:t xml:space="preserve">[ … ]</w:t>
      </w:r>
    </w:p>
    <w:p>
      <w:pPr>
        <w:pStyle w:val="CaseBody"/>
      </w:pPr>
      <w:r>
        <w:t xml:space="preserve">The judgment of the Court of Appeals for the Eleventh Circuit is affirmed.</w:t>
      </w:r>
      <w:r>
        <w:t xml:space="preserve"> </w:t>
      </w:r>
      <w:r>
        <w:rPr>
          <w:rStyle w:val="Elision"/>
        </w:rPr>
        <w:t xml:space="preserve">[ … ]</w:t>
      </w:r>
    </w:p>
    <w:p>
      <w:pPr>
        <w:pStyle w:val="CaseBody"/>
      </w:pPr>
      <w:r>
        <w:rPr>
          <w:rStyle w:val="Elision"/>
        </w:rPr>
        <w:t xml:space="preserve">[ … ]</w:t>
      </w:r>
    </w:p>
    <w:bookmarkEnd w:id="282"/>
    <w:bookmarkStart w:id="283" w:name="X61cb9c1ff254122b4a27810573efa81d2b4a80e"/>
    <w:p>
      <w:pPr>
        <w:pStyle w:val="Heading2"/>
      </w:pPr>
      <w:r>
        <w:t xml:space="preserve">JUSTICE STEVENS, with whom JUSTICE BREYER joins, dissenting.</w:t>
      </w:r>
    </w:p>
    <w:p>
      <w:pPr>
        <w:pStyle w:val="CaseBody"/>
      </w:pPr>
      <w:r>
        <w:rPr>
          <w:rStyle w:val="Elision"/>
        </w:rPr>
        <w:t xml:space="preserve">[ … ]</w:t>
      </w:r>
      <w:r>
        <w:rPr>
          <w:rStyle w:val="FootnoteReference"/>
        </w:rPr>
        <w:footnoteReference w:customMarkFollows="1" w:id="53"/>
        <w:t xml:space="preserve">*</w:t>
      </w:r>
    </w:p>
    <w:p>
      <w:pPr>
        <w:pStyle w:val="CaseBody"/>
      </w:pPr>
      <w:r>
        <w:t xml:space="preserve">The legislative history of 28 U. S. C. § 1367 provides powerful confirmation of JUSTICE GINSBURG'S interpretation of that statute.</w:t>
      </w:r>
      <w:r>
        <w:rPr>
          <w:rStyle w:val="Elision"/>
        </w:rPr>
        <w:t xml:space="preserve">[ … ]</w:t>
      </w:r>
    </w:p>
    <w:p>
      <w:pPr>
        <w:pStyle w:val="CaseBody"/>
      </w:pPr>
      <w:r>
        <w:t xml:space="preserve">Not only does the House Report specifically say that § 1367 was not intended to upset</w:t>
      </w:r>
      <w:r>
        <w:t xml:space="preserve"> </w:t>
      </w:r>
      <w:r>
        <w:rPr>
          <w:iCs/>
          <w:i/>
        </w:rPr>
        <w:t xml:space="preserve">Zahn</w:t>
      </w:r>
      <w:r>
        <w:t xml:space="preserve"> </w:t>
      </w:r>
      <w:r>
        <w:rPr>
          <w:rStyle w:val="Elision"/>
        </w:rPr>
        <w:t xml:space="preserve">[ … ]</w:t>
      </w:r>
      <w:r>
        <w:t xml:space="preserve">, but its entire explanation of the statute demonstrates that Congress had in mind a very specific and relatively modest task—undoing this Court's 5-to-4 decision in</w:t>
      </w:r>
      <w:r>
        <w:t xml:space="preserve"> </w:t>
      </w:r>
      <w:r>
        <w:rPr>
          <w:iCs/>
          <w:i/>
        </w:rPr>
        <w:t xml:space="preserve">Finley</w:t>
      </w:r>
      <w:r>
        <w:t xml:space="preserve"> </w:t>
      </w:r>
      <w:r>
        <w:t xml:space="preserve">v.</w:t>
      </w:r>
      <w:r>
        <w:t xml:space="preserve"> </w:t>
      </w:r>
      <w:r>
        <w:rPr>
          <w:iCs/>
          <w:i/>
        </w:rPr>
        <w:t xml:space="preserve">United States</w:t>
      </w:r>
      <w:r>
        <w:rPr>
          <w:rStyle w:val="Elision"/>
        </w:rPr>
        <w:t xml:space="preserve">[ … ]</w:t>
      </w:r>
      <w:r>
        <w:t xml:space="preserve"> </w:t>
      </w:r>
      <w:r>
        <w:t xml:space="preserve">In addition to overturning that unfortunate and much-criticized decision,</w:t>
      </w:r>
      <w:hyperlink w:anchor="Xfab05f408142ea718ee84e2903bdf5a3357dd5e">
        <w:r>
          <w:rPr>
            <w:rStyle w:val="Elision"/>
            <w:vertAlign w:val="superscript"/>
          </w:rPr>
          <w:t xml:space="preserve">[ … ]</w:t>
        </w:r>
      </w:hyperlink>
      <w:r>
        <w:t xml:space="preserve">the statute, according to the Report, codifies and preserves "the pre-</w:t>
      </w:r>
      <w:r>
        <w:rPr>
          <w:iCs/>
          <w:i/>
        </w:rPr>
        <w:t xml:space="preserve">Finley</w:t>
      </w:r>
      <w:r>
        <w:t xml:space="preserve"> </w:t>
      </w:r>
      <w:r>
        <w:t xml:space="preserve">understandings of the authorization</w:t>
      </w:r>
      <w:r>
        <w:t xml:space="preserve"> </w:t>
      </w:r>
      <w:r>
        <w:rPr>
          <w:rStyle w:val="Elision"/>
        </w:rPr>
        <w:t xml:space="preserve">[ … ]</w:t>
      </w:r>
      <w:r>
        <w:t xml:space="preserve">for and limits on other forms of supplemental jurisdiction,"</w:t>
      </w:r>
      <w:r>
        <w:t xml:space="preserve"> </w:t>
      </w:r>
      <w:r>
        <w:rPr>
          <w:rStyle w:val="Elision"/>
        </w:rPr>
        <w:t xml:space="preserve">[ … ]</w:t>
      </w:r>
      <w:r>
        <w:t xml:space="preserve">with the exception of making "one small change in pre-</w:t>
      </w:r>
      <w:r>
        <w:rPr>
          <w:iCs/>
          <w:i/>
        </w:rPr>
        <w:t xml:space="preserve">Finley</w:t>
      </w:r>
      <w:r>
        <w:t xml:space="preserve"> </w:t>
      </w:r>
      <w:r>
        <w:t xml:space="preserve">practice,"</w:t>
      </w:r>
      <w:r>
        <w:t xml:space="preserve"> </w:t>
      </w:r>
      <w:r>
        <w:rPr>
          <w:rStyle w:val="Elision"/>
        </w:rPr>
        <w:t xml:space="preserve">[ … ]</w:t>
      </w:r>
      <w:r>
        <w:t xml:space="preserve"> </w:t>
      </w:r>
      <w:r>
        <w:rPr>
          <w:rStyle w:val="Elision"/>
        </w:rPr>
        <w:t xml:space="preserve">[ … ]</w:t>
      </w:r>
      <w:r>
        <w:t xml:space="preserve"> </w:t>
      </w:r>
      <w:r>
        <w:t xml:space="preserve">which is not relevant here.</w:t>
      </w:r>
    </w:p>
    <w:p>
      <w:pPr>
        <w:pStyle w:val="CaseBody"/>
      </w:pPr>
      <w:r>
        <w:t xml:space="preserve">The sweeping purpose that the Court's decision imputes to Congress bears no resemblance to the House Report's description of the statute. But this does not seem to trouble the Court, for its decision today treats statutory interpretation as a pedantic exercise, divorced from any serious attempt at ascertaining congressional intent.</w:t>
      </w:r>
      <w:r>
        <w:t xml:space="preserve"> </w:t>
      </w:r>
      <w:r>
        <w:rPr>
          <w:rStyle w:val="Elision"/>
        </w:rPr>
        <w:t xml:space="preserve">[ … ]</w:t>
      </w:r>
    </w:p>
    <w:p>
      <w:pPr>
        <w:pStyle w:val="CaseBody"/>
      </w:pPr>
      <w:r>
        <w:t xml:space="preserve">The Court's reasons for ignoring this virtual billboard of congressional intent are unpersuasive. That a subcommittee of the Federal Courts Study Committee believed that an earlier, substantially similar version of the statute overruled</w:t>
      </w:r>
      <w:r>
        <w:t xml:space="preserve"> </w:t>
      </w:r>
      <w:r>
        <w:rPr>
          <w:iCs/>
          <w:i/>
        </w:rPr>
        <w:t xml:space="preserve">Zahn,</w:t>
      </w:r>
      <w:r>
        <w:t xml:space="preserve"> </w:t>
      </w:r>
      <w:r>
        <w:rPr>
          <w:rStyle w:val="Elision"/>
        </w:rPr>
        <w:t xml:space="preserve">[ … ]</w:t>
      </w:r>
      <w:r>
        <w:t xml:space="preserve"> </w:t>
      </w:r>
      <w:r>
        <w:t xml:space="preserve">only highlights the fact that the statute is ambiguous. What is determinative is that the House Report explicitly rejected that broad reading of the statutory text. Such a report has special significance as an indicator of legislative intent. In Congress, committee reports are normally considered the authoritative explication of a statute's text and purposes, and busy legislators and their assistants rely on that explication in casting their votes.</w:t>
      </w:r>
      <w:r>
        <w:t xml:space="preserve"> </w:t>
      </w:r>
      <w:r>
        <w:rPr>
          <w:rStyle w:val="Elision"/>
        </w:rPr>
        <w:t xml:space="preserve">[ … ]</w:t>
      </w:r>
    </w:p>
    <w:p>
      <w:pPr>
        <w:pStyle w:val="CaseBody"/>
      </w:pPr>
      <w:r>
        <w:t xml:space="preserve">After nearly 20 pages of complicated analysis, which explores subtle doctrinal nuances and coins various neologisms, the Court announces that § 1367 could not reasonably be read another way.</w:t>
      </w:r>
      <w:r>
        <w:t xml:space="preserve"> </w:t>
      </w:r>
      <w:r>
        <w:rPr>
          <w:rStyle w:val="Elision"/>
        </w:rPr>
        <w:t xml:space="preserve">[ … ]</w:t>
      </w:r>
      <w:r>
        <w:t xml:space="preserve">That conclusion is difficult to accept. Given JUSTICE GINSBURG'S persuasive account of the statutory text and its jurisprudential backdrop, and given the uncommonly clear legislative history, I am confident that the majority's interpretation of § 1367 is mistaken. I respectfully dissent.</w:t>
      </w:r>
    </w:p>
    <w:bookmarkEnd w:id="283"/>
    <w:bookmarkStart w:id="284" w:name="X67d056ea46f0006dddeba1ffb4b87f43c7cb812"/>
    <w:p>
      <w:pPr>
        <w:pStyle w:val="Heading2"/>
      </w:pPr>
      <w:r>
        <w:t xml:space="preserve">JUSTICE GINSBURG, with whom JUSTICE STEVENS, JUSTICE O'CONNOR, and JUSTICE BREYER join, dissenting.</w:t>
      </w:r>
      <w:r>
        <w:rPr>
          <w:rStyle w:val="FootnoteReference"/>
        </w:rPr>
        <w:footnoteReference w:customMarkFollows="1" w:id="91"/>
        <w:t xml:space="preserve">**</w:t>
      </w:r>
    </w:p>
    <w:p>
      <w:pPr>
        <w:pStyle w:val="CaseBody"/>
      </w:pPr>
      <w:r>
        <w:t xml:space="preserve">These cases present the question whether Congress, by enacting 28 U. S. C. § 1367, overruled this Court's decisions in</w:t>
      </w:r>
      <w:r>
        <w:t xml:space="preserve"> </w:t>
      </w:r>
      <w:r>
        <w:rPr>
          <w:iCs/>
          <w:i/>
        </w:rPr>
        <w:t xml:space="preserve">Clark</w:t>
      </w:r>
      <w:r>
        <w:t xml:space="preserve"> </w:t>
      </w:r>
      <w:r>
        <w:t xml:space="preserve">v.</w:t>
      </w:r>
      <w:r>
        <w:t xml:space="preserve"> </w:t>
      </w:r>
      <w:r>
        <w:rPr>
          <w:iCs/>
          <w:i/>
        </w:rPr>
        <w:t xml:space="preserve">Paul Gray, Inc</w:t>
      </w:r>
      <w:r>
        <w:rPr>
          <w:rStyle w:val="FootnoteReference"/>
          <w:iCs/>
          <w:i/>
        </w:rPr>
        <w:footnoteReference w:customMarkFollows="1" w:id="115"/>
        <w:t xml:space="preserve">***</w:t>
      </w:r>
      <w:r>
        <w:rPr>
          <w:iCs/>
          <w:i/>
        </w:rPr>
        <w:t xml:space="preserve">.,</w:t>
      </w:r>
      <w:r>
        <w:rPr>
          <w:rStyle w:val="Elision"/>
        </w:rPr>
        <w:t xml:space="preserve">[ … ]</w:t>
      </w:r>
      <w:r>
        <w:t xml:space="preserve"> </w:t>
      </w:r>
      <w:r>
        <w:t xml:space="preserve">and</w:t>
      </w:r>
      <w:r>
        <w:t xml:space="preserve"> </w:t>
      </w:r>
      <w:r>
        <w:rPr>
          <w:iCs/>
          <w:i/>
        </w:rPr>
        <w:t xml:space="preserve">Zahn</w:t>
      </w:r>
      <w:r>
        <w:t xml:space="preserve"> </w:t>
      </w:r>
      <w:r>
        <w:t xml:space="preserve">v.</w:t>
      </w:r>
      <w:r>
        <w:t xml:space="preserve"> </w:t>
      </w:r>
      <w:r>
        <w:rPr>
          <w:rStyle w:val="Elision"/>
        </w:rPr>
        <w:t xml:space="preserve">[ … ]</w:t>
      </w:r>
      <w:r>
        <w:t xml:space="preserve">.</w:t>
      </w:r>
      <w:r>
        <w:t xml:space="preserve"> </w:t>
      </w:r>
      <w:r>
        <w:rPr>
          <w:iCs/>
          <w:i/>
        </w:rPr>
        <w:t xml:space="preserve">Clark</w:t>
      </w:r>
      <w:r>
        <w:t xml:space="preserve"> </w:t>
      </w:r>
      <w:r>
        <w:t xml:space="preserve">held that, when federal-court jurisdiction is predicated on a specified amount in controversy, each plaintiff joined in the litigation must independently meet the jurisdictional amount requirement.</w:t>
      </w:r>
      <w:r>
        <w:t xml:space="preserve"> </w:t>
      </w:r>
      <w:r>
        <w:rPr>
          <w:iCs/>
          <w:i/>
        </w:rPr>
        <w:t xml:space="preserve">Zahn</w:t>
      </w:r>
      <w:r>
        <w:t xml:space="preserve"> </w:t>
      </w:r>
      <w:r>
        <w:t xml:space="preserve">confirmed that in class actions governed by Federal Rule of Civil Procedure 23(b)(3), "[e]ach [class member] . . . must satisfy the jurisdictional amount, and any [class member] who does not must be dismissed from the case."</w:t>
      </w:r>
      <w:r>
        <w:rPr>
          <w:rStyle w:val="Elision"/>
        </w:rPr>
        <w:t xml:space="preserve">[ … ]</w:t>
      </w:r>
    </w:p>
    <w:p>
      <w:pPr>
        <w:pStyle w:val="CaseBody"/>
      </w:pPr>
      <w:r>
        <w:t xml:space="preserve">Section 1367, all agree, was designed to overturn this Court's decision in</w:t>
      </w:r>
      <w:r>
        <w:t xml:space="preserve"> </w:t>
      </w:r>
      <w:r>
        <w:rPr>
          <w:iCs/>
          <w:i/>
        </w:rPr>
        <w:t xml:space="preserve">Finley</w:t>
      </w:r>
      <w:r>
        <w:t xml:space="preserve"> </w:t>
      </w:r>
      <w:r>
        <w:t xml:space="preserve">v.</w:t>
      </w:r>
      <w:r>
        <w:t xml:space="preserve"> </w:t>
      </w:r>
      <w:r>
        <w:rPr>
          <w:iCs/>
          <w:i/>
        </w:rPr>
        <w:t xml:space="preserve">United States,</w:t>
      </w:r>
      <w:r>
        <w:rPr>
          <w:rStyle w:val="Elision"/>
        </w:rPr>
        <w:t xml:space="preserve">[ … ]</w:t>
      </w:r>
    </w:p>
    <w:p>
      <w:pPr>
        <w:pStyle w:val="CaseBody"/>
      </w:pPr>
      <w:r>
        <w:rPr>
          <w:rStyle w:val="Elision"/>
        </w:rPr>
        <w:t xml:space="preserve">[ … ]</w:t>
      </w:r>
      <w:r>
        <w:rPr>
          <w:rStyle w:val="Elision"/>
        </w:rPr>
        <w:t xml:space="preserve">[ … ]</w:t>
      </w:r>
    </w:p>
    <w:p>
      <w:pPr>
        <w:pStyle w:val="CaseBody"/>
      </w:pPr>
      <w:r>
        <w:t xml:space="preserve">The Court adopts a plausibly broad reading of § 1367, a measure that is hardly a model of the careful drafter's art. There is another plausible reading, however, one less disruptive of our jurisprudence regarding supplemental jurisdiction. If one reads § 1367(a) to instruct, as the statute's text suggests, that the district court must first have "original jurisdiction" over a "civil action" before supplemental jurisdiction can attach, then</w:t>
      </w:r>
      <w:r>
        <w:t xml:space="preserve"> </w:t>
      </w:r>
      <w:r>
        <w:rPr>
          <w:iCs/>
          <w:i/>
        </w:rPr>
        <w:t xml:space="preserve">Clark</w:t>
      </w:r>
      <w:r>
        <w:t xml:space="preserve"> </w:t>
      </w:r>
      <w:r>
        <w:t xml:space="preserve">and</w:t>
      </w:r>
      <w:r>
        <w:t xml:space="preserve"> </w:t>
      </w:r>
      <w:r>
        <w:rPr>
          <w:iCs/>
          <w:i/>
        </w:rPr>
        <w:t xml:space="preserve">Zahn</w:t>
      </w:r>
      <w:r>
        <w:t xml:space="preserve"> </w:t>
      </w:r>
      <w:r>
        <w:t xml:space="preserve">are preserved, and supplemental jurisdiction does not open the way for joinder of plaintiffs, or inclusion of class members, who do not independently meet the amount-in-controversy requirement. For the reasons that follow, I conclude that this narrower construction is the better reading of § 1367.</w:t>
      </w:r>
    </w:p>
    <w:bookmarkEnd w:id="284"/>
    <w:bookmarkStart w:id="285" w:name="i-15"/>
    <w:p>
      <w:pPr>
        <w:pStyle w:val="Heading2"/>
      </w:pPr>
      <w:r>
        <w:t xml:space="preserve">I</w:t>
      </w:r>
    </w:p>
    <w:bookmarkEnd w:id="285"/>
    <w:bookmarkStart w:id="286" w:name="section-26"/>
    <w:p>
      <w:pPr>
        <w:pStyle w:val="Heading2"/>
      </w:pPr>
      <w:r>
        <w:rPr>
          <w:rStyle w:val="Elision"/>
        </w:rPr>
        <w:t xml:space="preserve">[ … ]</w:t>
      </w:r>
    </w:p>
    <w:bookmarkEnd w:id="286"/>
    <w:bookmarkStart w:id="287" w:name="ii-12"/>
    <w:p>
      <w:pPr>
        <w:pStyle w:val="Heading2"/>
      </w:pPr>
      <w:r>
        <w:t xml:space="preserve">II</w:t>
      </w:r>
    </w:p>
    <w:bookmarkEnd w:id="287"/>
    <w:bookmarkStart w:id="288" w:name="a-10"/>
    <w:p>
      <w:pPr>
        <w:pStyle w:val="Heading2"/>
      </w:pPr>
      <w:r>
        <w:t xml:space="preserve">A</w:t>
      </w:r>
    </w:p>
    <w:p>
      <w:pPr>
        <w:pStyle w:val="CaseBody"/>
      </w:pPr>
      <w:r>
        <w:rPr>
          <w:rStyle w:val="Elision"/>
        </w:rPr>
        <w:t xml:space="preserve">[ … ]</w:t>
      </w:r>
    </w:p>
    <w:p>
      <w:pPr>
        <w:pStyle w:val="CaseBody"/>
      </w:pPr>
      <w:r>
        <w:t xml:space="preserve">The rule that each plaintiff must independently satisfy the amount-in-controversy requirement, unless Congress expressly orders otherwise, was thus the solidly established</w:t>
      </w:r>
      <w:r>
        <w:t xml:space="preserve"> </w:t>
      </w:r>
      <w:r>
        <w:rPr>
          <w:rStyle w:val="Elision"/>
        </w:rPr>
        <w:t xml:space="preserve">[ … ]</w:t>
      </w:r>
      <w:r>
        <w:t xml:space="preserve">reading of § 1332 when Congress enacted the Judicial Improvements Act of 1990, which added § 1367 to Title 28.</w:t>
      </w:r>
    </w:p>
    <w:bookmarkEnd w:id="288"/>
    <w:bookmarkStart w:id="289" w:name="b-9"/>
    <w:p>
      <w:pPr>
        <w:pStyle w:val="Heading2"/>
      </w:pPr>
      <w:r>
        <w:t xml:space="preserve">B</w:t>
      </w:r>
    </w:p>
    <w:p>
      <w:pPr>
        <w:pStyle w:val="CaseBody"/>
      </w:pPr>
      <w:r>
        <w:t xml:space="preserve">These cases present the question whether Congress abrogated the nonaggregation rule long tied to § 1332 when it enacted § 1367. In answering that question, "context [should provide] a crucial guide."</w:t>
      </w:r>
      <w:r>
        <w:t xml:space="preserve"> </w:t>
      </w:r>
      <w:r>
        <w:rPr>
          <w:rStyle w:val="Elision"/>
        </w:rPr>
        <w:t xml:space="preserve">[ … ]</w:t>
      </w:r>
      <w:r>
        <w:t xml:space="preserve"> </w:t>
      </w:r>
      <w:r>
        <w:t xml:space="preserve">The Court should assume, as it ordinarily does, that Congress legislated against a background of law already in place and the historical development of that law.</w:t>
      </w:r>
      <w:r>
        <w:rPr>
          <w:rStyle w:val="Elision"/>
        </w:rPr>
        <w:t xml:space="preserve">[ … ]</w:t>
      </w:r>
      <w:r>
        <w:t xml:space="preserve">Here, that background is the statutory grant of diversity jurisdiction, the amount-in-controversy condition that Congress, from the start, has tied to the grant, and the nonaggregation rule this Court has long applied to the determination of the "matter in controversy."</w:t>
      </w:r>
    </w:p>
    <w:p>
      <w:pPr>
        <w:pStyle w:val="CaseBody"/>
      </w:pPr>
      <w:r>
        <w:rPr>
          <w:rStyle w:val="Elision"/>
        </w:rPr>
        <w:t xml:space="preserve">[ … ]</w:t>
      </w:r>
    </w:p>
    <w:p>
      <w:pPr>
        <w:pStyle w:val="CaseBody"/>
      </w:pPr>
      <w:r>
        <w:t xml:space="preserve">The Court is unanimous in reading § 1367(a) to permit pendent-party jurisdiction in federal-question cases, and thus, to overrule</w:t>
      </w:r>
      <w:r>
        <w:t xml:space="preserve"> </w:t>
      </w:r>
      <w:r>
        <w:rPr>
          <w:iCs/>
          <w:i/>
        </w:rPr>
        <w:t xml:space="preserve">Finley.</w:t>
      </w:r>
      <w:r>
        <w:t xml:space="preserve"> </w:t>
      </w:r>
      <w:r>
        <w:rPr>
          <w:rStyle w:val="Elision"/>
        </w:rPr>
        <w:t xml:space="preserve">[ … ]</w:t>
      </w:r>
    </w:p>
    <w:p>
      <w:pPr>
        <w:pStyle w:val="CaseBody"/>
      </w:pPr>
      <w:r>
        <w:t xml:space="preserve">The Court divides, however, on the impact of § 1367(a) on diversity cases controlled by § 1332. Under the majority's reading, § 1367(a) permits the joinder of related claims cut loose from the nonaggregation rule that has long attended actions under § 1332. Only the claims specified in § 1367(b)</w:t>
      </w:r>
      <w:hyperlink w:anchor="X11c487ddfa34a1881a85403083fc5dc622312dd">
        <w:r>
          <w:rPr>
            <w:rStyle w:val="Elision"/>
            <w:vertAlign w:val="superscript"/>
          </w:rPr>
          <w:t xml:space="preserve">[ … ]</w:t>
        </w:r>
      </w:hyperlink>
      <w:r>
        <w:t xml:space="preserve">would be excluded from § 1367(a)'s expansion of § 1332's grant</w:t>
      </w:r>
      <w:r>
        <w:rPr>
          <w:rStyle w:val="Elision"/>
        </w:rPr>
        <w:t xml:space="preserve">[ … ]</w:t>
      </w:r>
      <w:r>
        <w:t xml:space="preserve">of diversity jurisdiction. And because § 1367(b) contains no exception for joinder of plaintiffs under Rule 20 or class actions under Rule 23, the Court concludes,</w:t>
      </w:r>
      <w:r>
        <w:t xml:space="preserve"> </w:t>
      </w:r>
      <w:r>
        <w:rPr>
          <w:iCs/>
          <w:i/>
        </w:rPr>
        <w:t xml:space="preserve">Clark</w:t>
      </w:r>
      <w:r>
        <w:t xml:space="preserve"> </w:t>
      </w:r>
      <w:r>
        <w:t xml:space="preserve">and</w:t>
      </w:r>
      <w:r>
        <w:t xml:space="preserve"> </w:t>
      </w:r>
      <w:r>
        <w:rPr>
          <w:iCs/>
          <w:i/>
        </w:rPr>
        <w:t xml:space="preserve">Zahn</w:t>
      </w:r>
      <w:r>
        <w:t xml:space="preserve"> </w:t>
      </w:r>
      <w:r>
        <w:t xml:space="preserve">have been overruled.</w:t>
      </w:r>
      <w:hyperlink w:anchor="X0a1c4409eb00aa59f9a6ebff6444abbc914b59d">
        <w:r>
          <w:rPr>
            <w:rStyle w:val="Elision"/>
            <w:vertAlign w:val="superscript"/>
          </w:rPr>
          <w:t xml:space="preserve">[ … ]</w:t>
        </w:r>
      </w:hyperlink>
    </w:p>
    <w:p>
      <w:pPr>
        <w:pStyle w:val="CaseBody"/>
      </w:pPr>
      <w:r>
        <w:t xml:space="preserve">The Court's reading is surely plausible, especially if one detaches § 1367(a) from its context</w:t>
      </w:r>
      <w:r>
        <w:t xml:space="preserve"> </w:t>
      </w:r>
      <w:r>
        <w:rPr>
          <w:rStyle w:val="Elision"/>
        </w:rPr>
        <w:t xml:space="preserve">[ … ]</w:t>
      </w:r>
      <w:r>
        <w:t xml:space="preserve">But § 1367(a)'s text, as the First Circuit held, can be read another way, one that would involve no rejection of</w:t>
      </w:r>
      <w:r>
        <w:t xml:space="preserve"> </w:t>
      </w:r>
      <w:r>
        <w:rPr>
          <w:iCs/>
          <w:i/>
        </w:rPr>
        <w:t xml:space="preserve">Clark</w:t>
      </w:r>
      <w:r>
        <w:t xml:space="preserve"> </w:t>
      </w:r>
      <w:r>
        <w:t xml:space="preserve">and</w:t>
      </w:r>
      <w:r>
        <w:t xml:space="preserve"> </w:t>
      </w:r>
      <w:r>
        <w:rPr>
          <w:iCs/>
          <w:i/>
        </w:rPr>
        <w:t xml:space="preserve">Zahn.</w:t>
      </w:r>
    </w:p>
    <w:p>
      <w:pPr>
        <w:pStyle w:val="CaseBody"/>
      </w:pPr>
      <w:r>
        <w:rPr>
          <w:rStyle w:val="Elision"/>
        </w:rPr>
        <w:t xml:space="preserve">[ … ]</w:t>
      </w:r>
      <w:r>
        <w:t xml:space="preserve">§ 1367(a) addresses "civil action[s] of which the district courts have original jurisdiction," a formulation that, in diversity cases, is sensibly read to incorporate the rules on joinder and aggregation tightly tied to § 1332 at the time of § 1367's enactment. On this reading, a complaint must first meet that "original jurisdiction" measurement. If it does not, no supplemental jurisdiction is authorized. If it does, § 1367(a) authorizes "supplemental jurisdiction" over related claims. In other words, § 1367(a) would preserve undiminished, as part and parcel of § 1332 "original jurisdiction" determinations, both the "complete diversity" rule and</w:t>
      </w:r>
      <w:r>
        <w:t xml:space="preserve"> </w:t>
      </w:r>
      <w:r>
        <w:rPr>
          <w:rStyle w:val="Elision"/>
        </w:rPr>
        <w:t xml:space="preserve">[ … ]</w:t>
      </w:r>
      <w:r>
        <w:t xml:space="preserve"> </w:t>
      </w:r>
      <w:r>
        <w:t xml:space="preserve">the decisions restricting aggregation to arrive at the amount in controversy.</w:t>
      </w:r>
      <w:hyperlink w:anchor="X9cb404a36b033d4812d7746b182cb87c767def4">
        <w:r>
          <w:rPr>
            <w:rStyle w:val="Elision"/>
            <w:vertAlign w:val="superscript"/>
          </w:rPr>
          <w:t xml:space="preserve">[ … ]</w:t>
        </w:r>
      </w:hyperlink>
      <w:r>
        <w:t xml:space="preserve">Section 1367(b)'s office, then, would be "to prevent the erosion of the complete diversity [and amount-in-controversy] requirement[s] that might otherwise result from an expansive application of what was once termed the doctrine of ancillary jurisdiction."</w:t>
      </w:r>
      <w:r>
        <w:t xml:space="preserve"> </w:t>
      </w:r>
      <w:r>
        <w:rPr>
          <w:rStyle w:val="Elision"/>
        </w:rPr>
        <w:t xml:space="preserve">[ … ]</w:t>
      </w:r>
      <w:r>
        <w:t xml:space="preserve">In contrast to the Court's construction of § 1367, which draws a sharp line between the diversity and amount-in-controversy components of § 1332</w:t>
      </w:r>
      <w:r>
        <w:rPr>
          <w:rStyle w:val="Elision"/>
        </w:rPr>
        <w:t xml:space="preserve">[ … ]</w:t>
      </w:r>
      <w:r>
        <w:t xml:space="preserve"> </w:t>
      </w:r>
      <w:r>
        <w:t xml:space="preserve">the interpretation presented here does not sever the two jurisdictional requirements.</w:t>
      </w:r>
    </w:p>
    <w:p>
      <w:pPr>
        <w:pStyle w:val="CaseBody"/>
      </w:pPr>
      <w:r>
        <w:rPr>
          <w:rStyle w:val="Elision"/>
        </w:rPr>
        <w:t xml:space="preserve">[ … ]</w:t>
      </w:r>
    </w:p>
    <w:p>
      <w:pPr>
        <w:pStyle w:val="CaseBody"/>
      </w:pPr>
      <w:r>
        <w:t xml:space="preserve">The less disruptive view I take of § 1367 also accounts for the omission of Rule 20 plaintiffs and Rule 23 class actions in § 1367(b)'s text. If one reads § 1367(a) as a plenary grant of supplemental jurisdiction to federal courts sitting in diversity, one would indeed look for exceptions in § 1367(b). Finding none for permissive joinder of parties or class actions, one would conclude that Congress effectively, even if unintentionally, overruled</w:t>
      </w:r>
      <w:r>
        <w:t xml:space="preserve"> </w:t>
      </w:r>
      <w:r>
        <w:rPr>
          <w:iCs/>
          <w:i/>
        </w:rPr>
        <w:t xml:space="preserve">Clark</w:t>
      </w:r>
      <w:r>
        <w:t xml:space="preserve"> </w:t>
      </w:r>
      <w:r>
        <w:t xml:space="preserve">and</w:t>
      </w:r>
      <w:r>
        <w:t xml:space="preserve"> </w:t>
      </w:r>
      <w:r>
        <w:rPr>
          <w:iCs/>
          <w:i/>
        </w:rPr>
        <w:t xml:space="preserve">Zahn.</w:t>
      </w:r>
      <w:r>
        <w:t xml:space="preserve"> </w:t>
      </w:r>
      <w:r>
        <w:t xml:space="preserve">But if one recognizes that the nonaggregation rule delineated in</w:t>
      </w:r>
      <w:r>
        <w:t xml:space="preserve"> </w:t>
      </w:r>
      <w:r>
        <w:rPr>
          <w:iCs/>
          <w:i/>
        </w:rPr>
        <w:t xml:space="preserve">Clark</w:t>
      </w:r>
      <w:r>
        <w:t xml:space="preserve"> </w:t>
      </w:r>
      <w:r>
        <w:t xml:space="preserve">and</w:t>
      </w:r>
      <w:r>
        <w:t xml:space="preserve"> </w:t>
      </w:r>
      <w:r>
        <w:rPr>
          <w:iCs/>
          <w:i/>
        </w:rPr>
        <w:t xml:space="preserve">Zahn</w:t>
      </w:r>
      <w:r>
        <w:t xml:space="preserve"> </w:t>
      </w:r>
      <w:r>
        <w:t xml:space="preserve">forms part of the determination whether "original jurisdiction" exists in a diversity case,</w:t>
      </w:r>
      <w:r>
        <w:t xml:space="preserve"> </w:t>
      </w:r>
      <w:r>
        <w:rPr>
          <w:rStyle w:val="Elision"/>
        </w:rPr>
        <w:t xml:space="preserve">[ … ]</w:t>
      </w:r>
      <w:r>
        <w:t xml:space="preserve"> </w:t>
      </w:r>
      <w:r>
        <w:t xml:space="preserve">then plaintiffs who do not meet the amount-in-controversy requirement would fail at the § 1367(a) threshold. Congress would have no reason to resort to a § 1367(b) exception to turn such plaintiffs away from federal court, given that their claims, from the start, would fall outside the court's § 1332 jurisdiction.</w:t>
      </w:r>
      <w:r>
        <w:rPr>
          <w:rStyle w:val="Elision"/>
        </w:rPr>
        <w:t xml:space="preserve">[ … ]</w:t>
      </w:r>
    </w:p>
    <w:p>
      <w:pPr>
        <w:pStyle w:val="CaseBody"/>
      </w:pPr>
      <w:r>
        <w:rPr>
          <w:rStyle w:val="Elision"/>
        </w:rPr>
        <w:t xml:space="preserve">[ … ]</w:t>
      </w:r>
      <w:r>
        <w:rPr>
          <w:rStyle w:val="Elision"/>
        </w:rPr>
        <w:t xml:space="preserve">[ … ]</w:t>
      </w:r>
    </w:p>
    <w:p>
      <w:pPr>
        <w:pStyle w:val="BlockText"/>
      </w:pPr>
      <w:r>
        <w:rPr>
          <w:rStyle w:val="Elision"/>
        </w:rPr>
        <w:t xml:space="preserve">[ … ]</w:t>
      </w:r>
    </w:p>
    <w:p>
      <w:pPr>
        <w:pStyle w:val="CaseBody"/>
      </w:pPr>
      <w:r>
        <w:rPr>
          <w:rStyle w:val="Elision"/>
        </w:rPr>
        <w:t xml:space="preserve">[ … ]</w:t>
      </w:r>
      <w:r>
        <w:t xml:space="preserve"> </w:t>
      </w:r>
      <w:r>
        <w:rPr>
          <w:rStyle w:val="Elision"/>
        </w:rPr>
        <w:t xml:space="preserve">[ … ]</w:t>
      </w:r>
    </w:p>
    <w:p>
      <w:pPr>
        <w:pStyle w:val="CaseBody"/>
      </w:pPr>
      <w:r>
        <w:rPr>
          <w:rStyle w:val="Elision"/>
        </w:rPr>
        <w:t xml:space="preserve">[ … ]</w:t>
      </w:r>
      <w:r>
        <w:t xml:space="preserve">While § 1367's enigmatic text</w:t>
      </w:r>
      <w:hyperlink w:anchor="X2833703b9cff4392c2f8fa1cbd5ddd62365417b">
        <w:r>
          <w:rPr>
            <w:rStyle w:val="Elision"/>
            <w:vertAlign w:val="superscript"/>
          </w:rPr>
          <w:t xml:space="preserve">[ … ]</w:t>
        </w:r>
      </w:hyperlink>
      <w:r>
        <w:t xml:space="preserve">defies flawless interpretation</w:t>
      </w:r>
      <w:r>
        <w:rPr>
          <w:rStyle w:val="Elision"/>
        </w:rPr>
        <w:t xml:space="preserve">[ … ]</w:t>
      </w:r>
      <w:r>
        <w:t xml:space="preserve"> </w:t>
      </w:r>
      <w:r>
        <w:t xml:space="preserve">the precedent-preservative reading, I am persuaded, better accords with the historical and legal context of Congress' enactment of the supplemental jurisdiction statute</w:t>
      </w:r>
      <w:r>
        <w:rPr>
          <w:rStyle w:val="Elision"/>
        </w:rPr>
        <w:t xml:space="preserve">[ … ]</w:t>
      </w:r>
    </w:p>
    <w:bookmarkEnd w:id="289"/>
    <w:bookmarkStart w:id="290" w:name="section-27"/>
    <w:p>
      <w:pPr>
        <w:pStyle w:val="Heading2"/>
      </w:pPr>
      <w:r>
        <w:t xml:space="preserve">* * *</w:t>
      </w:r>
    </w:p>
    <w:p>
      <w:pPr>
        <w:pStyle w:val="CaseBody"/>
      </w:pPr>
      <w:r>
        <w:t xml:space="preserve">For the reasons stated, I would hold that § 1367 does not overrule</w:t>
      </w:r>
      <w:r>
        <w:t xml:space="preserve"> </w:t>
      </w:r>
      <w:r>
        <w:rPr>
          <w:iCs/>
          <w:i/>
        </w:rPr>
        <w:t xml:space="preserve">Clark</w:t>
      </w:r>
      <w:r>
        <w:t xml:space="preserve"> </w:t>
      </w:r>
      <w:r>
        <w:t xml:space="preserve">and</w:t>
      </w:r>
      <w:r>
        <w:t xml:space="preserve"> </w:t>
      </w:r>
      <w:r>
        <w:rPr>
          <w:iCs/>
          <w:i/>
        </w:rPr>
        <w:t xml:space="preserve">Zahn.</w:t>
      </w:r>
      <w:r>
        <w:t xml:space="preserve"> </w:t>
      </w:r>
      <w:r>
        <w:rPr>
          <w:rStyle w:val="Elision"/>
        </w:rPr>
        <w:t xml:space="preserve">[ … ]</w:t>
      </w:r>
    </w:p>
    <w:bookmarkEnd w:id="290"/>
    <w:p>
      <w:pPr>
        <w:pStyle w:val="NodeEnd"/>
      </w:pPr>
      <w:r>
        <w:t xml:space="preserve"> </w:t>
      </w:r>
    </w:p>
    <w:p>
      <w:pPr>
        <w:pStyle w:val="NodeStart"/>
      </w:pPr>
      <w:r>
        <w:t xml:space="preserve"> </w:t>
      </w:r>
    </w:p>
    <w:p>
      <w:pPr>
        <w:pStyle w:val="HeadSeparator"/>
      </w:pPr>
      <w:r>
        <w:t xml:space="preserve"> </w:t>
      </w:r>
    </w:p>
    <w:bookmarkStart w:id="260" w:name="_auto_toc_260"/>
    <w:bookmarkEnd w:id="260"/>
    <w:p>
      <w:pPr>
        <w:pStyle w:val="ResourceNumber"/>
      </w:pPr>
      <w:r>
        <w:t xml:space="preserve">22.10</w:t>
      </w:r>
    </w:p>
    <w:p>
      <w:pPr>
        <w:pStyle w:val="ResourceTitle"/>
      </w:pPr>
      <w:r>
        <w:t xml:space="preserve">Class Action Hypo</w:t>
      </w:r>
    </w:p>
    <w:p>
      <w:pPr>
        <w:pStyle w:val="HeadEnd"/>
      </w:pPr>
      <w:r>
        <w:t xml:space="preserve"> </w:t>
      </w:r>
    </w:p>
    <w:p>
      <w:pPr>
        <w:pStyle w:val="BodyText"/>
      </w:pPr>
      <w:r>
        <w:t xml:space="preserve">Please read the class action hypo available</w:t>
      </w:r>
      <w:r>
        <w:t xml:space="preserve"> </w:t>
      </w:r>
      <w:hyperlink r:id="rId291">
        <w:r>
          <w:rPr>
            <w:rStyle w:val="Hyperlink"/>
          </w:rPr>
          <w:t xml:space="preserve">here</w:t>
        </w:r>
      </w:hyperlink>
      <w:r>
        <w:t xml:space="preserve"> (Word doc).</w:t>
      </w:r>
    </w:p>
    <w:p>
      <w:pPr>
        <w:pStyle w:val="NodeEnd"/>
      </w:pPr>
      <w:r>
        <w:t xml:space="preserve"> </w:t>
      </w:r>
    </w:p>
    <w:p>
      <w:pPr>
        <w:pStyle w:val="NodeStart"/>
      </w:pPr>
      <w:r>
        <w:t xml:space="preserve"> </w:t>
      </w:r>
    </w:p>
    <w:p>
      <w:pPr>
        <w:pStyle w:val="HeadSeparator"/>
      </w:pPr>
      <w:r>
        <w:t xml:space="preserve"> </w:t>
      </w:r>
    </w:p>
    <w:bookmarkStart w:id="261" w:name="_auto_toc_261"/>
    <w:bookmarkEnd w:id="261"/>
    <w:p>
      <w:pPr>
        <w:pStyle w:val="ResourceNumber"/>
      </w:pPr>
      <w:r>
        <w:t xml:space="preserve">22.11</w:t>
      </w:r>
    </w:p>
    <w:p>
      <w:pPr>
        <w:pStyle w:val="ResourceTitle"/>
      </w:pPr>
      <w:r>
        <w:t xml:space="preserve">Class Action Notes</w:t>
      </w:r>
    </w:p>
    <w:p>
      <w:pPr>
        <w:pStyle w:val="HeadEnd"/>
      </w:pPr>
      <w:r>
        <w:t xml:space="preserve"> </w:t>
      </w:r>
    </w:p>
    <w:p>
      <w:pPr>
        <w:pStyle w:val="BodyText"/>
      </w:pPr>
      <w:r>
        <w:t xml:space="preserve">One of your TAs created the following notes on how class actions work vis-a-vis the other doctrines in the course. This list is not complete, but it's a good start.</w:t>
      </w:r>
    </w:p>
    <w:p>
      <w:pPr>
        <w:numPr>
          <w:ilvl w:val="0"/>
          <w:numId w:val="1183"/>
        </w:numPr>
      </w:pPr>
      <w:r>
        <w:t xml:space="preserve">If a class action is brought under</w:t>
      </w:r>
      <w:r>
        <w:t xml:space="preserve"> </w:t>
      </w:r>
      <w:r>
        <w:rPr>
          <w:u w:val="single"/>
        </w:rPr>
        <w:t xml:space="preserve">AUJ</w:t>
      </w:r>
      <w:r>
        <w:t xml:space="preserve">, there won’t be HCOL issues. Why? Federal law is fictionally the same everywhere.</w:t>
      </w:r>
    </w:p>
    <w:p>
      <w:pPr>
        <w:pStyle w:val="FirstParagraph"/>
      </w:pPr>
      <w:r>
        <w:t xml:space="preserve"> </w:t>
      </w:r>
    </w:p>
    <w:p>
      <w:pPr>
        <w:numPr>
          <w:ilvl w:val="0"/>
          <w:numId w:val="1184"/>
        </w:numPr>
      </w:pPr>
      <w:r>
        <w:t xml:space="preserve">If a class action is brought under</w:t>
      </w:r>
      <w:r>
        <w:t xml:space="preserve"> </w:t>
      </w:r>
      <w:r>
        <w:rPr>
          <w:u w:val="single"/>
        </w:rPr>
        <w:t xml:space="preserve">DJ</w:t>
      </w:r>
      <w:r>
        <w:t xml:space="preserve">, we only need complete diversity between the</w:t>
      </w:r>
      <w:r>
        <w:t xml:space="preserve"> </w:t>
      </w:r>
      <w:r>
        <w:rPr>
          <w:iCs/>
          <w:i/>
        </w:rPr>
        <w:t xml:space="preserve">named</w:t>
      </w:r>
      <w:r>
        <w:t xml:space="preserve"> </w:t>
      </w:r>
      <w:r>
        <w:t xml:space="preserve">plaintiffs and defendants (</w:t>
      </w:r>
      <w:r>
        <w:rPr>
          <w:iCs/>
          <w:i/>
        </w:rPr>
        <w:t xml:space="preserve">Supreme Tribe of Ben-Hur</w:t>
      </w:r>
      <w:r>
        <w:t xml:space="preserve">) and only one plaintiff satisfying AIC (</w:t>
      </w:r>
      <w:r>
        <w:rPr>
          <w:iCs/>
          <w:i/>
        </w:rPr>
        <w:t xml:space="preserve">Exxon</w:t>
      </w:r>
      <w:r>
        <w:t xml:space="preserve">).</w:t>
      </w:r>
    </w:p>
    <w:p>
      <w:pPr>
        <w:pStyle w:val="FirstParagraph"/>
      </w:pPr>
      <w:r>
        <w:t xml:space="preserve"> </w:t>
      </w:r>
    </w:p>
    <w:p>
      <w:pPr>
        <w:numPr>
          <w:ilvl w:val="0"/>
          <w:numId w:val="1185"/>
        </w:numPr>
      </w:pPr>
      <w:r>
        <w:t xml:space="preserve">The court can exercise</w:t>
      </w:r>
      <w:r>
        <w:t xml:space="preserve"> </w:t>
      </w:r>
      <w:r>
        <w:rPr>
          <w:u w:val="single"/>
        </w:rPr>
        <w:t xml:space="preserve">SIPJ over unnamed Ps</w:t>
      </w:r>
      <w:r>
        <w:t xml:space="preserve"> </w:t>
      </w:r>
      <w:r>
        <w:t xml:space="preserve">that lack minimum contacts w/ the forum state, as long as they are provided with minimal PDP protection (</w:t>
      </w:r>
      <w:r>
        <w:rPr>
          <w:iCs/>
          <w:i/>
        </w:rPr>
        <w:t xml:space="preserve">Shutts</w:t>
      </w:r>
      <w:r>
        <w:t xml:space="preserve">).</w:t>
      </w:r>
    </w:p>
    <w:p>
      <w:pPr>
        <w:pStyle w:val="FirstParagraph"/>
      </w:pPr>
      <w:r>
        <w:t xml:space="preserve"> </w:t>
      </w:r>
    </w:p>
    <w:p>
      <w:pPr>
        <w:numPr>
          <w:ilvl w:val="0"/>
          <w:numId w:val="1186"/>
        </w:numPr>
      </w:pPr>
      <w:r>
        <w:t xml:space="preserve">Whether the court can exercise</w:t>
      </w:r>
      <w:r>
        <w:t xml:space="preserve"> </w:t>
      </w:r>
      <w:r>
        <w:rPr>
          <w:u w:val="single"/>
        </w:rPr>
        <w:t xml:space="preserve">SIPJ over out-of-state defendant claims</w:t>
      </w:r>
      <w:r>
        <w:t xml:space="preserve"> </w:t>
      </w:r>
      <w:r>
        <w:t xml:space="preserve">depends on how the court views the nature of class actions.</w:t>
      </w:r>
    </w:p>
    <w:p>
      <w:pPr>
        <w:numPr>
          <w:ilvl w:val="1"/>
          <w:numId w:val="1187"/>
        </w:numPr>
      </w:pPr>
      <w:r>
        <w:t xml:space="preserve">If the court treats class as joinder on steroids, it can only exercise SIPJ over out-of-state defendant with respect to claims that have connection with the forum state (</w:t>
      </w:r>
      <w:r>
        <w:rPr>
          <w:iCs/>
          <w:i/>
        </w:rPr>
        <w:t xml:space="preserve">Bristol-Myers</w:t>
      </w:r>
      <w:r>
        <w:t xml:space="preserve">).</w:t>
      </w:r>
    </w:p>
    <w:p>
      <w:pPr>
        <w:numPr>
          <w:ilvl w:val="1"/>
          <w:numId w:val="1187"/>
        </w:numPr>
      </w:pPr>
      <w:r>
        <w:t xml:space="preserve">If the court treats a class as a separate legal entity, it can exercise SIPJ over out-of-state defendant with respect to claims with no connection with the forum (</w:t>
      </w:r>
      <w:r>
        <w:rPr>
          <w:iCs/>
          <w:i/>
        </w:rPr>
        <w:t xml:space="preserve">Bristol-Myers</w:t>
      </w:r>
      <w:r>
        <w:t xml:space="preserve"> </w:t>
      </w:r>
      <w:r>
        <w:t xml:space="preserve">does not apply).</w:t>
      </w:r>
    </w:p>
    <w:p>
      <w:pPr>
        <w:pStyle w:val="FirstParagraph"/>
      </w:pPr>
      <w:r>
        <w:t xml:space="preserve"> </w:t>
      </w:r>
    </w:p>
    <w:p>
      <w:pPr>
        <w:numPr>
          <w:ilvl w:val="0"/>
          <w:numId w:val="1188"/>
        </w:numPr>
      </w:pPr>
      <w:r>
        <w:t xml:space="preserve">We only look at</w:t>
      </w:r>
      <w:r>
        <w:t xml:space="preserve"> </w:t>
      </w:r>
      <w:r>
        <w:rPr>
          <w:iCs/>
          <w:i/>
        </w:rPr>
        <w:t xml:space="preserve">named</w:t>
      </w:r>
      <w:r>
        <w:t xml:space="preserve"> </w:t>
      </w:r>
      <w:r>
        <w:t xml:space="preserve">plaintiffs’ claims to assess whether</w:t>
      </w:r>
      <w:r>
        <w:t xml:space="preserve"> </w:t>
      </w:r>
      <w:r>
        <w:rPr>
          <w:u w:val="single"/>
        </w:rPr>
        <w:t xml:space="preserve">venue</w:t>
      </w:r>
      <w:r>
        <w:t xml:space="preserve"> </w:t>
      </w:r>
      <w:r>
        <w:t xml:space="preserve">is proper.</w:t>
      </w:r>
    </w:p>
    <w:p>
      <w:pPr>
        <w:pStyle w:val="FirstParagraph"/>
      </w:pPr>
      <w:r>
        <w:t xml:space="preserve"> </w:t>
      </w:r>
    </w:p>
    <w:p>
      <w:pPr>
        <w:numPr>
          <w:ilvl w:val="0"/>
          <w:numId w:val="1189"/>
        </w:numPr>
      </w:pPr>
      <w:r>
        <w:t xml:space="preserve">For</w:t>
      </w:r>
      <w:r>
        <w:t xml:space="preserve"> </w:t>
      </w:r>
      <w:r>
        <w:rPr>
          <w:u w:val="single"/>
        </w:rPr>
        <w:t xml:space="preserve">HCOL</w:t>
      </w:r>
      <w:r>
        <w:t xml:space="preserve"> </w:t>
      </w:r>
      <w:r>
        <w:t xml:space="preserve">for state law issues, the forum conducts an HCOL analysis according to its standard rules for each named and unnamed class member’ claim. That said, the forum cannot choose to apply the law of a state that has no contact at all with a class member’s (named or unnamed) claim.</w:t>
      </w:r>
    </w:p>
    <w:p>
      <w:pPr>
        <w:pStyle w:val="NodeEnd"/>
      </w:pPr>
      <w:r>
        <w:t xml:space="preserve"> </w:t>
      </w:r>
    </w:p>
    <w:p>
      <w:pPr>
        <w:pStyle w:val="NodeStart"/>
      </w:pPr>
      <w:r>
        <w:t xml:space="preserve"> </w:t>
      </w:r>
    </w:p>
    <w:p>
      <w:pPr>
        <w:pStyle w:val="HeadSeparator"/>
      </w:pPr>
      <w:r>
        <w:t xml:space="preserve"> </w:t>
      </w:r>
    </w:p>
    <w:p>
      <w:pPr>
        <w:pStyle w:val="ChapterSpacer"/>
        <w:sectPr>
          <w:footerReference w:type="even" r:id="rId14"/>
          <w:footerReference w:type="default" r:id="rId14"/>
          <w:headerReference w:type="even" r:id="rId11"/>
          <w:headerReference w:type="default" r:id="rId12"/>
          <w:pgSz w:h="15840" w:w="12240"/>
          <w:pgMar w:bottom="1440" w:gutter="720" w:header="1440" w:left="1440" w:right="1440" w:top="1800"/>
          <w:pgNumType w:pgNumType="decimal"/>
        </w:sectPr>
      </w:pPr>
      <w:r>
        <w:t xml:space="preserve"> </w:t>
      </w:r>
    </w:p>
    <w:bookmarkStart w:id="262" w:name="_auto_toc_262"/>
    <w:bookmarkEnd w:id="262"/>
    <w:p>
      <w:pPr>
        <w:pStyle w:val="ChapterNumber"/>
      </w:pPr>
      <w:r>
        <w:t xml:space="preserve">23</w:t>
      </w:r>
    </w:p>
    <w:p>
      <w:pPr>
        <w:pStyle w:val="ChapterTitle"/>
      </w:pPr>
      <w:r>
        <w:t xml:space="preserve">Day 23</w:t>
      </w:r>
    </w:p>
    <w:p>
      <w:pPr>
        <w:pStyle w:val="HeadEnd"/>
        <w:sectPr>
          <w:footerReference w:type="even" r:id="rId14"/>
          <w:footerReference w:type="default" r:id="rId14"/>
          <w:headerReference w:type="even" r:id="rId11"/>
          <w:headerReference w:type="default" r:id="rId12"/>
          <w:type w:val="oddPage"/>
          <w:pgSz w:h="15840" w:w="12240"/>
          <w:pgMar w:bottom="1440" w:gutter="720" w:header="1440" w:left="1440" w:right="1440" w:top="1800"/>
          <w:pgNumType w:pgNumType="decimal"/>
        </w:sectPr>
      </w:pPr>
      <w:r>
        <w:t xml:space="preserve"> </w:t>
      </w:r>
    </w:p>
    <w:p>
      <w:pPr>
        <w:pStyle w:val="NodeEnd"/>
      </w:pPr>
      <w:r>
        <w:t xml:space="preserve"> </w:t>
      </w:r>
    </w:p>
    <w:p>
      <w:pPr>
        <w:pStyle w:val="NodeStart"/>
      </w:pPr>
      <w:r>
        <w:t xml:space="preserve"> </w:t>
      </w:r>
    </w:p>
    <w:p>
      <w:pPr>
        <w:pStyle w:val="HeadSeparator"/>
      </w:pPr>
      <w:r>
        <w:t xml:space="preserve"> </w:t>
      </w:r>
    </w:p>
    <w:bookmarkStart w:id="263" w:name="_auto_toc_263"/>
    <w:bookmarkEnd w:id="263"/>
    <w:p>
      <w:pPr>
        <w:pStyle w:val="ResourceNumber"/>
      </w:pPr>
      <w:r>
        <w:t xml:space="preserve">23.1</w:t>
      </w:r>
    </w:p>
    <w:p>
      <w:pPr>
        <w:pStyle w:val="ResourceTitle"/>
      </w:pPr>
      <w:r>
        <w:t xml:space="preserve">Beacon Theatres, Inc. v. Westover</w:t>
      </w:r>
    </w:p>
    <w:p>
      <w:pPr>
        <w:pStyle w:val="HeadFieldSeparator"/>
      </w:pPr>
      <w:r>
        <w:t xml:space="preserve"> </w:t>
      </w:r>
    </w:p>
    <w:p>
      <w:pPr>
        <w:pStyle w:val="ResourceHeadnote"/>
      </w:pPr>
      <w:r>
        <w:t xml:space="preserve">A piece of background helps for this case. Traditionally, equity provided a remedy to a party who was threatened with a multitude of allegedly vexatious lawsuits. To clarify, suppose R2D2 sues, or threatens to sue, C3PO in five diferent courts at law over the same transaction or occurrence. Recall that claim preclusion would not extinguish any lawsuits until at least one of them goes to judgment "on the merits." C3PO could sue R2D2 in equity. If the equity court believed that R2D2 had no reason for filing five different lawsuits (even if all of them complied with applicable SMJ, IPJ, venue, and other required doctrines), the chancellor could enjoin R2D2 from proceeding (or filing, if C3PO filed the equity lawsuit early enough) in more than one court.</w:t>
      </w:r>
    </w:p>
    <w:p>
      <w:pPr>
        <w:pStyle w:val="ResourceHeadnote"/>
      </w:pPr>
      <w:r>
        <w:t xml:space="preserve">In this case, one party threatens another with a lawsuit. The threatened party attempts to twist the equity doctrine described in the previous paragraph into a combination declaratory judgment/equity case. Among other things, it requests an injunction to prevent the first party from suing it (even though the first party had threatened to file only one, not a multitude, of lawsuits).</w:t>
      </w:r>
    </w:p>
    <w:p>
      <w:pPr>
        <w:pStyle w:val="HeadEnd"/>
      </w:pPr>
      <w:r>
        <w:t xml:space="preserve"> </w:t>
      </w:r>
    </w:p>
    <w:p>
      <w:pPr>
        <w:pStyle w:val="CaseHeader"/>
      </w:pPr>
      <w:r>
        <w:t xml:space="preserve">Supreme Court of the United States</w:t>
      </w:r>
    </w:p>
    <w:p>
      <w:pPr>
        <w:pStyle w:val="CaseHeader"/>
      </w:pPr>
      <w:r>
        <w:t xml:space="preserve">359 U.S. 500, 79 S. Ct. 948, 3 L. Ed. 2d 988, 1959 U.S. LEXIS 1934, SCDB 1958-092</w:t>
      </w:r>
    </w:p>
    <w:p>
      <w:pPr>
        <w:pStyle w:val="CaseHeader"/>
      </w:pPr>
      <w:r>
        <w:t xml:space="preserve">No. 45</w:t>
      </w:r>
    </w:p>
    <w:p>
      <w:pPr>
        <w:pStyle w:val="CaseHeader"/>
      </w:pPr>
      <w:r>
        <w:t xml:space="preserve">1959-05-25</w:t>
      </w:r>
    </w:p>
    <w:p>
      <w:pPr>
        <w:pStyle w:val="CaseBody"/>
      </w:pPr>
      <w:r>
        <w:rPr>
          <w:rStyle w:val="Elision"/>
        </w:rPr>
        <w:t xml:space="preserve">[ … ]</w:t>
      </w:r>
    </w:p>
    <w:p>
      <w:pPr>
        <w:pStyle w:val="CaseBody"/>
      </w:pPr>
      <w:r>
        <w:t xml:space="preserve">Mr. Justice</w:t>
      </w:r>
      <w:r>
        <w:t xml:space="preserve"> </w:t>
      </w:r>
      <w:r>
        <w:rPr>
          <w:rStyle w:val="ReplacementText"/>
        </w:rPr>
        <w:t xml:space="preserve">Black</w:t>
      </w:r>
    </w:p>
    <w:p>
      <w:pPr>
        <w:pStyle w:val="CaseBody"/>
      </w:pPr>
      <w:r>
        <w:t xml:space="preserve">delivered the opinion of the Court.</w:t>
      </w:r>
    </w:p>
    <w:p>
      <w:pPr>
        <w:pStyle w:val="CaseBody"/>
      </w:pPr>
      <w:r>
        <w:t xml:space="preserve">Petitioner, Beacon Theatres, Inc., sought by mandamus to require a district judge in the Southern District of California to vacate certain orders alleged to deprive it of a jury trial of issues arising in a suit brought against it by Fox West Coast Theatres, Inc. The Court of Appeals for the Ninth Circuit refused the writ, holding that the trial judge had acted within his proper discretion in denying petitioner’s request for a jury</w:t>
      </w:r>
      <w:r>
        <w:rPr>
          <w:rStyle w:val="Elision"/>
        </w:rPr>
        <w:t xml:space="preserve">[ … ]</w:t>
      </w:r>
      <w:r>
        <w:t xml:space="preserve">We granted certiorari</w:t>
      </w:r>
      <w:r>
        <w:rPr>
          <w:rStyle w:val="Elision"/>
        </w:rPr>
        <w:t xml:space="preserve">[ … ]</w:t>
      </w:r>
      <w:r>
        <w:t xml:space="preserve">because “Maintenance of the jury as a fact-finding body is of such importance and occupies so firm a place in our history</w:t>
      </w:r>
      <w:r>
        <w:t xml:space="preserve"> </w:t>
      </w:r>
      <w:r>
        <w:rPr>
          <w:rStyle w:val="ReplacementText"/>
        </w:rPr>
        <w:t xml:space="preserve">and</w:t>
      </w:r>
      <w:r>
        <w:t xml:space="preserve"> </w:t>
      </w:r>
      <w:r>
        <w:t xml:space="preserve">jurisprudence that any seeming curtailment of the right to a jury trial should be scrutinized with the utmost care.”</w:t>
      </w:r>
      <w:r>
        <w:t xml:space="preserve"> </w:t>
      </w:r>
      <w:r>
        <w:rPr>
          <w:rStyle w:val="Elision"/>
        </w:rPr>
        <w:t xml:space="preserve">[ … ]</w:t>
      </w:r>
    </w:p>
    <w:p>
      <w:pPr>
        <w:pStyle w:val="CaseBody"/>
      </w:pPr>
      <w:r>
        <w:t xml:space="preserve">Fox had asked for declaratory relief against Beacon alleging a controvérsy arising under the Sherman Antitrust Act</w:t>
      </w:r>
      <w:r>
        <w:rPr>
          <w:rStyle w:val="Elision"/>
        </w:rPr>
        <w:t xml:space="preserve">[ … ]</w:t>
      </w:r>
      <w:r>
        <w:t xml:space="preserve">and under the Clayton Act</w:t>
      </w:r>
      <w:r>
        <w:rPr>
          <w:rStyle w:val="Elision"/>
        </w:rPr>
        <w:t xml:space="preserve">[ … ]</w:t>
      </w:r>
      <w:r>
        <w:t xml:space="preserve"> </w:t>
      </w:r>
      <w:r>
        <w:t xml:space="preserve">which authorizes suits for treble damages against Sherman Act violators. According to the complaint Fox operates a movie theatre</w:t>
      </w:r>
      <w:r>
        <w:rPr>
          <w:rStyle w:val="Elision"/>
        </w:rPr>
        <w:t xml:space="preserve">[ … ]</w:t>
      </w:r>
      <w:r>
        <w:t xml:space="preserve">in San Bernardino, California, and has long been exhibiting films under</w:t>
      </w:r>
      <w:r>
        <w:rPr>
          <w:rStyle w:val="Elision"/>
        </w:rPr>
        <w:t xml:space="preserve">[ … ]</w:t>
      </w:r>
      <w:r>
        <w:t xml:space="preserve">contracts with movie distributors. These contracts grant it the exclusive right to show “first run” pictures in the “San Bernardino competitive area” and provide for “clearance” — a</w:t>
      </w:r>
      <w:r>
        <w:rPr>
          <w:rStyle w:val="Elision"/>
        </w:rPr>
        <w:t xml:space="preserve">[ … ]</w:t>
      </w:r>
      <w:r>
        <w:t xml:space="preserve">period of time during which no other theatre can exhibit the same pictures. After building a drive-in theatre about 11 miles from San Bernardino, Beacon notified Fox that it considered contracts barring simultaneous exhibitions of first-run</w:t>
      </w:r>
      <w:r>
        <w:rPr>
          <w:rStyle w:val="Elision"/>
        </w:rPr>
        <w:t xml:space="preserve">[ … ]</w:t>
      </w:r>
      <w:r>
        <w:t xml:space="preserve"> </w:t>
      </w:r>
      <w:r>
        <w:t xml:space="preserve">films in the two theatres to be overt acts in violation of the antitrust laws.</w:t>
      </w:r>
      <w:hyperlink w:anchor="X4809fdbee736ef8f9729aa30a1090a84a893208">
        <w:r>
          <w:rPr>
            <w:rStyle w:val="Elision"/>
          </w:rPr>
          <w:t xml:space="preserve">[ … ]</w:t>
        </w:r>
      </w:hyperlink>
      <w:r>
        <w:t xml:space="preserve">Fox’s complaint all</w:t>
      </w:r>
      <w:r>
        <w:rPr>
          <w:rStyle w:val="ReplacementText"/>
        </w:rPr>
        <w:t xml:space="preserve">e</w:t>
      </w:r>
      <w:r>
        <w:t xml:space="preserve">ged that this notification, together with threats of treble damage suits against Fox and its distributors, gave rise to “duress and coercion” which deprived Fox of a valuable property right, the right to negotiate for exclusive first-run contracts. Unless Beacon was restrained, the complaint continued, irreparable harm would result. Accordingly, while its pleading was styled a “Complaint for Declaratory Relief,” Fox prayed both for a declaration that a grant of clearance between the Fox and</w:t>
      </w:r>
      <w:r>
        <w:rPr>
          <w:rStyle w:val="Elision"/>
        </w:rPr>
        <w:t xml:space="preserve">[ … ]</w:t>
      </w:r>
      <w:r>
        <w:t xml:space="preserve"> </w:t>
      </w:r>
      <w:r>
        <w:t xml:space="preserve">Beacon theatres is</w:t>
      </w:r>
      <w:r>
        <w:rPr>
          <w:rStyle w:val="Elision"/>
        </w:rPr>
        <w:t xml:space="preserve">[ … ]</w:t>
      </w:r>
      <w:r>
        <w:t xml:space="preserve"> </w:t>
      </w:r>
      <w:r>
        <w:t xml:space="preserve">reasonable and not in violation of the antitrust laws, and for an injunction, pending final resolution of the litigation, to prevent Beacon from instituting any action</w:t>
      </w:r>
      <w:r>
        <w:t xml:space="preserve"> </w:t>
      </w:r>
      <w:r>
        <w:rPr>
          <w:rStyle w:val="Elision"/>
        </w:rPr>
        <w:t xml:space="preserve">[ … ]</w:t>
      </w:r>
      <w:r>
        <w:t xml:space="preserve"> </w:t>
      </w:r>
      <w:r>
        <w:t xml:space="preserve">under the antitrust laws against Fox and its distributors</w:t>
      </w:r>
      <w:r>
        <w:t xml:space="preserve"> </w:t>
      </w:r>
      <w:r>
        <w:rPr>
          <w:rStyle w:val="Elision"/>
        </w:rPr>
        <w:t xml:space="preserve">[ … ]</w:t>
      </w:r>
      <w:r>
        <w:t xml:space="preserve"> </w:t>
      </w:r>
      <w:r>
        <w:t xml:space="preserve">Beacon filed</w:t>
      </w:r>
      <w:r>
        <w:t xml:space="preserve"> </w:t>
      </w:r>
      <w:r>
        <w:rPr>
          <w:rStyle w:val="Elision"/>
        </w:rPr>
        <w:t xml:space="preserve">[ … ]</w:t>
      </w:r>
      <w:r>
        <w:t xml:space="preserve"> </w:t>
      </w:r>
      <w:r>
        <w:t xml:space="preserve">a counterclaim against Fox, and a cross-claim against an exhibitor who had intervened. These denied the threats and asserted that there was no substantial competition between the two theatres, that the clearances granted were therefore unreasonable, and that a conspiracy existed between Fox and its distributors to manipulate contracts and clearances so as to restrain trade and monopolize first-run pictures in violation of the</w:t>
      </w:r>
      <w:r>
        <w:rPr>
          <w:rStyle w:val="Elision"/>
        </w:rPr>
        <w:t xml:space="preserve">[ … ]</w:t>
      </w:r>
      <w:r>
        <w:t xml:space="preserve"> </w:t>
      </w:r>
      <w:r>
        <w:t xml:space="preserve">antitrust laws. Treble damages were asked.</w:t>
      </w:r>
    </w:p>
    <w:p>
      <w:pPr>
        <w:pStyle w:val="CaseBody"/>
      </w:pPr>
      <w:r>
        <w:t xml:space="preserve">Beacon demanded a jury trial of the factual issues in</w:t>
      </w:r>
      <w:r>
        <w:rPr>
          <w:rStyle w:val="Elision"/>
        </w:rPr>
        <w:t xml:space="preserve">[ … ]</w:t>
      </w:r>
      <w:r>
        <w:t xml:space="preserve">the case as provided by Federal Rule of Civil Procedure 38 (b). The District Court, however, viewed the issues raised by the “Complaint for Declaratory Relief,” including the question of competition between the two theatres, as essentially equitable. Acting under the purported authority of Rules 42 (b) and 57, it directed that these issues be tried to the court before jury determination of the validity of the charges of antitrust violations made in the counterclaim and cross-claim.</w:t>
      </w:r>
      <w:hyperlink w:anchor="Xabf2aaa9ace728426da1b33c5234276c70b2d18">
        <w:r>
          <w:rPr>
            <w:rStyle w:val="Elision"/>
          </w:rPr>
          <w:t xml:space="preserve">[ … ]</w:t>
        </w:r>
      </w:hyperlink>
      <w:r>
        <w:t xml:space="preserve"> </w:t>
      </w:r>
      <w:r>
        <w:t xml:space="preserve">A common issue of the “Complaint for Declaratory Relief,” the counterclaim, and the cross-claim was the reasonableness of the</w:t>
      </w:r>
      <w:r>
        <w:rPr>
          <w:rStyle w:val="Elision"/>
        </w:rPr>
        <w:t xml:space="preserve">[ … ]</w:t>
      </w:r>
      <w:r>
        <w:t xml:space="preserve"> </w:t>
      </w:r>
      <w:r>
        <w:t xml:space="preserve">clearances granted, to Fox, which depended, in part, on the existence of competition between the two theatres. Thus the effect of the action of the District Court could be, as the Court of Appeals believed, “to limit the petitioner’s opportunity fully to try to a jury every issue which has a bearing upon its treble damage suit,” for determination</w:t>
      </w:r>
      <w:r>
        <w:t xml:space="preserve"> </w:t>
      </w:r>
      <w:r>
        <w:rPr>
          <w:rStyle w:val="Elision"/>
        </w:rPr>
        <w:t xml:space="preserve">[ … ]</w:t>
      </w:r>
      <w:r>
        <w:t xml:space="preserve">of the issue of clearances by the judge might “operate</w:t>
      </w:r>
      <w:r>
        <w:t xml:space="preserve"> </w:t>
      </w:r>
      <w:r>
        <w:rPr>
          <w:rStyle w:val="ReplacementText"/>
        </w:rPr>
        <w:t xml:space="preserve">[by way of doctrines analogous to issue preclusion to prevent Beacon from obtaining a jury determination of whether, for example, its service area was actually the same as that of Fox.]</w:t>
      </w:r>
      <w:r>
        <w:t xml:space="preserve">”</w:t>
      </w:r>
      <w:r>
        <w:t xml:space="preserve"> </w:t>
      </w:r>
      <w:r>
        <w:rPr>
          <w:rStyle w:val="Elision"/>
        </w:rPr>
        <w:t xml:space="preserve">[ … ]</w:t>
      </w:r>
    </w:p>
    <w:p>
      <w:pPr>
        <w:pStyle w:val="CaseBody"/>
      </w:pPr>
      <w:r>
        <w:t xml:space="preserve">The District Court’s finding that the Complaint for Declaratpry Relief presented" basically equitable issues draws</w:t>
      </w:r>
      <w:r>
        <w:t xml:space="preserve"> </w:t>
      </w:r>
      <w:r>
        <w:rPr>
          <w:rStyle w:val="Elision"/>
        </w:rPr>
        <w:t xml:space="preserve">[ … ]</w:t>
      </w:r>
      <w:r>
        <w:t xml:space="preserve">no support from the Declaratory Judgment Act</w:t>
      </w:r>
      <w:r>
        <w:rPr>
          <w:rStyle w:val="Elision"/>
        </w:rPr>
        <w:t xml:space="preserve">[ … ]</w:t>
      </w:r>
      <w:r>
        <w:t xml:space="preserve">That statute, while allowing prospective defendants to sue to establish their nonliability, specifically preserves the right to jury trial for both parties.</w:t>
      </w:r>
      <w:hyperlink w:anchor="X5270c74ce27788ae89e1e43a1e64e7509dffd5e">
        <w:r>
          <w:rPr>
            <w:rStyle w:val="Elision"/>
          </w:rPr>
          <w:t xml:space="preserve">[ … ]</w:t>
        </w:r>
      </w:hyperlink>
      <w:r>
        <w:t xml:space="preserve"> </w:t>
      </w:r>
      <w:r>
        <w:t xml:space="preserve">It follows that if Beacon would have been entitled to a jury trial in a treble damage suit against Fox it cannot be deprived of that right merely because Fox took</w:t>
      </w:r>
      <w:r>
        <w:rPr>
          <w:rStyle w:val="Elision"/>
        </w:rPr>
        <w:t xml:space="preserve">[ … ]</w:t>
      </w:r>
      <w:r>
        <w:t xml:space="preserve"> </w:t>
      </w:r>
      <w:r>
        <w:t xml:space="preserve">advantage of the availability of declaratory relief to sue Be</w:t>
      </w:r>
      <w:r>
        <w:rPr>
          <w:rStyle w:val="ReplacementText"/>
        </w:rPr>
        <w:t xml:space="preserve">a</w:t>
      </w:r>
      <w:r>
        <w:t xml:space="preserve">con first. Since the right to trial by jury applies to treble</w:t>
      </w:r>
      <w:r>
        <w:t xml:space="preserve"> </w:t>
      </w:r>
      <w:r>
        <w:rPr>
          <w:rStyle w:val="Elision"/>
        </w:rPr>
        <w:t xml:space="preserve">[ … ]</w:t>
      </w:r>
      <w:r>
        <w:t xml:space="preserve">damage suits under the antitrust laws, and is, in fact, an essential part of the congressional plan for making competition rather than monopoly the rule of trade</w:t>
      </w:r>
      <w:r>
        <w:rPr>
          <w:rStyle w:val="Elision"/>
        </w:rPr>
        <w:t xml:space="preserve">[ … ]</w:t>
      </w:r>
      <w:r>
        <w:t xml:space="preserve"> </w:t>
      </w:r>
      <w:r>
        <w:t xml:space="preserve">the Sherman and Clayton Act issues on which Fox sought a declaration were essentially jury questions.</w:t>
      </w:r>
    </w:p>
    <w:p>
      <w:pPr>
        <w:pStyle w:val="CaseBody"/>
      </w:pPr>
      <w:r>
        <w:t xml:space="preserve">Nevertheless the</w:t>
      </w:r>
      <w:r>
        <w:rPr>
          <w:rStyle w:val="Elision"/>
        </w:rPr>
        <w:t xml:space="preserve">[ … ]</w:t>
      </w:r>
      <w:r>
        <w:t xml:space="preserve"> </w:t>
      </w:r>
      <w:r>
        <w:t xml:space="preserve">Court of Appeals refused to upset the order of the district judge. It held that the question of whether a right to</w:t>
      </w:r>
      <w:r>
        <w:rPr>
          <w:rStyle w:val="ReplacementText"/>
        </w:rPr>
        <w:t xml:space="preserve">a</w:t>
      </w:r>
      <w:r>
        <w:t xml:space="preserve"> </w:t>
      </w:r>
      <w:r>
        <w:t xml:space="preserve">jury trial existed was to be judged by Fox’s complaint read as a whole. In addition to seeking a declaratory judgment, the court, said, Fox’s complaint can be read as making out</w:t>
      </w:r>
      <w:r>
        <w:rPr>
          <w:rStyle w:val="Elision"/>
        </w:rPr>
        <w:t xml:space="preserve">[ … ]</w:t>
      </w:r>
      <w:r>
        <w:t xml:space="preserve"> </w:t>
      </w:r>
      <w:r>
        <w:t xml:space="preserve">a valid plea for injunc</w:t>
      </w:r>
      <w:r>
        <w:rPr>
          <w:rStyle w:val="Elision"/>
        </w:rPr>
        <w:t xml:space="preserve">[ … ]</w:t>
      </w:r>
      <w:r>
        <w:t xml:space="preserve">tive relief, thus stating a claim traditionally cognizable in equity. A party who is entitled to maintain a suit in equity for an injunction, said the court, may have all the</w:t>
      </w:r>
      <w:r>
        <w:rPr>
          <w:rStyle w:val="Elision"/>
        </w:rPr>
        <w:t xml:space="preserve">[ … ]</w:t>
      </w:r>
      <w:r>
        <w:t xml:space="preserve"> </w:t>
      </w:r>
      <w:r>
        <w:t xml:space="preserve">issues in his suit determined by the judge without a jury regardless of whether legal rights are involved. The court then rejected the argument that equitable relief</w:t>
      </w:r>
      <w:r>
        <w:rPr>
          <w:rStyle w:val="Elision"/>
        </w:rPr>
        <w:t xml:space="preserve">[ … ]</w:t>
      </w:r>
      <w:r>
        <w:t xml:space="preserve">, traditionally available only when legal remedies are inadequate, was rendered unnecessary in this case by the filing of the counterclaim and cross-claim which presented all the issues necessary to a determination of the right to injunctive relief. Relying on</w:t>
      </w:r>
      <w:r>
        <w:t xml:space="preserve"> </w:t>
      </w:r>
      <w:r>
        <w:rPr>
          <w:iCs/>
          <w:i/>
        </w:rPr>
        <w:t xml:space="preserve">American Life Ins. Co.</w:t>
      </w:r>
      <w:r>
        <w:t xml:space="preserve"> </w:t>
      </w:r>
      <w:r>
        <w:t xml:space="preserve">v.</w:t>
      </w:r>
      <w:r>
        <w:t xml:space="preserve"> </w:t>
      </w:r>
      <w:r>
        <w:rPr>
          <w:iCs/>
          <w:i/>
        </w:rPr>
        <w:t xml:space="preserve">Stewart</w:t>
      </w:r>
      <w:r>
        <w:rPr>
          <w:rStyle w:val="Elision"/>
        </w:rPr>
        <w:t xml:space="preserve">[ … ]</w:t>
      </w:r>
      <w:r>
        <w:t xml:space="preserve">decided before the enactment of the Federal Rules of Civil Procedure, it invoked the principle that a court sitting in equity could retain jurisdiction even though later a legal remedy became available. In such instances the equity court had discretion to enjoin the later lawsuit in order to allow the whole dispute to be determined in one case in one court.</w:t>
      </w:r>
      <w:hyperlink w:anchor="X96ca2b2fe6af693e4c18bc8af00733567ae05ac">
        <w:r>
          <w:rPr>
            <w:rStyle w:val="Elision"/>
          </w:rPr>
          <w:t xml:space="preserve">[ … ]</w:t>
        </w:r>
      </w:hyperlink>
      <w:r>
        <w:t xml:space="preserve">Reasoning by analogy, the Court of Appeals held it was not an abuse of discretion for the district judge, acting under Federal Rule of Civil Procedure 42 (b), to try the equitable cause first even though this might, through</w:t>
      </w:r>
      <w:r>
        <w:rPr>
          <w:rStyle w:val="ReplacementText"/>
        </w:rPr>
        <w:t xml:space="preserve">doctrines analogous to</w:t>
      </w:r>
      <w:r>
        <w:t xml:space="preserve">collateral estoppel, prevent a full jury trial of the counterclaim and cross-claim which were as effectively stopped as by an equity injunction.</w:t>
      </w:r>
      <w:hyperlink w:anchor="X1fe8f2e325f4672b7508a974746ec085cb81863">
        <w:r>
          <w:rPr>
            <w:rStyle w:val="Elision"/>
          </w:rPr>
          <w:t xml:space="preserve">[ … ]</w:t>
        </w:r>
      </w:hyperlink>
    </w:p>
    <w:p>
      <w:pPr>
        <w:pStyle w:val="CaseBody"/>
      </w:pPr>
      <w:r>
        <w:t xml:space="preserve">Beacon takes issue with the holding of the Court of Appeals that the complaint stated a claim upon which equitable relief could be granted. As initially filed the complaint alleged that threats of lawsuits by petitioner against Fox and its distributors were causing irreparable harm to Fox’s business relationships. The prayer for relief, however, made no mention of the threats but asked only that pending litigation of the claim for declaratory judgment, Beacon be enjoined from beginning any lawsuits under the antitrust laws against Fox and its distributors arising out of the controversy alleged in the complaint. Evidently of the opinion that this prayer did not state a good claim for equitable relief, the Court of Appeals construed it to include a request for an injunction against threats of lawsuits. This liberal construction of a pleading is in line with Rule 8 of the Federal Rules of Civil Procedure.</w:t>
      </w:r>
      <w:r>
        <w:rPr>
          <w:rStyle w:val="Elision"/>
        </w:rPr>
        <w:t xml:space="preserve">[ … ]</w:t>
      </w:r>
      <w:r>
        <w:t xml:space="preserve">But this fact does not solve our problem. Assuming that the pleadings can be construed to support such a request and assuming additionally that the complaint can be read as alleging the kind of harassment by a multiplicity of lawsuits which would</w:t>
      </w:r>
      <w:r>
        <w:t xml:space="preserve"> </w:t>
      </w:r>
      <w:r>
        <w:rPr>
          <w:iCs/>
          <w:i/>
        </w:rPr>
        <w:t xml:space="preserve">traditionally</w:t>
      </w:r>
      <w:r>
        <w:t xml:space="preserve"> </w:t>
      </w:r>
      <w:r>
        <w:t xml:space="preserve">have justified equity to take jurisdiction and settle the case in one-suit,</w:t>
      </w:r>
      <w:hyperlink w:anchor="X60a1641c6b0ffdf18b86a52c6495837be8f8367">
        <w:r>
          <w:rPr>
            <w:rStyle w:val="Elision"/>
          </w:rPr>
          <w:t xml:space="preserve">[ … ]</w:t>
        </w:r>
      </w:hyperlink>
      <w:r>
        <w:t xml:space="preserve">we are nevertheless of the opinion that, under the Declaratory Judgment Act and the Federal Rules of Civil Procedure, neither claim can justify denying Beacon a trial by jury of all the issues in the antitrust controversy.</w:t>
      </w:r>
    </w:p>
    <w:p>
      <w:pPr>
        <w:pStyle w:val="CaseBody"/>
      </w:pPr>
      <w:r>
        <w:t xml:space="preserve">The basis of injunctive relief in the federal courts has always been irreparable harm and inadequacy of legal remedies.</w:t>
      </w:r>
      <w:hyperlink w:anchor="X917ee185efe3afb569772785d542ee1b1c62808">
        <w:r>
          <w:rPr>
            <w:rStyle w:val="Elision"/>
          </w:rPr>
          <w:t xml:space="preserve">[ … ]</w:t>
        </w:r>
      </w:hyperlink>
      <w:r>
        <w:t xml:space="preserve">At least as much is required to justify a trial court in using its discretion under the Federal Rules to allow claims of equitable origins to be tried ahead of legal ones, since this has the same effect as an equitable injunction of the legal claims. And it is immaterial, in judging if that discretion is properly employed, that before the Federal Rules and the Declaratory Judgment Act were passed, courts of equity, exercising a jurisdiction separate from courts of law, were, in some cases, allowed to enjoin subsequent legal actions between the same parties involving the -same controversy. This was because the subsequent</w:t>
      </w:r>
      <w:r>
        <w:rPr>
          <w:rStyle w:val="Elision"/>
        </w:rPr>
        <w:t xml:space="preserve">[ … ]</w:t>
      </w:r>
      <w:r>
        <w:t xml:space="preserve"> </w:t>
      </w:r>
      <w:r>
        <w:t xml:space="preserve">legal action, though providing an opportunity to try the case to a jury, might not protect the right of the equity plaintiff to a fair and orderly adjudication of the controversy.</w:t>
      </w:r>
      <w:r>
        <w:t xml:space="preserve"> </w:t>
      </w:r>
      <w:r>
        <w:rPr>
          <w:rStyle w:val="Elision"/>
        </w:rPr>
        <w:t xml:space="preserve">[ … ]</w:t>
      </w:r>
      <w:r>
        <w:t xml:space="preserve">Under such circumstances the legal remedy could quite naturally be deemed inadequate. Inadequacy of remedy and irreparable harm are practical terms, however. As such their existence today must be determined, not by precedents decided under discarded procedures, but in the light of the remedies now made available by the Declaratory Judgment Act and the Féderal Rules.</w:t>
      </w:r>
      <w:r>
        <w:rPr>
          <w:rStyle w:val="Elision"/>
        </w:rPr>
        <w:t xml:space="preserve">[ … ]</w:t>
      </w:r>
    </w:p>
    <w:p>
      <w:pPr>
        <w:pStyle w:val="CaseBody"/>
      </w:pPr>
      <w:r>
        <w:t xml:space="preserve">Viewed in this manner, the use of discretion by the trial court under Rule 42 (b) to deprive Beacon of a full j</w:t>
      </w:r>
      <w:r>
        <w:rPr>
          <w:rStyle w:val="ReplacementText"/>
        </w:rPr>
        <w:t xml:space="preserve">u</w:t>
      </w:r>
      <w:r>
        <w:t xml:space="preserve">ry trial on its counterclaim and cross-claim, as well as on Fox’s plea for declaratory relief, cannot be justified. Under th</w:t>
      </w:r>
      <w:r>
        <w:rPr>
          <w:rStyle w:val="ReplacementText"/>
        </w:rPr>
        <w:t xml:space="preserve">e</w:t>
      </w:r>
      <w:r>
        <w:t xml:space="preserve"> </w:t>
      </w:r>
      <w:r>
        <w:t xml:space="preserve">Federal Rules the same court may try both legal and equitable causes in the same action. Fed. Rules Civ. Proc., 1, 2, 18. Thus any defenses, equitable or legal, Fox may have to charges of antitrust violations</w:t>
      </w:r>
      <w:r>
        <w:rPr>
          <w:rStyle w:val="Elision"/>
        </w:rPr>
        <w:t xml:space="preserve">[ … ]</w:t>
      </w:r>
      <w:r>
        <w:t xml:space="preserve"> </w:t>
      </w:r>
      <w:r>
        <w:t xml:space="preserve">can be raised either in its suit for declaratory relief or in answer to Beacon’s counterclaim. On proper showing, harassment by threats of other suits, or other suits actually brought, involving the issues being tried in this case, could be temporarily enjoined pending the outcome of this litigation. Whatever permanent injunctive relief Fox might be entitled to on the basis of the decision in this case could, of course, be given by the court after the jury renders its verdict. In this way the issues between these parties could be settled in one suit giving Beacon a full jury trial of every antitrust issue.</w:t>
      </w:r>
      <w:r>
        <w:t xml:space="preserve"> </w:t>
      </w:r>
      <w:r>
        <w:rPr>
          <w:rStyle w:val="Elision"/>
        </w:rPr>
        <w:t xml:space="preserve">[ … ]</w:t>
      </w:r>
      <w:r>
        <w:t xml:space="preserve">By contrast, the holding of the court below while granting Fox no additional protection unless the avoidance of jury trial be considered as such, would compel Beacon to split his antitrust case, trying part to a judge and part to a jury.</w:t>
      </w:r>
      <w:hyperlink w:anchor="X48a173c9053b567d0af4ebc6da63c90c18af190">
        <w:r>
          <w:rPr>
            <w:rStyle w:val="Elision"/>
          </w:rPr>
          <w:t xml:space="preserve">[ … ]</w:t>
        </w:r>
      </w:hyperlink>
      <w:r>
        <w:t xml:space="preserve"> </w:t>
      </w:r>
      <w:r>
        <w:t xml:space="preserve">Such a result, which involves the postponement and subordination of Fox’s own legal claim for declaratory relief as well as of the counterclaim which Beacon was compelled by the Federal Rules to bring,</w:t>
      </w:r>
      <w:hyperlink w:anchor="Xdf63e35dd5315c11d33fc02387cdcd09d9997b2">
        <w:r>
          <w:rPr>
            <w:rStyle w:val="Elision"/>
          </w:rPr>
          <w:t xml:space="preserve">[ … ]</w:t>
        </w:r>
      </w:hyperlink>
      <w:r>
        <w:t xml:space="preserve"> </w:t>
      </w:r>
      <w:r>
        <w:t xml:space="preserve">is not permissible.</w:t>
      </w:r>
    </w:p>
    <w:p>
      <w:pPr>
        <w:pStyle w:val="CaseBody"/>
      </w:pPr>
      <w:r>
        <w:t xml:space="preserve">Our decision is consistent with the plan of the Federal Rules and the Declaratory Judgment Act to effect substantial procedural reform while retaining a distinction</w:t>
      </w:r>
      <w:r>
        <w:t xml:space="preserve"> </w:t>
      </w:r>
      <w:r>
        <w:rPr>
          <w:rStyle w:val="Elision"/>
        </w:rPr>
        <w:t xml:space="preserve">[ … ]</w:t>
      </w:r>
      <w:r>
        <w:t xml:space="preserve">between jury and nonjury issues and leaving substantive rights unchanged.</w:t>
      </w:r>
      <w:hyperlink w:anchor="X5778654215ac8209df89f1f7eb98f821d4fb4a2">
        <w:r>
          <w:rPr>
            <w:rStyle w:val="Elision"/>
          </w:rPr>
          <w:t xml:space="preserve">[ … ]</w:t>
        </w:r>
      </w:hyperlink>
      <w:r>
        <w:t xml:space="preserve">Since in the federal courts equity has always acted only when legal remedies were inadequate,</w:t>
      </w:r>
      <w:hyperlink w:anchor="X267491aac740199128aaa2b0748d0fe89bff2ae">
        <w:r>
          <w:rPr>
            <w:rStyle w:val="Elision"/>
          </w:rPr>
          <w:t xml:space="preserve">[ … ]</w:t>
        </w:r>
      </w:hyperlink>
      <w:r>
        <w:t xml:space="preserve"> </w:t>
      </w:r>
      <w:r>
        <w:t xml:space="preserve">the expansion of adequate legal remedies provided by the Declaratory Judgment Act and the Federal Rules necessarily affects the scope of equity. Thus, the justification for equity’s deciding legal issues once it obtains jurisdiction, and refusing to dismiss a case, merely b.ecause subsequently a legal remedy becomes available, must be re-evaluated in the light of the liberal joinder provisions of the Federal Rules which allow legal and equitable causes to be brought and resolved in one civil action.</w:t>
      </w:r>
      <w:hyperlink w:anchor="X196e1a1e8f833822ca86911af44506fb016552c">
        <w:r>
          <w:rPr>
            <w:rStyle w:val="Elision"/>
          </w:rPr>
          <w:t xml:space="preserve">[ … ]</w:t>
        </w:r>
      </w:hyperlink>
      <w:r>
        <w:rPr>
          <w:rStyle w:val="Elision"/>
        </w:rPr>
        <w:t xml:space="preserve">[ … ]</w:t>
      </w:r>
    </w:p>
    <w:p>
      <w:pPr>
        <w:pStyle w:val="CaseBody"/>
      </w:pPr>
      <w:r>
        <w:t xml:space="preserve">If there should be cases where the availability of declaratory judgment or joinder in one suit of legal and equitable causes would not, in all respects protect the plaintiff seeking equitable relief from irreparable harm while, affording a jury trial in the legal cause, the trial court will necessarily have to use its discretion in deciding whether the legal or equitable cause should be tried first. Since the right to jury trial is a constitutional one, however, while no similar requirement protects trials by the court,</w:t>
      </w:r>
      <w:hyperlink w:anchor="X532b01fafa3f3a1e33ea0670a166dfc03c834c6">
        <w:r>
          <w:rPr>
            <w:rStyle w:val="Elision"/>
          </w:rPr>
          <w:t xml:space="preserve">[ … ]</w:t>
        </w:r>
      </w:hyperlink>
      <w:r>
        <w:t xml:space="preserve">that discretion is very narrowly limited and must, wherever possible,</w:t>
      </w:r>
      <w:r>
        <w:t xml:space="preserve"> </w:t>
      </w:r>
      <w:r>
        <w:rPr>
          <w:rStyle w:val="Elision"/>
        </w:rPr>
        <w:t xml:space="preserve">[ … ]</w:t>
      </w:r>
      <w:r>
        <w:t xml:space="preserve">be exercised to preserve jury trial.</w:t>
      </w:r>
      <w:r>
        <w:t xml:space="preserve"> </w:t>
      </w:r>
      <w:r>
        <w:rPr>
          <w:rStyle w:val="Elision"/>
        </w:rPr>
        <w:t xml:space="preserve">[ … ]</w:t>
      </w:r>
      <w:r>
        <w:t xml:space="preserve"> </w:t>
      </w:r>
      <w:r>
        <w:t xml:space="preserve">This longstanding principle of equity dictates that only under the most imperative circumstances, circumstances which in view of the flexible procedures of the Federal Rules we cannot now anticipate,</w:t>
      </w:r>
      <w:hyperlink w:anchor="X180f9d6f919a5c21d7ede256c97caf6baea4c30">
        <w:r>
          <w:rPr>
            <w:rStyle w:val="Elision"/>
          </w:rPr>
          <w:t xml:space="preserve">[ … ]</w:t>
        </w:r>
      </w:hyperlink>
      <w:r>
        <w:t xml:space="preserve">can the right to a jury trial of legal issues be lost through prior determination of equitable claims.</w:t>
      </w:r>
      <w:r>
        <w:t xml:space="preserve"> </w:t>
      </w:r>
      <w:r>
        <w:rPr>
          <w:rStyle w:val="Elision"/>
        </w:rPr>
        <w:t xml:space="preserve">[ … ]</w:t>
      </w:r>
      <w:r>
        <w:t xml:space="preserve">As we have shown, this is far from being such a case.</w:t>
      </w:r>
    </w:p>
    <w:p>
      <w:pPr>
        <w:pStyle w:val="CaseBody"/>
      </w:pPr>
      <w:r>
        <w:rPr>
          <w:rStyle w:val="Elision"/>
        </w:rPr>
        <w:t xml:space="preserve">[ … ]</w:t>
      </w:r>
    </w:p>
    <w:p>
      <w:pPr>
        <w:pStyle w:val="CaseBody"/>
      </w:pPr>
      <w:r>
        <w:t xml:space="preserve">The judgment of the Court of Appeals is</w:t>
      </w:r>
    </w:p>
    <w:p>
      <w:pPr>
        <w:pStyle w:val="CaseBody"/>
      </w:pPr>
      <w:r>
        <w:rPr>
          <w:iCs/>
          <w:i/>
        </w:rPr>
        <w:t xml:space="preserve">Reversed.</w:t>
      </w:r>
    </w:p>
    <w:p>
      <w:pPr>
        <w:pStyle w:val="CaseBody"/>
      </w:pPr>
      <w:r>
        <w:rPr>
          <w:rStyle w:val="Elision"/>
        </w:rPr>
        <w:t xml:space="preserve">[ … ]</w:t>
      </w:r>
      <w:r>
        <w:rPr>
          <w:rStyle w:val="Elision"/>
        </w:rPr>
        <w:t xml:space="preserve">[ … ]</w:t>
      </w:r>
    </w:p>
    <w:p>
      <w:pPr>
        <w:pStyle w:val="CaseBody"/>
      </w:pPr>
      <w:r>
        <w:rPr>
          <w:rStyle w:val="Elision"/>
        </w:rPr>
        <w:t xml:space="preserve">[ … ]</w:t>
      </w:r>
    </w:p>
    <w:p>
      <w:pPr>
        <w:pStyle w:val="CaseBody"/>
      </w:pPr>
      <w:r>
        <w:rPr>
          <w:rStyle w:val="ReplacementText"/>
        </w:rPr>
        <w:t xml:space="preserve">Justice</w:t>
      </w:r>
    </w:p>
    <w:p>
      <w:pPr>
        <w:pStyle w:val="CaseBody"/>
      </w:pPr>
      <w:r>
        <w:rPr>
          <w:rStyle w:val="FootnoteReference"/>
        </w:rPr>
        <w:footnoteReference w:customMarkFollows="1" w:id="54"/>
        <w:t xml:space="preserve">*</w:t>
      </w:r>
    </w:p>
    <w:p>
      <w:pPr>
        <w:pStyle w:val="CaseBody"/>
      </w:pPr>
      <w:r>
        <w:rPr>
          <w:rStyle w:val="Elision"/>
        </w:rPr>
        <w:t xml:space="preserve">[ … ]</w:t>
      </w:r>
    </w:p>
    <w:p>
      <w:pPr>
        <w:pStyle w:val="CaseBody"/>
      </w:pPr>
      <w:r>
        <w:rPr>
          <w:rStyle w:val="ReplacementText"/>
        </w:rPr>
        <w:t xml:space="preserve">existence</w:t>
      </w:r>
      <w:hyperlink w:anchor="X71837189616d097997f44207cffaaafe900ce9e">
        <w:r>
          <w:rPr>
            <w:rStyle w:val="Elision"/>
          </w:rPr>
          <w:t xml:space="preserve">[ … ]</w:t>
        </w:r>
      </w:hyperlink>
      <w:r>
        <w:rPr>
          <w:rStyle w:val="Elision"/>
        </w:rPr>
        <w:t xml:space="preserve">[ … ]</w:t>
      </w:r>
      <w:r>
        <w:rPr>
          <w:rStyle w:val="ReplacementText"/>
        </w:rPr>
        <w:t xml:space="preserve">law.</w:t>
      </w:r>
    </w:p>
    <w:p>
      <w:pPr>
        <w:pStyle w:val="CaseBody"/>
      </w:pPr>
      <w:r>
        <w:rPr>
          <w:rStyle w:val="Elision"/>
        </w:rPr>
        <w:t xml:space="preserve">[ … ]</w:t>
      </w:r>
      <w:r>
        <w:rPr>
          <w:rStyle w:val="Elision"/>
        </w:rPr>
        <w:t xml:space="preserve">[ … ]</w:t>
      </w:r>
    </w:p>
    <w:p>
      <w:pPr>
        <w:pStyle w:val="CaseBody"/>
      </w:pPr>
      <w:r>
        <w:rPr>
          <w:rStyle w:val="Elision"/>
        </w:rPr>
        <w:t xml:space="preserve">[ … ]</w:t>
      </w:r>
    </w:p>
    <w:p>
      <w:pPr>
        <w:pStyle w:val="CaseBody"/>
      </w:pPr>
      <w:r>
        <w:rPr>
          <w:rStyle w:val="Elision"/>
        </w:rPr>
        <w:t xml:space="preserve">[ … ]</w:t>
      </w:r>
      <w:r>
        <w:rPr>
          <w:rStyle w:val="Elision"/>
        </w:rPr>
        <w:t xml:space="preserve">[ … ]</w:t>
      </w:r>
    </w:p>
    <w:p>
      <w:pPr>
        <w:pStyle w:val="BlockText"/>
      </w:pPr>
      <w:r>
        <w:rPr>
          <w:rStyle w:val="ReplacementText"/>
        </w:rPr>
        <w:t xml:space="preserve">are</w:t>
      </w:r>
      <w:r>
        <w:rPr>
          <w:rStyle w:val="Elision"/>
        </w:rPr>
        <w:t xml:space="preserve">[ … ]</w:t>
      </w:r>
      <w:r>
        <w:rPr>
          <w:rStyle w:val="Elision"/>
        </w:rPr>
        <w:t xml:space="preserve">[ … ]</w:t>
      </w:r>
      <w:r>
        <w:rPr>
          <w:rStyle w:val="Elision"/>
        </w:rPr>
        <w:t xml:space="preserve">[ … ]</w:t>
      </w:r>
    </w:p>
    <w:p>
      <w:pPr>
        <w:pStyle w:val="CaseBody"/>
      </w:pPr>
      <w:r>
        <w:rPr>
          <w:rStyle w:val="ReplacementText"/>
        </w:rPr>
        <w:t xml:space="preserve">It</w:t>
      </w:r>
      <w:r>
        <w:rPr>
          <w:rStyle w:val="ReplacementText"/>
        </w:rPr>
        <w:t xml:space="preserve">Civil</w:t>
      </w:r>
      <w:r>
        <w:rPr>
          <w:rStyle w:val="ReplacementText"/>
        </w:rPr>
        <w:t xml:space="preserve">substantive</w:t>
      </w:r>
    </w:p>
    <w:p>
      <w:pPr>
        <w:pStyle w:val="CaseBody"/>
      </w:pPr>
      <w:r>
        <w:rPr>
          <w:rStyle w:val="Elision"/>
        </w:rPr>
        <w:t xml:space="preserve">[ … ]</w:t>
      </w:r>
      <w:r>
        <w:rPr>
          <w:rStyle w:val="ReplacementText"/>
        </w:rPr>
        <w:t xml:space="preserve">But</w:t>
      </w:r>
      <w:r>
        <w:rPr>
          <w:rStyle w:val="Elision"/>
        </w:rPr>
        <w:t xml:space="preserve">[ … ]</w:t>
      </w:r>
    </w:p>
    <w:p>
      <w:pPr>
        <w:pStyle w:val="CaseBody"/>
      </w:pPr>
      <w:r>
        <w:rPr>
          <w:rStyle w:val="ReplacementText"/>
        </w:rPr>
        <w:t xml:space="preserve">same</w:t>
      </w:r>
      <w:r>
        <w:rPr>
          <w:rStyle w:val="ReplacementText"/>
        </w:rPr>
        <w:t xml:space="preserve">affirm the</w:t>
      </w:r>
      <w:r>
        <w:rPr>
          <w:rStyle w:val="ReplacementText"/>
        </w:rPr>
        <w:t xml:space="preserve">developed</w:t>
      </w:r>
    </w:p>
    <w:p>
      <w:pPr>
        <w:pStyle w:val="CaseFootnoteText"/>
      </w:pPr>
      <w:r>
        <w:rPr>
          <w:rStyle w:val="FootnoteReference"/>
        </w:rPr>
        <w:t xml:space="preserve">1</w:t>
      </w:r>
      <w:r>
        <w:t xml:space="preserve"> </w:t>
      </w:r>
      <w:r>
        <w:t xml:space="preserve"> </w:t>
      </w: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264" w:name="_auto_toc_264"/>
    <w:bookmarkEnd w:id="264"/>
    <w:p>
      <w:pPr>
        <w:pStyle w:val="ResourceNumber"/>
      </w:pPr>
      <w:r>
        <w:t xml:space="preserve">23.2</w:t>
      </w:r>
    </w:p>
    <w:p>
      <w:pPr>
        <w:pStyle w:val="ResourceTitle"/>
      </w:pPr>
      <w:r>
        <w:t xml:space="preserve">Notes on Beacon Theatres</w:t>
      </w:r>
    </w:p>
    <w:p>
      <w:pPr>
        <w:pStyle w:val="HeadEnd"/>
      </w:pPr>
      <w:r>
        <w:t xml:space="preserve"> </w:t>
      </w:r>
    </w:p>
    <w:p>
      <w:pPr>
        <w:pStyle w:val="BodyText"/>
      </w:pPr>
      <w:r>
        <w:t xml:space="preserve">1. Recall our previous discussion on the historical separation between courts of law and equity. During this time, the "clean-up" rule was created to handle cases that involved issues of both law and equity. Under this doctrine, plaintiffs could go to the Chancellor (court of equity) and have all issues involved in the litigation resolved at once – even the legal issues. Plaintiffs who took this option had the chance to get a stronger remedy by going to the Chancellor and avoided having to go to court for two separate lawsuits; on the other hand, they sacrificed their right to have a jury adjudicate the legal issues, and they risked the statute of limitations blocking them from bringing their claims in the courts of law (if they lost their case in equity in a way that did not trigger claim preclusion).</w:t>
      </w:r>
    </w:p>
    <w:p>
      <w:pPr>
        <w:pStyle w:val="BodyText"/>
      </w:pPr>
      <w:r>
        <w:t xml:space="preserve">2. Before</w:t>
      </w:r>
      <w:r>
        <w:t xml:space="preserve"> </w:t>
      </w:r>
      <w:r>
        <w:rPr>
          <w:iCs/>
          <w:i/>
        </w:rPr>
        <w:t xml:space="preserve">Beacon Theatres</w:t>
      </w:r>
      <w:r>
        <w:t xml:space="preserve">, general preclusion principles and</w:t>
      </w:r>
      <w:r>
        <w:t xml:space="preserve"> </w:t>
      </w:r>
      <w:r>
        <w:rPr>
          <w:iCs/>
          <w:i/>
        </w:rPr>
        <w:t xml:space="preserve">Parklane Hosiery</w:t>
      </w:r>
      <w:r>
        <w:t xml:space="preserve"> </w:t>
      </w:r>
      <w:r>
        <w:t xml:space="preserve">established the following rule: issue preclusion holds even if (1) a judge made the findings of fact in the first lawsuit and (2) the subsequent lawsuit would have had a jury as fact finder for the same issues.</w:t>
      </w:r>
      <w:r>
        <w:t xml:space="preserve"> </w:t>
      </w:r>
      <w:r>
        <w:rPr>
          <w:iCs/>
          <w:i/>
        </w:rPr>
        <w:t xml:space="preserve">Beacon</w:t>
      </w:r>
      <w:r>
        <w:t xml:space="preserve"> </w:t>
      </w:r>
      <w:r>
        <w:rPr>
          <w:iCs/>
          <w:i/>
        </w:rPr>
        <w:t xml:space="preserve">Theatres</w:t>
      </w:r>
      <w:r>
        <w:t xml:space="preserve"> </w:t>
      </w:r>
      <w:r>
        <w:t xml:space="preserve">complicated this standard, emphasizing that federal courts should, if possible, schedule claims in such a way that juries are available to determine the legal issues involved in a lawsuit. In other words, judges should not schedule claims in equity before claims in law when the claims have factual issues in common because doing so would eliminate the chance for a jury to determine those factual issues in common (via doctrines analogouos to issue preclusion).  These claims may arise in a variety of ways, including via counterclaims and affirmative defenses, leading to complex questions on how exactly the</w:t>
      </w:r>
      <w:r>
        <w:t xml:space="preserve"> </w:t>
      </w:r>
      <w:r>
        <w:rPr>
          <w:iCs/>
          <w:i/>
        </w:rPr>
        <w:t xml:space="preserve">Beacon Theatres</w:t>
      </w:r>
      <w:r>
        <w:t xml:space="preserve"> </w:t>
      </w:r>
      <w:r>
        <w:t xml:space="preserve">rule should be applied. See, e.g.,</w:t>
      </w:r>
      <w:r>
        <w:t xml:space="preserve"> </w:t>
      </w:r>
      <w:r>
        <w:rPr>
          <w:iCs/>
          <w:i/>
        </w:rPr>
        <w:t xml:space="preserve">Bruckman v. Hollzer</w:t>
      </w:r>
      <w:r>
        <w:t xml:space="preserve">, 152 F.2d 730;</w:t>
      </w:r>
      <w:r>
        <w:t xml:space="preserve"> </w:t>
      </w:r>
      <w:r>
        <w:rPr>
          <w:iCs/>
          <w:i/>
        </w:rPr>
        <w:t xml:space="preserve">Ford v. C.E. Wilson &amp; Co.,</w:t>
      </w:r>
      <w:r>
        <w:t xml:space="preserve"> </w:t>
      </w:r>
      <w:r>
        <w:t xml:space="preserve">30 F.Supp. 163;</w:t>
      </w:r>
      <w:r>
        <w:t xml:space="preserve"> </w:t>
      </w:r>
      <w:r>
        <w:rPr>
          <w:iCs/>
          <w:i/>
        </w:rPr>
        <w:t xml:space="preserve">Bendix Aviation Corp v. Glass</w:t>
      </w:r>
      <w:r>
        <w:t xml:space="preserve">, 81 F.Supp. 645;</w:t>
      </w:r>
      <w:r>
        <w:t xml:space="preserve"> </w:t>
      </w:r>
      <w:r>
        <w:rPr>
          <w:iCs/>
          <w:i/>
        </w:rPr>
        <w:t xml:space="preserve">U.S. ex rel. Drakeford v. Tuomey Healthcare System</w:t>
      </w:r>
      <w:r>
        <w:t xml:space="preserve">, 675 F.3d 394 (as referenced in Civil Procedure, Cases &amp; Materials, 13th Ed., Friedenthal et. al., pp. 1060-1061).</w:t>
      </w:r>
    </w:p>
    <w:p>
      <w:pPr>
        <w:pStyle w:val="NodeEnd"/>
      </w:pPr>
      <w:r>
        <w:t xml:space="preserve"> </w:t>
      </w:r>
    </w:p>
    <w:p>
      <w:pPr>
        <w:pStyle w:val="NodeStart"/>
      </w:pPr>
      <w:r>
        <w:t xml:space="preserve"> </w:t>
      </w:r>
    </w:p>
    <w:p>
      <w:pPr>
        <w:pStyle w:val="HeadSeparator"/>
      </w:pPr>
      <w:r>
        <w:t xml:space="preserve"> </w:t>
      </w:r>
    </w:p>
    <w:bookmarkStart w:id="265" w:name="_auto_toc_265"/>
    <w:bookmarkEnd w:id="265"/>
    <w:p>
      <w:pPr>
        <w:pStyle w:val="ResourceNumber"/>
      </w:pPr>
      <w:r>
        <w:t xml:space="preserve">23.3</w:t>
      </w:r>
    </w:p>
    <w:p>
      <w:pPr>
        <w:pStyle w:val="ResourceTitle"/>
      </w:pPr>
      <w:r>
        <w:t xml:space="preserve">Shady Grove Orthopedic Associates, P.A. v. Allstate Insurance Co.</w:t>
      </w:r>
    </w:p>
    <w:p>
      <w:pPr>
        <w:pStyle w:val="HeadFieldSeparator"/>
      </w:pPr>
      <w:r>
        <w:t xml:space="preserve"> </w:t>
      </w:r>
    </w:p>
    <w:p>
      <w:pPr>
        <w:pStyle w:val="ResourceHeadnote"/>
      </w:pPr>
      <w:r>
        <w:rPr>
          <w:bCs/>
          <w:b/>
        </w:rPr>
        <w:t xml:space="preserve">Introduction by Professor Greiner:</w:t>
      </w:r>
      <w:r>
        <w:t xml:space="preserve"> </w:t>
      </w:r>
      <w:r>
        <w:t xml:space="preserve">There is a piece missing from the discussion in the following case. Recall from</w:t>
      </w:r>
      <w:r>
        <w:t xml:space="preserve"> </w:t>
      </w:r>
      <w:r>
        <w:rPr>
          <w:iCs/>
          <w:i/>
        </w:rPr>
        <w:t xml:space="preserve">Exxon</w:t>
      </w:r>
      <w:r>
        <w:t xml:space="preserve"> </w:t>
      </w:r>
      <w:r>
        <w:t xml:space="preserve">that the rule in federal court putative class actions in which jurisdiction is based solely on diversity is that at least one class member’s claim must meet the $75,000 amount in controversy requirement (almost always this class member is one of the named plaintiffs). Only then does</w:t>
      </w:r>
      <w:r>
        <w:t xml:space="preserve"> </w:t>
      </w:r>
      <w:r>
        <w:rPr>
          <w:iCs/>
          <w:i/>
        </w:rPr>
        <w:t xml:space="preserve">Exxon’s</w:t>
      </w:r>
      <w:r>
        <w:t xml:space="preserve"> </w:t>
      </w:r>
      <w:r>
        <w:t xml:space="preserve">supplemental jurisdiction ruling become active. For example, if there are 600 class members, each of which has a $10,000 claim based entirely on state law (with no</w:t>
      </w:r>
      <w:r>
        <w:t xml:space="preserve"> </w:t>
      </w:r>
      <w:r>
        <w:rPr>
          <w:iCs/>
          <w:i/>
        </w:rPr>
        <w:t xml:space="preserve">Smith/Grable</w:t>
      </w:r>
      <w:r>
        <w:t xml:space="preserve"> </w:t>
      </w:r>
      <w:r>
        <w:t xml:space="preserve">exception in the mix), then a federal district court would lack subject matter jurisdiction for any lawsuit because no single class member’s claim meets the amount in controversy requirement, meaning (in the terminology we used in class) that there is no anchoring claim. In other words, one cannot aggregate class members’ claims to meet the amount in controversy requirement.</w:t>
      </w:r>
    </w:p>
    <w:p>
      <w:pPr>
        <w:pStyle w:val="ResourceHeadnote"/>
      </w:pPr>
      <w:r>
        <w:t xml:space="preserve">In 2005, Congress passed a statute called the “Class Action Fairness Act,” or “CAFA.” One view (although scholars debate this) is that Congress’ purpose in passing CAFA was to allow defendants (usually large business entities) facing class actions in state courts to remove those lawsuits to the federal courts, where the federal courts would kill almost all of them by, among other things, strictly construing Fed. R. Civ. P. 23 and declining to certify the classes. Allowing federal courts to kill class actions may have been a good idea, or may not have been, but at least on this theory, such was Congress’ intent. Under CAFA, with certain restrictions that you do not need to worry about, class claims CAN be aggregated, and if the total amount of the claim exceeds $5,000,000, then the federal court has diversity jurisdiction (and the case thus becomes removable). In the hypothetical above, if there are 600 class members, each of whom has a $10,000 claim based entirely on state law, there WOULD be diversity jurisdiction under CAFA,</w:t>
      </w:r>
      <w:r>
        <w:t xml:space="preserve"> </w:t>
      </w:r>
      <w:r>
        <w:rPr>
          <w:bCs/>
          <w:b/>
        </w:rPr>
        <w:t xml:space="preserve">so long as the class ended up being certified</w:t>
      </w:r>
      <w:r>
        <w:t xml:space="preserve">. If the class were not certified, then the federal district court would have to dismiss for lack of subject matter jurisdiction.</w:t>
      </w:r>
    </w:p>
    <w:p>
      <w:pPr>
        <w:pStyle w:val="ResourceHeadnote"/>
      </w:pPr>
      <w:r>
        <w:t xml:space="preserve">In this case, you will see a doctor sue an insurer for $500 on a state law claim, which is obviously not enough to meet the $75,000 amount in controversy. But the doctor seeks class certification and alleges that the aggregated class claims exceed $5,000,000. Thus, the doctor alleges that the federal court has diversity jurisdiction under CAFA. And this theory of subject matter jurisdiction depends entirely on whether the doctor can convince the federal court to certify a class.</w:t>
      </w:r>
    </w:p>
    <w:p>
      <w:pPr>
        <w:pStyle w:val="ResourceHeadnote"/>
      </w:pPr>
      <w:r>
        <w:t xml:space="preserve">You might ask: why would the doctor file the case in federal court, instead of state court, as an original matter if the purpose of CAFA were to get class actions into federal court with the idea that federal courts would kill almost all of them (by declining to certify the class). Well, some chance of life is better than no chance of life. To see what the state courts would have done to the doctor’s class claim, read on.</w:t>
      </w:r>
    </w:p>
    <w:p>
      <w:pPr>
        <w:pStyle w:val="ResourceHeadnote"/>
      </w:pPr>
      <w:r>
        <w:t xml:space="preserve">YOU DO NOT NEED TO KNOW CAFA FOR THIS COURSE!! For the purposes of this course, this case is an</w:t>
      </w:r>
      <w:r>
        <w:t xml:space="preserve"> </w:t>
      </w:r>
      <w:r>
        <w:rPr>
          <w:iCs/>
          <w:i/>
        </w:rPr>
        <w:t xml:space="preserve">Erie</w:t>
      </w:r>
      <w:r>
        <w:t xml:space="preserve"> </w:t>
      </w:r>
      <w:r>
        <w:t xml:space="preserve">case, NOT a class actions case. If you want to learn about CAFA, take a course focusing on class actions.</w:t>
      </w:r>
    </w:p>
    <w:p>
      <w:pPr>
        <w:pStyle w:val="HeadEnd"/>
      </w:pPr>
      <w:r>
        <w:t xml:space="preserve"> </w:t>
      </w:r>
    </w:p>
    <w:p>
      <w:pPr>
        <w:pStyle w:val="CaseHeader"/>
      </w:pPr>
      <w:r>
        <w:t xml:space="preserve">Supreme Court of the United States</w:t>
      </w:r>
    </w:p>
    <w:p>
      <w:pPr>
        <w:pStyle w:val="CaseHeader"/>
      </w:pPr>
      <w:r>
        <w:t xml:space="preserve">176 L. Ed. 2d 311, 559 U.S. 393, 2010 U.S. LEXIS 2929, 130 S. Ct. 1431</w:t>
      </w:r>
    </w:p>
    <w:p>
      <w:pPr>
        <w:pStyle w:val="CaseHeader"/>
      </w:pPr>
      <w:r>
        <w:t xml:space="preserve">No. 08-1008</w:t>
      </w:r>
    </w:p>
    <w:p>
      <w:pPr>
        <w:pStyle w:val="CaseHeader"/>
      </w:pPr>
      <w:r>
        <w:t xml:space="preserve">2010-03-31</w:t>
      </w:r>
    </w:p>
    <w:p>
      <w:pPr>
        <w:pStyle w:val="CaseBody"/>
      </w:pPr>
      <w:r>
        <w:rPr>
          <w:rStyle w:val="Elision"/>
        </w:rPr>
        <w:t xml:space="preserve">[ … ]</w:t>
      </w:r>
    </w:p>
    <w:p>
      <w:pPr>
        <w:pStyle w:val="CaseBody"/>
      </w:pPr>
      <w:r>
        <w:t xml:space="preserve">OPINION OF THE COURT</w:t>
      </w:r>
    </w:p>
    <w:p>
      <w:pPr>
        <w:pStyle w:val="CaseBody"/>
      </w:pPr>
      <w:r>
        <w:rPr>
          <w:rStyle w:val="Elision"/>
        </w:rPr>
        <w:t xml:space="preserve">[ … ]</w:t>
      </w:r>
    </w:p>
    <w:p>
      <w:pPr>
        <w:pStyle w:val="CaseBody"/>
      </w:pPr>
      <w:r>
        <w:t xml:space="preserve">Justice Scalia</w:t>
      </w:r>
    </w:p>
    <w:p>
      <w:pPr>
        <w:pStyle w:val="CaseBody"/>
      </w:pPr>
      <w:r>
        <w:t xml:space="preserve">announced the judgment of the Court and delivered the opinion of the Court with respect to Parts I and II-A, an opinion with respect to Parts II-B and II-D, in which The Chief Justice, Justice Thomas, and Justice Sotomayor join, and an opinion with respect to Part II-C, in which The Chief Justice and Justice Thomas join.</w:t>
      </w:r>
    </w:p>
    <w:p>
      <w:pPr>
        <w:pStyle w:val="CaseBody"/>
      </w:pPr>
      <w:r>
        <w:rPr>
          <w:rStyle w:val="Elision"/>
        </w:rPr>
        <w:t xml:space="preserve">[ … ]</w:t>
      </w:r>
    </w:p>
    <w:p>
      <w:pPr>
        <w:pStyle w:val="CaseBody"/>
      </w:pPr>
      <w:r>
        <w:t xml:space="preserve">New York law prohibits class actions in suits seeking penalties or statutory minimum damages.</w:t>
      </w:r>
      <w:r>
        <w:rPr>
          <w:rStyle w:val="FootnoteReference"/>
        </w:rPr>
        <w:footnoteReference w:customMarkFollows="1" w:id="173"/>
        <w:t xml:space="preserve">1</w:t>
      </w:r>
      <w:r>
        <w:t xml:space="preserve"> </w:t>
      </w:r>
      <w:r>
        <w:t xml:space="preserve">We consider whether this precludes a federal district court sitting in diversity from entertaining a class action under Federal Rule of Civil Procedure 23.</w:t>
      </w:r>
      <w:hyperlink w:anchor="X645c13e895191fa8ca2ef0e51a707aa450e0e02">
        <w:r>
          <w:rPr>
            <w:rStyle w:val="Elision"/>
          </w:rPr>
          <w:t xml:space="preserve">[ … ]</w:t>
        </w:r>
      </w:hyperlink>
    </w:p>
    <w:p>
      <w:pPr>
        <w:pStyle w:val="CaseBody"/>
      </w:pPr>
      <w:r>
        <w:rPr>
          <w:rStyle w:val="Elision"/>
        </w:rPr>
        <w:t xml:space="preserve">[ … ]</w:t>
      </w:r>
    </w:p>
    <w:p>
      <w:pPr>
        <w:pStyle w:val="CaseBody"/>
      </w:pPr>
      <w:r>
        <w:t xml:space="preserve">I</w:t>
      </w:r>
    </w:p>
    <w:p>
      <w:pPr>
        <w:pStyle w:val="CaseBody"/>
      </w:pPr>
      <w:r>
        <w:t xml:space="preserve">The petitioner’s complaint alleged the following: Shady Grove Orthopedic Associates, P. A., provided medical care to Sonia E. Galvez for injuries she suffered in an automobile accident. As partial payment for that care, Galvez assigned to Shady Grove her rights to insurance benefits under a policy issued in New York by Allstate Insurance Co. Shady Grove tendered a claim for the assigned benefits to Allstate, which under New York law had 30 days to pay the claim or deny it.</w:t>
      </w:r>
      <w:r>
        <w:t xml:space="preserve"> </w:t>
      </w:r>
      <w:r>
        <w:rPr>
          <w:rStyle w:val="Elision"/>
        </w:rPr>
        <w:t xml:space="preserve">[ … ]</w:t>
      </w:r>
      <w:r>
        <w:t xml:space="preserve"> </w:t>
      </w:r>
      <w:r>
        <w:t xml:space="preserve">Allstate apparently paid, but not on time, and it refused to pay the statutory interest that accrued on the overdue benefits (at two percent per month)</w:t>
      </w:r>
      <w:r>
        <w:rPr>
          <w:rStyle w:val="Elision"/>
        </w:rPr>
        <w:t xml:space="preserve">[ … ]</w:t>
      </w:r>
    </w:p>
    <w:p>
      <w:pPr>
        <w:pStyle w:val="CaseBody"/>
      </w:pPr>
      <w:r>
        <w:t xml:space="preserve">Shady Grove filed this diversity suit in the Eastern District of New York to recover the unpaid statutory interest. Alleging that Allstate routinely refuses to pay interest on overdue benefits, Shady Grove sought relief on behalf of itself and a class of all others to whom Allstate owes interest. The District Court dismissed the suit for lack of jurisdiction.</w:t>
      </w:r>
      <w:r>
        <w:t xml:space="preserve"> </w:t>
      </w:r>
      <w:r>
        <w:rPr>
          <w:rStyle w:val="Elision"/>
        </w:rPr>
        <w:t xml:space="preserve">[ … ]</w:t>
      </w:r>
      <w:r>
        <w:t xml:space="preserve"> </w:t>
      </w:r>
      <w:r>
        <w:t xml:space="preserve">It reasoned that N. Y. Civ. Prac. Law Ann. § 901(b), which precludes a suit to recover a “penalty” from proceeding as a class action, applies in diversity suits in federal court, despite Federal Rule of Civil Procedure 23. Concluding that statutory interest is a “penalty” under New York law, it held that § 901(b) prohibited the proposed class action. And, since Shady Grove conceded that its individual claim (worth roughly $500) fell far short of the amount-in-controversy requirement for individual suits under</w:t>
      </w:r>
      <w:r>
        <w:t xml:space="preserve"> </w:t>
      </w:r>
      <w:r>
        <w:t xml:space="preserve">28 U.S.C. § 1332</w:t>
      </w:r>
      <w:r>
        <w:t xml:space="preserve">(a), the suit did not belong in federal court</w:t>
      </w:r>
      <w:r>
        <w:rPr>
          <w:rStyle w:val="Elision"/>
        </w:rPr>
        <w:t xml:space="preserve">[ … ]</w:t>
      </w:r>
    </w:p>
    <w:p>
      <w:pPr>
        <w:pStyle w:val="CaseBody"/>
      </w:pPr>
      <w:r>
        <w:rPr>
          <w:rStyle w:val="Elision"/>
        </w:rPr>
        <w:t xml:space="preserve">[ … ]</w:t>
      </w:r>
    </w:p>
    <w:p>
      <w:pPr>
        <w:pStyle w:val="CaseBody"/>
      </w:pPr>
      <w:r>
        <w:t xml:space="preserve">The Second Circuit affirmed.</w:t>
      </w:r>
      <w:r>
        <w:rPr>
          <w:rStyle w:val="Elision"/>
        </w:rPr>
        <w:t xml:space="preserve">[ … ]</w:t>
      </w:r>
      <w:r>
        <w:t xml:space="preserve"> </w:t>
      </w:r>
      <w:r>
        <w:t xml:space="preserve">The court did not dispute that a Federal Rule adopted in compliance with the Rules Enabling Act,</w:t>
      </w:r>
      <w:r>
        <w:t xml:space="preserve"> </w:t>
      </w:r>
      <w:r>
        <w:t xml:space="preserve">28 U.S.C. § 2072</w:t>
      </w:r>
      <w:r>
        <w:t xml:space="preserve">, would control if it conflicted with § 901(b). But there was no conflict because (as we will describe in more detail below) the Second Circuit concluded that Rule 23 and § 901(b) address different issues. Finding no Federal Rule on point, the Court of Appeals held that § 901(b) is “substantive” within the meaning of</w:t>
      </w:r>
      <w:r>
        <w:t xml:space="preserve"> </w:t>
      </w:r>
      <w:r>
        <w:rPr>
          <w:iCs/>
          <w:i/>
        </w:rPr>
        <w:t xml:space="preserve">Erie R. Co.</w:t>
      </w:r>
      <w:r>
        <w:t xml:space="preserve"> </w:t>
      </w:r>
      <w:r>
        <w:t xml:space="preserve">v.</w:t>
      </w:r>
      <w:r>
        <w:t xml:space="preserve"> </w:t>
      </w:r>
      <w:r>
        <w:rPr>
          <w:iCs/>
          <w:i/>
        </w:rPr>
        <w:t xml:space="preserve">Tompkins,</w:t>
      </w:r>
      <w:r>
        <w:t xml:space="preserve"> </w:t>
      </w:r>
      <w:r>
        <w:rPr>
          <w:rStyle w:val="Elision"/>
        </w:rPr>
        <w:t xml:space="preserve">[ … ]</w:t>
      </w:r>
      <w:r>
        <w:t xml:space="preserve">, and thus must be applied by federal courts sitting in diversity.</w:t>
      </w:r>
    </w:p>
    <w:p>
      <w:pPr>
        <w:pStyle w:val="CaseBody"/>
      </w:pPr>
      <w:r>
        <w:t xml:space="preserve">We granted certiorari.</w:t>
      </w:r>
      <w:r>
        <w:t xml:space="preserve"> </w:t>
      </w:r>
      <w:r>
        <w:rPr>
          <w:rStyle w:val="Elision"/>
        </w:rPr>
        <w:t xml:space="preserve">[ … ]</w:t>
      </w:r>
    </w:p>
    <w:p>
      <w:pPr>
        <w:pStyle w:val="CaseBody"/>
      </w:pPr>
      <w:r>
        <w:t xml:space="preserve">II</w:t>
      </w:r>
    </w:p>
    <w:p>
      <w:pPr>
        <w:pStyle w:val="CaseBody"/>
      </w:pPr>
      <w:r>
        <w:t xml:space="preserve">The framework for our decision is familiar. We must first determine whether Rule 23 answers the question in dispute.</w:t>
      </w:r>
      <w:r>
        <w:t xml:space="preserve"> </w:t>
      </w:r>
      <w:r>
        <w:rPr>
          <w:rStyle w:val="Elision"/>
        </w:rPr>
        <w:t xml:space="preserve">[ … ]</w:t>
      </w:r>
      <w:r>
        <w:t xml:space="preserve"> </w:t>
      </w:r>
      <w:r>
        <w:t xml:space="preserve">If it does, it governs—New York’s law notwithstanding—unless it exceeds statutory authorization or Congress’s rulemaking power.</w:t>
      </w:r>
    </w:p>
    <w:p>
      <w:pPr>
        <w:pStyle w:val="CaseBody"/>
      </w:pPr>
      <w:r>
        <w:rPr>
          <w:rStyle w:val="Elision"/>
        </w:rPr>
        <w:t xml:space="preserve">[ … ]</w:t>
      </w:r>
      <w:r>
        <w:t xml:space="preserve">We do not wade into</w:t>
      </w:r>
      <w:r>
        <w:t xml:space="preserve"> </w:t>
      </w:r>
      <w:r>
        <w:rPr>
          <w:iCs/>
          <w:i/>
        </w:rPr>
        <w:t xml:space="preserve">Erie’s</w:t>
      </w:r>
      <w:r>
        <w:t xml:space="preserve"> </w:t>
      </w:r>
      <w:r>
        <w:t xml:space="preserve">murky waters unless the Federal Rule is inapplicable or invalid.</w:t>
      </w:r>
      <w:r>
        <w:rPr>
          <w:rStyle w:val="Elision"/>
        </w:rPr>
        <w:t xml:space="preserve">[ … ]</w:t>
      </w:r>
    </w:p>
    <w:p>
      <w:pPr>
        <w:pStyle w:val="CaseBody"/>
      </w:pPr>
      <w:r>
        <w:t xml:space="preserve">A</w:t>
      </w:r>
    </w:p>
    <w:p>
      <w:pPr>
        <w:pStyle w:val="CaseBody"/>
      </w:pPr>
      <w:r>
        <w:t xml:space="preserve">The question in dispute is whether Shady Grove’s suit may proceed as a class action. Rule 23 provides an answer. It states that “[a] class action may be maintained” if two conditions are met: The suit must satisfy the criteria set forth in subdivision (a)</w:t>
      </w:r>
      <w:r>
        <w:t xml:space="preserve"> </w:t>
      </w:r>
      <w:r>
        <w:rPr>
          <w:iCs/>
          <w:i/>
        </w:rPr>
        <w:t xml:space="preserve">(i.e.,</w:t>
      </w:r>
      <w:r>
        <w:t xml:space="preserve"> </w:t>
      </w:r>
      <w:r>
        <w:t xml:space="preserve">numerosity, commonality, typicality, and adequacy of representation), and it also must fit into one of the three categories described in subdivision (b). Fed. Rule Civ. Proc. 23(b). By its terms this creates a categorical rule entitling a plaintiff whose suit meets the specified criteria to pursue his claim as a class action. (The Federal Rules regularly use “may” to confer categorical permission,</w:t>
      </w:r>
      <w:r>
        <w:rPr>
          <w:rStyle w:val="Elision"/>
        </w:rPr>
        <w:t xml:space="preserve">[ … ]</w:t>
      </w:r>
      <w:r>
        <w:t xml:space="preserve">, as do federal statutes that establish</w:t>
      </w:r>
    </w:p>
    <w:p>
      <w:pPr>
        <w:pStyle w:val="CaseBody"/>
      </w:pPr>
      <w:r>
        <w:rPr>
          <w:rStyle w:val="Elision"/>
        </w:rPr>
        <w:t xml:space="preserve">[ … ]</w:t>
      </w:r>
    </w:p>
    <w:p>
      <w:pPr>
        <w:pStyle w:val="CaseBody"/>
      </w:pPr>
      <w:r>
        <w:t xml:space="preserve">procedural entitlements,</w:t>
      </w:r>
      <w:r>
        <w:rPr>
          <w:rStyle w:val="Elision"/>
        </w:rPr>
        <w:t xml:space="preserve">[ … ]</w:t>
      </w:r>
      <w:r>
        <w:t xml:space="preserve">Thus, Rule 23 provides a one-size-fits-all formula for deciding the class-action question. Because § 901(b) attempts to answer the same</w:t>
      </w:r>
      <w:r>
        <w:t xml:space="preserve"> </w:t>
      </w:r>
      <w:r>
        <w:rPr>
          <w:iCs/>
          <w:i/>
        </w:rPr>
        <w:t xml:space="preserve">question—i.e.,</w:t>
      </w:r>
      <w:r>
        <w:t xml:space="preserve"> </w:t>
      </w:r>
      <w:r>
        <w:t xml:space="preserve">it states that Shady Grove’s suit “may</w:t>
      </w:r>
      <w:r>
        <w:t xml:space="preserve"> </w:t>
      </w:r>
      <w:r>
        <w:rPr>
          <w:iCs/>
          <w:i/>
        </w:rPr>
        <w:t xml:space="preserve">not</w:t>
      </w:r>
      <w:r>
        <w:t xml:space="preserve"> </w:t>
      </w:r>
      <w:r>
        <w:t xml:space="preserve">be maintained as a class action” (emphasis added) because of the relief it seeks—it cannot apply in diversity suits unless Rule 23 is ultra vires.</w:t>
      </w:r>
    </w:p>
    <w:p>
      <w:pPr>
        <w:pStyle w:val="CaseBody"/>
      </w:pPr>
      <w:r>
        <w:t xml:space="preserve">The Second Circuit believed that § 901(b) and Rule 23 do not conflict because they address different issues. Rule 23, it said, concerns only the criteria for determining whether a given class can and should be certified; § 901(b), on the other hand, addresses an antecedent question: whether the particular type of claim is eligible for class treatment in the first place—a question on which Rule 23 is silent.</w:t>
      </w:r>
      <w:r>
        <w:t xml:space="preserve"> </w:t>
      </w:r>
      <w:r>
        <w:rPr>
          <w:rStyle w:val="Elision"/>
        </w:rPr>
        <w:t xml:space="preserve">[ … ]</w:t>
      </w:r>
      <w:r>
        <w:t xml:space="preserve">Allstate embraces this analysis.</w:t>
      </w:r>
      <w:r>
        <w:rPr>
          <w:rStyle w:val="Elision"/>
        </w:rPr>
        <w:t xml:space="preserve">[ … ]</w:t>
      </w:r>
    </w:p>
    <w:p>
      <w:pPr>
        <w:pStyle w:val="CaseBody"/>
      </w:pPr>
      <w:r>
        <w:t xml:space="preserve">We disagree. To begin with, the line between eligibility and certifiability is entirely artificial. Both are preconditions for maintaining a class action. Allstate suggests that eligibility must depend on the “particular cause of action” asserted, instead of some other attribute of the suit</w:t>
      </w:r>
      <w:r>
        <w:rPr>
          <w:rStyle w:val="Elision"/>
        </w:rPr>
        <w:t xml:space="preserve">[ … ]</w:t>
      </w:r>
      <w:r>
        <w:t xml:space="preserve">. But that is not so. Congress could, for example, provide that only claims involving more than a certain number of plaintiffs are “eligible” for class treatment in federal court. In other words, relabeling Rule 23(a)’s prerequisites “eligibility criteria” would obviate Allstate’s objection—a sure sign that its eligibility-certifiability distinction is made-to-order.</w:t>
      </w:r>
    </w:p>
    <w:p>
      <w:pPr>
        <w:pStyle w:val="CaseBody"/>
      </w:pPr>
      <w:r>
        <w:t xml:space="preserve">There is no reason, in any event, to read Rule 23 as addressing only whether claims made eligible for class treatment by some</w:t>
      </w:r>
      <w:r>
        <w:t xml:space="preserve"> </w:t>
      </w:r>
      <w:r>
        <w:rPr>
          <w:iCs/>
          <w:i/>
        </w:rPr>
        <w:t xml:space="preserve">other</w:t>
      </w:r>
      <w:r>
        <w:t xml:space="preserve"> </w:t>
      </w:r>
      <w:r>
        <w:t xml:space="preserve">law should be certified as class actions. Allstate asserts that Rule 23 neither explicitly nor implicitly empowers a federal court “to certify a class in each and every case” where the Rule’s criteria are met.</w:t>
      </w:r>
      <w:r>
        <w:t xml:space="preserve"> </w:t>
      </w:r>
      <w:r>
        <w:rPr>
          <w:rStyle w:val="Elision"/>
        </w:rPr>
        <w:t xml:space="preserve">[ … ]</w:t>
      </w:r>
      <w:r>
        <w:t xml:space="preserve">. But that is</w:t>
      </w:r>
      <w:r>
        <w:t xml:space="preserve"> </w:t>
      </w:r>
      <w:r>
        <w:rPr>
          <w:iCs/>
          <w:i/>
        </w:rPr>
        <w:t xml:space="preserve">exactly</w:t>
      </w:r>
      <w:r>
        <w:t xml:space="preserve"> </w:t>
      </w:r>
      <w:r>
        <w:t xml:space="preserve">what Rule 23 does: It says that if the</w:t>
      </w:r>
    </w:p>
    <w:p>
      <w:pPr>
        <w:pStyle w:val="CaseBody"/>
      </w:pPr>
      <w:r>
        <w:rPr>
          <w:rStyle w:val="Elision"/>
        </w:rPr>
        <w:t xml:space="preserve">[ … ]</w:t>
      </w:r>
    </w:p>
    <w:p>
      <w:pPr>
        <w:pStyle w:val="CaseBody"/>
      </w:pPr>
      <w:r>
        <w:t xml:space="preserve">prescribed preconditions are satisfied “[a] class action</w:t>
      </w:r>
      <w:r>
        <w:t xml:space="preserve"> </w:t>
      </w:r>
      <w:r>
        <w:rPr>
          <w:iCs/>
          <w:i/>
        </w:rPr>
        <w:t xml:space="preserve">may be</w:t>
      </w:r>
      <w:r>
        <w:t xml:space="preserve"> </w:t>
      </w:r>
      <w:r>
        <w:t xml:space="preserve">maintained” (emphasis added)—not “a</w:t>
      </w:r>
      <w:r>
        <w:t xml:space="preserve"> </w:t>
      </w:r>
      <w:r>
        <w:rPr>
          <w:iCs/>
          <w:i/>
        </w:rPr>
        <w:t xml:space="preserve">class action may be permitted.”</w:t>
      </w:r>
      <w:r>
        <w:t xml:space="preserve"> </w:t>
      </w:r>
      <w:r>
        <w:t xml:space="preserve">Courts do not maintain actions; litigants do. The discretion suggested by Rule 23’s “may” is discretion residing in the plaintiff: He may bring his claim in a class action if he wishes. And like the rest of the Federal Rules of Civil Procedure, Rule 23</w:t>
      </w:r>
      <w:r>
        <w:t xml:space="preserve"> </w:t>
      </w:r>
      <w:r>
        <w:rPr>
          <w:iCs/>
          <w:i/>
        </w:rPr>
        <w:t xml:space="preserve">automatically</w:t>
      </w:r>
      <w:r>
        <w:t xml:space="preserve"> </w:t>
      </w:r>
      <w:r>
        <w:t xml:space="preserve">applies “in all civil actions and proceedings in the United States district courts,” Fed. Rule Civ. Proc. 1.</w:t>
      </w:r>
      <w:r>
        <w:t xml:space="preserve"> </w:t>
      </w:r>
      <w:r>
        <w:rPr>
          <w:rStyle w:val="Elision"/>
        </w:rPr>
        <w:t xml:space="preserve">[ … ]</w:t>
      </w:r>
    </w:p>
    <w:p>
      <w:pPr>
        <w:pStyle w:val="CaseBody"/>
      </w:pPr>
      <w:r>
        <w:t xml:space="preserve">The dissent argues that § 901(b) has nothing to do with whether Shady Grove may maintain its suit as a class action, but affects only the</w:t>
      </w:r>
      <w:r>
        <w:t xml:space="preserve"> </w:t>
      </w:r>
      <w:r>
        <w:rPr>
          <w:iCs/>
          <w:i/>
        </w:rPr>
        <w:t xml:space="preserve">remedy</w:t>
      </w:r>
      <w:r>
        <w:t xml:space="preserve"> </w:t>
      </w:r>
      <w:r>
        <w:t xml:space="preserve">it may obtain if it wins. See</w:t>
      </w:r>
      <w:r>
        <w:t xml:space="preserve"> </w:t>
      </w:r>
      <w:r>
        <w:rPr>
          <w:iCs/>
          <w:i/>
        </w:rPr>
        <w:t xml:space="preserve">post,</w:t>
      </w:r>
      <w:r>
        <w:t xml:space="preserve"> </w:t>
      </w:r>
      <w:r>
        <w:rPr>
          <w:rStyle w:val="Elision"/>
        </w:rPr>
        <w:t xml:space="preserve">[ … ]</w:t>
      </w:r>
      <w:r>
        <w:t xml:space="preserve"> </w:t>
      </w:r>
      <w:r>
        <w:t xml:space="preserve">(opinion of Ginsburg, J.). Whereas “Rule 23 governs procedural aspects of class litigation” by “prescrib [ing] the considerations relevant to class certification and postcertification proceedings,” § 901(b) addresses only “the size of a monetary award a class plaintiff may pursue.”</w:t>
      </w:r>
      <w:r>
        <w:t xml:space="preserve"> </w:t>
      </w:r>
      <w:r>
        <w:rPr>
          <w:iCs/>
          <w:i/>
        </w:rPr>
        <w:t xml:space="preserve">Post,</w:t>
      </w:r>
      <w:r>
        <w:t xml:space="preserve"> </w:t>
      </w:r>
      <w:r>
        <w:rPr>
          <w:rStyle w:val="Elision"/>
        </w:rPr>
        <w:t xml:space="preserve">[ … ]</w:t>
      </w:r>
      <w:r>
        <w:t xml:space="preserve">Accordingly, the dissent says, Rule 23 and New York’s law may coexist in peace.</w:t>
      </w:r>
    </w:p>
    <w:p>
      <w:pPr>
        <w:pStyle w:val="CaseBody"/>
      </w:pPr>
      <w:r>
        <w:t xml:space="preserve">We need not decide whether a state law that limits the remedies available in an existing class action would conflict with Rule 23; that is not what § 901(b) does. By its terms, the provision precludes a plaintiff from “main</w:t>
      </w:r>
      <w:r>
        <w:rPr>
          <w:rStyle w:val="Elision"/>
        </w:rPr>
        <w:t xml:space="preserve">[ … ]</w:t>
      </w:r>
      <w:r>
        <w:t xml:space="preserve">tainting</w:t>
      </w:r>
      <w:r>
        <w:rPr>
          <w:rStyle w:val="Elision"/>
        </w:rPr>
        <w:t xml:space="preserve">[ … ]</w:t>
      </w:r>
      <w:r>
        <w:t xml:space="preserve">” a class action seeking statutory penalties. Unlike a law that sets a ceiling on damages (or puts other remedies out of reach) in properly filed class actions, § 901(b) says nothing about what remedies a court may award; it prevents the class actions it covers from coming into existence at all.</w:t>
      </w:r>
      <w:hyperlink w:anchor="X2ef6aef160fc73041674c5c8ad6d3cc5499ccdb">
        <w:r>
          <w:rPr>
            <w:rStyle w:val="Elision"/>
          </w:rPr>
          <w:t xml:space="preserve">[ … ]</w:t>
        </w:r>
      </w:hyperlink>
      <w:r>
        <w:t xml:space="preserve">Consequently,</w:t>
      </w:r>
    </w:p>
    <w:p>
      <w:pPr>
        <w:pStyle w:val="CaseBody"/>
      </w:pPr>
      <w:r>
        <w:rPr>
          <w:rStyle w:val="Elision"/>
        </w:rPr>
        <w:t xml:space="preserve">[ … ]</w:t>
      </w:r>
    </w:p>
    <w:p>
      <w:pPr>
        <w:pStyle w:val="CaseBody"/>
      </w:pPr>
      <w:r>
        <w:t xml:space="preserve">a court bound by § 901(b) could not certify a class action seeking both statutory penalties and other remedies even if it announces in advance that it will refuse to award the penalties in the event the plaintiffs prevail; to do so would violate the statute’s clear prohibition on “maintain[ing]” such suits as class actions.</w:t>
      </w:r>
    </w:p>
    <w:p>
      <w:pPr>
        <w:pStyle w:val="CaseBody"/>
      </w:pPr>
      <w:r>
        <w:rPr>
          <w:rStyle w:val="Elision"/>
        </w:rPr>
        <w:t xml:space="preserve">[ … ]</w:t>
      </w:r>
    </w:p>
    <w:p>
      <w:pPr>
        <w:pStyle w:val="CaseBody"/>
      </w:pPr>
      <w:r>
        <w:t xml:space="preserve">The dissent all but admits that the literal terms of § 901(b) address the same subject as Rule</w:t>
      </w:r>
      <w:r>
        <w:t xml:space="preserve"> </w:t>
      </w:r>
      <w:r>
        <w:rPr>
          <w:iCs/>
          <w:i/>
        </w:rPr>
        <w:t xml:space="preserve">23—i.e.,</w:t>
      </w:r>
      <w:r>
        <w:t xml:space="preserve"> </w:t>
      </w:r>
      <w:r>
        <w:t xml:space="preserve">whether a class action may be maintained—but insists the provision’s</w:t>
      </w:r>
      <w:r>
        <w:t xml:space="preserve"> </w:t>
      </w:r>
      <w:r>
        <w:rPr>
          <w:iCs/>
          <w:i/>
        </w:rPr>
        <w:t xml:space="preserve">purpose</w:t>
      </w:r>
      <w:r>
        <w:t xml:space="preserve"> </w:t>
      </w:r>
      <w:r>
        <w:t xml:space="preserve">is to restrict only remedies. See</w:t>
      </w:r>
      <w:r>
        <w:t xml:space="preserve"> </w:t>
      </w:r>
      <w:r>
        <w:rPr>
          <w:iCs/>
          <w:i/>
        </w:rPr>
        <w:t xml:space="preserve">post,</w:t>
      </w:r>
      <w:r>
        <w:t xml:space="preserve"> </w:t>
      </w:r>
      <w:r>
        <w:rPr>
          <w:rStyle w:val="Elision"/>
        </w:rPr>
        <w:t xml:space="preserve">[ … ]</w:t>
      </w:r>
      <w:r>
        <w:t xml:space="preserve"> </w:t>
      </w:r>
      <w:r>
        <w:t xml:space="preserve">(“[Wjhile phrased as responsive to the question whether certain class actions may begin, § 901(b) is unmistakably aimed at controlling how those actions must end”). Unlike Rule 23, designed to further procedural fairness and efficiency, § 901(b) (we are told) “responds to an entirely different concern”: the fear that allowing statutory damages to be awarded on a classwide basis would “produce overkill.”</w:t>
      </w:r>
      <w:r>
        <w:t xml:space="preserve"> </w:t>
      </w:r>
      <w:r>
        <w:rPr>
          <w:iCs/>
          <w:i/>
        </w:rPr>
        <w:t xml:space="preserve">Post</w:t>
      </w:r>
      <w:r>
        <w:rPr>
          <w:rStyle w:val="Elision"/>
        </w:rPr>
        <w:t xml:space="preserve">[ … ]</w:t>
      </w:r>
    </w:p>
    <w:p>
      <w:pPr>
        <w:pStyle w:val="CaseBody"/>
      </w:pPr>
      <w:r>
        <w:t xml:space="preserve">Th</w:t>
      </w:r>
      <w:r>
        <w:rPr>
          <w:rStyle w:val="ReplacementText"/>
        </w:rPr>
        <w:t xml:space="preserve">[e]</w:t>
      </w:r>
      <w:r>
        <w:t xml:space="preserve"> </w:t>
      </w:r>
      <w:r>
        <w:t xml:space="preserve">evidence of the New York Legislature’s purpose is pretty sparse. But even accepting the dissent’s account of the legislature’s objective at face value, it cannot override the statute’s clear text. Even if its aim is to restrict the remedy a plaintiff can obtain, § 901(b) achieves that end by limiting a plaintiffs power to maintain a class action. The manner in which the law “could have been written,”</w:t>
      </w:r>
      <w:r>
        <w:t xml:space="preserve"> </w:t>
      </w:r>
      <w:r>
        <w:rPr>
          <w:rStyle w:val="Elision"/>
        </w:rPr>
        <w:t xml:space="preserve">[ … ]</w:t>
      </w:r>
      <w:r>
        <w:t xml:space="preserve">has no bearing; what matters is the law the legislature</w:t>
      </w:r>
      <w:r>
        <w:t xml:space="preserve"> </w:t>
      </w:r>
      <w:r>
        <w:rPr>
          <w:iCs/>
          <w:i/>
        </w:rPr>
        <w:t xml:space="preserve">did</w:t>
      </w:r>
      <w:r>
        <w:t xml:space="preserve"> </w:t>
      </w:r>
      <w:r>
        <w:t xml:space="preserve">enact. We cannot rewrite that to reflect our perception of legislative purpose,</w:t>
      </w:r>
      <w:r>
        <w:rPr>
          <w:rStyle w:val="Elision"/>
        </w:rPr>
        <w:t xml:space="preserve">[ … ]</w:t>
      </w:r>
      <w:r>
        <w:t xml:space="preserve">.</w:t>
      </w:r>
      <w:r>
        <w:rPr>
          <w:rStyle w:val="FootnoteReference"/>
        </w:rPr>
        <w:footnoteReference w:customMarkFollows="1" w:id="223"/>
        <w:t xml:space="preserve">6</w:t>
      </w:r>
      <w:r>
        <w:t xml:space="preserve"> </w:t>
      </w:r>
      <w:r>
        <w:rPr>
          <w:rStyle w:val="FootnoteReference"/>
        </w:rPr>
        <w:footnoteReference w:customMarkFollows="1" w:id="55"/>
        <w:t xml:space="preserve">*</w:t>
      </w:r>
      <w:r>
        <w:t xml:space="preserve">The dissent’s concern</w:t>
      </w:r>
    </w:p>
    <w:p>
      <w:pPr>
        <w:pStyle w:val="CaseBody"/>
      </w:pPr>
      <w:r>
        <w:rPr>
          <w:rStyle w:val="Elision"/>
        </w:rPr>
        <w:t xml:space="preserve">[ … ]</w:t>
      </w:r>
    </w:p>
    <w:p>
      <w:pPr>
        <w:pStyle w:val="CaseBody"/>
      </w:pPr>
      <w:r>
        <w:t xml:space="preserve">for state prerogatives is frustrated rather than furthered by revising state laws when a potential conflict with a Federal Rule arises; the state-friendly approach would be to accept the law as written and test the validity of the Federal Rule.</w:t>
      </w:r>
    </w:p>
    <w:p>
      <w:pPr>
        <w:pStyle w:val="CaseBody"/>
      </w:pPr>
      <w:r>
        <w:t xml:space="preserve">The dissent’s approach of determining whether state and federal rules conflict based on the subjective intentions of the state legislature is an enterprise destined to produce “confusion worse confounded,”</w:t>
      </w:r>
      <w:r>
        <w:t xml:space="preserve"> </w:t>
      </w:r>
      <w:r>
        <w:rPr>
          <w:iCs/>
          <w:i/>
        </w:rPr>
        <w:t xml:space="preserve">Sibbach</w:t>
      </w:r>
      <w:r>
        <w:t xml:space="preserve"> </w:t>
      </w:r>
      <w:r>
        <w:t xml:space="preserve">v.</w:t>
      </w:r>
      <w:r>
        <w:t xml:space="preserve"> </w:t>
      </w:r>
      <w:r>
        <w:rPr>
          <w:iCs/>
          <w:i/>
        </w:rPr>
        <w:t xml:space="preserve">Wilson &amp; Co.,</w:t>
      </w:r>
      <w:r>
        <w:rPr>
          <w:rStyle w:val="Elision"/>
        </w:rPr>
        <w:t xml:space="preserve">[ … ]</w:t>
      </w:r>
      <w:r>
        <w:t xml:space="preserve"> </w:t>
      </w:r>
      <w:r>
        <w:t xml:space="preserve">It would mean, to begin with, that one State’s statute could survive pre-emption (and accordingly affect the procedures in federal court) while another State’s identical law would not, merely because its authors had different aspirations. It would also mean that district courts would have to discern, in every diversity case, the purpose behind any putatively pre-empted state procedural rule, even if its text squarely conflicts with federal law. That task will often prove arduous. Many laws further more than one aim, and the aim of others may be impossible to discern. Moreover, to the extent the dissent’s purpose-driven approach depends on its characterization of § 901(b)’s aims as substantive, it would apply to many state rules ostensibly addressed to procedure. Pleading standards, for example, often embody policy preferences about the types of claims that should succeed—as do rules governing summary judgment, pretrial discovery, and the admissibility of certain evidence. Hard cases will abound.</w:t>
      </w:r>
      <w:r>
        <w:t xml:space="preserve"> </w:t>
      </w:r>
      <w:r>
        <w:t xml:space="preserve">It is not even clear that a state supreme court’s pronouncement of the law’s purpose would settle the issue, since existence of the factual predicate</w:t>
      </w:r>
    </w:p>
    <w:p>
      <w:pPr>
        <w:pStyle w:val="CaseBody"/>
      </w:pPr>
      <w:r>
        <w:rPr>
          <w:rStyle w:val="Elision"/>
        </w:rPr>
        <w:t xml:space="preserve">[ … ]</w:t>
      </w:r>
    </w:p>
    <w:p>
      <w:pPr>
        <w:pStyle w:val="CaseBody"/>
      </w:pPr>
      <w:r>
        <w:t xml:space="preserve">for avoiding federal preemption is ultimately a federal question.</w:t>
      </w:r>
      <w:r>
        <w:rPr>
          <w:rStyle w:val="FootnoteReference"/>
        </w:rPr>
        <w:footnoteReference w:customMarkFollows="1" w:id="92"/>
        <w:t xml:space="preserve">**</w:t>
      </w:r>
      <w:r>
        <w:t xml:space="preserve"> </w:t>
      </w:r>
      <w:r>
        <w:t xml:space="preserve">Predictably, federal judges would be condemned to poring through state legislative history— which may be less easily obtained, less thorough, and less familiar than its federal counterpart,</w:t>
      </w:r>
      <w:r>
        <w:t xml:space="preserve"> </w:t>
      </w:r>
      <w:r>
        <w:rPr>
          <w:rStyle w:val="Elision"/>
        </w:rPr>
        <w:t xml:space="preserve">[ … ]</w:t>
      </w:r>
    </w:p>
    <w:p>
      <w:pPr>
        <w:pStyle w:val="CaseBody"/>
      </w:pPr>
      <w:r>
        <w:t xml:space="preserve">But while the dissent does indeed artificially narrow the scope of § 901(b) by finding that it pursues only substantive policies, that is not the central difficulty of the dissent’s position. The central difficulty is that even artificial narrowing cannot render § 901(b) compatible with Rule 23.</w:t>
      </w:r>
      <w:r>
        <w:t xml:space="preserve"> </w:t>
      </w:r>
      <w:r>
        <w:rPr>
          <w:iCs/>
          <w:i/>
        </w:rPr>
        <w:t xml:space="preserve">Whatever</w:t>
      </w:r>
      <w:r>
        <w:t xml:space="preserve"> </w:t>
      </w:r>
      <w:r>
        <w:t xml:space="preserve">the policies they pursue, they flatly contradict each other. Allstate asserts (and the dissent implies</w:t>
      </w:r>
      <w:r>
        <w:rPr>
          <w:rStyle w:val="Elision"/>
        </w:rPr>
        <w:t xml:space="preserve">[ … ]</w:t>
      </w:r>
      <w:r>
        <w:t xml:space="preserve">) that we can (and must)</w:t>
      </w:r>
      <w:r>
        <w:t xml:space="preserve"> </w:t>
      </w:r>
      <w:r>
        <w:rPr>
          <w:iCs/>
          <w:i/>
        </w:rPr>
        <w:t xml:space="preserve">interpret</w:t>
      </w:r>
      <w:r>
        <w:t xml:space="preserve"> </w:t>
      </w:r>
      <w:r>
        <w:t xml:space="preserve">Rule 23 in a manner that avoids overstepping its authorizing statute.</w:t>
      </w:r>
      <w:r>
        <w:rPr>
          <w:rStyle w:val="FootnoteReference"/>
        </w:rPr>
        <w:footnoteReference w:customMarkFollows="1" w:id="249"/>
        <w:t xml:space="preserve">7</w:t>
      </w:r>
      <w:r>
        <w:t xml:space="preserve"> </w:t>
      </w:r>
      <w:r>
        <w:rPr>
          <w:rStyle w:val="FootnoteReference"/>
        </w:rPr>
        <w:footnoteReference w:customMarkFollows="1" w:id="116"/>
        <w:t xml:space="preserve">***</w:t>
      </w:r>
      <w:r>
        <w:t xml:space="preserve">If the Rule were susceptible of two meanings—one that would violate</w:t>
      </w:r>
    </w:p>
    <w:p>
      <w:pPr>
        <w:pStyle w:val="CaseBody"/>
      </w:pPr>
      <w:r>
        <w:rPr>
          <w:rStyle w:val="Elision"/>
        </w:rPr>
        <w:t xml:space="preserve">[ … ]</w:t>
      </w:r>
    </w:p>
    <w:p>
      <w:pPr>
        <w:pStyle w:val="CaseBody"/>
      </w:pPr>
      <w:r>
        <w:t xml:space="preserve">§ 2072(b) and another that would not—we would agree.</w:t>
      </w:r>
      <w:r>
        <w:t xml:space="preserve"> </w:t>
      </w:r>
      <w:r>
        <w:rPr>
          <w:rStyle w:val="Elision"/>
        </w:rPr>
        <w:t xml:space="preserve">[ … ]</w:t>
      </w:r>
      <w:r>
        <w:t xml:space="preserve"> </w:t>
      </w:r>
      <w:r>
        <w:t xml:space="preserve">But it is not. Rule 23 unambiguously authorizes</w:t>
      </w:r>
      <w:r>
        <w:t xml:space="preserve"> </w:t>
      </w:r>
      <w:r>
        <w:rPr>
          <w:iCs/>
          <w:i/>
        </w:rPr>
        <w:t xml:space="preserve">any</w:t>
      </w:r>
      <w:r>
        <w:t xml:space="preserve"> </w:t>
      </w:r>
      <w:r>
        <w:t xml:space="preserve">plaintiff, in</w:t>
      </w:r>
      <w:r>
        <w:t xml:space="preserve"> </w:t>
      </w:r>
      <w:r>
        <w:rPr>
          <w:iCs/>
          <w:i/>
        </w:rPr>
        <w:t xml:space="preserve">any</w:t>
      </w:r>
      <w:r>
        <w:t xml:space="preserve"> </w:t>
      </w:r>
      <w:r>
        <w:t xml:space="preserve">federal civil proceeding, to maintain a class action if the Rule’s prerequisites are met. We cannot contort its text, even to avert a collision with state law that might render it invalid. See</w:t>
      </w:r>
      <w:r>
        <w:t xml:space="preserve"> </w:t>
      </w:r>
      <w:r>
        <w:rPr>
          <w:iCs/>
          <w:i/>
        </w:rPr>
        <w:t xml:space="preserve">Walker</w:t>
      </w:r>
      <w:r>
        <w:t xml:space="preserve"> </w:t>
      </w:r>
      <w:r>
        <w:t xml:space="preserve">v.</w:t>
      </w:r>
      <w:r>
        <w:t xml:space="preserve"> </w:t>
      </w:r>
      <w:r>
        <w:rPr>
          <w:iCs/>
          <w:i/>
        </w:rPr>
        <w:t xml:space="preserve">Armco Steel Corp.</w:t>
      </w:r>
      <w:r>
        <w:rPr>
          <w:rStyle w:val="Elision"/>
        </w:rPr>
        <w:t xml:space="preserve">[ … ]</w:t>
      </w:r>
      <w:r>
        <w:rPr>
          <w:rStyle w:val="FootnoteReference"/>
        </w:rPr>
        <w:footnoteReference w:customMarkFollows="1" w:id="252"/>
        <w:t xml:space="preserve">8</w:t>
      </w:r>
      <w:r>
        <w:t xml:space="preserve"> </w:t>
      </w:r>
      <w:r>
        <w:t xml:space="preserve">What the dissent’s approach achieves is not the avoiding of a “conflict between Rule 23 and § 901(b),”</w:t>
      </w:r>
      <w:r>
        <w:t xml:space="preserve"> </w:t>
      </w:r>
      <w:r>
        <w:rPr>
          <w:rStyle w:val="Elision"/>
        </w:rPr>
        <w:t xml:space="preserve">[ … ]</w:t>
      </w:r>
      <w:r>
        <w:t xml:space="preserve"> </w:t>
      </w:r>
      <w:r>
        <w:t xml:space="preserve">but rather the invalidation of Rule 23 (pursuant to § 2072(b) of the Rules Enabling Act) to the extent that it conflicts with the substantive policies of § 901. There is no other way to reach the dissent’s destination. We must therefore confront head-on whether Rule 23 falls within the statutory authorization.</w:t>
      </w:r>
    </w:p>
    <w:p>
      <w:pPr>
        <w:pStyle w:val="CaseBody"/>
      </w:pPr>
      <w:r>
        <w:t xml:space="preserve">B</w:t>
      </w:r>
    </w:p>
    <w:p>
      <w:pPr>
        <w:pStyle w:val="CaseBody"/>
      </w:pPr>
      <w:r>
        <w:rPr>
          <w:iCs/>
          <w:i/>
        </w:rPr>
        <w:t xml:space="preserve">Erie</w:t>
      </w:r>
      <w:r>
        <w:t xml:space="preserve"> </w:t>
      </w:r>
      <w:r>
        <w:t xml:space="preserve">involved the constitutional power of federal courts to supplant state law with judge-made rules. In that context, it made no difference whether the rule was technically one of substance or procedure; the touchstone was whether it “significantly affect[s] the result of a litigation.”</w:t>
      </w:r>
      <w:r>
        <w:t xml:space="preserve"> </w:t>
      </w:r>
      <w:r>
        <w:rPr>
          <w:rStyle w:val="Elision"/>
        </w:rPr>
        <w:t xml:space="preserve">[ … ]</w:t>
      </w:r>
      <w:r>
        <w:t xml:space="preserve"> </w:t>
      </w:r>
      <w:r>
        <w:t xml:space="preserve">That is not the test for either the constitutionality or the statutory validity of a Federal Rule of Procedure. Congress has undoubted power to supplant state law, and undoubted power to prescribe rules for the courts it has created, so long as those rules regulate matters “rationally capable of classification” as procedure.</w:t>
      </w:r>
      <w:r>
        <w:t xml:space="preserve"> </w:t>
      </w:r>
      <w:r>
        <w:rPr>
          <w:rStyle w:val="Elision"/>
        </w:rPr>
        <w:t xml:space="preserve">[ … ]</w:t>
      </w:r>
      <w:r>
        <w:t xml:space="preserve">In the Rules Enabling</w:t>
      </w:r>
    </w:p>
    <w:p>
      <w:pPr>
        <w:pStyle w:val="CaseBody"/>
      </w:pPr>
      <w:r>
        <w:rPr>
          <w:rStyle w:val="Elision"/>
        </w:rPr>
        <w:t xml:space="preserve">[ … ]</w:t>
      </w:r>
    </w:p>
    <w:p>
      <w:pPr>
        <w:pStyle w:val="CaseBody"/>
      </w:pPr>
      <w:r>
        <w:t xml:space="preserve">Act, Congress authorized this Court to promulgate rules of procedure subject to its review,</w:t>
      </w:r>
      <w:r>
        <w:t xml:space="preserve"> </w:t>
      </w:r>
      <w:r>
        <w:t xml:space="preserve">28 U.S.C. § 2072</w:t>
      </w:r>
      <w:r>
        <w:t xml:space="preserve">(a), but with the limitation that those rules “shall not abridge, enlarge or modify any substantive right,” § 2072(b).</w:t>
      </w:r>
    </w:p>
    <w:p>
      <w:pPr>
        <w:pStyle w:val="CaseBody"/>
      </w:pPr>
      <w:r>
        <w:t xml:space="preserve">We have long held that this limitation means that the Rule must “really regulat[e] procedure,—the judicial process for enforcing rights and duties recognized by substantive law and for justly administering remedy and redress for disregard or infraction of them,”</w:t>
      </w:r>
      <w:r>
        <w:t xml:space="preserve"> </w:t>
      </w:r>
      <w:r>
        <w:rPr>
          <w:iCs/>
          <w:i/>
        </w:rPr>
        <w:t xml:space="preserve">Sibbach,</w:t>
      </w:r>
      <w:r>
        <w:t xml:space="preserve"> </w:t>
      </w:r>
      <w:r>
        <w:rPr>
          <w:rStyle w:val="Elision"/>
        </w:rPr>
        <w:t xml:space="preserve">[ … ]</w:t>
      </w:r>
      <w:r>
        <w:t xml:space="preserve">The test is not whether the Rule affects a litigant’s substantive rights; most procedural rules do.</w:t>
      </w:r>
      <w:r>
        <w:t xml:space="preserve"> </w:t>
      </w:r>
      <w:r>
        <w:rPr>
          <w:rStyle w:val="Elision"/>
        </w:rPr>
        <w:t xml:space="preserve">[ … ]</w:t>
      </w:r>
      <w:r>
        <w:t xml:space="preserve"> </w:t>
      </w:r>
      <w:r>
        <w:t xml:space="preserve">What matters is what the Rule itself</w:t>
      </w:r>
      <w:r>
        <w:t xml:space="preserve"> </w:t>
      </w:r>
      <w:r>
        <w:rPr>
          <w:iCs/>
          <w:i/>
        </w:rPr>
        <w:t xml:space="preserve">regulates:</w:t>
      </w:r>
      <w:r>
        <w:t xml:space="preserve"> </w:t>
      </w:r>
      <w:r>
        <w:t xml:space="preserve">If it governs only “the manner and the means” by which the litigants’ rights are “enforced,” it is valid; if it alters “the rules of decision by which [the] court will adjudicate [those] rights,” it is not.</w:t>
      </w:r>
    </w:p>
    <w:p>
      <w:pPr>
        <w:pStyle w:val="CaseBody"/>
      </w:pPr>
      <w:r>
        <w:rPr>
          <w:rStyle w:val="Elision"/>
        </w:rPr>
        <w:t xml:space="preserve">[ … ]</w:t>
      </w:r>
    </w:p>
    <w:p>
      <w:pPr>
        <w:pStyle w:val="CaseBody"/>
      </w:pPr>
      <w:r>
        <w:t xml:space="preserve">Applying that test, we have rejected every statutory challenge to a Federal Rule that has come before us. We have found to be in compliance with § 2072(b) Rules prescribing methods for serving process,</w:t>
      </w:r>
      <w:r>
        <w:rPr>
          <w:rStyle w:val="Elision"/>
        </w:rPr>
        <w:t xml:space="preserve">[ … ]</w:t>
      </w:r>
      <w:r>
        <w:t xml:space="preserve"> </w:t>
      </w:r>
      <w:r>
        <w:t xml:space="preserve">and requiring litigants whose mental or physical condition is in dispute to submit to examinations,</w:t>
      </w:r>
      <w:r>
        <w:t xml:space="preserve"> </w:t>
      </w:r>
      <w:r>
        <w:rPr>
          <w:rStyle w:val="Elision"/>
        </w:rPr>
        <w:t xml:space="preserve">[ … ]</w:t>
      </w:r>
      <w:r>
        <w:t xml:space="preserve"> </w:t>
      </w:r>
      <w:r>
        <w:t xml:space="preserve">Likewise, we have upheld Rules authorizing imposition of sanctions upon those who file frivolous appeals,</w:t>
      </w:r>
      <w:r>
        <w:t xml:space="preserve"> </w:t>
      </w:r>
      <w:r>
        <w:rPr>
          <w:rStyle w:val="Elision"/>
        </w:rPr>
        <w:t xml:space="preserve">[ … ]</w:t>
      </w:r>
      <w:r>
        <w:t xml:space="preserve">, or who sign court papers without a reasonable inquiry into the facts asserted,</w:t>
      </w:r>
      <w:r>
        <w:rPr>
          <w:rStyle w:val="Elision"/>
        </w:rPr>
        <w:t xml:space="preserve">[ … ]</w:t>
      </w:r>
      <w:r>
        <w:t xml:space="preserve">Each of these Rules had some practical effect on the parties’ rights, but each undeniably regulated only the process for enforcing those rights; none altered the rights</w:t>
      </w:r>
    </w:p>
    <w:p>
      <w:pPr>
        <w:pStyle w:val="CaseBody"/>
      </w:pPr>
      <w:r>
        <w:rPr>
          <w:rStyle w:val="Elision"/>
        </w:rPr>
        <w:t xml:space="preserve">[ … ]</w:t>
      </w:r>
    </w:p>
    <w:p>
      <w:pPr>
        <w:pStyle w:val="CaseBody"/>
      </w:pPr>
      <w:r>
        <w:t xml:space="preserve">themselves, the available remedies, or the rules of decision by which the court adjudicated either.</w:t>
      </w:r>
    </w:p>
    <w:p>
      <w:pPr>
        <w:pStyle w:val="CaseBody"/>
      </w:pPr>
      <w:r>
        <w:t xml:space="preserve">Applying that criterion, we think it obvious that Rules allowing multiple claims (and claims by or against multiple parties) to be litigated together are also valid. See,</w:t>
      </w:r>
      <w:r>
        <w:t xml:space="preserve"> </w:t>
      </w:r>
      <w:r>
        <w:rPr>
          <w:iCs/>
          <w:i/>
        </w:rPr>
        <w:t xml:space="preserve">e.g.,</w:t>
      </w:r>
      <w:r>
        <w:t xml:space="preserve"> </w:t>
      </w:r>
      <w:r>
        <w:t xml:space="preserve">Fed. Rules Civ. Proc. 18 (joinder of claims), 20 (joinder of parties), 42(a) (consolidation of actions). Such Rules neither change plaintiffs’ separate entitlements to relief nor abridge defendants’ rights; they alter only how the claims are processed. For the same reason, Rule 23—at least insofar as it allows willing plaintiffs to join their separate claims against the same defendants in a class action—falls within § 2072(b)’s authorization. A class action, no less than traditional joinder (of which it is a species), merely enables a federal court to adjudicate claims of multiple parties at once, instead of in separate suits. And like traditional joinder, it leaves the parties’ legal rights and duties intact and the rules of decision unchanged.</w:t>
      </w:r>
    </w:p>
    <w:p>
      <w:pPr>
        <w:pStyle w:val="CaseBody"/>
      </w:pPr>
      <w:r>
        <w:t xml:space="preserve">Allstate contends that the authorization of class actions is not substantively neutral: Allowing Shady Grove to sue on behalf of a class “transform[s] [the] dispute over a five</w:t>
      </w:r>
      <w:r>
        <w:t xml:space="preserve"> </w:t>
      </w:r>
      <w:r>
        <w:rPr>
          <w:iCs/>
          <w:i/>
        </w:rPr>
        <w:t xml:space="preserve">hundred</w:t>
      </w:r>
      <w:r>
        <w:t xml:space="preserve"> </w:t>
      </w:r>
      <w:r>
        <w:t xml:space="preserve">dollar penalty into a dispute over a five</w:t>
      </w:r>
      <w:r>
        <w:t xml:space="preserve"> </w:t>
      </w:r>
      <w:r>
        <w:rPr>
          <w:iCs/>
          <w:i/>
        </w:rPr>
        <w:t xml:space="preserve">million</w:t>
      </w:r>
      <w:r>
        <w:t xml:space="preserve"> </w:t>
      </w:r>
      <w:r>
        <w:t xml:space="preserve">dollar penalty.”</w:t>
      </w:r>
      <w:r>
        <w:t xml:space="preserve"> </w:t>
      </w:r>
      <w:r>
        <w:rPr>
          <w:rStyle w:val="Elision"/>
        </w:rPr>
        <w:t xml:space="preserve">[ … ]</w:t>
      </w:r>
      <w:r>
        <w:t xml:space="preserve">Allstate’s aggregate liability, however, does not depend on whether the suit proceeds as a class action. Each of the 1,000-plus members of the putative class could (as Allstate acknowledges) bring a freestanding suit asserting his individual claim. It is undoubtedly true that some plaintiffs who would not bring individual suits for the relatively small sums involved will choose to join a class action. That has no bearing, however, on Allstate’s or the plaintiffs’ legal rights. The likelihood that some (even many) plaintiffs will be induced to sue by the availability of a class action is just the sort of “incidental effec[t]” we have long held does not violate § 2072(b),</w:t>
      </w:r>
      <w:r>
        <w:t xml:space="preserve"> </w:t>
      </w:r>
      <w:r>
        <w:rPr>
          <w:rStyle w:val="Elision"/>
        </w:rPr>
        <w:t xml:space="preserve">[ … ]</w:t>
      </w:r>
    </w:p>
    <w:p>
      <w:pPr>
        <w:pStyle w:val="CaseBody"/>
      </w:pPr>
      <w:r>
        <w:t xml:space="preserve">Allstate argues that Rule 23 violates § 2072(b) because the state law it displaces, § 901(b), creates a right that the Federal</w:t>
      </w:r>
    </w:p>
    <w:p>
      <w:pPr>
        <w:pStyle w:val="CaseBody"/>
      </w:pPr>
      <w:r>
        <w:rPr>
          <w:rStyle w:val="Elision"/>
        </w:rPr>
        <w:t xml:space="preserve">[ … ]</w:t>
      </w:r>
    </w:p>
    <w:p>
      <w:pPr>
        <w:pStyle w:val="CaseBody"/>
      </w:pPr>
      <w:r>
        <w:t xml:space="preserve">Rule abridges— namely, a “substantive right . . . not to be subjected to aggregated class-action liability” in a single suit.</w:t>
      </w:r>
      <w:r>
        <w:t xml:space="preserve"> </w:t>
      </w:r>
      <w:r>
        <w:rPr>
          <w:rStyle w:val="Elision"/>
        </w:rPr>
        <w:t xml:space="preserve">[ … ]</w:t>
      </w:r>
      <w:r>
        <w:t xml:space="preserve">To begin with, we doubt that that is so. Nothing in the text of § 901(b) (which is to be found in New York’s procedural code) confines it to claims under New York law; and of course New York has no power to alter substantive rights and duties created by other sovereigns. As we have said, the</w:t>
      </w:r>
      <w:r>
        <w:t xml:space="preserve"> </w:t>
      </w:r>
      <w:r>
        <w:rPr>
          <w:iCs/>
          <w:i/>
        </w:rPr>
        <w:t xml:space="preserve">consequence</w:t>
      </w:r>
      <w:r>
        <w:t xml:space="preserve"> </w:t>
      </w:r>
      <w:r>
        <w:t xml:space="preserve">of excluding certain class actions may be to cap the damages a defendant can face in a single suit, but the law itself alters only procedure. In that respect, § 901(b) is no different from a state law forbidding simple joinder. As a fallback argument, Allstate argues that even if § 901(b) is a procedural provision, it was enacted “for</w:t>
      </w:r>
      <w:r>
        <w:t xml:space="preserve"> </w:t>
      </w:r>
      <w:r>
        <w:rPr>
          <w:iCs/>
          <w:i/>
        </w:rPr>
        <w:t xml:space="preserve">substantive reasons,”</w:t>
      </w:r>
      <w:r>
        <w:t xml:space="preserve"> </w:t>
      </w:r>
      <w:r>
        <w:rPr>
          <w:rStyle w:val="Elision"/>
        </w:rPr>
        <w:t xml:space="preserve">[ … ]</w:t>
      </w:r>
      <w:r>
        <w:t xml:space="preserve"> </w:t>
      </w:r>
      <w:r>
        <w:t xml:space="preserve">(emphasis added). Its end was not to improve “the conduct of the litigation process itself’ but to alter “the outcome of that process.”</w:t>
      </w:r>
      <w:r>
        <w:t xml:space="preserve"> </w:t>
      </w:r>
      <w:r>
        <w:rPr>
          <w:rStyle w:val="Elision"/>
        </w:rPr>
        <w:t xml:space="preserve">[ … ]</w:t>
      </w:r>
    </w:p>
    <w:p>
      <w:pPr>
        <w:pStyle w:val="CaseBody"/>
      </w:pPr>
      <w:r>
        <w:t xml:space="preserve">The fundamental difficulty with both these arguments is that the substantive nature of New York’s law, or its substantive purpose,</w:t>
      </w:r>
      <w:r>
        <w:t xml:space="preserve"> </w:t>
      </w:r>
      <w:r>
        <w:rPr>
          <w:iCs/>
          <w:i/>
        </w:rPr>
        <w:t xml:space="preserve">makes no difference.</w:t>
      </w:r>
      <w:r>
        <w:t xml:space="preserve"> </w:t>
      </w:r>
      <w:r>
        <w:t xml:space="preserve">A Federal Rule of Procedure is not valid in some jurisdictions and invalid in others—or valid in some cases and invalid in others—depending upon whether its effect is to frustrate a state substantive law (or a state procedural law enacted for substantive purposes).</w:t>
      </w:r>
      <w:r>
        <w:t xml:space="preserve"> </w:t>
      </w:r>
      <w:r>
        <w:rPr>
          <w:rStyle w:val="Elision"/>
        </w:rPr>
        <w:t xml:space="preserve">[ … ]</w:t>
      </w:r>
    </w:p>
    <w:p>
      <w:pPr>
        <w:pStyle w:val="CaseBody"/>
      </w:pPr>
      <w:r>
        <w:rPr>
          <w:iCs/>
          <w:i/>
        </w:rPr>
        <w:t xml:space="preserve">Hanna</w:t>
      </w:r>
      <w:r>
        <w:t xml:space="preserve"> </w:t>
      </w:r>
      <w:r>
        <w:t xml:space="preserve">unmistakably expressed the same understanding that compliance of a Federal Rule with the Enabling Act is to be assessed by consulting the Rule itself, and not its effects in individual applications:</w:t>
      </w:r>
    </w:p>
    <w:p>
      <w:pPr>
        <w:pStyle w:val="BlockText"/>
      </w:pPr>
      <w:r>
        <w:t xml:space="preserve">“[T]he court has been instructed to apply the Federal Rule, and can refuse to do so only if the Advisory Committee, this Court, and Congress erred in their prima facie judgment that the Rule in question transgresses neither the terms of the Enabling Act nor constitutional restrictions.”</w:t>
      </w:r>
      <w:r>
        <w:rPr>
          <w:rStyle w:val="Elision"/>
        </w:rPr>
        <w:t xml:space="preserve">[ … ]</w:t>
      </w:r>
    </w:p>
    <w:p>
      <w:pPr>
        <w:pStyle w:val="CaseBody"/>
      </w:pPr>
      <w:r>
        <w:t xml:space="preserve">In sum, it is not the substantive or procedural nature or purpose of the affected state law that matters, but the substantive or procedural nature of the Federal Rule. We have held since</w:t>
      </w:r>
      <w:r>
        <w:t xml:space="preserve"> </w:t>
      </w:r>
      <w:r>
        <w:rPr>
          <w:iCs/>
          <w:i/>
        </w:rPr>
        <w:t xml:space="preserve">Sibbach,</w:t>
      </w:r>
      <w:r>
        <w:t xml:space="preserve"> </w:t>
      </w:r>
      <w:r>
        <w:t xml:space="preserve">and reaffirmed repeatedly, that the validity of a Federal Rule depends entirely upon whether it regulates procedure.</w:t>
      </w:r>
      <w:r>
        <w:t xml:space="preserve"> </w:t>
      </w:r>
      <w:r>
        <w:rPr>
          <w:rStyle w:val="Elision"/>
        </w:rPr>
        <w:t xml:space="preserve">[ … ]</w:t>
      </w:r>
      <w:r>
        <w:t xml:space="preserve"> </w:t>
      </w:r>
      <w:r>
        <w:t xml:space="preserve">If it does, it is authorized by § 2072 and is valid in all jurisdictions, with respect to all claims, regardless of its incidental effect upon state-created rights.</w:t>
      </w:r>
    </w:p>
    <w:p>
      <w:pPr>
        <w:pStyle w:val="CaseBody"/>
      </w:pPr>
      <w:r>
        <w:t xml:space="preserve">C</w:t>
      </w:r>
    </w:p>
    <w:p>
      <w:pPr>
        <w:pStyle w:val="CaseBody"/>
      </w:pPr>
      <w:r>
        <w:t xml:space="preserve">A few words in response to the concurrence. We understand it to accept the framework we apply—which requires first, determining whether the federal and state rules can be reconciled (because they answer different questions), and second, if they cannot, determining whether the Federal Rule runs afoul of § 2072(b).</w:t>
      </w:r>
      <w:r>
        <w:t xml:space="preserve"> </w:t>
      </w:r>
      <w:r>
        <w:rPr>
          <w:iCs/>
          <w:i/>
        </w:rPr>
        <w:t xml:space="preserve">Post</w:t>
      </w:r>
      <w:r>
        <w:rPr>
          <w:rStyle w:val="Elision"/>
        </w:rPr>
        <w:t xml:space="preserve">[ … ]</w:t>
      </w:r>
    </w:p>
    <w:p>
      <w:pPr>
        <w:pStyle w:val="CaseBody"/>
      </w:pPr>
      <w:r>
        <w:t xml:space="preserve">concurring in part and concurring in judgment). The concurrence agrees with us that Rule 23 and § 901(b) conflict,</w:t>
      </w:r>
      <w:r>
        <w:t xml:space="preserve"> </w:t>
      </w:r>
      <w:r>
        <w:rPr>
          <w:iCs/>
          <w:i/>
        </w:rPr>
        <w:t xml:space="preserve">post,</w:t>
      </w:r>
      <w:r>
        <w:rPr>
          <w:rStyle w:val="Elision"/>
        </w:rPr>
        <w:t xml:space="preserve">[ … ]</w:t>
      </w:r>
      <w:r>
        <w:t xml:space="preserve">, and departs from us only with respect to the second part of the test,</w:t>
      </w:r>
      <w:r>
        <w:t xml:space="preserve"> </w:t>
      </w:r>
      <w:r>
        <w:rPr>
          <w:iCs/>
          <w:i/>
        </w:rPr>
        <w:t xml:space="preserve">i.e.,</w:t>
      </w:r>
      <w:r>
        <w:t xml:space="preserve"> </w:t>
      </w:r>
      <w:r>
        <w:t xml:space="preserve">whether application of the Federal Rule violates § 2072(b),</w:t>
      </w:r>
      <w:r>
        <w:t xml:space="preserve"> </w:t>
      </w:r>
      <w:r>
        <w:rPr>
          <w:iCs/>
          <w:i/>
        </w:rPr>
        <w:t xml:space="preserve">post,</w:t>
      </w:r>
      <w:r>
        <w:rPr>
          <w:rStyle w:val="Elision"/>
        </w:rPr>
        <w:t xml:space="preserve">[ … ]</w:t>
      </w:r>
      <w:r>
        <w:t xml:space="preserve"> </w:t>
      </w:r>
      <w:r>
        <w:t xml:space="preserve">Like us, it answers no, but for a reason different from ours. Post,</w:t>
      </w:r>
      <w:r>
        <w:t xml:space="preserve"> </w:t>
      </w:r>
      <w:r>
        <w:rPr>
          <w:rStyle w:val="Elision"/>
        </w:rPr>
        <w:t xml:space="preserve">[ … ]</w:t>
      </w:r>
    </w:p>
    <w:p>
      <w:pPr>
        <w:pStyle w:val="CaseBody"/>
      </w:pPr>
      <w:r>
        <w:t xml:space="preserve">The concurrence would decide this case on the basis, not that Rule 23 is procedural, but that the state law it displaces is procedural, in the sense that it does not “function as a part of the State’s definition of substantive rights and remedies.” Post</w:t>
      </w:r>
      <w:r>
        <w:rPr>
          <w:rStyle w:val="Elision"/>
        </w:rPr>
        <w:t xml:space="preserve">[ … ]</w:t>
      </w:r>
      <w:r>
        <w:t xml:space="preserve">. A state procedural rule is not pre-empted, according to the concurrence, so long as it is “so bound up with,” or “sufficiently intertwined with,” a substantive state-law right or remedy “that it defines the scope of that substantive right or remedy,”</w:t>
      </w:r>
      <w:r>
        <w:t xml:space="preserve"> </w:t>
      </w:r>
      <w:r>
        <w:rPr>
          <w:iCs/>
          <w:i/>
        </w:rPr>
        <w:t xml:space="preserve">post,</w:t>
      </w:r>
      <w:r>
        <w:rPr>
          <w:rStyle w:val="Elision"/>
        </w:rPr>
        <w:t xml:space="preserve">[ … ]</w:t>
      </w:r>
    </w:p>
    <w:p>
      <w:pPr>
        <w:pStyle w:val="CaseBody"/>
      </w:pPr>
      <w:r>
        <w:t xml:space="preserve">This analysis squarely conflicts with</w:t>
      </w:r>
      <w:r>
        <w:t xml:space="preserve"> </w:t>
      </w:r>
      <w:r>
        <w:rPr>
          <w:iCs/>
          <w:i/>
        </w:rPr>
        <w:t xml:space="preserve">Sibbach,</w:t>
      </w:r>
      <w:r>
        <w:t xml:space="preserve"> </w:t>
      </w:r>
      <w:r>
        <w:t xml:space="preserve">which established the rule we apply. The concurrence contends that</w:t>
      </w:r>
      <w:r>
        <w:t xml:space="preserve"> </w:t>
      </w:r>
      <w:r>
        <w:rPr>
          <w:iCs/>
          <w:i/>
        </w:rPr>
        <w:t xml:space="preserve">Sibbach</w:t>
      </w:r>
      <w:r>
        <w:t xml:space="preserve"> </w:t>
      </w:r>
      <w:r>
        <w:t xml:space="preserve">did not rule out its approach, but that is not so. Recognizing the impracticability of a test that turns on the idiosyncrasies of state law,</w:t>
      </w:r>
      <w:r>
        <w:t xml:space="preserve"> </w:t>
      </w:r>
      <w:r>
        <w:rPr>
          <w:iCs/>
          <w:i/>
        </w:rPr>
        <w:t xml:space="preserve">Sibbach</w:t>
      </w:r>
      <w:r>
        <w:t xml:space="preserve"> </w:t>
      </w:r>
      <w:r>
        <w:t xml:space="preserve">adopted and applied a rule with a single criterion: whether the Federal Rule “really regulates procedure.”</w:t>
      </w:r>
      <w:r>
        <w:rPr>
          <w:rStyle w:val="Elision"/>
        </w:rPr>
        <w:t xml:space="preserve">[ … ]</w:t>
      </w:r>
    </w:p>
    <w:p>
      <w:pPr>
        <w:pStyle w:val="CaseBody"/>
      </w:pPr>
      <w:r>
        <w:t xml:space="preserve">In reality, the concurrence seeks not to apply</w:t>
      </w:r>
      <w:r>
        <w:t xml:space="preserve"> </w:t>
      </w:r>
      <w:r>
        <w:rPr>
          <w:iCs/>
          <w:i/>
        </w:rPr>
        <w:t xml:space="preserve">Sibbach,</w:t>
      </w:r>
      <w:r>
        <w:t xml:space="preserve"> </w:t>
      </w:r>
      <w:r>
        <w:t xml:space="preserve">but to overrule it (or, what is the same, to rewrite it). Its approach, the concurrence insists, gives short shrift to the statutory text prohibiting the Federal Rules from “abridging], enlarging], or modifying] any substantive right,” § 2072(b). See</w:t>
      </w:r>
      <w:r>
        <w:t xml:space="preserve"> </w:t>
      </w:r>
      <w:r>
        <w:rPr>
          <w:iCs/>
          <w:i/>
        </w:rPr>
        <w:t xml:space="preserve">post,</w:t>
      </w:r>
      <w:r>
        <w:rPr>
          <w:rStyle w:val="Elision"/>
        </w:rPr>
        <w:t xml:space="preserve">[ … ]</w:t>
      </w:r>
      <w:r>
        <w:t xml:space="preserve"> </w:t>
      </w:r>
      <w:r>
        <w:t xml:space="preserve">There is something to that. It is possible to understand how it can be determined whether a Federal Rule “enlarges” substantive rights without consulting state law: If the Rule creates a substantive right, even one that duplicates some state-created rights, it establishes a new</w:t>
      </w:r>
      <w:r>
        <w:t xml:space="preserve"> </w:t>
      </w:r>
      <w:r>
        <w:rPr>
          <w:iCs/>
          <w:i/>
        </w:rPr>
        <w:t xml:space="preserve">federal</w:t>
      </w:r>
      <w:r>
        <w:rPr>
          <w:iCs/>
          <w:i/>
        </w:rPr>
        <w:t xml:space="preserve"> </w:t>
      </w:r>
      <w:r>
        <w:t xml:space="preserve">right. But it is hard to understand how it can be determined whether a Federal Rule “abridges” or “modifies” substantive rights without knowing what state-created rights would obtain if the Federal Rule did not exist. Sibbach’s</w:t>
      </w:r>
    </w:p>
    <w:p>
      <w:pPr>
        <w:pStyle w:val="CaseBody"/>
      </w:pPr>
      <w:r>
        <w:rPr>
          <w:rStyle w:val="Elision"/>
        </w:rPr>
        <w:t xml:space="preserve">[ … ]</w:t>
      </w:r>
    </w:p>
    <w:p>
      <w:pPr>
        <w:pStyle w:val="CaseBody"/>
      </w:pPr>
      <w:r>
        <w:t xml:space="preserve">exclusive focus on the challenged Federal Rule—driven by the very real concern that Federal Rules which vary from State to State would be chaos,</w:t>
      </w:r>
      <w:r>
        <w:rPr>
          <w:rStyle w:val="Elision"/>
        </w:rPr>
        <w:t xml:space="preserve">[ … ]</w:t>
      </w:r>
      <w:r>
        <w:t xml:space="preserve">is hard to square with § 2072(b)’s terms.</w:t>
      </w:r>
      <w:hyperlink w:anchor="X430009874f5ae6e9ef72f646a036f5709fb3f4e">
        <w:r>
          <w:rPr>
            <w:rStyle w:val="Elision"/>
          </w:rPr>
          <w:t xml:space="preserve">[ … ]</w:t>
        </w:r>
      </w:hyperlink>
      <w:r>
        <w:t xml:space="preserve"> </w:t>
      </w:r>
    </w:p>
    <w:p>
      <w:pPr>
        <w:pStyle w:val="CaseBody"/>
      </w:pPr>
      <w:r>
        <w:t xml:space="preserve"> </w:t>
      </w:r>
      <w:r>
        <w:rPr>
          <w:iCs/>
          <w:i/>
        </w:rPr>
        <w:t xml:space="preserve">Sibbach</w:t>
      </w:r>
      <w:r>
        <w:rPr>
          <w:iCs/>
          <w:i/>
        </w:rPr>
        <w:t xml:space="preserve"> </w:t>
      </w:r>
      <w:r>
        <w:t xml:space="preserve">has been settled law, however, for nearly seven decades.</w:t>
      </w:r>
      <w:hyperlink w:anchor="X58034b03b5f294ed68a7c9fa86bbb426d953da9">
        <w:r>
          <w:rPr>
            <w:rStyle w:val="Elision"/>
          </w:rPr>
          <w:t xml:space="preserve">[ … ]</w:t>
        </w:r>
      </w:hyperlink>
      <w:r>
        <w:t xml:space="preserve"> </w:t>
      </w:r>
      <w:r>
        <w:rPr>
          <w:rStyle w:val="Elision"/>
        </w:rPr>
        <w:t xml:space="preserve">[ … ]</w:t>
      </w:r>
      <w:r>
        <w:rPr>
          <w:rStyle w:val="FootnoteReference"/>
        </w:rPr>
        <w:footnoteReference w:customMarkFollows="1" w:id="138"/>
        <w:t xml:space="preserve">*****</w:t>
      </w:r>
    </w:p>
    <w:p>
      <w:pPr>
        <w:pStyle w:val="CaseBody"/>
      </w:pPr>
      <w:r>
        <w:t xml:space="preserve">The concurrence also contends that applying</w:t>
      </w:r>
      <w:r>
        <w:t xml:space="preserve"> </w:t>
      </w:r>
      <w:r>
        <w:rPr>
          <w:iCs/>
          <w:i/>
        </w:rPr>
        <w:t xml:space="preserve">Sibbach</w:t>
      </w:r>
      <w:r>
        <w:t xml:space="preserve"> </w:t>
      </w:r>
      <w:r>
        <w:t xml:space="preserve">and assessing whether a Federal Rule regulates substance or procedure is not always easy.</w:t>
      </w:r>
      <w:r>
        <w:t xml:space="preserve"> </w:t>
      </w:r>
      <w:r>
        <w:rPr>
          <w:rStyle w:val="Elision"/>
        </w:rPr>
        <w:t xml:space="preserve">[ … ]</w:t>
      </w:r>
      <w:r>
        <w:t xml:space="preserve"> </w:t>
      </w:r>
      <w:r>
        <w:t xml:space="preserve">Undoubtedly some hard cases will arise (though we have managed to muddle through well enough in the 69 years since</w:t>
      </w:r>
    </w:p>
    <w:p>
      <w:pPr>
        <w:pStyle w:val="CaseBody"/>
      </w:pPr>
      <w:r>
        <w:rPr>
          <w:rStyle w:val="Elision"/>
        </w:rPr>
        <w:t xml:space="preserve">[ … ]</w:t>
      </w:r>
    </w:p>
    <w:p>
      <w:pPr>
        <w:pStyle w:val="CaseBody"/>
      </w:pPr>
      <w:r>
        <w:rPr>
          <w:iCs/>
          <w:i/>
        </w:rPr>
        <w:t xml:space="preserve">Sibbach</w:t>
      </w:r>
      <w:r>
        <w:t xml:space="preserve"> </w:t>
      </w:r>
      <w:r>
        <w:t xml:space="preserve">was decided). But as the concurrence acknowledges,</w:t>
      </w:r>
      <w:r>
        <w:t xml:space="preserve"> </w:t>
      </w:r>
      <w:r>
        <w:rPr>
          <w:iCs/>
          <w:i/>
        </w:rPr>
        <w:t xml:space="preserve">post,</w:t>
      </w:r>
      <w:r>
        <w:t xml:space="preserve"> </w:t>
      </w:r>
      <w:r>
        <w:t xml:space="preserve">at</w:t>
      </w:r>
      <w:r>
        <w:t xml:space="preserve"> </w:t>
      </w:r>
      <w:r>
        <w:rPr>
          <w:rStyle w:val="Elision"/>
        </w:rPr>
        <w:t xml:space="preserve">[ … ]</w:t>
      </w:r>
      <w:r>
        <w:t xml:space="preserve">the basic difficulty is unavoidable: The statute itself refers to “substantive right[s],” § 2072(b), so there is no escaping the substance-procedure distinction. What is more, the concurrence’s approach does nothing to diminish the difficulty, but rather magnifies it many times over. Instead of a single hard question whether a Federal Rule regulates substance or procedure, that approach will present hundreds of hard questions, forcing federal courts to assess the substantive or procedural character of countless state rules that may conflict with a single Federal Rule.</w:t>
      </w:r>
      <w:hyperlink w:anchor="X85f365af3cbf29f4adbbe2fa6a5478b0c42c87c">
        <w:r>
          <w:rPr>
            <w:rStyle w:val="Elision"/>
          </w:rPr>
          <w:t xml:space="preserve">[ … ]</w:t>
        </w:r>
      </w:hyperlink>
      <w:r>
        <w:t xml:space="preserve">And it still does not sidestep the problem it seeks to avoid. At the end of the day, one must come face to face with the decision whether or not the state policy (with which a putatively procedural state rule may be “bound up”) pertains to a “substantive right or remedy,”</w:t>
      </w:r>
      <w:r>
        <w:t xml:space="preserve"> </w:t>
      </w:r>
      <w:r>
        <w:rPr>
          <w:iCs/>
          <w:i/>
        </w:rPr>
        <w:t xml:space="preserve">post,</w:t>
      </w:r>
      <w:r>
        <w:t xml:space="preserve"> </w:t>
      </w:r>
      <w:r>
        <w:rPr>
          <w:rStyle w:val="Elision"/>
        </w:rPr>
        <w:t xml:space="preserve">[ … ]</w:t>
      </w:r>
      <w:r>
        <w:t xml:space="preserve">—that is, whether it is substance or procedure.</w:t>
      </w:r>
      <w:r>
        <w:t xml:space="preserve"> </w:t>
      </w:r>
      <w:r>
        <w:t xml:space="preserve">The more one explores the alternatives to</w:t>
      </w:r>
      <w:r>
        <w:t xml:space="preserve"> </w:t>
      </w:r>
      <w:r>
        <w:rPr>
          <w:iCs/>
          <w:i/>
        </w:rPr>
        <w:t xml:space="preserve">Sib-bach’s</w:t>
      </w:r>
      <w:r>
        <w:t xml:space="preserve"> </w:t>
      </w:r>
      <w:r>
        <w:t xml:space="preserve">rule, the more its wisdom becomes apparent.</w:t>
      </w:r>
    </w:p>
    <w:p>
      <w:pPr>
        <w:pStyle w:val="CaseBody"/>
      </w:pPr>
      <w:r>
        <w:t xml:space="preserve">D</w:t>
      </w:r>
    </w:p>
    <w:p>
      <w:pPr>
        <w:pStyle w:val="CaseBody"/>
      </w:pPr>
      <w:r>
        <w:t xml:space="preserve">We must acknowledge the reality that keeping the federal-court door open to class actions that cannot proceed in state court will produce forum shopping. That is unacceptable</w:t>
      </w:r>
    </w:p>
    <w:p>
      <w:pPr>
        <w:pStyle w:val="CaseBody"/>
      </w:pPr>
      <w:r>
        <w:rPr>
          <w:rStyle w:val="Elision"/>
        </w:rPr>
        <w:t xml:space="preserve">[ … ]</w:t>
      </w:r>
    </w:p>
    <w:p>
      <w:pPr>
        <w:pStyle w:val="CaseBody"/>
      </w:pPr>
      <w:r>
        <w:t xml:space="preserve">when it comes as the consequence of judge-made rules created to fill supposed “gaps” in positive federal law.</w:t>
      </w:r>
      <w:r>
        <w:t xml:space="preserve"> </w:t>
      </w:r>
      <w:r>
        <w:rPr>
          <w:rStyle w:val="Elision"/>
        </w:rPr>
        <w:t xml:space="preserve">[ … ]</w:t>
      </w:r>
      <w:r>
        <w:t xml:space="preserve"> </w:t>
      </w:r>
      <w:r>
        <w:t xml:space="preserve">For where neither the Constitution, a treaty, nor a statute provides the rule of decision or authorizes a federal court to supply one, “state law must govern because there can be no other law.”</w:t>
      </w:r>
      <w:r>
        <w:rPr>
          <w:rStyle w:val="FootnoteReference"/>
        </w:rPr>
        <w:footnoteReference w:customMarkFollows="1" w:id="141"/>
        <w:t xml:space="preserve">*******</w:t>
      </w:r>
      <w:r>
        <w:t xml:space="preserve"> </w:t>
      </w:r>
      <w:r>
        <w:rPr>
          <w:rStyle w:val="Elision"/>
        </w:rPr>
        <w:t xml:space="preserve">[ … ]</w:t>
      </w:r>
      <w:r>
        <w:t xml:space="preserve"> </w:t>
      </w:r>
      <w:r>
        <w:t xml:space="preserve">But divergence from state law, with the attendant consequence of forum shopping, is the inevitable (indeed, one might say the intended) result of a uniform system of federal procedure. Congress itself has created the possibility that the same case may follow a different course if filed in federal instead of state court.</w:t>
      </w:r>
      <w:r>
        <w:t xml:space="preserve"> </w:t>
      </w:r>
      <w:r>
        <w:rPr>
          <w:rStyle w:val="Elision"/>
        </w:rPr>
        <w:t xml:space="preserve">[ … ]</w:t>
      </w:r>
    </w:p>
    <w:p>
      <w:pPr>
        <w:pStyle w:val="CaseBody"/>
      </w:pPr>
      <w:r>
        <w:drawing>
          <wp:inline>
            <wp:extent cx="2933700" cy="314325"/>
            <wp:effectExtent b="0" l="0" r="0" t="0"/>
            <wp:docPr descr="" title="" id="1" name="Picture"/>
            <a:graphic>
              <a:graphicData uri="http://schemas.openxmlformats.org/drawingml/2006/picture">
                <pic:pic>
                  <pic:nvPicPr>
                    <pic:cNvPr descr="data:image/png;base64,iVBORw0KGgoAAAANSUhEUgAAATUAAAAiAQAAAAAWwHM+AAAAmklEQVR4nO3UMQoCMRCF4T+DhYXgEbT3EgoexCN4Bw/nBSw8haxgkRXxWWaKfbCgVpruy0yGSRhSxJjVx6g0+MW8Lm8YBHDOIYMv9HebLpsdAi4pYhEwzyPjMIHZftdCFpIOSmsYNYBtvpiD9FylCgY14L5Zt2MWUndZtBIGNeBaUkcORTxOXStv0CPpmJ9iGPXT81L+/8FbeS+9LLx4cSuMNwAAAABJRU5ErkJggg==" id="0" name="Picture"/>
                    <pic:cNvPicPr>
                      <a:picLocks noChangeArrowheads="1" noChangeAspect="1"/>
                    </pic:cNvPicPr>
                  </pic:nvPicPr>
                  <pic:blipFill>
                    <a:blip r:embed="rId292"/>
                    <a:stretch>
                      <a:fillRect/>
                    </a:stretch>
                  </pic:blipFill>
                  <pic:spPr bwMode="auto">
                    <a:xfrm>
                      <a:off x="0" y="0"/>
                      <a:ext cx="2933700" cy="314325"/>
                    </a:xfrm>
                    <a:prstGeom prst="rect">
                      <a:avLst/>
                    </a:prstGeom>
                    <a:noFill/>
                    <a:ln w="9525">
                      <a:noFill/>
                      <a:headEnd/>
                      <a:tailEnd/>
                    </a:ln>
                  </pic:spPr>
                </pic:pic>
              </a:graphicData>
            </a:graphic>
          </wp:inline>
        </w:drawing>
      </w:r>
    </w:p>
    <w:p>
      <w:pPr>
        <w:pStyle w:val="CaseBody"/>
      </w:pPr>
      <w:r>
        <w:t xml:space="preserve">The judgment of the Court of Appeals is reversed, and the case is remanded for further proceedings.</w:t>
      </w:r>
    </w:p>
    <w:p>
      <w:pPr>
        <w:pStyle w:val="CaseBody"/>
      </w:pPr>
      <w:r>
        <w:t xml:space="preserve">It is so ordered.</w:t>
      </w:r>
    </w:p>
    <w:p>
      <w:pPr>
        <w:pStyle w:val="CaseFootnoteText"/>
      </w:pPr>
      <w:r>
        <w:rPr>
          <w:rStyle w:val="FootnoteReference"/>
        </w:rPr>
        <w:t xml:space="preserve">1</w:t>
      </w:r>
      <w:r>
        <w:rPr>
          <w:rStyle w:val="ReplacementText"/>
        </w:rPr>
        <w:t xml:space="preserve">[The Court here quoted the New York Class Action Rule. In subpart (a), New York's rule requires numerosity, predominance, typicality, representativeness, and superiority for all class actions. It then stated:]</w:t>
      </w:r>
      <w:r>
        <w:t xml:space="preserve"> </w:t>
      </w:r>
      <w:r>
        <w:t xml:space="preserve">New York Civ. Prac. Law Ann. § 901 (West 2006) provides:</w:t>
      </w:r>
    </w:p>
    <w:p>
      <w:pPr>
        <w:pStyle w:val="BlockText"/>
      </w:pPr>
      <w:r>
        <w:rPr>
          <w:rStyle w:val="Elision"/>
        </w:rPr>
        <w:t xml:space="preserve">[ … ]</w:t>
      </w:r>
    </w:p>
    <w:p>
      <w:pPr>
        <w:pStyle w:val="BlockText"/>
      </w:pPr>
      <w:r>
        <w:t xml:space="preserve">“(b) Unless a statute creating or imposing a penalty, or a minimum measure of recovery specifically authorizes the recovery thereof in a class action, an action to recover a penalty, or minimum measure of recovery created or imposed by statute may not be maintained as a class action.’’</w:t>
      </w:r>
    </w:p>
    <w:p>
      <w:pPr>
        <w:pStyle w:val="CaseBody"/>
      </w:pPr>
      <w:r>
        <w:rPr>
          <w:rStyle w:val="Elision"/>
        </w:rPr>
        <w:t xml:space="preserve">[ … ]</w:t>
      </w:r>
    </w:p>
    <w:p>
      <w:pPr>
        <w:pStyle w:val="CaseBody"/>
      </w:pPr>
      <w:hyperlink w:anchor="Xdf17b6dd7fa834baa11486c2b6cd70f0bc258da">
        <w:r>
          <w:rPr>
            <w:rStyle w:val="Elision"/>
          </w:rPr>
          <w:t xml:space="preserve">[ … ]</w:t>
        </w:r>
      </w:hyperlink>
    </w:p>
    <w:p>
      <w:pPr>
        <w:pStyle w:val="CaseBody"/>
      </w:pPr>
      <w:r>
        <w:rPr>
          <w:rStyle w:val="Elision"/>
        </w:rPr>
        <w:t xml:space="preserve">[ … ]</w:t>
      </w:r>
    </w:p>
    <w:p>
      <w:pPr>
        <w:pStyle w:val="CaseFootnoteText"/>
      </w:pPr>
      <w:r>
        <w:rPr>
          <w:rStyle w:val="FootnoteReference"/>
        </w:rPr>
        <w:t xml:space="preserve">6</w:t>
      </w:r>
      <w:r>
        <w:t xml:space="preserve">.</w:t>
      </w:r>
      <w:r>
        <w:t xml:space="preserve"> </w:t>
      </w:r>
      <w:r>
        <w:t xml:space="preserve">Our decision in</w:t>
      </w:r>
      <w:r>
        <w:t xml:space="preserve"> </w:t>
      </w:r>
      <w:r>
        <w:rPr>
          <w:iCs/>
          <w:i/>
        </w:rPr>
        <w:t xml:space="preserve">Walker</w:t>
      </w:r>
      <w:r>
        <w:rPr>
          <w:iCs/>
          <w:i/>
        </w:rPr>
        <w:t xml:space="preserve"> </w:t>
      </w:r>
      <w:r>
        <w:t xml:space="preserve">v.</w:t>
      </w:r>
      <w:r>
        <w:t xml:space="preserve"> </w:t>
      </w:r>
    </w:p>
    <w:p>
      <w:pPr>
        <w:pStyle w:val="CaseFootnoteText"/>
      </w:pPr>
      <w:r>
        <w:t xml:space="preserve">Arinco Steel Corp.</w:t>
      </w:r>
      <w:r>
        <w:rPr>
          <w:rStyle w:val="Elision"/>
        </w:rPr>
        <w:t xml:space="preserve">[ … ]</w:t>
      </w:r>
      <w:r>
        <w:t xml:space="preserve">is not to the contrary. There we held that Rule 3 (which provides that a federal civil action is “ ‘commenced’ ” by filing a complaint in federal court) did not displace a state law providing that “ ‘[a]n action shall be deemed commenced,</w:t>
      </w:r>
      <w:r>
        <w:t xml:space="preserve"> </w:t>
      </w:r>
      <w:r>
        <w:rPr>
          <w:iCs/>
          <w:i/>
        </w:rPr>
        <w:t xml:space="preserve">within the meaning of this article [the statute of limitations],</w:t>
      </w:r>
      <w:r>
        <w:rPr>
          <w:iCs/>
          <w:i/>
        </w:rPr>
        <w:t xml:space="preserve"> </w:t>
      </w:r>
      <w:r>
        <w:t xml:space="preserve">as to each defendant, at the date of the summons which is served on him . . . ”</w:t>
      </w:r>
      <w:r>
        <w:rPr>
          <w:rStyle w:val="Elision"/>
        </w:rPr>
        <w:t xml:space="preserve">[ … ]</w:t>
      </w:r>
      <w:r>
        <w:t xml:space="preserve"> </w:t>
      </w:r>
      <w:r>
        <w:t xml:space="preserve">Rule 3, we explained, “governs the date from which various timing requirements of the Federal Rules begin to run, but does not affect state statutes of limitations’’ or tolling rules, which it did not “purpor[t] to displace.’’</w:t>
      </w:r>
      <w:r>
        <w:rPr>
          <w:rStyle w:val="Elision"/>
        </w:rPr>
        <w:t xml:space="preserve">[ … ]</w:t>
      </w:r>
      <w:r>
        <w:t xml:space="preserve">While our opinion observed that the State’s actual-service rule was (in the State’s judgment) an “integral part of the several policies served by the statute of limitations,’’</w:t>
      </w:r>
      <w:r>
        <w:rPr>
          <w:rStyle w:val="Elision"/>
        </w:rPr>
        <w:t xml:space="preserve">[ … ]</w:t>
      </w:r>
      <w:r>
        <w:t xml:space="preserve">nothing</w:t>
      </w:r>
      <w:r>
        <w:t xml:space="preserve"> </w:t>
      </w:r>
      <w:r>
        <w:t xml:space="preserve">in our decision suggested that a federal court may resolve an obvious conflict between the texts of state and federal rules by resorting to the state law’s ostensible objectives.</w:t>
      </w:r>
      <w:r>
        <w:rPr>
          <w:rStyle w:val="FootnoteReference"/>
        </w:rPr>
        <w:footnoteReference w:customMarkFollows="1" w:id="142"/>
        <w:t xml:space="preserve">********</w:t>
      </w:r>
    </w:p>
    <w:p>
      <w:pPr>
        <w:pStyle w:val="CaseFootnoteText"/>
      </w:pPr>
      <w:r>
        <w:rPr>
          <w:rStyle w:val="FootnoteReference"/>
        </w:rPr>
        <w:t xml:space="preserve">7</w:t>
      </w:r>
      <w:r>
        <w:t xml:space="preserve">. The dissent also suggests that we should read the Federal Rules “ ‘with sensitivity to important state interests’ ” and “ ‘to avoid conflict with important state regulatory policies.’ ”</w:t>
      </w:r>
      <w:r>
        <w:t xml:space="preserve"> </w:t>
      </w:r>
      <w:r>
        <w:rPr>
          <w:rStyle w:val="Elision"/>
        </w:rPr>
        <w:t xml:space="preserve">[ … ]</w:t>
      </w:r>
      <w:r>
        <w:t xml:space="preserve">quoting</w:t>
      </w:r>
      <w:r>
        <w:t xml:space="preserve"> </w:t>
      </w:r>
      <w:r>
        <w:rPr>
          <w:iCs/>
          <w:i/>
        </w:rPr>
        <w:t xml:space="preserve">Gasperini</w:t>
      </w:r>
      <w:r>
        <w:rPr>
          <w:iCs/>
          <w:i/>
        </w:rPr>
        <w:t xml:space="preserve"> </w:t>
      </w:r>
      <w:r>
        <w:t xml:space="preserve">v.</w:t>
      </w:r>
      <w:r>
        <w:t xml:space="preserve"> </w:t>
      </w:r>
    </w:p>
    <w:p>
      <w:pPr>
        <w:pStyle w:val="CaseFootnoteText"/>
      </w:pPr>
      <w:r>
        <w:t xml:space="preserve">Center for Humanities, Inc.,</w:t>
      </w:r>
      <w:r>
        <w:rPr>
          <w:rStyle w:val="Elision"/>
        </w:rPr>
        <w:t xml:space="preserve">[ … ]</w:t>
      </w:r>
      <w:r>
        <w:rPr>
          <w:rStyle w:val="FootnoteReference"/>
        </w:rPr>
        <w:footnoteReference w:customMarkFollows="1" w:id="143"/>
        <w:t xml:space="preserve">*********</w:t>
      </w:r>
      <w:r>
        <w:t xml:space="preserve"> </w:t>
      </w:r>
      <w:r>
        <w:t xml:space="preserve">The search for state interests and policies that are “important” is just as standardless as the “important or substantial” criterion we rejected in</w:t>
      </w:r>
      <w:r>
        <w:t xml:space="preserve"> </w:t>
      </w:r>
      <w:r>
        <w:rPr>
          <w:iCs/>
          <w:i/>
        </w:rPr>
        <w:t xml:space="preserve">Sibbach</w:t>
      </w:r>
      <w:r>
        <w:t xml:space="preserve"> </w:t>
      </w:r>
      <w:r>
        <w:t xml:space="preserve">v.</w:t>
      </w:r>
      <w:r>
        <w:t xml:space="preserve"> </w:t>
      </w:r>
      <w:r>
        <w:rPr>
          <w:iCs/>
          <w:i/>
        </w:rPr>
        <w:t xml:space="preserve">Wilson &amp; Co.,</w:t>
      </w:r>
      <w:r>
        <w:rPr>
          <w:rStyle w:val="Elision"/>
        </w:rPr>
        <w:t xml:space="preserve">[ … ]</w:t>
      </w:r>
      <w:r>
        <w:t xml:space="preserve">to define the state-created rights a Federal Rule may not abridge.</w:t>
      </w:r>
    </w:p>
    <w:p>
      <w:pPr>
        <w:pStyle w:val="CaseFootnoteText"/>
      </w:pPr>
      <w:r>
        <w:t xml:space="preserve">If all the dissent means is that we should read an ambiguous Federal Rule to avoid “substantial variations [in outcomes] between state and federal litigation,”</w:t>
      </w:r>
      <w:r>
        <w:t xml:space="preserve"> </w:t>
      </w:r>
      <w:r>
        <w:rPr>
          <w:iCs/>
          <w:i/>
        </w:rPr>
        <w:t xml:space="preserve">Semtek Int’l Inc.</w:t>
      </w:r>
      <w:r>
        <w:t xml:space="preserve"> </w:t>
      </w:r>
      <w:r>
        <w:t xml:space="preserve">v.</w:t>
      </w:r>
      <w:r>
        <w:t xml:space="preserve"> </w:t>
      </w:r>
      <w:r>
        <w:rPr>
          <w:iCs/>
          <w:i/>
        </w:rPr>
        <w:t xml:space="preserve">Lockheed Martin</w:t>
      </w:r>
      <w:r>
        <w:t xml:space="preserve"> </w:t>
      </w:r>
      <w:r>
        <w:rPr>
          <w:iCs/>
          <w:i/>
        </w:rPr>
        <w:t xml:space="preserve">Corp.,</w:t>
      </w:r>
      <w:r>
        <w:t xml:space="preserve"> </w:t>
      </w:r>
      <w:r>
        <w:rPr>
          <w:rStyle w:val="Elision"/>
        </w:rPr>
        <w:t xml:space="preserve">[ … ]</w:t>
      </w:r>
      <w:r>
        <w:t xml:space="preserve"> </w:t>
      </w:r>
      <w:r>
        <w:t xml:space="preserve">we entirely agree. We should do so not to avoid doubt as to the Rule’s validity—since a Federal Rule that fails</w:t>
      </w:r>
      <w:r>
        <w:t xml:space="preserve"> </w:t>
      </w:r>
      <w:r>
        <w:rPr>
          <w:iCs/>
          <w:i/>
        </w:rPr>
        <w:t xml:space="preserve">Erie's</w:t>
      </w:r>
      <w:r>
        <w:t xml:space="preserve"> </w:t>
      </w:r>
      <w:r>
        <w:t xml:space="preserve">forum-shopping test is not</w:t>
      </w:r>
      <w:r>
        <w:t xml:space="preserve"> </w:t>
      </w:r>
      <w:r>
        <w:rPr>
          <w:iCs/>
          <w:i/>
        </w:rPr>
        <w:t xml:space="preserve">ipso facto</w:t>
      </w:r>
      <w:r>
        <w:t xml:space="preserve"> </w:t>
      </w:r>
      <w:r>
        <w:t xml:space="preserve">invalid, see</w:t>
      </w:r>
      <w:r>
        <w:t xml:space="preserve"> </w:t>
      </w:r>
      <w:r>
        <w:rPr>
          <w:iCs/>
          <w:i/>
        </w:rPr>
        <w:t xml:space="preserve">Hanna</w:t>
      </w:r>
      <w:r>
        <w:t xml:space="preserve"> </w:t>
      </w:r>
      <w:r>
        <w:t xml:space="preserve">v.</w:t>
      </w:r>
      <w:r>
        <w:t xml:space="preserve"> </w:t>
      </w:r>
      <w:r>
        <w:rPr>
          <w:iCs/>
          <w:i/>
        </w:rPr>
        <w:t xml:space="preserve">Plumer,</w:t>
      </w:r>
      <w:r>
        <w:rPr>
          <w:rStyle w:val="Elision"/>
        </w:rPr>
        <w:t xml:space="preserve">[ … ]</w:t>
      </w:r>
      <w:r>
        <w:t xml:space="preserve">—but because it is reasonable to assume that “Congress is just as concerned as we have been to avoid significant differences between state and federal courts in adjudicating claims,’’</w:t>
      </w:r>
      <w:r>
        <w:t xml:space="preserve"> </w:t>
      </w:r>
      <w:r>
        <w:rPr>
          <w:iCs/>
          <w:i/>
        </w:rPr>
        <w:t xml:space="preserve">Stewart Organization, Inc.</w:t>
      </w:r>
      <w:r>
        <w:t xml:space="preserve"> </w:t>
      </w:r>
      <w:r>
        <w:t xml:space="preserve">v.</w:t>
      </w:r>
      <w:r>
        <w:t xml:space="preserve"> </w:t>
      </w:r>
      <w:r>
        <w:rPr>
          <w:iCs/>
          <w:i/>
        </w:rPr>
        <w:t xml:space="preserve">Ricoh Corp.,</w:t>
      </w:r>
      <w:r>
        <w:rPr>
          <w:rStyle w:val="Elision"/>
        </w:rPr>
        <w:t xml:space="preserve">[ … ]</w:t>
      </w:r>
      <w:r>
        <w:t xml:space="preserve"> </w:t>
      </w:r>
      <w:r>
        <w:t xml:space="preserve">(Scalia, J., dissenting). The assumption is irrelevant here, however, because there is only one reasonable reading of Rule 23.</w:t>
      </w:r>
    </w:p>
    <w:p>
      <w:pPr>
        <w:pStyle w:val="CaseBody"/>
      </w:pPr>
      <w:r>
        <w:rPr>
          <w:rStyle w:val="Elision"/>
        </w:rPr>
        <w:t xml:space="preserve">[ … ]</w:t>
      </w:r>
    </w:p>
    <w:p>
      <w:pPr>
        <w:pStyle w:val="CaseBody"/>
      </w:pPr>
      <w:r>
        <w:rPr>
          <w:rStyle w:val="Elision"/>
        </w:rPr>
        <w:t xml:space="preserve">[ … ]</w:t>
      </w:r>
    </w:p>
    <w:p>
      <w:pPr>
        <w:pStyle w:val="CaseBody"/>
      </w:pPr>
      <w:r>
        <w:t xml:space="preserve">Justice Stevens,</w:t>
      </w:r>
    </w:p>
    <w:p>
      <w:pPr>
        <w:pStyle w:val="CaseBody"/>
      </w:pPr>
      <w:r>
        <w:t xml:space="preserve">concurring in part and concurring in the judgment.</w:t>
      </w:r>
      <w:r>
        <w:rPr>
          <w:rStyle w:val="FootnoteReference"/>
        </w:rPr>
        <w:footnoteReference w:customMarkFollows="1" w:id="144"/>
        <w:t xml:space="preserve">**********</w:t>
      </w:r>
    </w:p>
    <w:p>
      <w:pPr>
        <w:pStyle w:val="CaseBody"/>
      </w:pPr>
      <w:r>
        <w:t xml:space="preserve">The New York law at issue, N. Y. Civ. Prac. Law Ann. (CPLR) § 901(b) (West 2006), is a procedural rule that is not part of New York’s substantive law. Accordingly, I agree with Justice Scalia that Federal Rule of Civil Procedure 23 must apply in this case and join Parts I and II-A of the Court’s opinion. But I also agree with Justice Ginsburg that there are some state procedural rules that federal courts must apply in diversity cases because they function</w:t>
      </w:r>
    </w:p>
    <w:p>
      <w:pPr>
        <w:pStyle w:val="CaseBody"/>
      </w:pPr>
      <w:r>
        <w:rPr>
          <w:rStyle w:val="Elision"/>
        </w:rPr>
        <w:t xml:space="preserve">[ … ]</w:t>
      </w:r>
    </w:p>
    <w:p>
      <w:pPr>
        <w:pStyle w:val="CaseBody"/>
      </w:pPr>
      <w:r>
        <w:t xml:space="preserve">as a part of the State’s definition of substantive rights and remedies.</w:t>
      </w:r>
    </w:p>
    <w:p>
      <w:pPr>
        <w:pStyle w:val="CaseBody"/>
      </w:pPr>
      <w:r>
        <w:t xml:space="preserve">I</w:t>
      </w:r>
    </w:p>
    <w:p>
      <w:pPr>
        <w:pStyle w:val="CaseBody"/>
      </w:pPr>
      <w:r>
        <w:t xml:space="preserve">It is a long-recognized principle that federal courts sitting in diversity “apply state substantive law and federal procedural law.”</w:t>
      </w:r>
      <w:r>
        <w:t xml:space="preserve"> </w:t>
      </w:r>
      <w:r>
        <w:rPr>
          <w:rStyle w:val="Elision"/>
        </w:rPr>
        <w:t xml:space="preserve">[ … ]</w:t>
      </w:r>
      <w:hyperlink w:anchor="Xca64541a40fc537494ac4bdbe634c9b9623aa65">
        <w:r>
          <w:rPr>
            <w:rStyle w:val="Elision"/>
          </w:rPr>
          <w:t xml:space="preserve">[ … ]</w:t>
        </w:r>
      </w:hyperlink>
      <w:r>
        <w:t xml:space="preserve">This principle is governed by a statutory framework, and the way that it is administered varies depending upon whether there is a federal rule addressed to the matter.</w:t>
      </w:r>
      <w:r>
        <w:t xml:space="preserve"> </w:t>
      </w:r>
      <w:r>
        <w:rPr>
          <w:rStyle w:val="Elision"/>
        </w:rPr>
        <w:t xml:space="preserve">[ … ]</w:t>
      </w:r>
      <w:r>
        <w:t xml:space="preserve">. If no federal rule applies, a federal court must follow the Rules of Decision Act,</w:t>
      </w:r>
      <w:r>
        <w:t xml:space="preserve"> </w:t>
      </w:r>
      <w:r>
        <w:t xml:space="preserve">28 U.S.C. § 1652</w:t>
      </w:r>
      <w:r>
        <w:t xml:space="preserve">, and make the “relatively unguided</w:t>
      </w:r>
      <w:r>
        <w:t xml:space="preserve"> </w:t>
      </w:r>
      <w:r>
        <w:rPr>
          <w:iCs/>
          <w:i/>
        </w:rPr>
        <w:t xml:space="preserve">Erie</w:t>
      </w:r>
      <w:r>
        <w:t xml:space="preserve"> </w:t>
      </w:r>
      <w:r>
        <w:t xml:space="preserve">choice,”</w:t>
      </w:r>
      <w:hyperlink w:anchor="Xf8c10c6fdfb3b258a20f104de5abf73429a2e35">
        <w:r>
          <w:rPr>
            <w:rStyle w:val="Elision"/>
          </w:rPr>
          <w:t xml:space="preserve">[ … ]</w:t>
        </w:r>
      </w:hyperlink>
      <w:r>
        <w:t xml:space="preserve"> </w:t>
      </w:r>
      <w:r>
        <w:rPr>
          <w:rStyle w:val="Elision"/>
        </w:rPr>
        <w:t xml:space="preserve">[ … ]</w:t>
      </w:r>
      <w:r>
        <w:t xml:space="preserve"> </w:t>
      </w:r>
      <w:r>
        <w:t xml:space="preserve">to determine whether the state law is the “rule of decision.” But when a situation is covered by a federal rule, the Rules of Decision Act inquiry by its own terms does not apply.</w:t>
      </w:r>
      <w:r>
        <w:t xml:space="preserve"> </w:t>
      </w:r>
      <w:r>
        <w:rPr>
          <w:rStyle w:val="Elision"/>
        </w:rPr>
        <w:t xml:space="preserve">[ … ]</w:t>
      </w:r>
      <w:r>
        <w:t xml:space="preserve"> </w:t>
      </w:r>
      <w:r>
        <w:t xml:space="preserve">Instead, the Rules Enabling Act (Enabling Act) controls. See</w:t>
      </w:r>
      <w:r>
        <w:t xml:space="preserve"> </w:t>
      </w:r>
      <w:r>
        <w:t xml:space="preserve">28 U.S.C. § 2072</w:t>
      </w:r>
      <w:r>
        <w:t xml:space="preserve">.</w:t>
      </w:r>
    </w:p>
    <w:p>
      <w:pPr>
        <w:pStyle w:val="CaseBody"/>
      </w:pPr>
      <w:r>
        <w:t xml:space="preserve">That does not mean, however, that the federal rule always governs. Congress has provided for a system of uniform federal rules, see</w:t>
      </w:r>
      <w:r>
        <w:t xml:space="preserve"> </w:t>
      </w:r>
      <w:r>
        <w:rPr>
          <w:iCs/>
          <w:i/>
        </w:rPr>
        <w:t xml:space="preserve">ibid..,</w:t>
      </w:r>
      <w:r>
        <w:t xml:space="preserve"> </w:t>
      </w:r>
      <w:r>
        <w:t xml:space="preserve">under which federal courts sitting in diversity operate as “an independent system for administering justice to litigants who properly invoke its jurisdiction,”</w:t>
      </w:r>
      <w:r>
        <w:t xml:space="preserve"> </w:t>
      </w:r>
      <w:r>
        <w:rPr>
          <w:rStyle w:val="Elision"/>
        </w:rPr>
        <w:t xml:space="preserve">[ … ]</w:t>
      </w:r>
      <w:r>
        <w:t xml:space="preserve">, and not as state-court clones that assume all aspects of state tribunals but are managed by Article III judges.</w:t>
      </w:r>
      <w:r>
        <w:t xml:space="preserve"> </w:t>
      </w:r>
      <w:r>
        <w:rPr>
          <w:rStyle w:val="Elision"/>
        </w:rPr>
        <w:t xml:space="preserve">[ … ]</w:t>
      </w:r>
      <w:r>
        <w:t xml:space="preserve"> </w:t>
      </w:r>
      <w:r>
        <w:t xml:space="preserve">But while Congress</w:t>
      </w:r>
    </w:p>
    <w:p>
      <w:pPr>
        <w:pStyle w:val="CaseBody"/>
      </w:pPr>
      <w:r>
        <w:rPr>
          <w:rStyle w:val="Elision"/>
        </w:rPr>
        <w:t xml:space="preserve">[ … ]</w:t>
      </w:r>
    </w:p>
    <w:p>
      <w:pPr>
        <w:pStyle w:val="CaseBody"/>
      </w:pPr>
      <w:r>
        <w:t xml:space="preserve">may have the constitutional power to prescribe procedural rules that interfere with state substantive law in any number of respects, that is not what Congress has done. Instead, it has provided in the Enabling Act that although “ [t]he Supreme Court” may “prescribe general rules of practice and procedure,” § 2072(a), those rules “shall not abridge, enlarge or modify any substantive right,” § 2072(b). Therefore, “[w]hen a situation is covered by one of the Federal Rules, . . . the court has been instructed to apply the Federal Rule” unless doing so would violate the Act or the Constitution.</w:t>
      </w:r>
    </w:p>
    <w:p>
      <w:pPr>
        <w:pStyle w:val="CaseBody"/>
      </w:pPr>
      <w:r>
        <w:rPr>
          <w:rStyle w:val="Elision"/>
        </w:rPr>
        <w:t xml:space="preserve">[ … ]</w:t>
      </w:r>
    </w:p>
    <w:p>
      <w:pPr>
        <w:pStyle w:val="CaseBody"/>
      </w:pPr>
      <w:r>
        <w:t xml:space="preserve">Although the Enabling Act and the Rules of Decision Act “say, roughly, that federal courts are to apply state ‘substantive’ law and federal ‘procedural’ law,” the inquiries are not the same.</w:t>
      </w:r>
      <w:r>
        <w:t xml:space="preserve"> </w:t>
      </w:r>
      <w:r>
        <w:rPr>
          <w:rStyle w:val="Elision"/>
        </w:rPr>
        <w:t xml:space="preserve">[ … ]</w:t>
      </w:r>
      <w:r>
        <w:t xml:space="preserve">. The Enabling Act does not invite federal courts to engage in the “relatively unguided</w:t>
      </w:r>
      <w:r>
        <w:t xml:space="preserve"> </w:t>
      </w:r>
      <w:r>
        <w:rPr>
          <w:iCs/>
          <w:i/>
        </w:rPr>
        <w:t xml:space="preserve">Erie</w:t>
      </w:r>
      <w:r>
        <w:t xml:space="preserve"> </w:t>
      </w:r>
      <w:r>
        <w:t xml:space="preserve">choice,”</w:t>
      </w:r>
    </w:p>
    <w:p>
      <w:pPr>
        <w:pStyle w:val="CaseBody"/>
      </w:pPr>
      <w:r>
        <w:rPr>
          <w:rStyle w:val="Elision"/>
        </w:rPr>
        <w:t xml:space="preserve">[ … ]</w:t>
      </w:r>
      <w:r>
        <w:t xml:space="preserve">, but instead instructs only that federal rules cannot “abridge, enlarge or modify any substantive right,” § 2072(b). The Enabling Act’s limitation does not mean that federal rules cannot displace state policy judgments; it means only that federal rules cannot displace a State’s definition of its own rights or remedies.</w:t>
      </w:r>
      <w:r>
        <w:t xml:space="preserve"> </w:t>
      </w:r>
      <w:r>
        <w:rPr>
          <w:rStyle w:val="Elision"/>
        </w:rPr>
        <w:t xml:space="preserve">[ … ]</w:t>
      </w:r>
    </w:p>
    <w:p>
      <w:pPr>
        <w:pStyle w:val="CaseBody"/>
      </w:pPr>
      <w:r>
        <w:t xml:space="preserve">Congress has thus struck a balance: “ [Housekeeping rules for federal courts” will generally apply in diversity cases, notwithstanding that some federal rules “will inevitably differ” from state rules.</w:t>
      </w:r>
      <w:r>
        <w:t xml:space="preserve"> </w:t>
      </w:r>
      <w:r>
        <w:rPr>
          <w:rStyle w:val="Elision"/>
        </w:rPr>
        <w:t xml:space="preserve">[ … ]</w:t>
      </w:r>
      <w:r>
        <w:t xml:space="preserve"> </w:t>
      </w:r>
      <w:r>
        <w:t xml:space="preserve">But not every federal “rul[e] of practice or procedure,” § 2072(a), will displace state law. To the contrary, federal rules must be interpreted with some degree of “sensitivity to important state interests and regulatory policies,”</w:t>
      </w:r>
      <w:r>
        <w:t xml:space="preserve"> </w:t>
      </w:r>
      <w:r>
        <w:rPr>
          <w:rStyle w:val="Elision"/>
        </w:rPr>
        <w:t xml:space="preserve">[ … ]</w:t>
      </w:r>
      <w:r>
        <w:t xml:space="preserve"> </w:t>
      </w:r>
      <w:r>
        <w:t xml:space="preserve">and applied to diversity cases against the background of Congress’</w:t>
      </w:r>
    </w:p>
    <w:p>
      <w:pPr>
        <w:pStyle w:val="CaseBody"/>
      </w:pPr>
      <w:r>
        <w:rPr>
          <w:rStyle w:val="Elision"/>
        </w:rPr>
        <w:t xml:space="preserve">[ … ]</w:t>
      </w:r>
    </w:p>
    <w:p>
      <w:pPr>
        <w:pStyle w:val="CaseBody"/>
      </w:pPr>
      <w:r>
        <w:t xml:space="preserve">command that such rules not alter substantive rights and with consideration of “the degree to which the Rule makes the character and result of the federal litigation stray from the course it would follow in state courts,”</w:t>
      </w:r>
      <w:r>
        <w:t xml:space="preserve"> </w:t>
      </w:r>
      <w:r>
        <w:rPr>
          <w:rStyle w:val="Elision"/>
        </w:rPr>
        <w:t xml:space="preserve">[ … ]</w:t>
      </w:r>
      <w:r>
        <w:t xml:space="preserve"> </w:t>
      </w:r>
      <w:r>
        <w:t xml:space="preserve">This can be a tricky balance to implement.</w:t>
      </w:r>
      <w:hyperlink w:anchor="Xea0b78769be39d5c4db3e2c3117d79352b9b55c">
        <w:r>
          <w:rPr>
            <w:rStyle w:val="Elision"/>
          </w:rPr>
          <w:t xml:space="preserve">[ … ]</w:t>
        </w:r>
      </w:hyperlink>
      <w:r>
        <w:t xml:space="preserve"> </w:t>
      </w:r>
      <w:r>
        <w:t xml:space="preserve">It is important to observe that the balance Congress has struck turns, in part, on the nature of the state law that is being displaced by a federal rule. And in my view, the application of that balance does not necessarily turn on whether the state law at issue takes the</w:t>
      </w:r>
      <w:r>
        <w:t xml:space="preserve"> </w:t>
      </w:r>
      <w:r>
        <w:rPr>
          <w:iCs/>
          <w:i/>
        </w:rPr>
        <w:t xml:space="preserve">form</w:t>
      </w:r>
      <w:r>
        <w:t xml:space="preserve"> </w:t>
      </w:r>
      <w:r>
        <w:t xml:space="preserve">of what is traditionally described as substantive or procedural. Rather, it turns on whether the state law actually is part of a State’s framework of substantive rights or remedies.</w:t>
      </w:r>
      <w:r>
        <w:t xml:space="preserve"> </w:t>
      </w:r>
      <w:r>
        <w:rPr>
          <w:rStyle w:val="Elision"/>
        </w:rPr>
        <w:t xml:space="preserve">[ … ]</w:t>
      </w:r>
    </w:p>
    <w:p>
      <w:pPr>
        <w:pStyle w:val="CaseBody"/>
      </w:pPr>
      <w:r>
        <w:t xml:space="preserve">Applying this balance, therefore, requires careful interpretation of the state and federal provisions at issue. “The line between procedural and substantive law is hazy,”</w:t>
      </w:r>
      <w:r>
        <w:t xml:space="preserve"> </w:t>
      </w:r>
      <w:r>
        <w:rPr>
          <w:rStyle w:val="Elision"/>
        </w:rPr>
        <w:t xml:space="preserve">[ … ]</w:t>
      </w:r>
      <w:r>
        <w:t xml:space="preserve"> </w:t>
      </w:r>
      <w:r>
        <w:t xml:space="preserve">and matters of procedure and matters of substance are not “mutually exclusive categories with easily ascertainable contents,”</w:t>
      </w:r>
      <w:r>
        <w:t xml:space="preserve"> </w:t>
      </w:r>
      <w:r>
        <w:rPr>
          <w:rStyle w:val="Elision"/>
        </w:rPr>
        <w:t xml:space="preserve">[ … ]</w:t>
      </w:r>
      <w:r>
        <w:t xml:space="preserve">Rather, “[r]ules which lawyers call procedural do not always exhaust their effect by regulating procedure,”</w:t>
      </w:r>
      <w:r>
        <w:t xml:space="preserve"> </w:t>
      </w:r>
      <w:r>
        <w:rPr>
          <w:iCs/>
          <w:i/>
        </w:rPr>
        <w:t xml:space="preserve">Cohen</w:t>
      </w:r>
      <w:r>
        <w:t xml:space="preserve"> </w:t>
      </w:r>
      <w:r>
        <w:t xml:space="preserve">v.</w:t>
      </w:r>
      <w:r>
        <w:t xml:space="preserve"> </w:t>
      </w:r>
      <w:r>
        <w:rPr>
          <w:iCs/>
          <w:i/>
        </w:rPr>
        <w:t xml:space="preserve">Beneficial Industrial Loan Corp.,</w:t>
      </w:r>
      <w:r>
        <w:rPr>
          <w:rStyle w:val="Elision"/>
        </w:rPr>
        <w:t xml:space="preserve">[ … ]</w:t>
      </w:r>
      <w:r>
        <w:t xml:space="preserve"> </w:t>
      </w:r>
      <w:r>
        <w:t xml:space="preserve">and in some situations, “procedure and substance are so interwoven that rational separation becomes well-nigh impossible,”</w:t>
      </w:r>
      <w:r>
        <w:t xml:space="preserve"> </w:t>
      </w:r>
      <w:r>
        <w:rPr>
          <w:rStyle w:val="Elision"/>
        </w:rPr>
        <w:t xml:space="preserve">[ … ]</w:t>
      </w:r>
      <w:r>
        <w:t xml:space="preserve">A “state procedural rule, though undeniably ‘procedural’ in the ordinary</w:t>
      </w:r>
    </w:p>
    <w:p>
      <w:pPr>
        <w:pStyle w:val="CaseBody"/>
      </w:pPr>
      <w:r>
        <w:rPr>
          <w:rStyle w:val="Elision"/>
        </w:rPr>
        <w:t xml:space="preserve">[ … ]</w:t>
      </w:r>
    </w:p>
    <w:p>
      <w:pPr>
        <w:pStyle w:val="CaseBody"/>
      </w:pPr>
      <w:r>
        <w:t xml:space="preserve">sense of the term,” may exist “to influence substantive outcomes,”</w:t>
      </w:r>
      <w:r>
        <w:t xml:space="preserve"> </w:t>
      </w:r>
      <w:r>
        <w:rPr>
          <w:rStyle w:val="Elision"/>
        </w:rPr>
        <w:t xml:space="preserve">[ … ]</w:t>
      </w:r>
      <w:r>
        <w:t xml:space="preserve">, and may in some instances become so bound up with the state-created right or remedy that it defines the scope of that substantive right or remedy. Such laws, for example, may be seemingly procedural rules that make it significantly more difficult to bring or to prove a claim, thus serving to limit the scope of that claim.</w:t>
      </w:r>
      <w:r>
        <w:t xml:space="preserve"> </w:t>
      </w:r>
      <w:r>
        <w:rPr>
          <w:rStyle w:val="Elision"/>
        </w:rPr>
        <w:t xml:space="preserve">[ … ]</w:t>
      </w:r>
      <w:r>
        <w:t xml:space="preserve"> </w:t>
      </w:r>
      <w:r>
        <w:t xml:space="preserve">Such “procedural rules” may also define the amount of recovery.</w:t>
      </w:r>
      <w:r>
        <w:t xml:space="preserve"> </w:t>
      </w:r>
      <w:r>
        <w:rPr>
          <w:rStyle w:val="Elision"/>
        </w:rPr>
        <w:t xml:space="preserve">[ … ]</w:t>
      </w:r>
    </w:p>
    <w:p>
      <w:pPr>
        <w:pStyle w:val="CaseBody"/>
      </w:pPr>
      <w:r>
        <w:t xml:space="preserve">In our federalist system, Congress has not mandated that federal courts dictate to state legislatures the form that their substantive law must take. And were federal courts to ignore those portions of substantive state law that operate as procedural devices, it could in many instances limit the ways that sovereign States may define their rights and remedies. When a State chooses to use a traditionally procedural vehicle as a means of defining the scope of substantive rights or remedies, federal courts must recognize and respect that choice.</w:t>
      </w:r>
      <w:r>
        <w:t xml:space="preserve"> </w:t>
      </w:r>
      <w:r>
        <w:rPr>
          <w:rStyle w:val="Elision"/>
        </w:rPr>
        <w:t xml:space="preserve">[ … ]</w:t>
      </w:r>
    </w:p>
    <w:p>
      <w:pPr>
        <w:pStyle w:val="CaseBody"/>
      </w:pPr>
      <w:r>
        <w:t xml:space="preserve">II</w:t>
      </w:r>
    </w:p>
    <w:p>
      <w:pPr>
        <w:pStyle w:val="CaseBody"/>
      </w:pPr>
      <w:r>
        <w:t xml:space="preserve">When both a federal rule and a state law appear to govern a question before a federal court sitting in diversity, our precedents have set out a two-step framework for federal courts to negotiate this thorny area. At both steps of the inquiry, there is a critical question about what the state law and the federal rule mean.</w:t>
      </w:r>
    </w:p>
    <w:p>
      <w:pPr>
        <w:pStyle w:val="CaseBody"/>
      </w:pPr>
      <w:r>
        <w:t xml:space="preserve">The court must first determine whether the scope of the federal rule is “ ‘sufficiently broad’ ” to “ ‘control the issue’ ” before the court, “thereby leaving no room for the operation” of seemingly conflicting state law.</w:t>
      </w:r>
      <w:r>
        <w:t xml:space="preserve"> </w:t>
      </w:r>
      <w:r>
        <w:rPr>
          <w:rStyle w:val="Elision"/>
        </w:rPr>
        <w:t xml:space="preserve">[ … ]</w:t>
      </w:r>
      <w:r>
        <w:t xml:space="preserve"> </w:t>
      </w:r>
      <w:r>
        <w:t xml:space="preserve">If the federal rule does not apply or can operate alongside the state rule, then there is no “Ac[t] of Congress” governing that particular question,</w:t>
      </w:r>
      <w:r>
        <w:t xml:space="preserve"> </w:t>
      </w:r>
      <w:r>
        <w:t xml:space="preserve">28 U.S.C. § 1652</w:t>
      </w:r>
      <w:r>
        <w:t xml:space="preserve">, and the court must engage in the traditional Rules of Decision Act inquiry under</w:t>
      </w:r>
      <w:r>
        <w:t xml:space="preserve"> </w:t>
      </w:r>
      <w:r>
        <w:rPr>
          <w:iCs/>
          <w:i/>
        </w:rPr>
        <w:t xml:space="preserve">Erie</w:t>
      </w:r>
      <w:r>
        <w:t xml:space="preserve"> </w:t>
      </w:r>
      <w:r>
        <w:t xml:space="preserve">and its progeny.</w:t>
      </w:r>
      <w:r>
        <w:t xml:space="preserve"> </w:t>
      </w:r>
      <w:r>
        <w:t xml:space="preserve">In some instances, the “plain meaning” of a federal rule will not come into “ ‘direct collision’ ” with the state law, and both can operate.</w:t>
      </w:r>
      <w:r>
        <w:t xml:space="preserve"> </w:t>
      </w:r>
    </w:p>
    <w:p>
      <w:pPr>
        <w:pStyle w:val="CaseBody"/>
      </w:pPr>
      <w:r>
        <w:t xml:space="preserve">Walker</w:t>
      </w:r>
      <w:r>
        <w:rPr>
          <w:rStyle w:val="Elision"/>
        </w:rPr>
        <w:t xml:space="preserve">[ … ]</w:t>
      </w:r>
      <w:r>
        <w:rPr>
          <w:rStyle w:val="FootnoteReference"/>
        </w:rPr>
        <w:footnoteReference w:customMarkFollows="1" w:id="145"/>
        <w:t xml:space="preserve">***********</w:t>
      </w:r>
      <w:r>
        <w:t xml:space="preserve">. In other instances, the rule “when fairly construed,”</w:t>
      </w:r>
      <w:r>
        <w:t xml:space="preserve"> </w:t>
      </w:r>
      <w:r>
        <w:rPr>
          <w:rStyle w:val="Elision"/>
        </w:rPr>
        <w:t xml:space="preserve">[ … ]</w:t>
      </w:r>
      <w:r>
        <w:t xml:space="preserve"> </w:t>
      </w:r>
      <w:r>
        <w:t xml:space="preserve">with “sensitivity to important state interests and regulatory policies,”</w:t>
      </w:r>
      <w:r>
        <w:t xml:space="preserve"> </w:t>
      </w:r>
      <w:r>
        <w:rPr>
          <w:rStyle w:val="Elision"/>
        </w:rPr>
        <w:t xml:space="preserve">[ … ]</w:t>
      </w:r>
      <w:r>
        <w:t xml:space="preserve">, will not collide with the state law.</w:t>
      </w:r>
      <w:r>
        <w:rPr>
          <w:rStyle w:val="FootnoteReference"/>
        </w:rPr>
        <w:footnoteReference w:customMarkFollows="1" w:id="246"/>
        <w:t xml:space="preserve">5</w:t>
      </w:r>
    </w:p>
    <w:p>
      <w:pPr>
        <w:pStyle w:val="CaseBody"/>
      </w:pPr>
      <w:r>
        <w:rPr>
          <w:rStyle w:val="Elision"/>
        </w:rPr>
        <w:t xml:space="preserve">[ … ]</w:t>
      </w:r>
    </w:p>
    <w:p>
      <w:pPr>
        <w:pStyle w:val="CaseBody"/>
      </w:pPr>
      <w:r>
        <w:t xml:space="preserve">If, on the other hand, the federal rule is “sufficiently broad to control the issue before the Court,” such that there is a “direct collision,”</w:t>
      </w:r>
      <w:r>
        <w:t xml:space="preserve"> </w:t>
      </w:r>
      <w:r>
        <w:rPr>
          <w:iCs/>
          <w:i/>
        </w:rPr>
        <w:t xml:space="preserve">Walker</w:t>
      </w:r>
      <w:r>
        <w:rPr>
          <w:rStyle w:val="Elision"/>
        </w:rPr>
        <w:t xml:space="preserve">[ … ]</w:t>
      </w:r>
      <w:r>
        <w:t xml:space="preserve"> </w:t>
      </w:r>
      <w:r>
        <w:t xml:space="preserve">the court must decide whether application of the federal rule “represents a valid exercise” of the “rulemaking authority . . . bestowed on this Court by the Rules Enabling Act,”</w:t>
      </w:r>
      <w:r>
        <w:t xml:space="preserve"> </w:t>
      </w:r>
      <w:r>
        <w:rPr>
          <w:rStyle w:val="Elision"/>
        </w:rPr>
        <w:t xml:space="preserve">[ … ]</w:t>
      </w:r>
      <w:r>
        <w:t xml:space="preserve"> </w:t>
      </w:r>
      <w:r>
        <w:t xml:space="preserve">The Enabling Act requires,</w:t>
      </w:r>
      <w:r>
        <w:t xml:space="preserve"> </w:t>
      </w:r>
      <w:r>
        <w:rPr>
          <w:iCs/>
          <w:i/>
        </w:rPr>
        <w:t xml:space="preserve">inter alia,</w:t>
      </w:r>
      <w:r>
        <w:t xml:space="preserve"> </w:t>
      </w:r>
      <w:r>
        <w:t xml:space="preserve">that federal rules “not abridge, enlarge or modify</w:t>
      </w:r>
      <w:r>
        <w:t xml:space="preserve"> </w:t>
      </w:r>
      <w:r>
        <w:rPr>
          <w:iCs/>
          <w:i/>
        </w:rPr>
        <w:t xml:space="preserve">any</w:t>
      </w:r>
      <w:r>
        <w:t xml:space="preserve"> </w:t>
      </w:r>
      <w:r>
        <w:t xml:space="preserve">substantive right.”</w:t>
      </w:r>
      <w:r>
        <w:t xml:space="preserve"> </w:t>
      </w:r>
      <w:r>
        <w:t xml:space="preserve">28 U.S.C. § 2072</w:t>
      </w:r>
      <w:r>
        <w:t xml:space="preserve">(b) (emphasis added). Unlike Justice Scalia, I believe that an application of a federal rule that effectively abridges, enlarges, or modifies a state-created right or remedy violates this command. Congress may have the constitutional power “to supplant state law” with rules that are “rationally capable of classification as procedure,”</w:t>
      </w:r>
      <w:r>
        <w:t xml:space="preserve"> </w:t>
      </w:r>
      <w:r>
        <w:rPr>
          <w:iCs/>
          <w:i/>
        </w:rPr>
        <w:t xml:space="preserve">ante,</w:t>
      </w:r>
      <w:r>
        <w:rPr>
          <w:rStyle w:val="Elision"/>
        </w:rPr>
        <w:t xml:space="preserve">[ … ]</w:t>
      </w:r>
      <w:r>
        <w:t xml:space="preserve">, but we should generally presume that it has not done so.</w:t>
      </w:r>
      <w:r>
        <w:t xml:space="preserve"> </w:t>
      </w:r>
      <w:r>
        <w:rPr>
          <w:rStyle w:val="Elision"/>
        </w:rPr>
        <w:t xml:space="preserve">[ … ]</w:t>
      </w:r>
      <w:r>
        <w:t xml:space="preserve"> </w:t>
      </w:r>
      <w:r>
        <w:t xml:space="preserve">Indeed, the mandate that federal rules “shall not abridge, enlarge or modify any substantive right” evinces the opposite intent, as does Congress’ decision to delegate the creation of rules to this Court rather than to a political branch,</w:t>
      </w:r>
      <w:r>
        <w:t xml:space="preserve"> </w:t>
      </w:r>
      <w:r>
        <w:rPr>
          <w:rStyle w:val="Elision"/>
        </w:rPr>
        <w:t xml:space="preserve">[ … ]</w:t>
      </w:r>
    </w:p>
    <w:p>
      <w:pPr>
        <w:pStyle w:val="CaseBody"/>
      </w:pPr>
      <w:r>
        <w:t xml:space="preserve">Thus, the second step of the inquiry may well bleed back into the first.</w:t>
      </w:r>
      <w:r>
        <w:t xml:space="preserve"> </w:t>
      </w:r>
      <w:r>
        <w:t xml:space="preserve">When a federal rule appears to abridge, enlarge,</w:t>
      </w:r>
    </w:p>
    <w:p>
      <w:pPr>
        <w:pStyle w:val="CaseBody"/>
      </w:pPr>
      <w:r>
        <w:rPr>
          <w:rStyle w:val="Elision"/>
        </w:rPr>
        <w:t xml:space="preserve">[ … ]</w:t>
      </w:r>
    </w:p>
    <w:p>
      <w:pPr>
        <w:pStyle w:val="CaseBody"/>
      </w:pPr>
      <w:r>
        <w:t xml:space="preserve">or modify a substantive right, federal courts must consider whether the rule can reasonably be interpreted to avoid that impermissible result</w:t>
      </w:r>
      <w:r>
        <w:rPr>
          <w:rStyle w:val="FootnoteReference"/>
        </w:rPr>
        <w:footnoteReference w:customMarkFollows="1" w:id="147"/>
        <w:t xml:space="preserve">*************</w:t>
      </w:r>
      <w:r>
        <w:t xml:space="preserve">.</w:t>
      </w:r>
      <w:r>
        <w:t xml:space="preserve"> </w:t>
      </w:r>
      <w:r>
        <w:rPr>
          <w:rStyle w:val="Elision"/>
        </w:rPr>
        <w:t xml:space="preserve">[ … ]</w:t>
      </w:r>
      <w:r>
        <w:t xml:space="preserve"> </w:t>
      </w:r>
      <w:r>
        <w:t xml:space="preserve">And when such a “saving” construction is not possible and the rule would violate the Enabling Act, federal courts cannot apply the rule. See</w:t>
      </w:r>
      <w:r>
        <w:rPr>
          <w:rStyle w:val="Elision"/>
        </w:rPr>
        <w:t xml:space="preserve">[ … ]</w:t>
      </w:r>
      <w:r>
        <w:t xml:space="preserve"> </w:t>
      </w:r>
      <w:r>
        <w:t xml:space="preserve">also</w:t>
      </w:r>
      <w:r>
        <w:t xml:space="preserve"> </w:t>
      </w:r>
      <w:r>
        <w:rPr>
          <w:iCs/>
          <w:i/>
        </w:rPr>
        <w:t xml:space="preserve">Semtek Int’l Inc.,</w:t>
      </w:r>
      <w:r>
        <w:rPr>
          <w:iCs/>
          <w:i/>
        </w:rPr>
        <w:t xml:space="preserve"> </w:t>
      </w:r>
      <w:r>
        <w:t xml:space="preserve">531 U.S., at 503-504</w:t>
      </w:r>
      <w:r>
        <w:t xml:space="preserve">,</w:t>
      </w:r>
      <w:r>
        <w:t xml:space="preserve"> </w:t>
      </w:r>
      <w:r>
        <w:t xml:space="preserve">121 S. Ct. 1021</w:t>
      </w:r>
      <w:r>
        <w:t xml:space="preserve">,</w:t>
      </w:r>
      <w:r>
        <w:t xml:space="preserve"> </w:t>
      </w:r>
      <w:r>
        <w:t xml:space="preserve">149 L. Ed. 2d 32</w:t>
      </w:r>
      <w:r>
        <w:t xml:space="preserve"> </w:t>
      </w:r>
      <w:r>
        <w:t xml:space="preserve">(noting that if state law granted a particular right, “the federal court’s extinguishment of that right . . . would seem to violate [§ 2072(b)]”);</w:t>
      </w:r>
      <w:r>
        <w:rPr>
          <w:rStyle w:val="FootnoteReference"/>
        </w:rPr>
        <w:footnoteReference w:customMarkFollows="1" w:id="148"/>
        <w:t xml:space="preserve">**************</w:t>
      </w:r>
      <w:r>
        <w:t xml:space="preserve"> </w:t>
      </w:r>
      <w:r>
        <w:rPr>
          <w:rStyle w:val="Elision"/>
        </w:rPr>
        <w:t xml:space="preserve">[ … ]</w:t>
      </w:r>
      <w:r>
        <w:t xml:space="preserve">. A federal rule, therefore, cannot govern a particular case in which the rule would displace a state law that is procedural in the ordinary use of the term but is so intertwined with a state right or remedy that it functions to define the scope of the state-created right. And absent a governing federal rule, a federal court must engage in the traditional Rules of Decision Act inquiry, under the</w:t>
      </w:r>
      <w:r>
        <w:t xml:space="preserve"> </w:t>
      </w:r>
      <w:r>
        <w:rPr>
          <w:iCs/>
          <w:i/>
        </w:rPr>
        <w:t xml:space="preserve">Erie</w:t>
      </w:r>
      <w:r>
        <w:t xml:space="preserve"> </w:t>
      </w:r>
      <w:r>
        <w:t xml:space="preserve">line</w:t>
      </w:r>
    </w:p>
    <w:p>
      <w:pPr>
        <w:pStyle w:val="CaseBody"/>
      </w:pPr>
      <w:r>
        <w:rPr>
          <w:rStyle w:val="Elision"/>
        </w:rPr>
        <w:t xml:space="preserve">[ … ]</w:t>
      </w:r>
    </w:p>
    <w:p>
      <w:pPr>
        <w:pStyle w:val="CaseBody"/>
      </w:pPr>
      <w:r>
        <w:t xml:space="preserve">of cases. This application of the Enabling Act shows “sensitivity to important state interests,”</w:t>
      </w:r>
      <w:r>
        <w:t xml:space="preserve"> </w:t>
      </w:r>
      <w:r>
        <w:rPr>
          <w:iCs/>
          <w:i/>
        </w:rPr>
        <w:t xml:space="preserve">post,</w:t>
      </w:r>
      <w:r>
        <w:t xml:space="preserve"> </w:t>
      </w:r>
      <w:r>
        <w:rPr>
          <w:rStyle w:val="Elision"/>
        </w:rPr>
        <w:t xml:space="preserve">[ … ]</w:t>
      </w:r>
      <w:r>
        <w:t xml:space="preserve">and “regulatory policies,”</w:t>
      </w:r>
      <w:r>
        <w:t xml:space="preserve"> </w:t>
      </w:r>
      <w:r>
        <w:rPr>
          <w:iCs/>
          <w:i/>
        </w:rPr>
        <w:t xml:space="preserve">post,</w:t>
      </w:r>
      <w:r>
        <w:t xml:space="preserve"> </w:t>
      </w:r>
      <w:r>
        <w:rPr>
          <w:rStyle w:val="Elision"/>
        </w:rPr>
        <w:t xml:space="preserve">[ … ]</w:t>
      </w:r>
      <w:r>
        <w:t xml:space="preserve">, but it does so as Congress authorized, by ensuring that federal rules that ordinarily “prescribe general rules of practice and procedure,” § 2072(a), do “not abridge, enlarge or modify any substantive right,” § 2072(b).</w:t>
      </w:r>
    </w:p>
    <w:p>
      <w:pPr>
        <w:pStyle w:val="CaseBody"/>
      </w:pPr>
      <w:r>
        <w:t xml:space="preserve">Justice Scalia believes that the sole Enabling Act question is whether the federal rule “really regulates procedure,”</w:t>
      </w:r>
      <w:r>
        <w:t xml:space="preserve"> </w:t>
      </w:r>
      <w:r>
        <w:rPr>
          <w:iCs/>
          <w:i/>
        </w:rPr>
        <w:t xml:space="preserve">ante,</w:t>
      </w:r>
      <w:r>
        <w:t xml:space="preserve"> </w:t>
      </w:r>
      <w:r>
        <w:rPr>
          <w:rStyle w:val="Elision"/>
        </w:rPr>
        <w:t xml:space="preserve">[ … ]</w:t>
      </w:r>
      <w:r>
        <w:t xml:space="preserve">, which means, apparently, whether it regulates “the manner and the means by which the litigants’ rights are enforced,”</w:t>
      </w:r>
      <w:r>
        <w:t xml:space="preserve"> </w:t>
      </w:r>
      <w:r>
        <w:rPr>
          <w:iCs/>
          <w:i/>
        </w:rPr>
        <w:t xml:space="preserve">ante,</w:t>
      </w:r>
      <w:r>
        <w:rPr>
          <w:rStyle w:val="Elision"/>
        </w:rPr>
        <w:t xml:space="preserve">[ … ]</w:t>
      </w:r>
      <w:r>
        <w:t xml:space="preserve">I respectfully disagree.</w:t>
      </w:r>
      <w:hyperlink w:anchor="X12c3cff96d324bfef27c38eed1a81b86a5ec198">
        <w:r>
          <w:rPr>
            <w:rStyle w:val="Elision"/>
          </w:rPr>
          <w:t xml:space="preserve">[ … ]</w:t>
        </w:r>
      </w:hyperlink>
      <w:r>
        <w:t xml:space="preserve"> </w:t>
      </w:r>
      <w:r>
        <w:t xml:space="preserve">This interpretation of the Enabling Act is consonant with the Act’s first limitation to “general rules of practice and procedure,” § 2072(a). But it ignores the second limitation that such rules also “not abridge, enlarge or modify</w:t>
      </w:r>
      <w:r>
        <w:t xml:space="preserve"> </w:t>
      </w:r>
      <w:r>
        <w:rPr>
          <w:iCs/>
          <w:i/>
        </w:rPr>
        <w:t xml:space="preserve">any</w:t>
      </w:r>
      <w:r>
        <w:t xml:space="preserve"> </w:t>
      </w:r>
      <w:r>
        <w:t xml:space="preserve">substantive right,” § 2072(b) (emphasis added),</w:t>
      </w:r>
      <w:r>
        <w:rPr>
          <w:rStyle w:val="FootnoteReference"/>
        </w:rPr>
        <w:footnoteReference w:customMarkFollows="1" w:id="253"/>
        <w:t xml:space="preserve">8</w:t>
      </w:r>
      <w:r>
        <w:t xml:space="preserve"> </w:t>
      </w:r>
      <w:r>
        <w:t xml:space="preserve">and in so doing ignores the balance that</w:t>
      </w:r>
    </w:p>
    <w:p>
      <w:pPr>
        <w:pStyle w:val="CaseBody"/>
      </w:pPr>
      <w:r>
        <w:rPr>
          <w:rStyle w:val="Elision"/>
        </w:rPr>
        <w:t xml:space="preserve">[ … ]</w:t>
      </w:r>
    </w:p>
    <w:p>
      <w:pPr>
        <w:pStyle w:val="CaseBody"/>
      </w:pPr>
      <w:r>
        <w:t xml:space="preserve">Congress struck between uniform rules of federal procedure and respect for a State’s construction of its own rights and remedies. It also ignores the separation-of-powers presumption,</w:t>
      </w:r>
      <w:r>
        <w:t xml:space="preserve"> </w:t>
      </w:r>
      <w:r>
        <w:rPr>
          <w:rStyle w:val="Elision"/>
        </w:rPr>
        <w:t xml:space="preserve">[ … ]</w:t>
      </w:r>
      <w:r>
        <w:t xml:space="preserve">, and federalism presumption,</w:t>
      </w:r>
      <w:r>
        <w:t xml:space="preserve"> </w:t>
      </w:r>
      <w:r>
        <w:rPr>
          <w:rStyle w:val="Elision"/>
        </w:rPr>
        <w:t xml:space="preserve">[ … ]</w:t>
      </w:r>
      <w:r>
        <w:t xml:space="preserve"> </w:t>
      </w:r>
      <w:r>
        <w:t xml:space="preserve">that counsel against judicially created rules displacing state substantive law.</w:t>
      </w:r>
      <w:r>
        <w:rPr>
          <w:rStyle w:val="FootnoteReference"/>
        </w:rPr>
        <w:footnoteReference w:customMarkFollows="1" w:id="260"/>
        <w:t xml:space="preserve">9</w:t>
      </w:r>
    </w:p>
    <w:p>
      <w:pPr>
        <w:pStyle w:val="CaseBody"/>
      </w:pPr>
      <w:r>
        <w:rPr>
          <w:rStyle w:val="Elision"/>
        </w:rPr>
        <w:t xml:space="preserve">[ … ]</w:t>
      </w:r>
    </w:p>
    <w:p>
      <w:pPr>
        <w:pStyle w:val="CaseBody"/>
      </w:pPr>
      <w:r>
        <w:t xml:space="preserve">Although the plurality appears to agree with much of my interpretation of § 2072, see</w:t>
      </w:r>
      <w:r>
        <w:t xml:space="preserve"> </w:t>
      </w:r>
      <w:r>
        <w:rPr>
          <w:iCs/>
          <w:i/>
        </w:rPr>
        <w:t xml:space="preserve">ante,</w:t>
      </w:r>
      <w:r>
        <w:rPr>
          <w:rStyle w:val="Elision"/>
        </w:rPr>
        <w:t xml:space="preserve">[ … ]</w:t>
      </w:r>
      <w:r>
        <w:t xml:space="preserve"> </w:t>
      </w:r>
      <w:r>
        <w:t xml:space="preserve">it nonetheless rejects that approach for two reasons, both of which are mistaken. First, Justice Scalia worries that if federal courts inquire into the effect of federal rules on state law, it will enmesh federal courts in difficult determinations about whether application of a given rule would displace a state determination about substantive rights. See</w:t>
      </w:r>
      <w:r>
        <w:t xml:space="preserve"> </w:t>
      </w:r>
      <w:r>
        <w:rPr>
          <w:iCs/>
          <w:i/>
        </w:rPr>
        <w:t xml:space="preserve">ante,</w:t>
      </w:r>
      <w:r>
        <w:t xml:space="preserve"> </w:t>
      </w:r>
      <w:r>
        <w:rPr>
          <w:rStyle w:val="Elision"/>
        </w:rPr>
        <w:t xml:space="preserve">[ … ]</w:t>
      </w:r>
      <w:r>
        <w:t xml:space="preserve">I do not see why an Enabling Act inquiry that looks to state law necessarily is more taxing than Justice Sca-lia’s.</w:t>
      </w:r>
      <w:hyperlink w:anchor="X386ab65ead1b83711b76178b95b46f68fe91c13">
        <w:r>
          <w:rPr>
            <w:rStyle w:val="Elision"/>
          </w:rPr>
          <w:t xml:space="preserve">[ … ]</w:t>
        </w:r>
      </w:hyperlink>
      <w:r>
        <w:t xml:space="preserve"> </w:t>
      </w:r>
      <w:r>
        <w:t xml:space="preserve">But in any event, that inquiry is what the Enabling Act requires: While it may not be easy to decide what is actually a “substantive right,” “the designations substantive and procedural become important, for the Enabling Act has made them so.”</w:t>
      </w:r>
      <w:r>
        <w:t xml:space="preserve"> </w:t>
      </w:r>
      <w:r>
        <w:rPr>
          <w:rStyle w:val="Elision"/>
        </w:rPr>
        <w:t xml:space="preserve">[ … ]</w:t>
      </w:r>
      <w:r>
        <w:t xml:space="preserve">The question, therefore, is not what rule</w:t>
      </w:r>
      <w:r>
        <w:t xml:space="preserve"> </w:t>
      </w:r>
      <w:r>
        <w:rPr>
          <w:iCs/>
          <w:i/>
        </w:rPr>
        <w:t xml:space="preserve">we</w:t>
      </w:r>
      <w:r>
        <w:rPr>
          <w:iCs/>
          <w:i/>
        </w:rPr>
        <w:t xml:space="preserve"> </w:t>
      </w:r>
      <w:r>
        <w:t xml:space="preserve">think would be easiest on federal courts. The question is what rule Congress established. Although Justice Scalia may generally prefer easily administrable, bright-line rules, his preference does not give us license to adopt a second-best interpretation of the Enabling Act. Courts cannot ignore text and context in the service of simplicity.</w:t>
      </w:r>
    </w:p>
    <w:p>
      <w:pPr>
        <w:pStyle w:val="CaseBody"/>
      </w:pPr>
      <w:r>
        <w:rPr>
          <w:rStyle w:val="Elision"/>
        </w:rPr>
        <w:t xml:space="preserve">[ … ]</w:t>
      </w:r>
      <w:r>
        <w:rPr>
          <w:rStyle w:val="FootnoteReference"/>
        </w:rPr>
        <w:footnoteReference w:customMarkFollows="1" w:id="151"/>
        <w:t xml:space="preserve">*****************</w:t>
      </w:r>
    </w:p>
    <w:p>
      <w:pPr>
        <w:pStyle w:val="CaseBody"/>
      </w:pPr>
      <w:r>
        <w:t xml:space="preserve">Second, the plurality argues that its interpretation of the Enabling Act is dictated by this Court’s decision in</w:t>
      </w:r>
      <w:r>
        <w:t xml:space="preserve"> </w:t>
      </w:r>
      <w:r>
        <w:rPr>
          <w:iCs/>
          <w:i/>
        </w:rPr>
        <w:t xml:space="preserve">Sibbach,</w:t>
      </w:r>
      <w:r>
        <w:t xml:space="preserve"> </w:t>
      </w:r>
      <w:r>
        <w:t xml:space="preserve">which applied a Federal Rule about when parties must submit to medical examinations. But the plurality misreads that opinion</w:t>
      </w:r>
      <w:r>
        <w:t xml:space="preserve">.</w:t>
      </w:r>
      <w:r>
        <w:t xml:space="preserve"> </w:t>
      </w:r>
      <w:r>
        <w:rPr>
          <w:rStyle w:val="Elision"/>
        </w:rPr>
        <w:t xml:space="preserve">[ … ]</w:t>
      </w:r>
      <w:r>
        <w:rPr>
          <w:rStyle w:val="FootnoteReference"/>
        </w:rPr>
        <w:footnoteReference w:customMarkFollows="1" w:id="152"/>
        <w:t xml:space="preserve">******************</w:t>
      </w:r>
    </w:p>
    <w:p>
      <w:pPr>
        <w:pStyle w:val="CaseBody"/>
      </w:pPr>
      <w:r>
        <w:t xml:space="preserve">III</w:t>
      </w:r>
    </w:p>
    <w:p>
      <w:pPr>
        <w:pStyle w:val="CaseBody"/>
      </w:pPr>
      <w:r>
        <w:t xml:space="preserve">Justice Ginsburg views the basic issue in this case as whether and how to apply a federal rule that dictates an answer to a traditionally procedural question (whether to join plaintiffs together as a class), when a state law that “defines the dimensions” of a state-created claim dictates the opposite answer.</w:t>
      </w:r>
      <w:r>
        <w:t xml:space="preserve"> </w:t>
      </w:r>
      <w:r>
        <w:rPr>
          <w:iCs/>
          <w:i/>
        </w:rPr>
        <w:t xml:space="preserve">Post,</w:t>
      </w:r>
      <w:r>
        <w:t xml:space="preserve"> </w:t>
      </w:r>
      <w:r>
        <w:rPr>
          <w:rStyle w:val="Elision"/>
        </w:rPr>
        <w:t xml:space="preserve">[ … ]</w:t>
      </w:r>
      <w:r>
        <w:t xml:space="preserve"> </w:t>
      </w:r>
      <w:r>
        <w:t xml:space="preserve">As explained above, I readily acknowledge that if a federal rule displaces a state rule that is “ ‘procedural’ in the ordinary sense of the term,”</w:t>
      </w:r>
      <w:r>
        <w:t xml:space="preserve"> </w:t>
      </w:r>
      <w:r>
        <w:rPr>
          <w:rStyle w:val="Elision"/>
        </w:rPr>
        <w:t xml:space="preserve">[ … ]</w:t>
      </w:r>
      <w:r>
        <w:t xml:space="preserve">but sufficiently interwoven with the scope of a substantive right or remedy, there would be an Enabling Act problem, and the federal rule would have to give way. In my view, however, this is not such a case.</w:t>
      </w:r>
    </w:p>
    <w:p>
      <w:pPr>
        <w:pStyle w:val="CaseBody"/>
      </w:pPr>
      <w:r>
        <w:rPr>
          <w:iCs/>
          <w:i/>
        </w:rPr>
        <w:t xml:space="preserve">Rule 23 Controls Class Certification</w:t>
      </w:r>
    </w:p>
    <w:p>
      <w:pPr>
        <w:pStyle w:val="CaseBody"/>
      </w:pPr>
      <w:r>
        <w:t xml:space="preserve">When the District Court in the case before us was asked to certify a class action, Federal Rule of Civil Procedure 23 squarely governed the determination whether the court</w:t>
      </w:r>
    </w:p>
    <w:p>
      <w:pPr>
        <w:pStyle w:val="CaseBody"/>
      </w:pPr>
      <w:r>
        <w:rPr>
          <w:rStyle w:val="Elision"/>
        </w:rPr>
        <w:t xml:space="preserve">[ … ]</w:t>
      </w:r>
    </w:p>
    <w:p>
      <w:pPr>
        <w:pStyle w:val="CaseBody"/>
      </w:pPr>
      <w:r>
        <w:t xml:space="preserve">should do so. That is the explicit function of Rule 23. Rule 23, therefore, must apply unless its application would abridge, enlarge, or modify New York rights or remedies.</w:t>
      </w:r>
    </w:p>
    <w:p>
      <w:pPr>
        <w:pStyle w:val="CaseBody"/>
      </w:pPr>
      <w:r>
        <w:rPr>
          <w:rStyle w:val="Elision"/>
        </w:rPr>
        <w:t xml:space="preserve">[ … ]</w:t>
      </w:r>
    </w:p>
    <w:p>
      <w:pPr>
        <w:pStyle w:val="CaseBody"/>
      </w:pPr>
      <w:r>
        <w:t xml:space="preserve">Simply because a rule should be read in light of federalism concerns, it does not follow that courts may rewrite the rule.</w:t>
      </w:r>
    </w:p>
    <w:p>
      <w:pPr>
        <w:pStyle w:val="CaseBody"/>
      </w:pPr>
      <w:r>
        <w:rPr>
          <w:rStyle w:val="Elision"/>
        </w:rPr>
        <w:t xml:space="preserve">[ … ]</w:t>
      </w:r>
    </w:p>
    <w:p>
      <w:pPr>
        <w:pStyle w:val="CaseBody"/>
      </w:pPr>
      <w:r>
        <w:rPr>
          <w:iCs/>
          <w:i/>
        </w:rPr>
        <w:t xml:space="preserve">Applying Rule 23 Does Not Violate the Enabling Act</w:t>
      </w:r>
    </w:p>
    <w:p>
      <w:pPr>
        <w:pStyle w:val="CaseBody"/>
      </w:pPr>
      <w:r>
        <w:t xml:space="preserve">As I have explained, in considering whether to certify a class action such as this one, a federal court must inquire whether doing so would abridge, enlarge, or modify New York’s rights or remedies, and thereby violate the Enabling Act. This inquiry is not always a simple one because “ [i]t is difficult to conceive of any rule of procedure that cannot have</w:t>
      </w:r>
    </w:p>
    <w:p>
      <w:pPr>
        <w:pStyle w:val="CaseBody"/>
      </w:pPr>
      <w:r>
        <w:rPr>
          <w:rStyle w:val="Elision"/>
        </w:rPr>
        <w:t xml:space="preserve">[ … ]</w:t>
      </w:r>
    </w:p>
    <w:p>
      <w:pPr>
        <w:pStyle w:val="CaseBody"/>
      </w:pPr>
      <w:r>
        <w:t xml:space="preserve">a significant effect on the outcome of a case,”</w:t>
      </w:r>
      <w:r>
        <w:t xml:space="preserve"> </w:t>
      </w:r>
      <w:r>
        <w:rPr>
          <w:rStyle w:val="Elision"/>
        </w:rPr>
        <w:t xml:space="preserve">[ … ]</w:t>
      </w:r>
      <w:r>
        <w:t xml:space="preserve">, and almost “any rule can be said to have . . . ‘substantive effects,’ affecting society’s distribution of risks and rewards,”</w:t>
      </w:r>
      <w:r>
        <w:t xml:space="preserve"> </w:t>
      </w:r>
      <w:r>
        <w:rPr>
          <w:rStyle w:val="Elision"/>
        </w:rPr>
        <w:t xml:space="preserve">[ … ]</w:t>
      </w:r>
      <w:r>
        <w:t xml:space="preserve"> </w:t>
      </w:r>
      <w:r>
        <w:t xml:space="preserve">Faced with a federal rule that dictates an answer to a traditionally procedural question and that displaces a state rule, one can often argue that the state rule was</w:t>
      </w:r>
      <w:r>
        <w:t xml:space="preserve"> </w:t>
      </w:r>
      <w:r>
        <w:rPr>
          <w:iCs/>
          <w:i/>
        </w:rPr>
        <w:t xml:space="preserve">really</w:t>
      </w:r>
      <w:r>
        <w:t xml:space="preserve"> </w:t>
      </w:r>
      <w:r>
        <w:t xml:space="preserve">some part of the State’s definition of its rights or remedies.</w:t>
      </w:r>
    </w:p>
    <w:p>
      <w:pPr>
        <w:pStyle w:val="CaseBody"/>
      </w:pPr>
      <w:r>
        <w:t xml:space="preserve">In my view, however, the bar for finding an Enabling Act problem is a high one.</w:t>
      </w:r>
      <w:r>
        <w:t xml:space="preserve"> </w:t>
      </w:r>
      <w:r>
        <w:rPr>
          <w:rStyle w:val="Elision"/>
        </w:rPr>
        <w:t xml:space="preserve">[ … ]</w:t>
      </w:r>
      <w:r>
        <w:t xml:space="preserve"> </w:t>
      </w:r>
      <w:r>
        <w:t xml:space="preserve">The mere possibility that a federal rule would alter a state-created right is not sufficient. There must be little doubt.</w:t>
      </w:r>
    </w:p>
    <w:p>
      <w:pPr>
        <w:pStyle w:val="CaseBody"/>
      </w:pPr>
      <w:r>
        <w:t xml:space="preserve">The text of CPLR § 901(b) expressly and unambiguously applies not only to claims based on New York law but also to claims based on federal law or the law of any other State. And there is no interpretation from New York courts to the contrary. It is therefore hard to see how § 901(b) could be understood as a rule that, though procedural in form, serves the function of defining New York’s rights or remedies.</w:t>
      </w:r>
      <w:r>
        <w:t xml:space="preserve"> </w:t>
      </w:r>
      <w:r>
        <w:rPr>
          <w:rStyle w:val="Elision"/>
        </w:rPr>
        <w:t xml:space="preserve">[ … ]</w:t>
      </w:r>
    </w:p>
    <w:p>
      <w:pPr>
        <w:pStyle w:val="CaseBody"/>
      </w:pPr>
      <w:r>
        <w:t xml:space="preserve">The legislative history, moreover, does not clearly describe a judgment that § 901(b) would operate as a limitation on New York’s statutory damages. In evaluating that legislative history, it is necessary to distinguish between procedural rules adopted for</w:t>
      </w:r>
      <w:r>
        <w:t xml:space="preserve"> </w:t>
      </w:r>
      <w:r>
        <w:rPr>
          <w:iCs/>
          <w:i/>
        </w:rPr>
        <w:t xml:space="preserve">some</w:t>
      </w:r>
      <w:r>
        <w:t xml:space="preserve"> </w:t>
      </w:r>
      <w:r>
        <w:t xml:space="preserve">policy reason and seemingly procedural rules that are intimately bound up in the scope of a substantive right or remedy. Although almost every rule is adopted for some reason and has some effect on the outcome of litigation, not every state rule “defines the dimensions</w:t>
      </w:r>
    </w:p>
    <w:p>
      <w:pPr>
        <w:pStyle w:val="CaseBody"/>
      </w:pPr>
      <w:r>
        <w:rPr>
          <w:rStyle w:val="Elision"/>
        </w:rPr>
        <w:t xml:space="preserve">[ … ]</w:t>
      </w:r>
    </w:p>
    <w:p>
      <w:pPr>
        <w:pStyle w:val="CaseBody"/>
      </w:pPr>
      <w:r>
        <w:t xml:space="preserve">of [a] claim itself,”</w:t>
      </w:r>
      <w:r>
        <w:t xml:space="preserve"> </w:t>
      </w:r>
      <w:r>
        <w:rPr>
          <w:iCs/>
          <w:i/>
        </w:rPr>
        <w:t xml:space="preserve">post,</w:t>
      </w:r>
      <w:r>
        <w:t xml:space="preserve"> </w:t>
      </w:r>
      <w:r>
        <w:rPr>
          <w:rStyle w:val="Elision"/>
        </w:rPr>
        <w:t xml:space="preserve">[ … ]</w:t>
      </w:r>
      <w:r>
        <w:t xml:space="preserve">. New York clearly crafted § 901(b) with the intent that only certain lawsuits—those for which there were not statutory penalties—could be joined in class actions in New York courts. That decision reflects a policy judgment about which lawsuits should proceed in New York courts in a class form and which should not. As Justice Ginsburg carefully outlines, see</w:t>
      </w:r>
      <w:r>
        <w:t xml:space="preserve"> </w:t>
      </w:r>
      <w:r>
        <w:rPr>
          <w:iCs/>
          <w:i/>
        </w:rPr>
        <w:t xml:space="preserve">post,</w:t>
      </w:r>
      <w:r>
        <w:t xml:space="preserve"> </w:t>
      </w:r>
      <w:r>
        <w:t xml:space="preserve">at</w:t>
      </w:r>
      <w:r>
        <w:t xml:space="preserve"> </w:t>
      </w:r>
      <w:r>
        <w:rPr>
          <w:rStyle w:val="Elision"/>
        </w:rPr>
        <w:t xml:space="preserve">[ … ]</w:t>
      </w:r>
      <w:r>
        <w:t xml:space="preserve"> </w:t>
      </w:r>
      <w:r>
        <w:t xml:space="preserve">§ 901(b) was “apparently” adopted in response to fears that the class-action procedure, applied to statutory penalties, would lead to “annihilating punishment of the defendant.”</w:t>
      </w:r>
      <w:r>
        <w:t xml:space="preserve"> </w:t>
      </w:r>
      <w:r>
        <w:rPr>
          <w:rStyle w:val="Elision"/>
        </w:rPr>
        <w:t xml:space="preserve">[ … ]</w:t>
      </w:r>
      <w:r>
        <w:t xml:space="preserve"> </w:t>
      </w:r>
      <w:r>
        <w:t xml:space="preserve">But statements such as these are not particularly strong evidence that § 901(b) serves to define who can obtain a statutory penalty or that certifying such a class would enlarge New York’s remedy. Any device that makes litigation easier makes it easier for plaintiffs to recover damages.</w:t>
      </w:r>
    </w:p>
    <w:p>
      <w:pPr>
        <w:pStyle w:val="CaseBody"/>
      </w:pPr>
      <w:r>
        <w:rPr>
          <w:rStyle w:val="Elision"/>
        </w:rPr>
        <w:t xml:space="preserve">[ … ]</w:t>
      </w:r>
    </w:p>
    <w:p>
      <w:pPr>
        <w:pStyle w:val="CaseBody"/>
      </w:pPr>
      <w:r>
        <w:t xml:space="preserve">The legislative history of § 901 thus reveals a classically procedural calibration of making it easier to litigate claims in New York courts (under any source of law) only when it is necessary to do so, and not making it</w:t>
      </w:r>
      <w:r>
        <w:t xml:space="preserve"> </w:t>
      </w:r>
      <w:r>
        <w:rPr>
          <w:iCs/>
          <w:i/>
        </w:rPr>
        <w:t xml:space="preserve">too</w:t>
      </w:r>
      <w:r>
        <w:t xml:space="preserve"> </w:t>
      </w:r>
      <w:r>
        <w:t xml:space="preserve">easy when the class tool is not required. This is the same sort of calculation that might go into setting filing fees or deadlines for briefs. There is of course a difference of degree between those examples and class certification, but not a difference of kind; the class vehicle may have a greater practical effect on who brings lawsuits than do low filing fees, but that does not transform it into a damages “proscription,”</w:t>
      </w:r>
      <w:r>
        <w:t xml:space="preserve"> </w:t>
      </w:r>
      <w:r>
        <w:rPr>
          <w:iCs/>
          <w:i/>
        </w:rPr>
        <w:t xml:space="preserve">post,</w:t>
      </w:r>
      <w:r>
        <w:t xml:space="preserve"> </w:t>
      </w:r>
      <w:r>
        <w:t xml:space="preserve">at</w:t>
      </w:r>
      <w:r>
        <w:t xml:space="preserve"> </w:t>
      </w:r>
      <w:r>
        <w:rPr>
          <w:rStyle w:val="Elision"/>
        </w:rPr>
        <w:t xml:space="preserve">[ … ]</w:t>
      </w:r>
      <w:r>
        <w:t xml:space="preserve">, or “limitation,”</w:t>
      </w:r>
      <w:r>
        <w:t xml:space="preserve"> </w:t>
      </w:r>
      <w:r>
        <w:rPr>
          <w:iCs/>
          <w:i/>
        </w:rPr>
        <w:t xml:space="preserve">post,</w:t>
      </w:r>
      <w:r>
        <w:t xml:space="preserve"> </w:t>
      </w:r>
      <w:r>
        <w:rPr>
          <w:rStyle w:val="Elision"/>
        </w:rPr>
        <w:t xml:space="preserve">[ … ]</w:t>
      </w:r>
      <w:r>
        <w:t xml:space="preserve">.</w:t>
      </w:r>
      <w:r>
        <w:rPr>
          <w:rStyle w:val="FootnoteReference"/>
        </w:rPr>
        <w:footnoteReference w:customMarkFollows="1" w:id="234"/>
        <w:t xml:space="preserve">18</w:t>
      </w:r>
    </w:p>
    <w:p>
      <w:pPr>
        <w:pStyle w:val="CaseBody"/>
      </w:pPr>
      <w:r>
        <w:rPr>
          <w:rStyle w:val="Elision"/>
        </w:rPr>
        <w:t xml:space="preserve">[ … ]</w:t>
      </w:r>
    </w:p>
    <w:p>
      <w:pPr>
        <w:pStyle w:val="CaseBody"/>
      </w:pPr>
      <w:r>
        <w:t xml:space="preserve">Because Rule 23 governs class certification, the only decision is whether certifying a class in this diversity case would “abridge, enlarge or modify” New York’s substantive rights or remedies. § 2072(b). Although one can argue that class certification would enlarge New York’s “limited” damages remedy, see</w:t>
      </w:r>
      <w:r>
        <w:t xml:space="preserve"> </w:t>
      </w:r>
      <w:r>
        <w:rPr>
          <w:iCs/>
          <w:i/>
        </w:rPr>
        <w:t xml:space="preserve">post,</w:t>
      </w:r>
      <w:r>
        <w:rPr>
          <w:rStyle w:val="Elision"/>
        </w:rPr>
        <w:t xml:space="preserve">[ … ]</w:t>
      </w:r>
      <w:r>
        <w:t xml:space="preserve">, such arguments rest on extensive speculation about what the New York Legislature had in mind when it created § 901(b). But given that there are two plausible competing narratives, it seems obvious to me that we should respect the plain textual reading of § 901(b), a rule in New York’s procedural code about when to certify class actions brought under any source of law, and respect Congress’ decision that Rule 23 governs class certification in federal courts. In order to displace a federal rule, there must be more than just a possibility that the state rule is different than it appears.</w:t>
      </w:r>
    </w:p>
    <w:p>
      <w:pPr>
        <w:pStyle w:val="CaseBody"/>
      </w:pPr>
      <w:r>
        <w:t xml:space="preserve">Accordingly, I concur in part and concur in the judgment.</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rPr>
          <w:rStyle w:val="Elision"/>
        </w:rPr>
        <w:t xml:space="preserve">[ … ]</w:t>
      </w:r>
    </w:p>
    <w:p>
      <w:pPr>
        <w:pStyle w:val="CaseBody"/>
      </w:pPr>
      <w:r>
        <w:t xml:space="preserve">Justice Ginsburg,</w:t>
      </w:r>
    </w:p>
    <w:p>
      <w:pPr>
        <w:pStyle w:val="CaseBody"/>
      </w:pPr>
      <w:r>
        <w:t xml:space="preserve">with whom Justice Kennedy, Justice Breyer, and Justice Alito join, dissenting</w:t>
      </w:r>
      <w:r>
        <w:rPr>
          <w:rStyle w:val="FootnoteReference"/>
        </w:rPr>
        <w:footnoteReference w:customMarkFollows="1" w:id="154"/>
        <w:t xml:space="preserve">********************</w:t>
      </w:r>
      <w:r>
        <w:t xml:space="preserve">.</w:t>
      </w:r>
    </w:p>
    <w:p>
      <w:pPr>
        <w:pStyle w:val="CaseBody"/>
      </w:pPr>
      <w:r>
        <w:t xml:space="preserve">The Court today approves Shady Grove’s attempt to transform a $500 case into a $5 million award, although the State creating the right to recover has proscribed this alchemy. If Shady Grove had filed suit in New York state court, the 2% interest payment authorized by</w:t>
      </w:r>
      <w:r>
        <w:t xml:space="preserve"> </w:t>
      </w:r>
      <w:r>
        <w:rPr>
          <w:rStyle w:val="ReplacementText"/>
        </w:rPr>
        <w:t xml:space="preserve">[New York law]</w:t>
      </w:r>
      <w:r>
        <w:t xml:space="preserve"> </w:t>
      </w:r>
      <w:r>
        <w:t xml:space="preserve">as a penalty for overdue benefits would, by Shady Grove’s own measure, amount to no more than</w:t>
      </w:r>
    </w:p>
    <w:p>
      <w:pPr>
        <w:pStyle w:val="CaseBody"/>
      </w:pPr>
      <w:r>
        <w:rPr>
          <w:rStyle w:val="Elision"/>
        </w:rPr>
        <w:t xml:space="preserve">[ … ]</w:t>
      </w:r>
    </w:p>
    <w:p>
      <w:pPr>
        <w:pStyle w:val="CaseBody"/>
      </w:pPr>
      <w:r>
        <w:t xml:space="preserve">$500. By instead filing in federal court based on the parties’ diverse citizenship and requesting class certification, Shady Grove hopes to recover, for the class, statutory damages of more than $5 million. The New York Legislature has barred this remedy, instructing that, unless specifically permitted, “an action to recover a penalty, or minimum measure of recovery created or imposed by statute may not be maintained as a class action.”</w:t>
      </w:r>
      <w:r>
        <w:t xml:space="preserve"> </w:t>
      </w:r>
      <w:r>
        <w:rPr>
          <w:rStyle w:val="Elision"/>
        </w:rPr>
        <w:t xml:space="preserve">[ … ]</w:t>
      </w:r>
      <w:r>
        <w:t xml:space="preserve"> </w:t>
      </w:r>
      <w:r>
        <w:t xml:space="preserve">The Court nevertheless holds that Federal Rule of Civil Procedure 23, which prescribes procedures for the conduct of class actions in federal courts, preempts the application of § 901(b) in diversity suits.</w:t>
      </w:r>
    </w:p>
    <w:p>
      <w:pPr>
        <w:pStyle w:val="CaseBody"/>
      </w:pPr>
      <w:r>
        <w:t xml:space="preserve">The Court reads Rule 23 relentlessly to override New York’s restriction on the availability of statutory damages. Our decisions, however, caution us to ask, before undermining state legislation: Is this conflict really necessary?</w:t>
      </w:r>
      <w:r>
        <w:t xml:space="preserve"> </w:t>
      </w:r>
      <w:r>
        <w:rPr>
          <w:rStyle w:val="Elision"/>
        </w:rPr>
        <w:t xml:space="preserve">[ … ]</w:t>
      </w:r>
      <w:r>
        <w:t xml:space="preserve"> </w:t>
      </w:r>
      <w:r>
        <w:t xml:space="preserve">Had the Court engaged in that inquiry, it would not have read Rule 23 to collide with New York’s legitimate interest in keeping certain monetary awards reasonably bounded. I would continue to interpret Federal Rules with awareness of, and sensitivity to, important state regulatory policies. Because today’s judgment radically departs from that course, I dissent.</w:t>
      </w:r>
    </w:p>
    <w:p>
      <w:pPr>
        <w:pStyle w:val="CaseBody"/>
      </w:pPr>
      <w:r>
        <w:t xml:space="preserve">I</w:t>
      </w:r>
    </w:p>
    <w:p>
      <w:pPr>
        <w:pStyle w:val="CaseBody"/>
      </w:pPr>
      <w:r>
        <w:t xml:space="preserve">A</w:t>
      </w:r>
    </w:p>
    <w:p>
      <w:pPr>
        <w:pStyle w:val="CaseBody"/>
      </w:pPr>
      <w:r>
        <w:rPr>
          <w:rStyle w:val="Elision"/>
        </w:rPr>
        <w:t xml:space="preserve">[ … ]</w:t>
      </w:r>
    </w:p>
    <w:p>
      <w:pPr>
        <w:pStyle w:val="CaseBody"/>
      </w:pPr>
      <w:r>
        <w:t xml:space="preserve">If a Federal Rule controls an issue and directly conflicts with state law, the Rule, so long as it is consonant with the Rules Enabling Act, applies in diversity suits.</w:t>
      </w:r>
      <w:r>
        <w:t xml:space="preserve"> </w:t>
      </w:r>
      <w:r>
        <w:rPr>
          <w:rStyle w:val="Elision"/>
        </w:rPr>
        <w:t xml:space="preserve">[ … ]</w:t>
      </w:r>
      <w:r>
        <w:t xml:space="preserve"> </w:t>
      </w:r>
      <w:r>
        <w:t xml:space="preserve">If, however, no Federal Rule or statute governs the issue, the Rules of Decision Act, as interpreted</w:t>
      </w:r>
    </w:p>
    <w:p>
      <w:pPr>
        <w:pStyle w:val="CaseBody"/>
      </w:pPr>
      <w:r>
        <w:rPr>
          <w:rStyle w:val="Elision"/>
        </w:rPr>
        <w:t xml:space="preserve">[ … ]</w:t>
      </w:r>
    </w:p>
    <w:p>
      <w:pPr>
        <w:pStyle w:val="CaseBody"/>
      </w:pPr>
      <w:r>
        <w:t xml:space="preserve">in</w:t>
      </w:r>
      <w:r>
        <w:t xml:space="preserve"> </w:t>
      </w:r>
      <w:r>
        <w:rPr>
          <w:iCs/>
          <w:i/>
        </w:rPr>
        <w:t xml:space="preserve">Erie,</w:t>
      </w:r>
      <w:r>
        <w:t xml:space="preserve"> </w:t>
      </w:r>
      <w:r>
        <w:t xml:space="preserve">controls. That Act directs federal courts, in diversity cases, to apply state law when failure to do so would invite forum shopping and yield markedly disparate litigation outcomes.</w:t>
      </w:r>
      <w:r>
        <w:t xml:space="preserve"> </w:t>
      </w:r>
      <w:r>
        <w:rPr>
          <w:rStyle w:val="Elision"/>
        </w:rPr>
        <w:t xml:space="preserve">[ … ]</w:t>
      </w:r>
      <w:r>
        <w:t xml:space="preserve"> </w:t>
      </w:r>
      <w:r>
        <w:t xml:space="preserve">Recognizing that the Rules of Decision Act and the Rules Enabling Act simultaneously frame and inform the</w:t>
      </w:r>
      <w:r>
        <w:t xml:space="preserve"> </w:t>
      </w:r>
      <w:r>
        <w:rPr>
          <w:iCs/>
          <w:i/>
        </w:rPr>
        <w:t xml:space="preserve">Erie</w:t>
      </w:r>
      <w:r>
        <w:t xml:space="preserve"> </w:t>
      </w:r>
      <w:r>
        <w:t xml:space="preserve">analysis, we have endeavored in diversity suits to remain safely within the bounds of both congressional directives.</w:t>
      </w:r>
    </w:p>
    <w:p>
      <w:pPr>
        <w:pStyle w:val="CaseBody"/>
      </w:pPr>
      <w:r>
        <w:t xml:space="preserve">B</w:t>
      </w:r>
    </w:p>
    <w:p>
      <w:pPr>
        <w:pStyle w:val="CaseBody"/>
      </w:pPr>
      <w:r>
        <w:t xml:space="preserve">In our prior decisions in point, many of them not mentioned in the Court’s opinion, we have avoided immoderate interpretations of the Federal Rules that would trench on state prerogatives without serving any countervailing federal interest. “Application of the</w:t>
      </w:r>
      <w:r>
        <w:t xml:space="preserve"> </w:t>
      </w:r>
      <w:r>
        <w:rPr>
          <w:iCs/>
          <w:i/>
        </w:rPr>
        <w:t xml:space="preserve">Hanna</w:t>
      </w:r>
      <w:r>
        <w:t xml:space="preserve"> </w:t>
      </w:r>
      <w:r>
        <w:t xml:space="preserve">analysis,” we have said, “is premised on a ‘direct collision’ between the Federal Rule and the state law.”</w:t>
      </w:r>
      <w:r>
        <w:t xml:space="preserve"> </w:t>
      </w:r>
      <w:r>
        <w:rPr>
          <w:iCs/>
          <w:i/>
        </w:rPr>
        <w:t xml:space="preserve">Walker</w:t>
      </w:r>
      <w:r>
        <w:rPr>
          <w:rStyle w:val="Elision"/>
        </w:rPr>
        <w:t xml:space="preserve">[ … ]</w:t>
      </w:r>
    </w:p>
    <w:p>
      <w:pPr>
        <w:pStyle w:val="CaseBody"/>
      </w:pPr>
      <w:r>
        <w:t xml:space="preserve">In</w:t>
      </w:r>
      <w:r>
        <w:t xml:space="preserve"> </w:t>
      </w:r>
      <w:r>
        <w:rPr>
          <w:iCs/>
          <w:i/>
        </w:rPr>
        <w:t xml:space="preserve">pre-Hanna</w:t>
      </w:r>
      <w:r>
        <w:t xml:space="preserve"> </w:t>
      </w:r>
      <w:r>
        <w:t xml:space="preserve">decisions, the Court vigilantly read the Federal Rules to avoid conflict with state laws. In</w:t>
      </w:r>
      <w:r>
        <w:t xml:space="preserve"> </w:t>
      </w:r>
      <w:r>
        <w:rPr>
          <w:iCs/>
          <w:i/>
        </w:rPr>
        <w:t xml:space="preserve">Palmer</w:t>
      </w:r>
      <w:r>
        <w:t xml:space="preserve"> </w:t>
      </w:r>
      <w:r>
        <w:t xml:space="preserve">v.</w:t>
      </w:r>
      <w:r>
        <w:t xml:space="preserve"> </w:t>
      </w:r>
      <w:r>
        <w:rPr>
          <w:iCs/>
          <w:i/>
        </w:rPr>
        <w:t xml:space="preserve">Hoffman,</w:t>
      </w:r>
      <w:r>
        <w:t xml:space="preserve"> </w:t>
      </w:r>
      <w:r>
        <w:rPr>
          <w:rStyle w:val="Elision"/>
        </w:rPr>
        <w:t xml:space="preserve">[ … ]</w:t>
      </w:r>
      <w:r>
        <w:rPr>
          <w:rStyle w:val="Elision"/>
        </w:rPr>
        <w:t xml:space="preserve">[ … ]</w:t>
      </w:r>
      <w:r>
        <w:t xml:space="preserve">, for example, the Court read Federal Rule 8(c), which lists affirmative defenses, to control only the manner of pleading the listed defenses in diversity cases; as to the burden of proof in such cases,</w:t>
      </w:r>
      <w:r>
        <w:t xml:space="preserve"> </w:t>
      </w:r>
      <w:r>
        <w:rPr>
          <w:iCs/>
          <w:i/>
        </w:rPr>
        <w:t xml:space="preserve">Palmer</w:t>
      </w:r>
      <w:r>
        <w:t xml:space="preserve"> </w:t>
      </w:r>
      <w:r>
        <w:t xml:space="preserve">held, state law controls.</w:t>
      </w:r>
    </w:p>
    <w:p>
      <w:pPr>
        <w:pStyle w:val="CaseBody"/>
      </w:pPr>
      <w:r>
        <w:rPr>
          <w:rStyle w:val="Elision"/>
        </w:rPr>
        <w:t xml:space="preserve">[ … ]</w:t>
      </w:r>
    </w:p>
    <w:p>
      <w:pPr>
        <w:pStyle w:val="CaseBody"/>
      </w:pPr>
      <w:r>
        <w:rPr>
          <w:rStyle w:val="ReplacementText"/>
        </w:rPr>
        <w:t xml:space="preserve">[Justice Ginsburg then reviewed Ragan and Cohen]</w:t>
      </w:r>
    </w:p>
    <w:p>
      <w:pPr>
        <w:pStyle w:val="CaseBody"/>
      </w:pPr>
      <w:r>
        <w:rPr>
          <w:rStyle w:val="Elision"/>
        </w:rPr>
        <w:t xml:space="preserve">[ … ]</w:t>
      </w:r>
      <w:r>
        <w:t xml:space="preserve"> </w:t>
      </w:r>
      <w:r>
        <w:t xml:space="preserve">In</w:t>
      </w:r>
      <w:r>
        <w:t xml:space="preserve"> </w:t>
      </w:r>
      <w:r>
        <w:rPr>
          <w:iCs/>
          <w:i/>
        </w:rPr>
        <w:t xml:space="preserve">Hanna</w:t>
      </w:r>
      <w:r>
        <w:t xml:space="preserve"> </w:t>
      </w:r>
      <w:r>
        <w:t xml:space="preserve">itself, the Court found the clash “unavoidable,”</w:t>
      </w:r>
      <w:r>
        <w:rPr>
          <w:rStyle w:val="Elision"/>
        </w:rPr>
        <w:t xml:space="preserve">[ … ]</w:t>
      </w:r>
      <w:r>
        <w:rPr>
          <w:rStyle w:val="Elision"/>
        </w:rPr>
        <w:t xml:space="preserve">[ … ]</w:t>
      </w:r>
    </w:p>
    <w:p>
      <w:pPr>
        <w:pStyle w:val="CaseBody"/>
      </w:pPr>
      <w:r>
        <w:rPr>
          <w:rStyle w:val="ReplacementText"/>
        </w:rPr>
        <w:t xml:space="preserve">[Justice Ginsburg then reviewed Walker, Gasperini, and Semtek.]</w:t>
      </w:r>
    </w:p>
    <w:p>
      <w:pPr>
        <w:pStyle w:val="CaseBody"/>
      </w:pPr>
      <w:r>
        <w:t xml:space="preserve">In sum, both before and after</w:t>
      </w:r>
      <w:r>
        <w:t xml:space="preserve"> </w:t>
      </w:r>
      <w:r>
        <w:rPr>
          <w:iCs/>
          <w:i/>
        </w:rPr>
        <w:t xml:space="preserve">Hanna,</w:t>
      </w:r>
      <w:r>
        <w:t xml:space="preserve"> </w:t>
      </w:r>
      <w:r>
        <w:t xml:space="preserve">the above-described decisions show, federal courts have been cautioned by this Court to “interpre[t] the Federal Rules . . . with sensitivity to important state interests,”</w:t>
      </w:r>
      <w:r>
        <w:t xml:space="preserve"> </w:t>
      </w:r>
      <w:r>
        <w:rPr>
          <w:rStyle w:val="Elision"/>
        </w:rPr>
        <w:t xml:space="preserve">[ … ]</w:t>
      </w:r>
      <w:r>
        <w:t xml:space="preserve"> </w:t>
      </w:r>
      <w:r>
        <w:t xml:space="preserve">and a will “to avoid conflict with important state regulatory policies,”</w:t>
      </w:r>
      <w:r>
        <w:rPr>
          <w:rStyle w:val="Elision"/>
        </w:rPr>
        <w:t xml:space="preserve">[ … ]</w:t>
      </w:r>
      <w:r>
        <w:t xml:space="preserve"> </w:t>
      </w:r>
      <w:r>
        <w:t xml:space="preserve">The Court veers away from that approach—and</w:t>
      </w:r>
    </w:p>
    <w:p>
      <w:pPr>
        <w:pStyle w:val="CaseBody"/>
      </w:pPr>
      <w:r>
        <w:rPr>
          <w:rStyle w:val="Elision"/>
        </w:rPr>
        <w:t xml:space="preserve">[ … ]</w:t>
      </w:r>
    </w:p>
    <w:p>
      <w:pPr>
        <w:pStyle w:val="CaseBody"/>
      </w:pPr>
      <w:r>
        <w:t xml:space="preserve">conspicuously, its most recent reiteration in</w:t>
      </w:r>
      <w:r>
        <w:t xml:space="preserve"> </w:t>
      </w:r>
      <w:r>
        <w:rPr>
          <w:iCs/>
          <w:i/>
        </w:rPr>
        <w:t xml:space="preserve">Gasperini, ante,</w:t>
      </w:r>
      <w:r>
        <w:t xml:space="preserve"> </w:t>
      </w:r>
      <w:r>
        <w:rPr>
          <w:rStyle w:val="Elision"/>
        </w:rPr>
        <w:t xml:space="preserve">[ … ]</w:t>
      </w:r>
      <w:r>
        <w:t xml:space="preserve">—in favor of a mechanical reading of Federal Rules, insensitive to state interests and productive of discord.</w:t>
      </w:r>
    </w:p>
    <w:p>
      <w:pPr>
        <w:pStyle w:val="CaseBody"/>
      </w:pPr>
      <w:r>
        <w:t xml:space="preserve">C</w:t>
      </w:r>
    </w:p>
    <w:p>
      <w:pPr>
        <w:pStyle w:val="CaseBody"/>
      </w:pPr>
      <w:r>
        <w:t xml:space="preserve">Our decisions instruct over and over again that, in the adjudication of diversity cases, state interests— whether advanced in a statute,</w:t>
      </w:r>
      <w:r>
        <w:t xml:space="preserve"> </w:t>
      </w:r>
      <w:r>
        <w:rPr>
          <w:iCs/>
          <w:i/>
        </w:rPr>
        <w:t xml:space="preserve">e.g., Cohen,</w:t>
      </w:r>
      <w:r>
        <w:t xml:space="preserve"> </w:t>
      </w:r>
      <w:r>
        <w:t xml:space="preserve">or a procedural rule,</w:t>
      </w:r>
      <w:r>
        <w:t xml:space="preserve"> </w:t>
      </w:r>
      <w:r>
        <w:rPr>
          <w:iCs/>
          <w:i/>
        </w:rPr>
        <w:t xml:space="preserve">e.g., Gas</w:t>
      </w:r>
      <w:r>
        <w:t xml:space="preserve">perini—warrant our respectful consideration. Yet today, the Court gives no quarter to New York’s limitation on statutory damages and requires the lower courts to thwart the regulatory policy at stake:</w:t>
      </w:r>
      <w:r>
        <w:t xml:space="preserve"> </w:t>
      </w:r>
      <w:r>
        <w:t xml:space="preserve">To prevent excessive damages, New York’s law controls the penalty to which a defendant may be exposed in a single suit.</w:t>
      </w:r>
      <w:r>
        <w:t xml:space="preserve"> </w:t>
      </w:r>
      <w:r>
        <w:rPr>
          <w:rStyle w:val="FootnoteReference"/>
        </w:rPr>
        <w:footnoteReference w:customMarkFollows="1" w:id="156"/>
        <w:t xml:space="preserve">**********************</w:t>
      </w:r>
      <w:r>
        <w:t xml:space="preserve">The story behind § 901(b)’s enactment deserves telling.</w:t>
      </w:r>
    </w:p>
    <w:p>
      <w:pPr>
        <w:pStyle w:val="CaseBody"/>
      </w:pPr>
      <w:r>
        <w:rPr>
          <w:rStyle w:val="ReplacementText"/>
        </w:rPr>
        <w:t xml:space="preserve">[Justice Ginsburg then reviewed the history of the enactment of § 901(b). She concludes:]</w:t>
      </w:r>
    </w:p>
    <w:p>
      <w:pPr>
        <w:pStyle w:val="CaseBody"/>
      </w:pPr>
      <w:r>
        <w:t xml:space="preserve">The</w:t>
      </w:r>
      <w:r>
        <w:rPr>
          <w:rStyle w:val="ReplacementText"/>
        </w:rPr>
        <w:t xml:space="preserve">[section's]</w:t>
      </w:r>
      <w:r>
        <w:t xml:space="preserve">limitation was not designed with the fair conduct or efficiency of litigation in mind. Indeed, suits seeking statutory damages are arguably</w:t>
      </w:r>
      <w:r>
        <w:t xml:space="preserve"> </w:t>
      </w:r>
      <w:r>
        <w:rPr>
          <w:iCs/>
          <w:i/>
        </w:rPr>
        <w:t xml:space="preserve">best</w:t>
      </w:r>
      <w:r>
        <w:t xml:space="preserve"> </w:t>
      </w:r>
      <w:r>
        <w:t xml:space="preserve">suited to the class device because individual proof of actual damages is unnecessary. New York’s decision instead to block class-action proceedings for statutory damages therefore makes scant sense, except as a means to a manifestly substantive end: limiting a defendant’s liability in a single lawsuit in order to prevent the exorbitant inflation of penalties—remedies the New York Legislature created with individual suits in mind.</w:t>
      </w:r>
      <w:hyperlink w:anchor="X2deee95510c0e3ed471b8f9adaef9ae9dd05a15">
        <w:r>
          <w:rPr>
            <w:rStyle w:val="Elision"/>
          </w:rPr>
          <w:t xml:space="preserve">[ … ]</w:t>
        </w:r>
      </w:hyperlink>
    </w:p>
    <w:p>
      <w:pPr>
        <w:pStyle w:val="CaseBody"/>
      </w:pPr>
      <w:r>
        <w:t xml:space="preserve">D</w:t>
      </w:r>
    </w:p>
    <w:p>
      <w:pPr>
        <w:pStyle w:val="CaseBody"/>
      </w:pPr>
      <w:r>
        <w:t xml:space="preserve">Shady Grove contends—and the Court today agrees—that Rule 23 unavoidably preempts New York’s prohibition on the recovery of statutory damages in class actions. The Federal Rule, the Court emphasizes, states that Shady Grove’s suit “may be” maintained as a class action, which conflicts with § 901(b)’s instruction that it “may not” so proceed.</w:t>
      </w:r>
      <w:r>
        <w:t xml:space="preserve"> </w:t>
      </w:r>
      <w:r>
        <w:rPr>
          <w:iCs/>
          <w:i/>
        </w:rPr>
        <w:t xml:space="preserve">Ante,</w:t>
      </w:r>
      <w:r>
        <w:t xml:space="preserve"> </w:t>
      </w:r>
      <w:r>
        <w:rPr>
          <w:rStyle w:val="Elision"/>
        </w:rPr>
        <w:t xml:space="preserve">[ … ]</w:t>
      </w:r>
      <w:r>
        <w:t xml:space="preserve">. Accordingly, the Court insists, § 901(b) “cannot apply in diversity suits unless Rule 23 is ultra vi-res.”</w:t>
      </w:r>
      <w:r>
        <w:t xml:space="preserve"> </w:t>
      </w:r>
      <w:r>
        <w:rPr>
          <w:rStyle w:val="Elision"/>
        </w:rPr>
        <w:t xml:space="preserve">[ … ]</w:t>
      </w:r>
      <w:r>
        <w:rPr>
          <w:iCs/>
          <w:i/>
        </w:rPr>
        <w:t xml:space="preserve">.</w:t>
      </w:r>
      <w:r>
        <w:t xml:space="preserve"> </w:t>
      </w:r>
      <w:r>
        <w:t xml:space="preserve">Concluding that Rule 23 does not violate the Rules Enabling Act, the Court holds that the federal provision controls Shady Grove’s ability to seek, on behalf of a class, a statutory penalty of over $5 million.</w:t>
      </w:r>
      <w:r>
        <w:t xml:space="preserve"> </w:t>
      </w:r>
      <w:r>
        <w:rPr>
          <w:iCs/>
          <w:i/>
        </w:rPr>
        <w:t xml:space="preserve">Ante,</w:t>
      </w:r>
      <w:r>
        <w:rPr>
          <w:rStyle w:val="Elision"/>
        </w:rPr>
        <w:t xml:space="preserve">[ … ]</w:t>
      </w:r>
    </w:p>
    <w:p>
      <w:pPr>
        <w:pStyle w:val="CaseBody"/>
      </w:pPr>
      <w:r>
        <w:t xml:space="preserve">The Court, I am convinced, finds conflict where none is necessary. Mindful of the history behind § 901(b)’s enactment, the thrust of our precedent, and the substantive-rights limitation in the Rules Enabling Act, I</w:t>
      </w:r>
      <w:r>
        <w:t xml:space="preserve"> </w:t>
      </w:r>
      <w:r>
        <w:t xml:space="preserve">conclude,</w:t>
      </w:r>
      <w:r>
        <w:t xml:space="preserve"> </w:t>
      </w:r>
      <w:r>
        <w:rPr>
          <w:rStyle w:val="Elision"/>
        </w:rPr>
        <w:t xml:space="preserve">[ … ]</w:t>
      </w:r>
      <w:r>
        <w:t xml:space="preserve"> </w:t>
      </w:r>
      <w:r>
        <w:t xml:space="preserve">that Rule 23 does not collide with § 901(b). As the Second Circuit well understood, Rule 23 prescribes the considerations relevant to class certification and postcertification proceedings—but it does not command that a particular remedy be available when a party sues in a representative capacity.</w:t>
      </w:r>
      <w:r>
        <w:t xml:space="preserve"> </w:t>
      </w:r>
      <w:r>
        <w:rPr>
          <w:rStyle w:val="Elision"/>
        </w:rPr>
        <w:t xml:space="preserve">[ … ]</w:t>
      </w:r>
      <w:hyperlink w:anchor="X1c5ae65e6533c46f804ada6ea26f555d8d73f3c">
        <w:r>
          <w:rPr>
            <w:rStyle w:val="Elision"/>
          </w:rPr>
          <w:t xml:space="preserve">[ … ]</w:t>
        </w:r>
      </w:hyperlink>
      <w:r>
        <w:t xml:space="preserve">Section 901(b), in contrast, trains on that latter issue. Sensibly read, Rule</w:t>
      </w:r>
      <w:r>
        <w:t xml:space="preserve"> </w:t>
      </w:r>
      <w:r>
        <w:t xml:space="preserve">23 governs procedural aspects of class litigation,</w:t>
      </w:r>
    </w:p>
    <w:p>
      <w:pPr>
        <w:pStyle w:val="CaseBody"/>
      </w:pPr>
      <w:r>
        <w:rPr>
          <w:rStyle w:val="Elision"/>
        </w:rPr>
        <w:t xml:space="preserve">[ … ]</w:t>
      </w:r>
    </w:p>
    <w:p>
      <w:pPr>
        <w:pStyle w:val="CaseBody"/>
      </w:pPr>
      <w:r>
        <w:t xml:space="preserve">but allows state law to control the size of a monetary award a class plaintiff may pursue.</w:t>
      </w:r>
    </w:p>
    <w:p>
      <w:pPr>
        <w:pStyle w:val="CaseBody"/>
      </w:pPr>
      <w:r>
        <w:t xml:space="preserve">In other words, Rule 23 describes a method of enforcing a claim for relief, while § 901(b) defines the dimensions of the claim itself.</w:t>
      </w:r>
      <w:r>
        <w:rPr>
          <w:rStyle w:val="FootnoteReference"/>
        </w:rPr>
        <w:footnoteReference w:customMarkFollows="1" w:id="157"/>
        <w:t xml:space="preserve">***********************</w:t>
      </w:r>
      <w:r>
        <w:t xml:space="preserve"> </w:t>
      </w:r>
      <w:r>
        <w:t xml:space="preserve">In this regard, it is immaterial that § 901(b) bars statutory penalties in wholesale, rather than retail, fashion. The New York Legislature could have embedded the limitation in every provision creating a cause of action for which a penalty is authorized; § 901(b) operates as shorthand to the same effect. It is as much a part of the delineation of the claim for relief as it would be were it included claim by claim in the New York Code.</w:t>
      </w:r>
    </w:p>
    <w:p>
      <w:pPr>
        <w:pStyle w:val="CaseBody"/>
      </w:pPr>
      <w:r>
        <w:t xml:space="preserve">The Court single-mindedly focuses on whether a suit “may” or “may not” be maintained as a class action.</w:t>
      </w:r>
      <w:r>
        <w:t xml:space="preserve"> </w:t>
      </w:r>
      <w:r>
        <w:rPr>
          <w:rStyle w:val="Elision"/>
        </w:rPr>
        <w:t xml:space="preserve">[ … ]</w:t>
      </w:r>
      <w:r>
        <w:t xml:space="preserve">. Putting the question that way, the Court does not home in on the reason</w:t>
      </w:r>
      <w:r>
        <w:t xml:space="preserve"> </w:t>
      </w:r>
      <w:r>
        <w:rPr>
          <w:iCs/>
          <w:i/>
        </w:rPr>
        <w:t xml:space="preserve">why.</w:t>
      </w:r>
      <w:r>
        <w:t xml:space="preserve"> </w:t>
      </w:r>
      <w:r>
        <w:t xml:space="preserve">Rule 23 authorizes class treatment for suits satisfying its prerequisites because the class mechanism generally affords a fair and efficient way to aggregate claims for adjudication. Section 901(b) responds to an entirely different concern; it does not allow class members to recover statutory damages because the New York Legislature considered the result of adjudicating such claims en masse to be exorbitant.</w:t>
      </w:r>
      <w:r>
        <w:rPr>
          <w:rStyle w:val="FootnoteReference"/>
        </w:rPr>
        <w:footnoteReference w:customMarkFollows="1" w:id="224"/>
        <w:t xml:space="preserve">6</w:t>
      </w:r>
      <w:r>
        <w:t xml:space="preserve"> </w:t>
      </w:r>
      <w:r>
        <w:t xml:space="preserve">The fair and efficient</w:t>
      </w:r>
      <w:r>
        <w:t xml:space="preserve"> </w:t>
      </w:r>
      <w:r>
        <w:rPr>
          <w:iCs/>
          <w:i/>
        </w:rPr>
        <w:t xml:space="preserve">conduct</w:t>
      </w:r>
      <w:r>
        <w:t xml:space="preserve"> </w:t>
      </w:r>
      <w:r>
        <w:t xml:space="preserve">of class litigation is the legitimate concern of Rule 23; the</w:t>
      </w:r>
      <w:r>
        <w:t xml:space="preserve"> </w:t>
      </w:r>
      <w:r>
        <w:rPr>
          <w:iCs/>
          <w:i/>
        </w:rPr>
        <w:t xml:space="preserve">remedy</w:t>
      </w:r>
      <w:r>
        <w:t xml:space="preserve"> </w:t>
      </w:r>
      <w:r>
        <w:t xml:space="preserve">for an infraction of state law, however, is the legitimate concern of the State’s lawmakers and not of the federal rulemakers.</w:t>
      </w:r>
      <w:r>
        <w:t xml:space="preserve"> </w:t>
      </w:r>
      <w:r>
        <w:rPr>
          <w:rStyle w:val="Elision"/>
        </w:rPr>
        <w:t xml:space="preserve">[ … ]</w:t>
      </w:r>
    </w:p>
    <w:p>
      <w:pPr>
        <w:pStyle w:val="CaseBody"/>
      </w:pPr>
      <w:r>
        <w:t xml:space="preserve">Suppose, for example, that a State, wishing to cap damages in class actions at $1 million, enacted a statute providing that “a suit to recover more than $1 million may not be maintained as a class action.” Under the Court’s reasoning—which attributes dispositive significance to the words “may not be maintained”—Rule 23 would preempt this provision, never mind that Congress, by authorizing the promulgation of rules of procedure for federal courts, surely did not intend to displace state-created ceilings on damages.</w:t>
      </w:r>
      <w:hyperlink w:anchor="X0ee7cfe8a9e43d78581d15146705ec2154b3b30">
        <w:r>
          <w:rPr>
            <w:rStyle w:val="Elision"/>
          </w:rPr>
          <w:t xml:space="preserve">[ … ]</w:t>
        </w:r>
      </w:hyperlink>
      <w:r>
        <w:t xml:space="preserve">The Court suggests that the analysis might differ if the statute “limit[ed] the remedies available in an existing class action,”</w:t>
      </w:r>
      <w:r>
        <w:t xml:space="preserve"> </w:t>
      </w:r>
      <w:r>
        <w:rPr>
          <w:iCs/>
          <w:i/>
        </w:rPr>
        <w:t xml:space="preserve">ante,</w:t>
      </w:r>
      <w:r>
        <w:t xml:space="preserve"> </w:t>
      </w:r>
      <w:r>
        <w:rPr>
          <w:rStyle w:val="Elision"/>
        </w:rPr>
        <w:t xml:space="preserve">[ … ]</w:t>
      </w:r>
      <w:r>
        <w:t xml:space="preserve"> </w:t>
      </w:r>
      <w:r>
        <w:t xml:space="preserve">such that Rule 23 might not conflict with a state statute prescribing that “no more than $1 million may be recovered in a class action.” There is no real difference in the purpose and intended effect of these two hypothetical statutes. The notion that one directly impinges on Rule 23’s domain, while the other does not, fundamentally misperceives the office of Rule 23.</w:t>
      </w:r>
      <w:r>
        <w:rPr>
          <w:rStyle w:val="FootnoteReference"/>
        </w:rPr>
        <w:footnoteReference w:customMarkFollows="1" w:id="254"/>
        <w:t xml:space="preserve">8</w:t>
      </w:r>
    </w:p>
    <w:p>
      <w:pPr>
        <w:pStyle w:val="CaseBody"/>
      </w:pPr>
      <w:r>
        <w:rPr>
          <w:rStyle w:val="Elision"/>
        </w:rPr>
        <w:t xml:space="preserve">[ … ]</w:t>
      </w:r>
      <w:r>
        <w:rPr>
          <w:rStyle w:val="Elision"/>
        </w:rPr>
        <w:t xml:space="preserve">[ … ]</w:t>
      </w:r>
    </w:p>
    <w:p>
      <w:pPr>
        <w:pStyle w:val="CaseBody"/>
      </w:pPr>
      <w:r>
        <w:t xml:space="preserve">Any doubt whether Rule 23 leaves § 901(b) in control of the remedial issue at the core of this case should be dispelled by our</w:t>
      </w:r>
      <w:r>
        <w:t xml:space="preserve"> </w:t>
      </w:r>
      <w:r>
        <w:rPr>
          <w:iCs/>
          <w:i/>
        </w:rPr>
        <w:t xml:space="preserve">Erie</w:t>
      </w:r>
      <w:r>
        <w:t xml:space="preserve"> </w:t>
      </w:r>
      <w:r>
        <w:t xml:space="preserve">jurisprudence, including</w:t>
      </w:r>
      <w:r>
        <w:t xml:space="preserve"> </w:t>
      </w:r>
      <w:r>
        <w:rPr>
          <w:iCs/>
          <w:i/>
        </w:rPr>
        <w:t xml:space="preserve">Hanna,</w:t>
      </w:r>
      <w:r>
        <w:t xml:space="preserve"> </w:t>
      </w:r>
      <w:r>
        <w:t xml:space="preserve">which counsels us to read Federal Rules moderately and cautions against stretching a Rule to cover every situation it could conceivably reach.</w:t>
      </w:r>
      <w:r>
        <w:t xml:space="preserve"> </w:t>
      </w:r>
      <w:r>
        <w:rPr>
          <w:rStyle w:val="Elision"/>
        </w:rPr>
        <w:t xml:space="preserve">[ … ]</w:t>
      </w:r>
    </w:p>
    <w:p>
      <w:pPr>
        <w:pStyle w:val="CaseBody"/>
      </w:pPr>
      <w:r>
        <w:t xml:space="preserve">Shady Grove also ranks § 901(b) as “procedural” because “nothing in [the statute] suggests that it is limited to rights of action based on New York state law, as opposed to federal law or the law of other states”; instead it “applies to actions seeking penalties under</w:t>
      </w:r>
      <w:r>
        <w:t xml:space="preserve"> </w:t>
      </w:r>
      <w:r>
        <w:rPr>
          <w:iCs/>
          <w:i/>
        </w:rPr>
        <w:t xml:space="preserve">any</w:t>
      </w:r>
      <w:r>
        <w:t xml:space="preserve"> </w:t>
      </w:r>
      <w:r>
        <w:t xml:space="preserve">statute.”</w:t>
      </w:r>
      <w:r>
        <w:t xml:space="preserve"> </w:t>
      </w:r>
      <w:r>
        <w:rPr>
          <w:rStyle w:val="Elision"/>
        </w:rPr>
        <w:t xml:space="preserve">[ … ]</w:t>
      </w:r>
    </w:p>
    <w:p>
      <w:pPr>
        <w:pStyle w:val="CaseBody"/>
      </w:pPr>
      <w:r>
        <w:t xml:space="preserve">It is true that § 901(b) is not specifically</w:t>
      </w:r>
      <w:r>
        <w:t xml:space="preserve"> </w:t>
      </w:r>
      <w:r>
        <w:rPr>
          <w:iCs/>
          <w:i/>
        </w:rPr>
        <w:t xml:space="preserve">limited</w:t>
      </w:r>
      <w:r>
        <w:t xml:space="preserve"> </w:t>
      </w:r>
      <w:r>
        <w:t xml:space="preserve">to claims arising under New York law. But neither is it expressly</w:t>
      </w:r>
      <w:r>
        <w:t xml:space="preserve"> </w:t>
      </w:r>
      <w:r>
        <w:rPr>
          <w:iCs/>
          <w:i/>
        </w:rPr>
        <w:t xml:space="preserve">extended</w:t>
      </w:r>
      <w:r>
        <w:t xml:space="preserve"> </w:t>
      </w:r>
      <w:r>
        <w:t xml:space="preserve">to claims arising under foreign law. The rule prescribes, without elaboration either way, that “an action to recover a penalty . . . may not be maintained as a class action.”</w:t>
      </w:r>
      <w:r>
        <w:t xml:space="preserve"> </w:t>
      </w:r>
      <w:r>
        <w:rPr>
          <w:rStyle w:val="Elision"/>
        </w:rPr>
        <w:t xml:space="preserve">[ … ]</w:t>
      </w:r>
    </w:p>
    <w:p>
      <w:pPr>
        <w:pStyle w:val="CaseBody"/>
      </w:pPr>
      <w:r>
        <w:t xml:space="preserve">Moreover, Shady Grove overlooks the most likely explanation for the absence of limiting language: New York legislators make law with New York plaintiffs and defendants in mind,</w:t>
      </w:r>
      <w:r>
        <w:t xml:space="preserve"> </w:t>
      </w:r>
      <w:r>
        <w:rPr>
          <w:iCs/>
          <w:i/>
        </w:rPr>
        <w:t xml:space="preserve">i.e.,</w:t>
      </w:r>
      <w:r>
        <w:t xml:space="preserve"> </w:t>
      </w:r>
      <w:r>
        <w:t xml:space="preserve">as if New York were the universe.</w:t>
      </w:r>
      <w:r>
        <w:t xml:space="preserve"> </w:t>
      </w:r>
      <w:r>
        <w:rPr>
          <w:rStyle w:val="Elision"/>
        </w:rPr>
        <w:t xml:space="preserve">[ … ]</w:t>
      </w:r>
    </w:p>
    <w:p>
      <w:pPr>
        <w:pStyle w:val="CaseBody"/>
      </w:pPr>
      <w:r>
        <w:t xml:space="preserve">As the plurality acknowledges,</w:t>
      </w:r>
      <w:r>
        <w:t xml:space="preserve"> </w:t>
      </w:r>
      <w:r>
        <w:rPr>
          <w:rStyle w:val="Elision"/>
        </w:rPr>
        <w:t xml:space="preserve">[ … ]</w:t>
      </w:r>
      <w:r>
        <w:t xml:space="preserve">, forum shopping will undoubtedly result if a plaintiff need only file in federal instead of state court to seek a massive monetary award explicitly barred by state law.</w:t>
      </w:r>
      <w:r>
        <w:rPr>
          <w:rStyle w:val="Elision"/>
        </w:rPr>
        <w:t xml:space="preserve">[ … ]</w:t>
      </w:r>
      <w:r>
        <w:t xml:space="preserve">.</w:t>
      </w:r>
    </w:p>
    <w:p>
      <w:pPr>
        <w:pStyle w:val="CaseBody"/>
      </w:pPr>
      <w:r>
        <w:rPr>
          <w:rStyle w:val="Elision"/>
        </w:rPr>
        <w:t xml:space="preserve">[ … ]</w:t>
      </w:r>
    </w:p>
    <w:p>
      <w:pPr>
        <w:pStyle w:val="CaseBody"/>
      </w:pPr>
      <w:r>
        <w:t xml:space="preserve">The “accident of diversity of citizenship,”</w:t>
      </w:r>
      <w:r>
        <w:t xml:space="preserve"> </w:t>
      </w:r>
      <w:r>
        <w:rPr>
          <w:rStyle w:val="Elision"/>
        </w:rPr>
        <w:t xml:space="preserve">[ … ]</w:t>
      </w:r>
      <w:r>
        <w:t xml:space="preserve"> </w:t>
      </w:r>
      <w:r>
        <w:t xml:space="preserve">should not subject a defendant to such augmented liability.</w:t>
      </w:r>
      <w:r>
        <w:t xml:space="preserve"> </w:t>
      </w:r>
      <w:r>
        <w:rPr>
          <w:rStyle w:val="Elision"/>
        </w:rPr>
        <w:t xml:space="preserve">[ … ]</w:t>
      </w:r>
    </w:p>
    <w:p>
      <w:pPr>
        <w:pStyle w:val="CaseBody"/>
      </w:pPr>
      <w:r>
        <w:rPr>
          <w:rStyle w:val="Elision"/>
        </w:rPr>
        <w:t xml:space="preserve">[ … ]</w:t>
      </w:r>
    </w:p>
    <w:p>
      <w:pPr>
        <w:pStyle w:val="CaseBody"/>
      </w:pPr>
      <w:r>
        <w:t xml:space="preserve">Ill</w:t>
      </w:r>
    </w:p>
    <w:p>
      <w:pPr>
        <w:pStyle w:val="CaseBody"/>
      </w:pPr>
      <w:r>
        <w:t xml:space="preserve">The Court’s erosion of</w:t>
      </w:r>
      <w:r>
        <w:t xml:space="preserve"> </w:t>
      </w:r>
      <w:r>
        <w:rPr>
          <w:iCs/>
          <w:i/>
        </w:rPr>
        <w:t xml:space="preserve">Erie’s</w:t>
      </w:r>
      <w:r>
        <w:t xml:space="preserve"> </w:t>
      </w:r>
      <w:r>
        <w:t xml:space="preserve">federalism grounding impels me to point out the large irony in today’s judgment. Shady Grove is able to pursue its claim in federal court only by virtue of the recent enactment of the Class Action Fairness Act of 2005 (CAFA),</w:t>
      </w:r>
      <w:r>
        <w:t xml:space="preserve"> </w:t>
      </w:r>
      <w:r>
        <w:t xml:space="preserve">28 U.S.C. § 1332</w:t>
      </w:r>
      <w:r>
        <w:t xml:space="preserve">(d). In CAFA, Congress opened federal-court doors to state-law-based class actions so long as there is minimal diversity, at least 100 class</w:t>
      </w:r>
    </w:p>
    <w:p>
      <w:pPr>
        <w:pStyle w:val="CaseBody"/>
      </w:pPr>
      <w:r>
        <w:rPr>
          <w:rStyle w:val="Elision"/>
        </w:rPr>
        <w:t xml:space="preserve">[ … ]</w:t>
      </w:r>
    </w:p>
    <w:p>
      <w:pPr>
        <w:pStyle w:val="CaseBody"/>
      </w:pPr>
      <w:r>
        <w:t xml:space="preserve">members, and at least $5 million in controversy.</w:t>
      </w:r>
    </w:p>
    <w:p>
      <w:pPr>
        <w:pStyle w:val="CaseBody"/>
      </w:pPr>
      <w:r>
        <w:rPr>
          <w:rStyle w:val="Elision"/>
        </w:rPr>
        <w:t xml:space="preserve">[ … ]</w:t>
      </w:r>
      <w:r>
        <w:t xml:space="preserve">By providing a federal forum, Congress sought to check what it considered to be the overreadiness of some state courts to certify class actions.</w:t>
      </w:r>
      <w:r>
        <w:t xml:space="preserve"> </w:t>
      </w:r>
      <w:r>
        <w:rPr>
          <w:rStyle w:val="Elision"/>
        </w:rPr>
        <w:t xml:space="preserve">[ … ]</w:t>
      </w:r>
      <w:r>
        <w:t xml:space="preserve"> </w:t>
      </w:r>
      <w:r>
        <w:t xml:space="preserve">In other words, Congress envisioned fewer—not more—class actions overall. Congress surely never anticipated that CAFA would make federal courts a mecca for suits of the kind Shady Grove has launched: class actions seeking state-created penalties for claims arising under state law—claims that would be barred from class treatment in the State’s own courts.</w:t>
      </w:r>
      <w:r>
        <w:t xml:space="preserve"> </w:t>
      </w:r>
      <w:r>
        <w:rPr>
          <w:rStyle w:val="Elision"/>
        </w:rPr>
        <w:t xml:space="preserve">[ … ]</w:t>
      </w:r>
    </w:p>
    <w:p>
      <w:pPr>
        <w:pStyle w:val="CaseBody"/>
      </w:pPr>
      <w:r>
        <w:drawing>
          <wp:inline>
            <wp:extent cx="2762250" cy="419100"/>
            <wp:effectExtent b="0" l="0" r="0" t="0"/>
            <wp:docPr descr="" title="" id="1" name="Picture"/>
            <a:graphic>
              <a:graphicData uri="http://schemas.openxmlformats.org/drawingml/2006/picture">
                <pic:pic>
                  <pic:nvPicPr>
                    <pic:cNvPr descr="data:image/png;base64,iVBORw0KGgoAAAANSUhEUgAAASEAAAAsAQAAAAACjzPcAAAAmUlEQVR4nO3TIQ7CQBCF4b8vJOCQOK6A4QC9GcVxHI4AjiMgKpqqyuKBxbEjXgOigoSO++bNJpPNbpH4XHt9MQS/PNXEhoWAYwwsRt6rW5bZHoI69AcgWD9D4CFY3U858BDMN+G4h4BDCDwEj0voDyCl/rpL77KoBLdZWNhD0Mb79xBsz2UOPASLvsqBx5hvoviT/zhNTVOxXj4yUWC+aEqUAAAAAElFTkSuQmCC" id="0" name="Picture"/>
                    <pic:cNvPicPr>
                      <a:picLocks noChangeArrowheads="1" noChangeAspect="1"/>
                    </pic:cNvPicPr>
                  </pic:nvPicPr>
                  <pic:blipFill>
                    <a:blip r:embed="rId293"/>
                    <a:stretch>
                      <a:fillRect/>
                    </a:stretch>
                  </pic:blipFill>
                  <pic:spPr bwMode="auto">
                    <a:xfrm>
                      <a:off x="0" y="0"/>
                      <a:ext cx="2762250" cy="419100"/>
                    </a:xfrm>
                    <a:prstGeom prst="rect">
                      <a:avLst/>
                    </a:prstGeom>
                    <a:noFill/>
                    <a:ln w="9525">
                      <a:noFill/>
                      <a:headEnd/>
                      <a:tailEnd/>
                    </a:ln>
                  </pic:spPr>
                </pic:pic>
              </a:graphicData>
            </a:graphic>
          </wp:inline>
        </w:drawing>
      </w:r>
    </w:p>
    <w:p>
      <w:pPr>
        <w:pStyle w:val="CaseBody"/>
      </w:pPr>
      <w:r>
        <w:t xml:space="preserve">I would continue to approach</w:t>
      </w:r>
      <w:r>
        <w:t xml:space="preserve"> </w:t>
      </w:r>
      <w:r>
        <w:rPr>
          <w:iCs/>
          <w:i/>
        </w:rPr>
        <w:t xml:space="preserve">Erie</w:t>
      </w:r>
      <w:r>
        <w:t xml:space="preserve"> </w:t>
      </w:r>
      <w:r>
        <w:t xml:space="preserve">questions in a manner mindful of the purposes underlying the Rules of Decision Act and the Rules Enabling Act, faithful to precedent, and respectful of important state interests. I would therefore hold that the New York Legislature’s limitation on the recovery of statutory damages applies in this case, and would affirm the Second Circuit’s judgment.</w:t>
      </w:r>
    </w:p>
    <w:p>
      <w:pPr>
        <w:pStyle w:val="CaseBody"/>
      </w:pPr>
      <w:r>
        <w:rPr>
          <w:rStyle w:val="Elision"/>
        </w:rPr>
        <w:t xml:space="preserve">[ … ]</w:t>
      </w:r>
    </w:p>
    <w:p>
      <w:pPr>
        <w:pStyle w:val="CaseBody"/>
      </w:pPr>
      <w:r>
        <w:rPr>
          <w:rStyle w:val="Elision"/>
        </w:rPr>
        <w:t xml:space="preserve">[ … ]</w:t>
      </w:r>
    </w:p>
    <w:p>
      <w:pPr>
        <w:pStyle w:val="CaseFootnoteText"/>
      </w:pPr>
      <w:r>
        <w:rPr>
          <w:rStyle w:val="FootnoteReference"/>
        </w:rPr>
        <w:t xml:space="preserve">5</w:t>
      </w:r>
      <w:r>
        <w:t xml:space="preserve">.</w:t>
      </w:r>
      <w:r>
        <w:rPr>
          <w:rStyle w:val="Elision"/>
        </w:rPr>
        <w:t xml:space="preserve">[ … ]</w:t>
      </w:r>
      <w:r>
        <w:rPr>
          <w:rStyle w:val="Elision"/>
        </w:rPr>
        <w:t xml:space="preserve">[ … ]</w:t>
      </w:r>
    </w:p>
    <w:p>
      <w:pPr>
        <w:pStyle w:val="CaseFootnoteText"/>
      </w:pPr>
      <w:r>
        <w:rPr>
          <w:rStyle w:val="FootnoteReference"/>
        </w:rPr>
        <w:t xml:space="preserve">6</w:t>
      </w:r>
      <w:r>
        <w:t xml:space="preserve">. The Court disputes the strength of the evidence of legislative intent,</w:t>
      </w:r>
      <w:r>
        <w:t xml:space="preserve"> </w:t>
      </w:r>
      <w:r>
        <w:rPr>
          <w:rStyle w:val="Elision"/>
        </w:rPr>
        <w:t xml:space="preserve">[ … ]</w:t>
      </w:r>
      <w:r>
        <w:t xml:space="preserve">but offers no alternative account of § 901(b)’s purpose. Perhaps this silence indicates how very hard it would be to ascribe to § 901(b)</w:t>
      </w:r>
      <w:r>
        <w:t xml:space="preserve"> </w:t>
      </w:r>
      <w:r>
        <w:rPr>
          <w:iCs/>
          <w:i/>
        </w:rPr>
        <w:t xml:space="preserve">any</w:t>
      </w:r>
      <w:r>
        <w:t xml:space="preserve"> </w:t>
      </w:r>
      <w:r>
        <w:t xml:space="preserve">purpose bound up with the fairness and efficiency of processing cases. On its face, the proscription is concerned with remedies,</w:t>
      </w:r>
      <w:r>
        <w:t xml:space="preserve"> </w:t>
      </w:r>
      <w:r>
        <w:rPr>
          <w:iCs/>
          <w:i/>
        </w:rPr>
        <w:t xml:space="preserve">i.e.,</w:t>
      </w:r>
      <w:r>
        <w:t xml:space="preserve"> </w:t>
      </w:r>
      <w:r>
        <w:t xml:space="preserve">the availability of statutory damages in a lawsuit. Legislative history confirms this objective, but is not essential to revealing it.</w:t>
      </w:r>
    </w:p>
    <w:p>
      <w:pPr>
        <w:pStyle w:val="CaseBody"/>
      </w:pPr>
      <w:r>
        <w:rPr>
          <w:rStyle w:val="Elision"/>
        </w:rPr>
        <w:t xml:space="preserve">[ … ]</w:t>
      </w:r>
    </w:p>
    <w:p>
      <w:pPr>
        <w:pStyle w:val="CaseFootnoteText"/>
      </w:pPr>
      <w:r>
        <w:rPr>
          <w:rStyle w:val="FootnoteReference"/>
        </w:rPr>
        <w:t xml:space="preserve">8</w:t>
      </w:r>
      <w:r>
        <w:t xml:space="preserve">. The Court states that “[w]e cannot rewrite [a state law] to reflect our perception of legislative purpose.”</w:t>
      </w:r>
      <w:r>
        <w:t xml:space="preserve"> </w:t>
      </w:r>
      <w:r>
        <w:rPr>
          <w:rStyle w:val="Elision"/>
        </w:rPr>
        <w:t xml:space="preserve">[ … ]</w:t>
      </w:r>
      <w:r>
        <w:t xml:space="preserve"> </w:t>
      </w:r>
      <w:r>
        <w:t xml:space="preserve">But we can, of course,</w:t>
      </w:r>
      <w:r>
        <w:t xml:space="preserve"> </w:t>
      </w:r>
      <w:r>
        <w:rPr>
          <w:iCs/>
          <w:i/>
        </w:rPr>
        <w:t xml:space="preserve">interpret the Federal Rules</w:t>
      </w:r>
      <w:r>
        <w:t xml:space="preserve"> </w:t>
      </w:r>
      <w:r>
        <w:t xml:space="preserve">in light of a State’s regulatory policy to decide whether and to what extent a Rule preempts state law.</w:t>
      </w:r>
      <w:r>
        <w:t xml:space="preserve"> </w:t>
      </w:r>
      <w:r>
        <w:rPr>
          <w:rStyle w:val="Elision"/>
        </w:rPr>
        <w:t xml:space="preserve">[ … ]</w:t>
      </w:r>
      <w:r>
        <w:t xml:space="preserve">Just as we read</w:t>
      </w:r>
      <w:r>
        <w:t xml:space="preserve"> </w:t>
      </w:r>
      <w:r>
        <w:t xml:space="preserve">Federal Rule 3 in</w:t>
      </w:r>
      <w:r>
        <w:t xml:space="preserve"> </w:t>
      </w:r>
      <w:r>
        <w:rPr>
          <w:iCs/>
          <w:i/>
        </w:rPr>
        <w:t xml:space="preserve">Walker v. Armco Steel Corp.,</w:t>
      </w:r>
      <w:r>
        <w:rPr>
          <w:iCs/>
          <w:i/>
        </w:rPr>
        <w:t xml:space="preserve"> </w:t>
      </w:r>
      <w:r>
        <w:rPr>
          <w:rStyle w:val="Elision"/>
        </w:rPr>
        <w:t xml:space="preserve">[ … ]</w:t>
      </w:r>
      <w:r>
        <w:rPr>
          <w:rStyle w:val="FootnoteReference"/>
        </w:rPr>
        <w:footnoteReference w:customMarkFollows="1" w:id="162"/>
        <w:t xml:space="preserve">****************************</w:t>
      </w:r>
      <w:r>
        <w:t xml:space="preserve">, not to govern when a suit commences for purposes of tolling a state statute of limitations (although the Rule indisputably controls when an action commences for federal procedural purposes), so too we could read Rule 23 not to direct when a class action may be maintained for purposes of recovering statutory damages prescribed by state law. On this reading of Rule 23, no rewriting of § 901(b) is necessary to avoid a conflict.</w:t>
      </w:r>
    </w:p>
    <w:p>
      <w:pPr>
        <w:pStyle w:val="CaseBody"/>
      </w:pPr>
      <w:r>
        <w:rPr>
          <w:rStyle w:val="Elision"/>
        </w:rPr>
        <w:t xml:space="preserve">[ … ]</w:t>
      </w:r>
    </w:p>
    <w:p>
      <w:pPr>
        <w:pStyle w:val="CaseBody"/>
      </w:pPr>
      <w:r>
        <w:rPr>
          <w:rStyle w:val="Elision"/>
        </w:rPr>
        <w:t xml:space="preserve">[ … ]</w:t>
      </w:r>
    </w:p>
    <w:bookmarkStart w:id="266" w:name="_auto_toc_266"/>
    <w:bookmarkEnd w:id="266"/>
    <w:p>
      <w:pPr>
        <w:pStyle w:val="ChapterNumber"/>
      </w:pPr>
      <w:r>
        <w:t xml:space="preserve">24</w:t>
      </w:r>
    </w:p>
    <w:p>
      <w:pPr>
        <w:pStyle w:val="ChapterTitle"/>
      </w:pPr>
      <w:r>
        <w:t xml:space="preserve">Day 24</w:t>
      </w:r>
    </w:p>
    <w:p>
      <w:pPr>
        <w:pStyle w:val="HeadEnd"/>
      </w:pPr>
      <w:r>
        <w:t xml:space="preserve"> </w:t>
      </w:r>
    </w:p>
    <w:p>
      <w:pPr>
        <w:pStyle w:val="NodeEnd"/>
      </w:pPr>
      <w:r>
        <w:t xml:space="preserve"> </w:t>
      </w:r>
    </w:p>
    <w:p>
      <w:pPr>
        <w:pStyle w:val="NodeStart"/>
      </w:pPr>
      <w:r>
        <w:t xml:space="preserve"> </w:t>
      </w:r>
    </w:p>
    <w:p>
      <w:pPr>
        <w:pStyle w:val="HeadSeparator"/>
      </w:pPr>
      <w:r>
        <w:t xml:space="preserve"> </w:t>
      </w:r>
    </w:p>
    <w:bookmarkStart w:id="267" w:name="_auto_toc_267"/>
    <w:bookmarkEnd w:id="267"/>
    <w:p>
      <w:pPr>
        <w:pStyle w:val="ResourceNumber"/>
      </w:pPr>
      <w:r>
        <w:t xml:space="preserve">24.1</w:t>
      </w:r>
    </w:p>
    <w:p>
      <w:pPr>
        <w:pStyle w:val="ResourceTitle"/>
      </w:pPr>
      <w:r>
        <w:t xml:space="preserve">Civil Procedure in Context</w:t>
      </w:r>
    </w:p>
    <w:p>
      <w:pPr>
        <w:pStyle w:val="HeadEnd"/>
      </w:pPr>
      <w:r>
        <w:t xml:space="preserve"> </w:t>
      </w:r>
    </w:p>
    <w:p>
      <w:pPr>
        <w:pStyle w:val="BodyText"/>
      </w:pPr>
      <w:r>
        <w:t xml:space="preserve">Please reread the Civil Procedure in Context handout from Day 1. It can be found</w:t>
      </w:r>
      <w:r>
        <w:t xml:space="preserve"> </w:t>
      </w:r>
      <w:hyperlink r:id="rId27">
        <w:r>
          <w:rPr>
            <w:rStyle w:val="Hyperlink"/>
          </w:rPr>
          <w:t xml:space="preserve">here</w:t>
        </w:r>
      </w:hyperlink>
      <w:r>
        <w:t xml:space="preserve"> </w:t>
      </w:r>
      <w:r>
        <w:t xml:space="preserve">(Word doc). It provides important background for Day 24's discussion.</w:t>
      </w:r>
    </w:p>
    <w:p>
      <w:pPr>
        <w:pStyle w:val="NodeEnd"/>
      </w:pPr>
      <w:r>
        <w:t xml:space="preserve"> </w:t>
      </w:r>
    </w:p>
    <w:p>
      <w:pPr>
        <w:pStyle w:val="NodeStart"/>
      </w:pPr>
      <w:r>
        <w:t xml:space="preserve"> </w:t>
      </w:r>
    </w:p>
    <w:p>
      <w:pPr>
        <w:pStyle w:val="HeadSeparator"/>
      </w:pPr>
      <w:r>
        <w:t xml:space="preserve"> </w:t>
      </w:r>
    </w:p>
    <w:bookmarkStart w:id="268" w:name="_auto_toc_268"/>
    <w:bookmarkEnd w:id="268"/>
    <w:p>
      <w:pPr>
        <w:pStyle w:val="ResourceNumber"/>
      </w:pPr>
      <w:r>
        <w:t xml:space="preserve">24.2</w:t>
      </w:r>
    </w:p>
    <w:p>
      <w:pPr>
        <w:pStyle w:val="ResourceTitle"/>
      </w:pPr>
      <w:r>
        <w:t xml:space="preserve">Gideon v. Wainwright</w:t>
      </w:r>
    </w:p>
    <w:p>
      <w:pPr>
        <w:pStyle w:val="HeadEnd"/>
      </w:pPr>
      <w:r>
        <w:t xml:space="preserve"> </w:t>
      </w:r>
    </w:p>
    <w:p>
      <w:pPr>
        <w:pStyle w:val="CaseHeader"/>
      </w:pPr>
      <w:r>
        <w:t xml:space="preserve">Supreme Court of the United States</w:t>
      </w:r>
    </w:p>
    <w:p>
      <w:pPr>
        <w:pStyle w:val="CaseHeader"/>
      </w:pPr>
      <w:r>
        <w:t xml:space="preserve">372 U.S. 335, 9 L. Ed. 2d 799, 83 S. Ct. 792, SCDB 1962-058, 1963 U.S. LEXIS 1942</w:t>
      </w:r>
    </w:p>
    <w:p>
      <w:pPr>
        <w:pStyle w:val="CaseHeader"/>
      </w:pPr>
      <w:r>
        <w:t xml:space="preserve">No. 155</w:t>
      </w:r>
    </w:p>
    <w:p>
      <w:pPr>
        <w:pStyle w:val="CaseHeader"/>
      </w:pPr>
      <w:r>
        <w:t xml:space="preserve">1963-03-18</w:t>
      </w:r>
    </w:p>
    <w:p>
      <w:pPr>
        <w:pStyle w:val="CaseBody"/>
      </w:pPr>
      <w:r>
        <w:rPr>
          <w:rStyle w:val="Elision"/>
        </w:rPr>
        <w:t xml:space="preserve">[ … ]</w:t>
      </w:r>
    </w:p>
    <w:bookmarkStart w:id="294" w:name="Xcc1eae301c27490d96c93f0d76e9d88a0e5cdcf"/>
    <w:p>
      <w:pPr>
        <w:pStyle w:val="Heading2"/>
      </w:pPr>
      <w:r>
        <w:t xml:space="preserve">MR. JUSTICE BLACK delivered the opinion of the Court.</w:t>
      </w:r>
    </w:p>
    <w:p>
      <w:pPr>
        <w:pStyle w:val="CaseBody"/>
      </w:pPr>
      <w:r>
        <w:t xml:space="preserve">Petitioner was charged in a Florida state court with having broken and entered a poolroom with intent to commit a misdemeanor. This offense is a felony under</w:t>
      </w:r>
      <w:r>
        <w:rPr>
          <w:rStyle w:val="Elision"/>
        </w:rPr>
        <w:t xml:space="preserve">[ … ]</w:t>
      </w:r>
      <w:r>
        <w:t xml:space="preserve"> </w:t>
      </w:r>
      <w:r>
        <w:t xml:space="preserve">Florida law. Appearing in court without funds and without a lawyer, petitioner asked the court to appoint counsel for him, whereupon the following colloquy took place:</w:t>
      </w:r>
    </w:p>
    <w:p>
      <w:pPr>
        <w:pStyle w:val="BlockText"/>
      </w:pPr>
      <w:r>
        <w:t xml:space="preserve">"The COURT: Mr. Gideon, I am sorry, but I cannot appoint Counsel to represent you in this case. Under the laws of the State of Florida, the only time the Court can appoint Counsel to represent a Defendant is when that person is charged with a capital offense. I am sorry, but I will have to deny your request to appoint Counsel to defend you in this case.</w:t>
      </w:r>
    </w:p>
    <w:p>
      <w:pPr>
        <w:pStyle w:val="BlockText"/>
      </w:pPr>
      <w:r>
        <w:t xml:space="preserve">"The DEFENDANT: The United States Supreme Court says I am entitled to be represented by Counsel."</w:t>
      </w:r>
    </w:p>
    <w:p>
      <w:pPr>
        <w:pStyle w:val="CaseBody"/>
      </w:pPr>
      <w:r>
        <w:t xml:space="preserve">Put to trial before a jury, Gideon conducted his defense about as well as could be expected from a layman. He made an opening statement to the jury, cross-examined the State's witnesses, presented witnesses in his own defense, declined to testify himself, and made a short argument "emphasizing his innocence to the charge contained in the Information filed in this case." The jury returned a verdict of guilty, and petitioner was sentenced to serve five years in the state prison.</w:t>
      </w:r>
      <w:r>
        <w:t xml:space="preserve"> </w:t>
      </w:r>
      <w:r>
        <w:rPr>
          <w:rStyle w:val="Elision"/>
        </w:rPr>
        <w:t xml:space="preserve">[ … ]</w:t>
      </w:r>
      <w:hyperlink w:anchor="X0ac896d6b6ac8379aaec978cf1199799dbccd0e">
        <w:r>
          <w:rPr>
            <w:rStyle w:val="Elision"/>
            <w:vertAlign w:val="superscript"/>
          </w:rPr>
          <w:t xml:space="preserve">[ … ]</w:t>
        </w:r>
      </w:hyperlink>
      <w:r>
        <w:t xml:space="preserve"> </w:t>
      </w:r>
      <w:r>
        <w:t xml:space="preserve">Since 1942, when</w:t>
      </w:r>
      <w:r>
        <w:t xml:space="preserve"> </w:t>
      </w:r>
      <w:r>
        <w:rPr>
          <w:iCs/>
          <w:i/>
        </w:rPr>
        <w:t xml:space="preserve">Betts</w:t>
      </w:r>
      <w:r>
        <w:t xml:space="preserve"> </w:t>
      </w:r>
      <w:r>
        <w:t xml:space="preserve">v.</w:t>
      </w:r>
      <w:r>
        <w:t xml:space="preserve"> </w:t>
      </w:r>
      <w:r>
        <w:rPr>
          <w:iCs/>
          <w:i/>
        </w:rPr>
        <w:t xml:space="preserve">Brady,</w:t>
      </w:r>
      <w:r>
        <w:t xml:space="preserve"> </w:t>
      </w:r>
      <w:r>
        <w:rPr>
          <w:rStyle w:val="Elision"/>
        </w:rPr>
        <w:t xml:space="preserve">[ … ]</w:t>
      </w:r>
      <w:r>
        <w:t xml:space="preserve"> </w:t>
      </w:r>
      <w:r>
        <w:t xml:space="preserve">was decided by a divided</w:t>
      </w:r>
      <w:r>
        <w:rPr>
          <w:rStyle w:val="Elision"/>
        </w:rPr>
        <w:t xml:space="preserve">[ … ]</w:t>
      </w:r>
      <w:r>
        <w:t xml:space="preserve"> </w:t>
      </w:r>
      <w:r>
        <w:t xml:space="preserve">Court, the problem of a defendant's federal constitutional right to counsel in a state court has been a continuing source of controversy and litigation in both state and federal courts.</w:t>
      </w:r>
      <w:hyperlink w:anchor="Xc5be5a542470a885b9364239d006d2f16a352b1">
        <w:r>
          <w:rPr>
            <w:rStyle w:val="Elision"/>
            <w:vertAlign w:val="superscript"/>
          </w:rPr>
          <w:t xml:space="preserve">[ … ]</w:t>
        </w:r>
      </w:hyperlink>
      <w:r>
        <w:t xml:space="preserve">To give this problem another review here, we granted certiorari.</w:t>
      </w:r>
      <w:r>
        <w:t xml:space="preserve"> </w:t>
      </w:r>
      <w:r>
        <w:rPr>
          <w:rStyle w:val="Elision"/>
        </w:rPr>
        <w:t xml:space="preserve">[ … ]</w:t>
      </w:r>
      <w:r>
        <w:t xml:space="preserve"> </w:t>
      </w:r>
      <w:r>
        <w:t xml:space="preserve">Since Gideon was proceeding</w:t>
      </w:r>
      <w:r>
        <w:t xml:space="preserve"> </w:t>
      </w:r>
      <w:r>
        <w:rPr>
          <w:iCs/>
          <w:i/>
        </w:rPr>
        <w:t xml:space="preserve">in forma pauperis,</w:t>
      </w:r>
      <w:r>
        <w:t xml:space="preserve"> </w:t>
      </w:r>
      <w:r>
        <w:t xml:space="preserve">we appointed counsel to represent him and requested both sides to discuss in their briefs and oral arguments the following: "Should this Court's holding in</w:t>
      </w:r>
      <w:r>
        <w:t xml:space="preserve"> </w:t>
      </w:r>
      <w:r>
        <w:rPr>
          <w:iCs/>
          <w:i/>
        </w:rPr>
        <w:t xml:space="preserve">Betts</w:t>
      </w:r>
      <w:r>
        <w:t xml:space="preserve"> </w:t>
      </w:r>
      <w:r>
        <w:t xml:space="preserve">v.</w:t>
      </w:r>
      <w:r>
        <w:t xml:space="preserve"> </w:t>
      </w:r>
      <w:r>
        <w:rPr>
          <w:iCs/>
          <w:i/>
        </w:rPr>
        <w:t xml:space="preserve">Brady,</w:t>
      </w:r>
      <w:r>
        <w:t xml:space="preserve"> </w:t>
      </w:r>
      <w:r>
        <w:rPr>
          <w:rStyle w:val="Elision"/>
        </w:rPr>
        <w:t xml:space="preserve">[ … ]</w:t>
      </w:r>
      <w:r>
        <w:t xml:space="preserve">, be reconsidered?"</w:t>
      </w:r>
    </w:p>
    <w:bookmarkEnd w:id="294"/>
    <w:bookmarkStart w:id="295" w:name="i.-2"/>
    <w:p>
      <w:pPr>
        <w:pStyle w:val="Heading2"/>
      </w:pPr>
      <w:r>
        <w:t xml:space="preserve">I.</w:t>
      </w:r>
    </w:p>
    <w:p>
      <w:pPr>
        <w:pStyle w:val="CaseBody"/>
      </w:pPr>
      <w:r>
        <w:t xml:space="preserve">The facts upon which Betts claimed that he had been unconstitutionally denied the right to have counsel appointed to assist him are strikingly like the facts upon which Gideon here bases his federal constitutional claim. Betts was</w:t>
      </w:r>
      <w:r>
        <w:t xml:space="preserve"> </w:t>
      </w:r>
      <w:r>
        <w:rPr>
          <w:rStyle w:val="ReplacementText"/>
        </w:rPr>
        <w:t xml:space="preserve">indicted</w:t>
      </w:r>
      <w:r>
        <w:t xml:space="preserve">for robbery in a Maryland state court. On arraignment, he told the trial judge of his lack of funds to hire a lawyer and asked the court to appoint one for him. Betts was advised that it was not the practice in that county to appoint counsel for indigent defendants except in murder and rape cases. He then pleaded not guilty, had witnesses summoned, cross-examined the State's witnesses, examined his own, and chose not to testify himself. He was found guilty by the judge, sitting without a jury, and sentenced to eight years in prison.</w:t>
      </w:r>
      <w:r>
        <w:t xml:space="preserve"> </w:t>
      </w:r>
      <w:r>
        <w:rPr>
          <w:rStyle w:val="Elision"/>
        </w:rPr>
        <w:t xml:space="preserve">[ … ]</w:t>
      </w:r>
      <w:r>
        <w:t xml:space="preserve"> </w:t>
      </w:r>
      <w:r>
        <w:rPr>
          <w:rStyle w:val="Elision"/>
        </w:rPr>
        <w:t xml:space="preserve">[ … ]</w:t>
      </w:r>
      <w:r>
        <w:t xml:space="preserve">Betts was denied any relief, and on review this Court affirmed. It was held that a refusal to appoint counsel for an indigent defendant charged with a felony did not necessarily violate the Due Process Clause of the Fourteenth Amendment, which for reasons given the Court deemed to be the only applicable federal constitutional provision. The Court said:</w:t>
      </w:r>
    </w:p>
    <w:p>
      <w:pPr>
        <w:pStyle w:val="BlockText"/>
      </w:pPr>
      <w:r>
        <w:t xml:space="preserve">"Asserted denial [of due process] is to be tested by an appraisal of the totality of facts in a given case. That which may, in one setting, constitute a denial of fundamental fairness, shocking to the universal sense of justice, may, in other circumstances, and in the light of other considerations, fall short of such denial."</w:t>
      </w:r>
      <w:r>
        <w:t xml:space="preserve"> </w:t>
      </w:r>
      <w:r>
        <w:rPr>
          <w:rStyle w:val="Elision"/>
        </w:rPr>
        <w:t xml:space="preserve">[ … ]</w:t>
      </w:r>
    </w:p>
    <w:p>
      <w:pPr>
        <w:pStyle w:val="CaseBody"/>
      </w:pPr>
      <w:r>
        <w:rPr>
          <w:rStyle w:val="ReplacementText"/>
        </w:rPr>
        <w:t xml:space="preserve">[T]</w:t>
      </w:r>
      <w:r>
        <w:t xml:space="preserve">he Court held that refusal to appoint counsel under the particular facts and circumstances in the</w:t>
      </w:r>
      <w:r>
        <w:t xml:space="preserve"> </w:t>
      </w:r>
      <w:r>
        <w:rPr>
          <w:iCs/>
          <w:i/>
        </w:rPr>
        <w:t xml:space="preserve">Betts</w:t>
      </w:r>
      <w:r>
        <w:t xml:space="preserve"> </w:t>
      </w:r>
      <w:r>
        <w:t xml:space="preserve">case was not so "offensive to the common and fundamental ideas of fairness" as to amount to a denial of due process. Since the facts and circumstances of the two cases are so nearly indistinguishable, we think the</w:t>
      </w:r>
      <w:r>
        <w:t xml:space="preserve"> </w:t>
      </w:r>
      <w:r>
        <w:rPr>
          <w:iCs/>
          <w:i/>
        </w:rPr>
        <w:t xml:space="preserve">Betts</w:t>
      </w:r>
      <w:r>
        <w:t xml:space="preserve"> </w:t>
      </w:r>
      <w:r>
        <w:t xml:space="preserve">v.</w:t>
      </w:r>
      <w:r>
        <w:t xml:space="preserve"> </w:t>
      </w:r>
      <w:r>
        <w:rPr>
          <w:iCs/>
          <w:i/>
        </w:rPr>
        <w:t xml:space="preserve">Brady</w:t>
      </w:r>
      <w:r>
        <w:t xml:space="preserve"> </w:t>
      </w:r>
      <w:r>
        <w:t xml:space="preserve">holding if left standing would require us to reject Gideon's claim that the Constitution guarantees him the assistance of counsel. Upon full reconsideration we conclude that</w:t>
      </w:r>
      <w:r>
        <w:t xml:space="preserve"> </w:t>
      </w:r>
      <w:r>
        <w:rPr>
          <w:iCs/>
          <w:i/>
        </w:rPr>
        <w:t xml:space="preserve">Betts</w:t>
      </w:r>
      <w:r>
        <w:t xml:space="preserve"> </w:t>
      </w:r>
      <w:r>
        <w:t xml:space="preserve">v.</w:t>
      </w:r>
      <w:r>
        <w:t xml:space="preserve"> </w:t>
      </w:r>
      <w:r>
        <w:rPr>
          <w:iCs/>
          <w:i/>
        </w:rPr>
        <w:t xml:space="preserve">Brady</w:t>
      </w:r>
      <w:r>
        <w:t xml:space="preserve"> </w:t>
      </w:r>
      <w:r>
        <w:t xml:space="preserve">should be overruled.</w:t>
      </w:r>
    </w:p>
    <w:bookmarkEnd w:id="295"/>
    <w:bookmarkStart w:id="296" w:name="ii.-1"/>
    <w:p>
      <w:pPr>
        <w:pStyle w:val="Heading2"/>
      </w:pPr>
      <w:r>
        <w:t xml:space="preserve">II.</w:t>
      </w:r>
    </w:p>
    <w:p>
      <w:pPr>
        <w:pStyle w:val="CaseBody"/>
      </w:pPr>
      <w:r>
        <w:t xml:space="preserve">The Sixth Amendment provides, "In all criminal prosecutions, the accused shall enjoy the right . . . to have the Assistance of Counsel for his defence." We have construed</w:t>
      </w:r>
      <w:r>
        <w:rPr>
          <w:rStyle w:val="Elision"/>
        </w:rPr>
        <w:t xml:space="preserve">[ … ]</w:t>
      </w:r>
      <w:r>
        <w:t xml:space="preserve"> </w:t>
      </w:r>
      <w:r>
        <w:t xml:space="preserve">this to mean that in federal courts counsel must be provided for defendants unable to employ counsel unless the right is competently and intelligently waived.</w:t>
      </w:r>
      <w:hyperlink w:anchor="X6fc2d8b98a8be4012e4c0f3bdab3c8d8996bd53">
        <w:r>
          <w:rPr>
            <w:rStyle w:val="Elision"/>
            <w:vertAlign w:val="superscript"/>
          </w:rPr>
          <w:t xml:space="preserve">[ … ]</w:t>
        </w:r>
      </w:hyperlink>
      <w:r>
        <w:t xml:space="preserve"> </w:t>
      </w:r>
      <w:r>
        <w:t xml:space="preserve">Betts argued that this right is extended to indigent defendants in state courts by the Fourteenth Amendment. In response the Court stated that, while the Sixth Amendment laid down "no rule for the conduct of the States, the question recurs whether the constraint laid by the Amendment upon the national courts expresses a rule so fundamental and essential to a fair trial, and so, to due process of law, that it is made obligatory upon the States by the Fourteenth Amendment."</w:t>
      </w:r>
      <w:r>
        <w:t xml:space="preserve"> </w:t>
      </w:r>
      <w:r>
        <w:rPr>
          <w:rStyle w:val="ReplacementText"/>
        </w:rPr>
        <w:t xml:space="preserve">[The Court then discussed the precedents upon which the Betts case had relied to reject the contention that a state must appoint counsel atstate expense for an indigent defendant charged with a felony.]</w:t>
      </w:r>
    </w:p>
    <w:p>
      <w:pPr>
        <w:pStyle w:val="CaseBody"/>
      </w:pPr>
      <w:r>
        <w:rPr>
          <w:rStyle w:val="ReplacementText"/>
        </w:rPr>
        <w:t xml:space="preserve">R</w:t>
      </w:r>
      <w:r>
        <w:t xml:space="preserve">eason and reflection require us to recognize that in our adversary system of criminal justice, any person haled into court, who is too poor to hire a lawyer, cannot be assured a fair trial unless counsel is provided for him. This seems to us to be an obvious truth. Governments, both state and federal, quite properly spend vast sums of money to establish machinery to try defendants accused of crime. Lawyers to prosecute are everywhere deemed essential to protect the public's interest in an orderly society. Similarly, there are few defendants charged with crime, few indeed, who fail to hire the best lawyers they can get to prepare and present their defenses. That government hires lawyers to prosecute and defendants who have the money hire lawyers to defend are the strongest indications of the widespread belief that lawyers in criminal courts are necessities, not luxuries. The right of one charged with crime to counsel may not be deemed fundamental and essential to fair trials in some countries, but it is in ours. From the very beginning, our state and national constitutions and laws have laid great emphasis on procedural and substantive safeguards designed to assure fair trials before impartial tribunals in which every defendant stands equal before the law. This noble ideal cannot be realized if the poor man charged with crime has to face his accusers without a lawyer to assist him. A defendant's need for a lawyer is nowhere better stated than in the moving words of Mr. Justice Sutherland in</w:t>
      </w:r>
      <w:r>
        <w:t xml:space="preserve"> </w:t>
      </w:r>
      <w:r>
        <w:rPr>
          <w:iCs/>
          <w:i/>
        </w:rPr>
        <w:t xml:space="preserve">Powell</w:t>
      </w:r>
      <w:r>
        <w:t xml:space="preserve"> </w:t>
      </w:r>
      <w:r>
        <w:t xml:space="preserve">v.</w:t>
      </w:r>
      <w:r>
        <w:t xml:space="preserve"> </w:t>
      </w:r>
      <w:r>
        <w:rPr>
          <w:iCs/>
          <w:i/>
        </w:rPr>
        <w:t xml:space="preserve">Alabama:</w:t>
      </w:r>
    </w:p>
    <w:p>
      <w:pPr>
        <w:pStyle w:val="BlockText"/>
      </w:pPr>
      <w:r>
        <w:t xml:space="preserve">"The right to be heard would be, in many cases, of little avail if it did not comprehend the right to be</w:t>
      </w:r>
      <w:r>
        <w:rPr>
          <w:rStyle w:val="Elision"/>
        </w:rPr>
        <w:t xml:space="preserve">[ … ]</w:t>
      </w:r>
      <w:r>
        <w:t xml:space="preserve"> </w:t>
      </w:r>
      <w:r>
        <w:t xml:space="preserve">heard by counsel. Even the intelligent and educated layman has small and sometimes no skill in the science of law. If charged with crime, he is incapable, generally, of determining for himself whether the indictment is good or bad. He is unfamiliar with the rules of evidence. Left without the aid of counsel he may be put on trial without a proper charge, and convicted upon incompetent evidence, or evidence irrelevant to the issue or otherwise inadmissible. He lacks both the skill and knowledge adequately to prepare his defense, even though he have a perfect one. He requires the guiding hand of counsel at every step in the proceedings against him. Without it, though he be not guilty, he faces the danger of conviction because he does not know how to establish his innocence."</w:t>
      </w:r>
      <w:r>
        <w:t xml:space="preserve"> </w:t>
      </w:r>
      <w:r>
        <w:rPr>
          <w:rStyle w:val="Elision"/>
        </w:rPr>
        <w:t xml:space="preserve">[ … ]</w:t>
      </w:r>
    </w:p>
    <w:p>
      <w:pPr>
        <w:pStyle w:val="CaseBody"/>
      </w:pPr>
      <w:r>
        <w:rPr>
          <w:rStyle w:val="Elision"/>
        </w:rPr>
        <w:t xml:space="preserve">[ … ]</w:t>
      </w:r>
    </w:p>
    <w:p>
      <w:pPr>
        <w:pStyle w:val="CaseBody"/>
      </w:pPr>
      <w:r>
        <w:t xml:space="preserve">The judgment is reversed and the cause is remanded to the Supreme Court of Florida for further action not inconsistent with this opinion.</w:t>
      </w:r>
    </w:p>
    <w:p>
      <w:pPr>
        <w:pStyle w:val="CaseBody"/>
      </w:pPr>
      <w:r>
        <w:rPr>
          <w:iCs/>
          <w:i/>
        </w:rPr>
        <w:t xml:space="preserve">Reversed.</w:t>
      </w:r>
    </w:p>
    <w:p>
      <w:pPr>
        <w:pStyle w:val="CaseBody"/>
      </w:pPr>
      <w:r>
        <w:rPr>
          <w:rStyle w:val="ReplacementText"/>
        </w:rPr>
        <w:t xml:space="preserve">[Concurrences by Justices Clark, Harlan, and Douglass are omitted.]</w:t>
      </w:r>
    </w:p>
    <w:bookmarkEnd w:id="296"/>
    <w:bookmarkStart w:id="297" w:name="mr.-justice-harlan-concurring.-1"/>
    <w:p>
      <w:pPr>
        <w:pStyle w:val="Heading2"/>
      </w:pPr>
      <w:r>
        <w:t xml:space="preserve">MR. JUSTICE HARLAN, concurring.</w:t>
      </w:r>
    </w:p>
    <w:p>
      <w:pPr>
        <w:pStyle w:val="CaseBody"/>
      </w:pPr>
      <w:r>
        <w:rPr>
          <w:rStyle w:val="Elision"/>
        </w:rPr>
        <w:t xml:space="preserve">[ … ]</w:t>
      </w:r>
      <w:r>
        <w:rPr>
          <w:rStyle w:val="FootnoteReference"/>
        </w:rPr>
        <w:footnoteReference w:customMarkFollows="1" w:id="56"/>
        <w:t xml:space="preserve">*</w:t>
      </w:r>
    </w:p>
    <w:p>
      <w:pPr>
        <w:pStyle w:val="CaseBody"/>
      </w:pPr>
      <w:r>
        <w:rPr>
          <w:rStyle w:val="Elision"/>
        </w:rPr>
        <w:t xml:space="preserve">[ … ]</w:t>
      </w:r>
    </w:p>
    <w:p>
      <w:pPr>
        <w:pStyle w:val="CaseBody"/>
      </w:pPr>
      <w:hyperlink w:anchor="X96b86a45684230a9ed7b9f84383f4a71e2cc10e">
        <w:r>
          <w:rPr>
            <w:rStyle w:val="Elision"/>
          </w:rPr>
          <w:t xml:space="preserve">[ … ]</w:t>
        </w:r>
      </w:hyperlink>
    </w:p>
    <w:bookmarkEnd w:id="297"/>
    <w:p>
      <w:pPr>
        <w:pStyle w:val="NodeEnd"/>
      </w:pPr>
      <w:r>
        <w:t xml:space="preserve"> </w:t>
      </w:r>
    </w:p>
    <w:p>
      <w:pPr>
        <w:pStyle w:val="NodeStart"/>
      </w:pPr>
      <w:r>
        <w:t xml:space="preserve"> </w:t>
      </w:r>
    </w:p>
    <w:p>
      <w:pPr>
        <w:pStyle w:val="HeadSeparator"/>
      </w:pPr>
      <w:r>
        <w:t xml:space="preserve"> </w:t>
      </w:r>
    </w:p>
    <w:bookmarkStart w:id="269" w:name="_auto_toc_269"/>
    <w:bookmarkEnd w:id="269"/>
    <w:p>
      <w:pPr>
        <w:pStyle w:val="ResourceNumber"/>
      </w:pPr>
      <w:r>
        <w:t xml:space="preserve">24.3</w:t>
      </w:r>
    </w:p>
    <w:p>
      <w:pPr>
        <w:pStyle w:val="ResourceTitle"/>
      </w:pPr>
      <w:r>
        <w:t xml:space="preserve">Turner v. Rogers</w:t>
      </w:r>
    </w:p>
    <w:p>
      <w:pPr>
        <w:pStyle w:val="HeadEnd"/>
      </w:pPr>
      <w:r>
        <w:t xml:space="preserve"> </w:t>
      </w:r>
    </w:p>
    <w:p>
      <w:pPr>
        <w:pStyle w:val="CaseHeader"/>
      </w:pPr>
      <w:r>
        <w:t xml:space="preserve">Supreme Court of the United States</w:t>
      </w:r>
    </w:p>
    <w:p>
      <w:pPr>
        <w:pStyle w:val="CaseHeader"/>
      </w:pPr>
      <w:r>
        <w:t xml:space="preserve">564 U.S. 431, 180 L. Ed. 2d 452, 131 S. Ct. 2507, 2011 U.S. LEXIS 4566, SCDB 2010-073</w:t>
      </w:r>
    </w:p>
    <w:p>
      <w:pPr>
        <w:pStyle w:val="CaseHeader"/>
      </w:pPr>
      <w:r>
        <w:t xml:space="preserve">No. 10-10</w:t>
      </w:r>
    </w:p>
    <w:p>
      <w:pPr>
        <w:pStyle w:val="CaseHeader"/>
      </w:pPr>
      <w:r>
        <w:t xml:space="preserve">2011-06-20</w:t>
      </w:r>
    </w:p>
    <w:p>
      <w:pPr>
        <w:pStyle w:val="CaseBody"/>
      </w:pPr>
      <w:r>
        <w:rPr>
          <w:rStyle w:val="Elision"/>
        </w:rPr>
        <w:t xml:space="preserve">[ … ]</w:t>
      </w:r>
    </w:p>
    <w:p>
      <w:pPr>
        <w:pStyle w:val="CaseBody"/>
      </w:pPr>
      <w:r>
        <w:t xml:space="preserve">Justice Breyer</w:t>
      </w:r>
    </w:p>
    <w:p>
      <w:pPr>
        <w:pStyle w:val="CaseBody"/>
      </w:pPr>
      <w:r>
        <w:t xml:space="preserve">delivered the opinion of the Court.</w:t>
      </w:r>
    </w:p>
    <w:p>
      <w:pPr>
        <w:pStyle w:val="CaseBody"/>
      </w:pPr>
      <w:r>
        <w:rPr>
          <w:rStyle w:val="Elision"/>
        </w:rPr>
        <w:t xml:space="preserve">[ … ]</w:t>
      </w:r>
    </w:p>
    <w:p>
      <w:pPr>
        <w:pStyle w:val="CaseBody"/>
      </w:pPr>
      <w:r>
        <w:t xml:space="preserve">I</w:t>
      </w:r>
    </w:p>
    <w:p>
      <w:pPr>
        <w:pStyle w:val="CaseBody"/>
      </w:pPr>
      <w:r>
        <w:t xml:space="preserve">A</w:t>
      </w:r>
    </w:p>
    <w:p>
      <w:pPr>
        <w:pStyle w:val="CaseBody"/>
      </w:pPr>
      <w:r>
        <w:t xml:space="preserve">South Carolina family courts enforce their child support orders in part through civil contempt proceedings. Each month the family court clerk reviews outstanding child support orders, identifies those in which the supporting parent has fallen more than five days behind, and sends that parent an order to “show cause” why he should not be held in contempt. S. C. Rule Family Ct. 24</w:t>
      </w:r>
      <w:r>
        <w:rPr>
          <w:rStyle w:val="Elision"/>
        </w:rPr>
        <w:t xml:space="preserve">[ … ]</w:t>
      </w:r>
      <w:r>
        <w:t xml:space="preserve">. The “show cause” order and attached affidavit refer to the relevant child support order, identify the amount of the arrearage, and set a date for a court hearing. At the hearing that parent may demonstrate that he is not in contempt, say, by showing that he is not able to make the required payments.</w:t>
      </w:r>
      <w:r>
        <w:t xml:space="preserve"> </w:t>
      </w:r>
      <w:r>
        <w:rPr>
          <w:rStyle w:val="Elision"/>
        </w:rPr>
        <w:t xml:space="preserve">[ … ]</w:t>
      </w:r>
      <w:r>
        <w:t xml:space="preserve"> </w:t>
      </w:r>
      <w:r>
        <w:t xml:space="preserve">If he fails to make the required showing, the court may hold him in civil contempt. And it may require that he be imprisoned unless and until he purges himself of contempt by making the required child support payments (but not for more than one year regardless).</w:t>
      </w:r>
      <w:r>
        <w:t xml:space="preserve"> </w:t>
      </w:r>
      <w:r>
        <w:rPr>
          <w:rStyle w:val="Elision"/>
        </w:rPr>
        <w:t xml:space="preserve">[ … ]</w:t>
      </w:r>
    </w:p>
    <w:p>
      <w:pPr>
        <w:pStyle w:val="CaseBody"/>
      </w:pPr>
      <w:r>
        <w:t xml:space="preserve">B</w:t>
      </w:r>
    </w:p>
    <w:p>
      <w:pPr>
        <w:pStyle w:val="CaseBody"/>
      </w:pPr>
      <w:r>
        <w:t xml:space="preserve">In June 2003 a South Carolina family court entered an order, which (as amended) required petitioner, Michael Turner, to pay $51.73 per week to respondent, Rebecca Rogers, to help support their child. (Rogers’ father, Larry Price, currently has custody of the child and is also a respondent before this Court.) Over the next three years, Turner repeatedly failed to pay the amount due and was held in contempt on five occasions. The first four times he was sentenced to 90 days’ imprisonment, but he ultimately paid the amount due (twice without being jailed, twice after spending two or three days in custody). The fifth time he did not pay but completed a 6-month sentence.</w:t>
      </w:r>
    </w:p>
    <w:p>
      <w:pPr>
        <w:pStyle w:val="CaseBody"/>
      </w:pPr>
      <w:r>
        <w:t xml:space="preserve">After his release in 2006 Turner remained in arrears. On March 27, 2006, the clerk issued a new “show cause” order. And after an initial postponement due to Turner's failure to appear, Turner’s civil contempt hearing took place on January 3, 2008. Turner and Rogers were present, each without representation by counsel.</w:t>
      </w:r>
    </w:p>
    <w:p>
      <w:pPr>
        <w:pStyle w:val="CaseBody"/>
      </w:pPr>
      <w:r>
        <w:t xml:space="preserve">The hearing was brief. The court clerk said that Turner was $5,728.76 behind in his payments. The judge asked Turner if there was “anything you want to say.” Turner replied:</w:t>
      </w:r>
    </w:p>
    <w:p>
      <w:pPr>
        <w:pStyle w:val="BlockText"/>
      </w:pPr>
      <w:r>
        <w:t xml:space="preserve">“Well, when I first got out, I got back on dope. I done meth, smoked pot and everything else, and I paid a little bit here and there. And, when I finally did get to working, I broke my back, back in September. I filed for disability and SSI. And, I didn’t get straightened out off the dope until I broke my back and laid up for two months. And, now I’m off the dope and everything. I just hope that you give me a chance. I don’t know what else to say. I mean, I know I done wrong, and I should have been paying and helping her, and I’m sorry. I mean, dope had a hold to me.”</w:t>
      </w:r>
      <w:r>
        <w:rPr>
          <w:rStyle w:val="Elision"/>
        </w:rPr>
        <w:t xml:space="preserve">[ … ]</w:t>
      </w:r>
    </w:p>
    <w:p>
      <w:pPr>
        <w:pStyle w:val="CaseBody"/>
      </w:pPr>
      <w:r>
        <w:t xml:space="preserve">The judge then said, “</w:t>
      </w:r>
      <w:r>
        <w:rPr>
          <w:rStyle w:val="ReplacementText"/>
        </w:rPr>
        <w:t xml:space="preserve">[o]kay</w:t>
      </w:r>
      <w:r>
        <w:t xml:space="preserve">,” and asked Rogers if she had anything to say.</w:t>
      </w:r>
    </w:p>
    <w:p>
      <w:pPr>
        <w:pStyle w:val="CaseBody"/>
      </w:pPr>
      <w:r>
        <w:rPr>
          <w:rStyle w:val="Elision"/>
        </w:rPr>
        <w:t xml:space="preserve">[ … ]</w:t>
      </w:r>
      <w:r>
        <w:t xml:space="preserve"> </w:t>
      </w:r>
      <w:r>
        <w:t xml:space="preserve"> </w:t>
      </w:r>
      <w:r>
        <w:t xml:space="preserve">After a brief discussion of federal benefits, the judge stated:</w:t>
      </w:r>
    </w:p>
    <w:p>
      <w:pPr>
        <w:pStyle w:val="BlockText"/>
      </w:pPr>
      <w:r>
        <w:t xml:space="preserve">“If there’s nothing else, this will be the Order of the Court. I find the Defendant in willful contempt. I’m [going to] sentence him to twelve months in the Oconee County Detention Center. He may purge himself of the contempt and avoid the sentence by having a zero balance on or before his release. I’ve also placed a</w:t>
      </w:r>
      <w:r>
        <w:t xml:space="preserve"> </w:t>
      </w:r>
      <w:r>
        <w:t xml:space="preserve">lien on any SSI or other benefits</w:t>
      </w:r>
      <w:r>
        <w:rPr>
          <w:rStyle w:val="FootnoteReference"/>
        </w:rPr>
        <w:footnoteReference w:customMarkFollows="1" w:id="57"/>
        <w:t xml:space="preserve">*</w:t>
      </w:r>
      <w:r>
        <w:t xml:space="preserve">.”</w:t>
      </w:r>
    </w:p>
    <w:p>
      <w:pPr>
        <w:pStyle w:val="BlockText"/>
      </w:pPr>
      <w:r>
        <w:rPr>
          <w:rStyle w:val="Elision"/>
        </w:rPr>
        <w:t xml:space="preserve">[ … ]</w:t>
      </w:r>
    </w:p>
    <w:p>
      <w:pPr>
        <w:pStyle w:val="CaseBody"/>
      </w:pPr>
      <w:r>
        <w:t xml:space="preserve">The judge added that Turner would not receive good-time or work credits, but “[i]f you’ve got a job, I’ll make you eligible for work release.”</w:t>
      </w:r>
    </w:p>
    <w:p>
      <w:pPr>
        <w:pStyle w:val="CaseBody"/>
      </w:pPr>
      <w:r>
        <w:rPr>
          <w:rStyle w:val="Elision"/>
        </w:rPr>
        <w:t xml:space="preserve">[ … ]</w:t>
      </w:r>
      <w:r>
        <w:t xml:space="preserve">When Turner asked why he could not receive good-time or work credits, the judge said, “</w:t>
      </w:r>
      <w:r>
        <w:rPr>
          <w:rStyle w:val="ReplacementText"/>
        </w:rPr>
        <w:t xml:space="preserve">[b]</w:t>
      </w:r>
      <w:r>
        <w:t xml:space="preserve">ecause that’s my ruling.”</w:t>
      </w:r>
    </w:p>
    <w:p>
      <w:pPr>
        <w:pStyle w:val="CaseBody"/>
      </w:pPr>
      <w:r>
        <w:rPr>
          <w:rStyle w:val="Elision"/>
        </w:rPr>
        <w:t xml:space="preserve">[ … ]</w:t>
      </w:r>
    </w:p>
    <w:p>
      <w:pPr>
        <w:pStyle w:val="CaseBody"/>
      </w:pPr>
      <w:r>
        <w:t xml:space="preserve">The court made no express finding concerning Turner's ability to pay his arrearage (though Turner’s wife had volun</w:t>
      </w:r>
      <w:r>
        <w:t xml:space="preserve">tarily submitted a copy of Turner's application for disability benefits</w:t>
      </w:r>
      <w:r>
        <w:rPr>
          <w:rStyle w:val="Elision"/>
        </w:rPr>
        <w:t xml:space="preserve">[ … ]</w:t>
      </w:r>
      <w:r>
        <w:t xml:space="preserve">). Nor did the judge ask any followup questions or otherwise address the ability-to-pay issue. After the hearing, the judge filled out a prewritten form titled “Order for Contempt of Court,” which included the statement:</w:t>
      </w:r>
    </w:p>
    <w:p>
      <w:pPr>
        <w:pStyle w:val="BlockText"/>
      </w:pPr>
      <w:r>
        <w:t xml:space="preserve">“Defendant (was) (was not) gainfully employed and/or (had) (did not have) the ability to make these support payments when due.”</w:t>
      </w:r>
      <w:r>
        <w:t xml:space="preserve"> </w:t>
      </w:r>
    </w:p>
    <w:p>
      <w:pPr>
        <w:pStyle w:val="BlockText"/>
      </w:pPr>
      <w:r>
        <w:rPr>
          <w:rStyle w:val="Elision"/>
        </w:rPr>
        <w:t xml:space="preserve">[ … ]</w:t>
      </w:r>
    </w:p>
    <w:p>
      <w:pPr>
        <w:pStyle w:val="CaseBody"/>
      </w:pPr>
      <w:r>
        <w:t xml:space="preserve">But the judge left this statement as is without indicating whether Turner was able to make support payments.</w:t>
      </w:r>
      <w:r>
        <w:rPr>
          <w:rStyle w:val="FootnoteReference"/>
        </w:rPr>
        <w:footnoteReference w:customMarkFollows="1" w:id="93"/>
        <w:t xml:space="preserve">**</w:t>
      </w:r>
    </w:p>
    <w:p>
      <w:pPr>
        <w:pStyle w:val="CaseBody"/>
      </w:pPr>
      <w:r>
        <w:t xml:space="preserve">C</w:t>
      </w:r>
    </w:p>
    <w:p>
      <w:pPr>
        <w:pStyle w:val="CaseBody"/>
      </w:pPr>
      <w:r>
        <w:t xml:space="preserve">While serving his 12-month sentence, Turner, with the help of</w:t>
      </w:r>
      <w:r>
        <w:t xml:space="preserve"> </w:t>
      </w:r>
      <w:r>
        <w:rPr>
          <w:iCs/>
          <w:i/>
        </w:rPr>
        <w:t xml:space="preserve">pro bono</w:t>
      </w:r>
      <w:r>
        <w:t xml:space="preserve"> </w:t>
      </w:r>
      <w:r>
        <w:t xml:space="preserve">counsel, appealed. He claimed that the Federal Constitution entitled him to counsel at his contempt hearing. The South Carolina Supreme Court decided Turner’s appeal after he had completed his sentence. And it rejected his “right to counsel” claim. The court pointed out that civil contempt differs significantly from criminal contempt. The former does not require all the “constitutional safeguards” applicable in criminal proceedings.</w:t>
      </w:r>
      <w:r>
        <w:t xml:space="preserve"> </w:t>
      </w:r>
      <w:r>
        <w:rPr>
          <w:rStyle w:val="Elision"/>
        </w:rPr>
        <w:t xml:space="preserve">[ … ]</w:t>
      </w:r>
      <w:r>
        <w:t xml:space="preserve">And the right to government-paid counsel, the Supreme Court held, was one of the “safeguards” not required.</w:t>
      </w:r>
      <w:r>
        <w:rPr>
          <w:rStyle w:val="Elision"/>
        </w:rPr>
        <w:t xml:space="preserve">[ … ]</w:t>
      </w:r>
    </w:p>
    <w:p>
      <w:pPr>
        <w:pStyle w:val="CaseBody"/>
      </w:pPr>
      <w:r>
        <w:t xml:space="preserve">Turner sought certiorari.</w:t>
      </w:r>
      <w:r>
        <w:t xml:space="preserve"> </w:t>
      </w:r>
      <w:r>
        <w:rPr>
          <w:rStyle w:val="Elision"/>
        </w:rPr>
        <w:t xml:space="preserve">[ … ]</w:t>
      </w:r>
    </w:p>
    <w:p>
      <w:pPr>
        <w:pStyle w:val="CaseBody"/>
      </w:pPr>
      <w:r>
        <w:rPr>
          <w:rStyle w:val="Elision"/>
        </w:rPr>
        <w:t xml:space="preserve">[ … ]</w:t>
      </w:r>
    </w:p>
    <w:p>
      <w:pPr>
        <w:pStyle w:val="CaseBody"/>
      </w:pPr>
      <w:r>
        <w:t xml:space="preserve">Ill</w:t>
      </w:r>
    </w:p>
    <w:p>
      <w:pPr>
        <w:pStyle w:val="CaseBody"/>
      </w:pPr>
      <w:r>
        <w:t xml:space="preserve">A</w:t>
      </w:r>
    </w:p>
    <w:p>
      <w:pPr>
        <w:pStyle w:val="CaseBody"/>
      </w:pPr>
      <w:r>
        <w:t xml:space="preserve">We must decide whether the Due Process Clause grants an indigent defendant, such as Turner, a right to state-appointed counsel at a civil contempt proceeding, which may lead to his incarceration. This Court’s precedents provide no definitive answer to that question. This Court has long held that the Sixth Amendment grants an indigent defendant the right to state-appointed counsel in a</w:t>
      </w:r>
      <w:r>
        <w:t xml:space="preserve"> </w:t>
      </w:r>
      <w:r>
        <w:rPr>
          <w:iCs/>
          <w:i/>
        </w:rPr>
        <w:t xml:space="preserve">criminal</w:t>
      </w:r>
      <w:r>
        <w:t xml:space="preserve"> </w:t>
      </w:r>
      <w:r>
        <w:t xml:space="preserve">case.</w:t>
      </w:r>
      <w:r>
        <w:t xml:space="preserve"> </w:t>
      </w:r>
      <w:r>
        <w:rPr>
          <w:rStyle w:val="Elision"/>
        </w:rPr>
        <w:t xml:space="preserve">[ … ]</w:t>
      </w:r>
      <w:r>
        <w:t xml:space="preserve"> </w:t>
      </w:r>
      <w:r>
        <w:t xml:space="preserve">And we have held that this same rule applies to</w:t>
      </w:r>
      <w:r>
        <w:t xml:space="preserve"> </w:t>
      </w:r>
      <w:r>
        <w:rPr>
          <w:iCs/>
          <w:i/>
        </w:rPr>
        <w:t xml:space="preserve">criminal contempt</w:t>
      </w:r>
      <w:r>
        <w:t xml:space="preserve"> </w:t>
      </w:r>
      <w:r>
        <w:t xml:space="preserve">proceedings (other than summary proceedings).</w:t>
      </w:r>
      <w:r>
        <w:t xml:space="preserve"> </w:t>
      </w:r>
      <w:r>
        <w:rPr>
          <w:rStyle w:val="Elision"/>
        </w:rPr>
        <w:t xml:space="preserve">[ … ]</w:t>
      </w:r>
    </w:p>
    <w:p>
      <w:pPr>
        <w:pStyle w:val="CaseBody"/>
      </w:pPr>
      <w:r>
        <w:t xml:space="preserve">But the Sixth Amendment does not govern civil cases. Civil contempt differs from criminal contempt in that it seeks only to “coerc[e] the defendant to do” what a court had previously ordered him to do.</w:t>
      </w:r>
      <w:r>
        <w:t xml:space="preserve"> </w:t>
      </w:r>
      <w:r>
        <w:rPr>
          <w:rStyle w:val="Elision"/>
        </w:rPr>
        <w:t xml:space="preserve">[ … ]</w:t>
      </w:r>
      <w:r>
        <w:t xml:space="preserve"> </w:t>
      </w:r>
      <w:r>
        <w:t xml:space="preserve">A court may not impose punishment “in a civil contempt proceeding when it is clearly established that the alleged contemnor is unable to comply with the terms of the order.”</w:t>
      </w:r>
      <w:r>
        <w:rPr>
          <w:rStyle w:val="Elision"/>
        </w:rPr>
        <w:t xml:space="preserve">[ … ]</w:t>
      </w:r>
      <w:r>
        <w:t xml:space="preserve"> </w:t>
      </w:r>
      <w:r>
        <w:t xml:space="preserve">And once a civil contemnor complies with the underlying order, he is purged of the contempt and is free.</w:t>
      </w:r>
      <w:r>
        <w:rPr>
          <w:rStyle w:val="Elision"/>
        </w:rPr>
        <w:t xml:space="preserve">[ … ]</w:t>
      </w:r>
    </w:p>
    <w:p>
      <w:pPr>
        <w:pStyle w:val="CaseBody"/>
      </w:pPr>
      <w:r>
        <w:t xml:space="preserve">Consequently, the Court has made clear (in a case not involving the right to counsel) that, where civil contempt is at issue, the Fourteenth Amendment’s Due Process Clause allows a State to provide fewer procedural protections than in a criminal case.</w:t>
      </w:r>
      <w:r>
        <w:t xml:space="preserve"> </w:t>
      </w:r>
      <w:r>
        <w:rPr>
          <w:rStyle w:val="ReplacementText"/>
          <w:iCs/>
          <w:i/>
        </w:rPr>
        <w:t xml:space="preserve">[For example, the s]</w:t>
      </w:r>
      <w:r>
        <w:t xml:space="preserve">tate may place the burden of proving inability to pay on the defendant</w:t>
      </w:r>
      <w:r>
        <w:rPr>
          <w:rStyle w:val="ReplacementText"/>
        </w:rPr>
        <w:t xml:space="preserve">[]</w:t>
      </w:r>
      <w:r>
        <w:t xml:space="preserve">.</w:t>
      </w:r>
    </w:p>
    <w:p>
      <w:pPr>
        <w:pStyle w:val="CaseBody"/>
      </w:pPr>
      <w:r>
        <w:t xml:space="preserve">This Court has decided only a handful of cases that more directly concern a right to counsel in civil matters. And the application of those decisions to the present case is not clear. On the one hand, the Court has held that the Fourteenth Amendment requires the State to pay for representation by counsel in a</w:t>
      </w:r>
      <w:r>
        <w:t xml:space="preserve"> </w:t>
      </w:r>
      <w:r>
        <w:rPr>
          <w:iCs/>
          <w:i/>
        </w:rPr>
        <w:t xml:space="preserve">civil</w:t>
      </w:r>
      <w:r>
        <w:t xml:space="preserve"> </w:t>
      </w:r>
      <w:r>
        <w:t xml:space="preserve">“juvenile delinquency” proceeding (which could lead to incarceration).</w:t>
      </w:r>
      <w:r>
        <w:t xml:space="preserve"> </w:t>
      </w:r>
      <w:r>
        <w:rPr>
          <w:iCs/>
          <w:i/>
        </w:rPr>
        <w:t xml:space="preserve">In re Gault,</w:t>
      </w:r>
      <w:r>
        <w:t xml:space="preserve"> </w:t>
      </w:r>
      <w:r>
        <w:rPr>
          <w:rStyle w:val="Elision"/>
        </w:rPr>
        <w:t xml:space="preserve">[ … ]</w:t>
      </w:r>
      <w:r>
        <w:t xml:space="preserve">. Moreover, in</w:t>
      </w:r>
      <w:r>
        <w:t xml:space="preserve"> </w:t>
      </w:r>
      <w:r>
        <w:rPr>
          <w:iCs/>
          <w:i/>
        </w:rPr>
        <w:t xml:space="preserve">Vitek</w:t>
      </w:r>
      <w:r>
        <w:t xml:space="preserve"> </w:t>
      </w:r>
      <w:r>
        <w:t xml:space="preserve">v.</w:t>
      </w:r>
      <w:r>
        <w:t xml:space="preserve"> </w:t>
      </w:r>
      <w:r>
        <w:rPr>
          <w:iCs/>
          <w:i/>
        </w:rPr>
        <w:t xml:space="preserve">Jones</w:t>
      </w:r>
      <w:r>
        <w:rPr>
          <w:rStyle w:val="Elision"/>
        </w:rPr>
        <w:t xml:space="preserve">[ … ]</w:t>
      </w:r>
      <w:r>
        <w:t xml:space="preserve">, a plurality of four Members of this Court would have held that the Fourteenth Amendment requires representation by counsel in a proceeding to transfer a prison inmate to a state hospital for the mentally ill. Further, in</w:t>
      </w:r>
      <w:r>
        <w:t xml:space="preserve"> </w:t>
      </w:r>
      <w:r>
        <w:rPr>
          <w:iCs/>
          <w:i/>
        </w:rPr>
        <w:t xml:space="preserve">Lassiter</w:t>
      </w:r>
      <w:r>
        <w:t xml:space="preserve"> </w:t>
      </w:r>
      <w:r>
        <w:t xml:space="preserve">v.</w:t>
      </w:r>
      <w:r>
        <w:t xml:space="preserve"> </w:t>
      </w:r>
      <w:r>
        <w:rPr>
          <w:iCs/>
          <w:i/>
        </w:rPr>
        <w:t xml:space="preserve">Department of Social Servs. of Durham Cty.,</w:t>
      </w:r>
      <w:r>
        <w:t xml:space="preserve"> </w:t>
      </w:r>
      <w:r>
        <w:rPr>
          <w:rStyle w:val="Elision"/>
        </w:rPr>
        <w:t xml:space="preserve">[ … ]</w:t>
      </w:r>
      <w:r>
        <w:t xml:space="preserve">, a case that focused upon civil proceedings leading to loss of parenl,al rights, the Court wrote that l.lie</w:t>
      </w:r>
    </w:p>
    <w:p>
      <w:pPr>
        <w:pStyle w:val="BlockText"/>
      </w:pPr>
      <w:r>
        <w:t xml:space="preserve">“pre-eminent generalization that emerges from this Court’s precedents on an indigent’s right to appointed counsel is that such a right has been recognized to exist only where the litigant may lose his physical liberty if he loses the litigation.”</w:t>
      </w:r>
    </w:p>
    <w:p>
      <w:pPr>
        <w:pStyle w:val="BlockText"/>
      </w:pPr>
      <w:r>
        <w:rPr>
          <w:rStyle w:val="Elision"/>
        </w:rPr>
        <w:t xml:space="preserve">[ … ]</w:t>
      </w:r>
    </w:p>
    <w:p>
      <w:pPr>
        <w:pStyle w:val="CaseBody"/>
      </w:pPr>
      <w:r>
        <w:t xml:space="preserve">And the Court then drew from these precedents “the presumption that an indigent litigant has a right to appointed counsel only when, if he loses, he may be deprived of his physical liberty.”</w:t>
      </w:r>
      <w:r>
        <w:rPr>
          <w:rStyle w:val="Elision"/>
        </w:rPr>
        <w:t xml:space="preserve">[ … ]</w:t>
      </w:r>
    </w:p>
    <w:p>
      <w:pPr>
        <w:pStyle w:val="CaseBody"/>
      </w:pPr>
      <w:r>
        <w:t xml:space="preserve">On the other hand, the Court has held that a criminal offender facing revocation of probation and imprisonment does</w:t>
      </w:r>
      <w:r>
        <w:t xml:space="preserve"> </w:t>
      </w:r>
      <w:r>
        <w:rPr>
          <w:iCs/>
          <w:i/>
        </w:rPr>
        <w:t xml:space="preserve">not</w:t>
      </w:r>
      <w:r>
        <w:t xml:space="preserve"> </w:t>
      </w:r>
      <w:r>
        <w:t xml:space="preserve">ordinarily have a right to counsel at a probation revocation hearing.</w:t>
      </w:r>
      <w:r>
        <w:t xml:space="preserve"> </w:t>
      </w:r>
      <w:r>
        <w:rPr>
          <w:iCs/>
          <w:i/>
        </w:rPr>
        <w:t xml:space="preserve">Gagnon</w:t>
      </w:r>
      <w:r>
        <w:t xml:space="preserve"> </w:t>
      </w:r>
      <w:r>
        <w:t xml:space="preserve">v.</w:t>
      </w:r>
      <w:r>
        <w:t xml:space="preserve"> </w:t>
      </w:r>
      <w:r>
        <w:rPr>
          <w:iCs/>
          <w:i/>
        </w:rPr>
        <w:t xml:space="preserve">Scarpelli,</w:t>
      </w:r>
      <w:r>
        <w:rPr>
          <w:rStyle w:val="Elision"/>
        </w:rPr>
        <w:t xml:space="preserve">[ … ]</w:t>
      </w:r>
      <w:r>
        <w:t xml:space="preserve">. And, at the same time,</w:t>
      </w:r>
      <w:r>
        <w:t xml:space="preserve"> </w:t>
      </w:r>
      <w:r>
        <w:rPr>
          <w:iCs/>
          <w:i/>
        </w:rPr>
        <w:t xml:space="preserve">Gault, Vitek,</w:t>
      </w:r>
      <w:r>
        <w:t xml:space="preserve"> </w:t>
      </w:r>
      <w:r>
        <w:t xml:space="preserve">and</w:t>
      </w:r>
      <w:r>
        <w:t xml:space="preserve"> </w:t>
      </w:r>
      <w:r>
        <w:rPr>
          <w:iCs/>
          <w:i/>
        </w:rPr>
        <w:t xml:space="preserve">Lassiter</w:t>
      </w:r>
      <w:r>
        <w:t xml:space="preserve"> </w:t>
      </w:r>
      <w:r>
        <w:t xml:space="preserve">are readily distinguishable. The civil juvenile delinquency proceeding at issue in</w:t>
      </w:r>
      <w:r>
        <w:t xml:space="preserve"> </w:t>
      </w:r>
      <w:r>
        <w:rPr>
          <w:iCs/>
          <w:i/>
        </w:rPr>
        <w:t xml:space="preserve">Gault</w:t>
      </w:r>
      <w:r>
        <w:t xml:space="preserve"> </w:t>
      </w:r>
      <w:r>
        <w:t xml:space="preserve">was “little different” from, and “comparable in seriousness” to, a criminal prosecution.</w:t>
      </w:r>
      <w:r>
        <w:rPr>
          <w:rStyle w:val="Elision"/>
        </w:rPr>
        <w:t xml:space="preserve">[ … ]</w:t>
      </w:r>
      <w:r>
        <w:t xml:space="preserve"> </w:t>
      </w:r>
      <w:r>
        <w:t xml:space="preserve">In</w:t>
      </w:r>
      <w:r>
        <w:t xml:space="preserve"> </w:t>
      </w:r>
      <w:r>
        <w:rPr>
          <w:iCs/>
          <w:i/>
        </w:rPr>
        <w:t xml:space="preserve">Vitek,</w:t>
      </w:r>
      <w:r>
        <w:t xml:space="preserve"> </w:t>
      </w:r>
      <w:r>
        <w:t xml:space="preserve">the controlling opinion found</w:t>
      </w:r>
      <w:r>
        <w:t xml:space="preserve"> </w:t>
      </w:r>
      <w:r>
        <w:rPr>
          <w:iCs/>
          <w:i/>
        </w:rPr>
        <w:t xml:space="preserve">no</w:t>
      </w:r>
      <w:r>
        <w:t xml:space="preserve"> </w:t>
      </w:r>
      <w:r>
        <w:t xml:space="preserve">right to counsel.</w:t>
      </w:r>
      <w:r>
        <w:rPr>
          <w:rStyle w:val="Elision"/>
        </w:rPr>
        <w:t xml:space="preserve">[ … ]</w:t>
      </w:r>
      <w:r>
        <w:t xml:space="preserve">And the Court’s statements in</w:t>
      </w:r>
      <w:r>
        <w:t xml:space="preserve"> </w:t>
      </w:r>
      <w:r>
        <w:rPr>
          <w:iCs/>
          <w:i/>
        </w:rPr>
        <w:t xml:space="preserve">Lassiter</w:t>
      </w:r>
      <w:r>
        <w:t xml:space="preserve"> </w:t>
      </w:r>
      <w:r>
        <w:t xml:space="preserve">constitute part of its rationale for</w:t>
      </w:r>
      <w:r>
        <w:t xml:space="preserve"> </w:t>
      </w:r>
      <w:r>
        <w:rPr>
          <w:iCs/>
          <w:i/>
        </w:rPr>
        <w:t xml:space="preserve">denying</w:t>
      </w:r>
      <w:r>
        <w:t xml:space="preserve"> </w:t>
      </w:r>
      <w:r>
        <w:t xml:space="preserve">a right to counsel in that case. We believe those statements are best read as pointing out that the Court previously had found a right to counsel</w:t>
      </w:r>
      <w:r>
        <w:t xml:space="preserve"> </w:t>
      </w:r>
      <w:r>
        <w:rPr>
          <w:iCs/>
          <w:i/>
        </w:rPr>
        <w:t xml:space="preserve">“only”</w:t>
      </w:r>
      <w:r>
        <w:t xml:space="preserve"> </w:t>
      </w:r>
      <w:r>
        <w:t xml:space="preserve">in cases involving incarceration, not that a right to counsel exists in</w:t>
      </w:r>
      <w:r>
        <w:t xml:space="preserve"> </w:t>
      </w:r>
      <w:r>
        <w:rPr>
          <w:iCs/>
          <w:i/>
        </w:rPr>
        <w:t xml:space="preserve">all</w:t>
      </w:r>
      <w:r>
        <w:t xml:space="preserve"> </w:t>
      </w:r>
      <w:r>
        <w:t xml:space="preserve">such cases (a position that would have been difficult to reconcile with</w:t>
      </w:r>
      <w:r>
        <w:t xml:space="preserve"> </w:t>
      </w:r>
      <w:r>
        <w:rPr>
          <w:iCs/>
          <w:i/>
        </w:rPr>
        <w:t xml:space="preserve">Gagnon).</w:t>
      </w:r>
    </w:p>
    <w:p>
      <w:pPr>
        <w:pStyle w:val="CaseBody"/>
      </w:pPr>
      <w:r>
        <w:t xml:space="preserve">B</w:t>
      </w:r>
    </w:p>
    <w:p>
      <w:pPr>
        <w:pStyle w:val="CaseBody"/>
      </w:pPr>
      <w:r>
        <w:t xml:space="preserve">Civil contempt proceedings in child support cases constitute one part of a highly complex system designed to assure a noncustodial parent’s regular payment of funds typically necessary for the support of his children. Often the family receives welfare support from a state-administered federal program, and the State then seeks reimbursement from the noncustodial parent.</w:t>
      </w:r>
      <w:r>
        <w:rPr>
          <w:rStyle w:val="Elision"/>
        </w:rPr>
        <w:t xml:space="preserve">[ … ]</w:t>
      </w:r>
      <w:r>
        <w:t xml:space="preserve"> </w:t>
      </w:r>
      <w:r>
        <w:t xml:space="preserve">Other times the custodial parent (often the mother, but sometimes the father, a grandparent, or another person with custody) does not receive government benefits and is entitled to receive the support payments herself.</w:t>
      </w:r>
    </w:p>
    <w:p>
      <w:pPr>
        <w:pStyle w:val="CaseBody"/>
      </w:pPr>
      <w:r>
        <w:t xml:space="preserve">The Federal Government has created an elaborate procedural mechanism designed to help both the government and custodial parents to secure the payments to which they are entitled.</w:t>
      </w:r>
      <w:r>
        <w:rPr>
          <w:rStyle w:val="Elision"/>
        </w:rPr>
        <w:t xml:space="preserve">[ … ]</w:t>
      </w:r>
      <w:r>
        <w:t xml:space="preserve"> </w:t>
      </w:r>
      <w:r>
        <w:t xml:space="preserve">These systems often rely upon wage withholding, expedited procedures for modifying and enforcing child support orders, and automated data processing.</w:t>
      </w:r>
      <w:r>
        <w:rPr>
          <w:rStyle w:val="Elision"/>
        </w:rPr>
        <w:t xml:space="preserve">[ … ]</w:t>
      </w:r>
      <w:r>
        <w:t xml:space="preserve"> </w:t>
      </w:r>
      <w:r>
        <w:t xml:space="preserve">But sometimes States will use contempt orders to ensure that the custodial parent receives support payments or the government receives reimbursement. Although some experts have criticized this last-mentioned procedure, and the Federal Government believes that “the routine use of contempt for nonpayment of child support is likely to be an ineffective strategy,” the Government also tells us that “coercive enforcement remedies, such as contempt, have a role to play.” Brief for United States as</w:t>
      </w:r>
      <w:r>
        <w:t xml:space="preserve"> </w:t>
      </w:r>
      <w:r>
        <w:rPr>
          <w:iCs/>
          <w:i/>
        </w:rPr>
        <w:t xml:space="preserve">Amicus Curiae</w:t>
      </w:r>
      <w:r>
        <w:t xml:space="preserve"> </w:t>
      </w:r>
      <w:r>
        <w:t xml:space="preserve">21-22,</w:t>
      </w:r>
      <w:r>
        <w:t xml:space="preserve"> </w:t>
      </w:r>
      <w:r>
        <w:rPr>
          <w:rStyle w:val="Elision"/>
        </w:rPr>
        <w:t xml:space="preserve">[ … ]</w:t>
      </w:r>
      <w:r>
        <w:t xml:space="preserve">South Carolina, which relies heavily on contempt proceedings, agrees that they are an important tool.</w:t>
      </w:r>
    </w:p>
    <w:p>
      <w:pPr>
        <w:pStyle w:val="CaseBody"/>
      </w:pPr>
      <w:r>
        <w:t xml:space="preserve">We here consider an indigent’s right to paid counsel at such a contempt proceeding. It is a civil proceeding. And we consequently determine the “specific dictates of due process” by examining the “distinct factors” that this Court has previously found useful in deciding what specific safeguards the Constitution’s Due Process Clause requires in order to make a civil proceeding fundamentally fair.</w:t>
      </w:r>
      <w:r>
        <w:t xml:space="preserve"> </w:t>
      </w:r>
      <w:r>
        <w:rPr>
          <w:iCs/>
          <w:i/>
        </w:rPr>
        <w:t xml:space="preserve">Mathews</w:t>
      </w:r>
      <w:r>
        <w:t xml:space="preserve"> </w:t>
      </w:r>
      <w:r>
        <w:t xml:space="preserve">v.</w:t>
      </w:r>
      <w:r>
        <w:t xml:space="preserve"> </w:t>
      </w:r>
      <w:r>
        <w:rPr>
          <w:iCs/>
          <w:i/>
        </w:rPr>
        <w:t xml:space="preserve">Eldridge</w:t>
      </w:r>
      <w:r>
        <w:rPr>
          <w:rStyle w:val="Elision"/>
        </w:rPr>
        <w:t xml:space="preserve">[ … ]</w:t>
      </w:r>
      <w:r>
        <w:t xml:space="preserve">. As relevant here those factors include (1) the nature of “the private interest that will be affected,” (2) the comparative “risk” of an “erroneous deprivation” of that interest with and without “additional or substitute procedural safeguards,” and (3) the nature and magnitude of any countervailing interest in not providing “additional or substitute procedural requirementfs].”</w:t>
      </w:r>
      <w:r>
        <w:rPr>
          <w:rStyle w:val="Elision"/>
        </w:rPr>
        <w:t xml:space="preserve">[ … ]</w:t>
      </w:r>
    </w:p>
    <w:p>
      <w:pPr>
        <w:pStyle w:val="CaseBody"/>
      </w:pPr>
      <w:r>
        <w:t xml:space="preserve">The “private interest that will be affected” argues strongly for the right to counsel that Turner advocates. That interest consists of an indigent defendant’s loss of personal liberty through imprisonment. The interest in securing that freedom, the freedom “from bodily restraint,” lies “at the core of the liberty protected by the Due Process Clause.”</w:t>
      </w:r>
      <w:r>
        <w:t xml:space="preserve"> </w:t>
      </w:r>
      <w:r>
        <w:rPr>
          <w:rStyle w:val="Elision"/>
        </w:rPr>
        <w:t xml:space="preserve">[ … ]</w:t>
      </w:r>
      <w:r>
        <w:t xml:space="preserve">And we have made clear that its threatened loss through legal proceedings demands “due process protection.”</w:t>
      </w:r>
      <w:r>
        <w:t xml:space="preserve"> </w:t>
      </w:r>
      <w:r>
        <w:rPr>
          <w:rStyle w:val="Elision"/>
        </w:rPr>
        <w:t xml:space="preserve">[ … ]</w:t>
      </w:r>
    </w:p>
    <w:p>
      <w:pPr>
        <w:pStyle w:val="CaseBody"/>
      </w:pPr>
      <w:r>
        <w:t xml:space="preserve">Given the importance of the interest at stake, it is obviously important to ensure accurate decisionmaking in respect to the key “ability to pay” question. Moreover, the fact that ability to comply marks a dividing line between civil and criminal contempt,</w:t>
      </w:r>
      <w:r>
        <w:t xml:space="preserve"> </w:t>
      </w:r>
      <w:r>
        <w:rPr>
          <w:rStyle w:val="Elision"/>
        </w:rPr>
        <w:t xml:space="preserve">[ … ]</w:t>
      </w:r>
      <w:r>
        <w:t xml:space="preserve"> </w:t>
      </w:r>
      <w:r>
        <w:t xml:space="preserve">reinforces the need for accuracy. That is because an incorrect decision (wrongly classifying the contempt proceeding as civil) can increase the risk of wrongful incarceration by depriving the defendant of the procedural protections (including counsel) that the Constitution would demand in a criminal proceeding.</w:t>
      </w:r>
      <w:r>
        <w:t xml:space="preserve"> </w:t>
      </w:r>
      <w:r>
        <w:rPr>
          <w:rStyle w:val="Elision"/>
        </w:rPr>
        <w:t xml:space="preserve">[ … ]</w:t>
      </w:r>
      <w:r>
        <w:t xml:space="preserve"> </w:t>
      </w:r>
      <w:r>
        <w:t xml:space="preserve">And since 70% of child support arrears nationwide are owed by parents with either no reported income or income of $10,000 per year or less, the issue of ability to pay may arise fairly often.</w:t>
      </w:r>
      <w:r>
        <w:t xml:space="preserve"> </w:t>
      </w:r>
      <w:r>
        <w:rPr>
          <w:rStyle w:val="Elision"/>
        </w:rPr>
        <w:t xml:space="preserve">[ … ]</w:t>
      </w:r>
    </w:p>
    <w:p>
      <w:pPr>
        <w:pStyle w:val="CaseBody"/>
      </w:pPr>
      <w:r>
        <w:t xml:space="preserve">On the other hand, the Due Process Clause does not always require the provision of counsel in civil proceedings where incarceration is threatened.</w:t>
      </w:r>
      <w:r>
        <w:rPr>
          <w:rStyle w:val="Elision"/>
        </w:rPr>
        <w:t xml:space="preserve">[ … ]</w:t>
      </w:r>
      <w:r>
        <w:t xml:space="preserve">. And in determining whether the Clause requires a right to counsel here, we must take account of opposing interests, as well as consider the probable value of “additional or substitute procedural safeguards.”</w:t>
      </w:r>
      <w:r>
        <w:t xml:space="preserve"> </w:t>
      </w:r>
      <w:r>
        <w:rPr>
          <w:rStyle w:val="Elision"/>
        </w:rPr>
        <w:t xml:space="preserve">[ … ]</w:t>
      </w:r>
    </w:p>
    <w:p>
      <w:pPr>
        <w:pStyle w:val="CaseBody"/>
      </w:pPr>
      <w:r>
        <w:t xml:space="preserve">Doing so, we find three related considerations that, when taken together, argue strongly against the Due Process Clause requiring the State to provide indigents with counsel in every proceeding of the kind before us.</w:t>
      </w:r>
    </w:p>
    <w:p>
      <w:pPr>
        <w:pStyle w:val="CaseBody"/>
      </w:pPr>
      <w:r>
        <w:t xml:space="preserve">First, the critical question likely at issue in these cases concerns, as we have said, the defendant’s ability to pay. That question is often closely related to the question of the defendant’s indigence. But when the right procedures are in place, indigence can be a question that in many — but not all — cases is sufficiently straightforward to warrant determination</w:t>
      </w:r>
      <w:r>
        <w:t xml:space="preserve"> </w:t>
      </w:r>
      <w:r>
        <w:rPr>
          <w:iCs/>
          <w:i/>
        </w:rPr>
        <w:t xml:space="preserve">prior</w:t>
      </w:r>
      <w:r>
        <w:t xml:space="preserve"> </w:t>
      </w:r>
      <w:r>
        <w:t xml:space="preserve">to providing a defendant with counsel, even in a criminal case. Federal law, for example, requires a criminal defendant to provide information showing that he is indigent, and therefore entitled to state-funded counsel,</w:t>
      </w:r>
      <w:r>
        <w:t xml:space="preserve"> </w:t>
      </w:r>
      <w:r>
        <w:rPr>
          <w:iCs/>
          <w:i/>
        </w:rPr>
        <w:t xml:space="preserve">before</w:t>
      </w:r>
      <w:r>
        <w:t xml:space="preserve"> </w:t>
      </w:r>
      <w:r>
        <w:t xml:space="preserve">he can receive that assistance.</w:t>
      </w:r>
      <w:r>
        <w:rPr>
          <w:rStyle w:val="Elision"/>
        </w:rPr>
        <w:t xml:space="preserve">[ … ]</w:t>
      </w:r>
    </w:p>
    <w:p>
      <w:pPr>
        <w:pStyle w:val="CaseBody"/>
      </w:pPr>
      <w:r>
        <w:t xml:space="preserve">Second, sometimes, as here, the person opposing the defendant at the hearing is not the government represented by counsel but the custodial parent</w:t>
      </w:r>
      <w:r>
        <w:t xml:space="preserve"> </w:t>
      </w:r>
      <w:r>
        <w:rPr>
          <w:rStyle w:val="ReplacementText"/>
        </w:rPr>
        <w:t xml:space="preserve">not</w:t>
      </w:r>
      <w:r>
        <w:t xml:space="preserve">represented by counsel.</w:t>
      </w:r>
      <w:r>
        <w:t xml:space="preserve"> </w:t>
      </w:r>
      <w:r>
        <w:rPr>
          <w:rStyle w:val="Elision"/>
        </w:rPr>
        <w:t xml:space="preserve">[ … ]</w:t>
      </w:r>
      <w:r>
        <w:t xml:space="preserve"> </w:t>
      </w:r>
      <w:r>
        <w:t xml:space="preserve">The custodial parent, perhaps a woman with custody of one or more children, may be relatively poor, unemployed, and unable to afford counsel. Yet she may have encouraged the court to enforce its order through contempt. Cf. Tr. Contempt Proceedings</w:t>
      </w:r>
      <w:r>
        <w:rPr>
          <w:rStyle w:val="Elision"/>
        </w:rPr>
        <w:t xml:space="preserve">[ … ]</w:t>
      </w:r>
      <w:r>
        <w:t xml:space="preserve"> </w:t>
      </w:r>
      <w:r>
        <w:t xml:space="preserve">(Rogers asks court, in light of pattern of nonpayment, to confine Turner). She may be able to provide the court with significant information. Cf.</w:t>
      </w:r>
      <w:r>
        <w:t xml:space="preserve"> </w:t>
      </w:r>
      <w:r>
        <w:rPr>
          <w:iCs/>
          <w:i/>
        </w:rPr>
        <w:t xml:space="preserve">id.,</w:t>
      </w:r>
      <w:r>
        <w:t xml:space="preserve"> </w:t>
      </w:r>
      <w:r>
        <w:rPr>
          <w:rStyle w:val="Elision"/>
        </w:rPr>
        <w:t xml:space="preserve">[ … ]</w:t>
      </w:r>
      <w:r>
        <w:t xml:space="preserve"> </w:t>
      </w:r>
      <w:r>
        <w:t xml:space="preserve">(Rogers describes where Turner lived and worked). And the proceeding is ultimately for her benefit.</w:t>
      </w:r>
    </w:p>
    <w:p>
      <w:pPr>
        <w:pStyle w:val="CaseBody"/>
      </w:pPr>
      <w:r>
        <w:t xml:space="preserve">A requirement that the State provide counsel to the noncustodial parent in these cases could create an asymmetry of representation that would “alter significantly the nature of the proceeding.”</w:t>
      </w:r>
      <w:r>
        <w:t xml:space="preserve"> </w:t>
      </w:r>
      <w:r>
        <w:rPr>
          <w:rStyle w:val="Elision"/>
        </w:rPr>
        <w:t xml:space="preserve">[ … ]</w:t>
      </w:r>
      <w:r>
        <w:t xml:space="preserve">Doing so could mean a degree of formality or delay that would unduly slow payment to those immediately in need. And, perhaps more important for present purposes, doing so could make the proceedings</w:t>
      </w:r>
      <w:r>
        <w:t xml:space="preserve"> </w:t>
      </w:r>
      <w:r>
        <w:rPr>
          <w:iCs/>
          <w:i/>
        </w:rPr>
        <w:t xml:space="preserve">less</w:t>
      </w:r>
      <w:r>
        <w:t xml:space="preserve"> </w:t>
      </w:r>
      <w:r>
        <w:t xml:space="preserve">fair overall, increasing the risk of a decision that would erroneously deprive a family of the support it is entitled to receive. The needs of such families play an important role in our analysis.</w:t>
      </w:r>
      <w:r>
        <w:t xml:space="preserve"> </w:t>
      </w:r>
      <w:r>
        <w:rPr>
          <w:rStyle w:val="Elision"/>
        </w:rPr>
        <w:t xml:space="preserve">[ … ]</w:t>
      </w:r>
    </w:p>
    <w:p>
      <w:pPr>
        <w:pStyle w:val="CaseBody"/>
      </w:pPr>
      <w:r>
        <w:t xml:space="preserve">Third, as the Solicitor General points out, there is available a set of “substitute procedural safeguards,”</w:t>
      </w:r>
      <w:r>
        <w:t xml:space="preserve"> </w:t>
      </w:r>
      <w:r>
        <w:rPr>
          <w:iCs/>
          <w:i/>
        </w:rPr>
        <w:t xml:space="preserve">Mathews</w:t>
      </w:r>
      <w:r>
        <w:rPr>
          <w:rStyle w:val="Elision"/>
        </w:rPr>
        <w:t xml:space="preserve">[ … ]</w:t>
      </w:r>
      <w:r>
        <w:t xml:space="preserve"> </w:t>
      </w:r>
      <w:r>
        <w:t xml:space="preserve">which, if employed together, can significantly reduce the risk of an erroneous deprivation of liberty. They can do so, moreover, without incurring some of the drawbacks inherent in recognizing an automatic right to counsel. Those safeguards include (1) notice to the defendant that his “ability to pay” is a critical issue in the contempt proceeding; (2) the use of a form (or the equivalent) to elicit relevant financial information; (3) an opportunity at the hearing for the defendant to respond to statements and questions about his financial status</w:t>
      </w:r>
      <w:r>
        <w:t xml:space="preserve"> </w:t>
      </w:r>
      <w:r>
        <w:rPr>
          <w:iCs/>
          <w:i/>
        </w:rPr>
        <w:t xml:space="preserve">(e. g.,</w:t>
      </w:r>
      <w:r>
        <w:t xml:space="preserve"> </w:t>
      </w:r>
      <w:r>
        <w:t xml:space="preserve">those triggered by his responses on the form); and (4) an express finding by the court that the defendant has the ability to pay.</w:t>
      </w:r>
      <w:r>
        <w:t xml:space="preserve"> </w:t>
      </w:r>
      <w:r>
        <w:rPr>
          <w:rStyle w:val="Elision"/>
        </w:rPr>
        <w:t xml:space="preserve">[ … ]</w:t>
      </w:r>
      <w:r>
        <w:t xml:space="preserve"> </w:t>
      </w:r>
      <w:r>
        <w:t xml:space="preserve"> </w:t>
      </w:r>
      <w:r>
        <w:t xml:space="preserve">In presenting these alternatives, the Government draws upon considerable experience in helping to manage statutorily mandated federal-state efforts to enforce child support orders.</w:t>
      </w:r>
      <w:r>
        <w:rPr>
          <w:rStyle w:val="Elision"/>
        </w:rPr>
        <w:t xml:space="preserve">[ … ]</w:t>
      </w:r>
      <w:r>
        <w:t xml:space="preserve"> </w:t>
      </w:r>
      <w:r>
        <w:t xml:space="preserve">It does not claim that they are the only possible alternatives, and this Court’s cases suggest, for example, that sometimes assistance other than purely legal assistance (here, say, that of a neutral social worker) can prove constitutionally sufficient. Cf.</w:t>
      </w:r>
      <w:r>
        <w:t xml:space="preserve"> </w:t>
      </w:r>
      <w:r>
        <w:rPr>
          <w:iCs/>
          <w:i/>
        </w:rPr>
        <w:t xml:space="preserve">Vitek</w:t>
      </w:r>
      <w:r>
        <w:rPr>
          <w:rStyle w:val="Elision"/>
        </w:rPr>
        <w:t xml:space="preserve">[ … ]</w:t>
      </w:r>
      <w:r>
        <w:t xml:space="preserve">(Powell, J., concurring in part) (provision of mental health professional). But the Government does claim that these alternatives can ensure the “fundamental fairness” of the proceeding even where the State does not pay for counsel for an indigent defendant.</w:t>
      </w:r>
    </w:p>
    <w:p>
      <w:pPr>
        <w:pStyle w:val="CaseBody"/>
      </w:pPr>
      <w:r>
        <w:t xml:space="preserve">While recognizing the strength of Turner’s arguments, we ultimately believe that the three considerations we have just discussed must carry the day. In our view, a categorical right to counsel in proceedings of the kind before us would carry with it disadvantages (in the form of unfairness and delay) that, in terms of ultimate fairness, would deprive it of significant superiority over the alternatives that we have mentioned. We consequently hold that the Due Process Clause does not</w:t>
      </w:r>
      <w:r>
        <w:t xml:space="preserve"> </w:t>
      </w:r>
      <w:r>
        <w:rPr>
          <w:iCs/>
          <w:i/>
        </w:rPr>
        <w:t xml:space="preserve">automatically</w:t>
      </w:r>
      <w:r>
        <w:t xml:space="preserve"> </w:t>
      </w:r>
      <w:r>
        <w:t xml:space="preserve">require the provision of counsel at civil contempt proceedings to an indigent individual who is subject to a child support order, even if that individual faces incarceration (for up to a year). In particular, that Clause does not require the provision of counsel where the opposing parent or other custodian (to whom support funds are owed) is not represented by counsel and the State provides alternative procedural safeguards equivalent to those we have mentioned (adequate notice of the importance of ability to pay, fair opportunity to present, and to dispute, relevant information, and court findings).</w:t>
      </w:r>
    </w:p>
    <w:p>
      <w:pPr>
        <w:pStyle w:val="CaseBody"/>
      </w:pPr>
      <w:r>
        <w:t xml:space="preserve">We do not address civil contempt proceedings where the underlying child support payment is owed to the State, for example, for reimbursement of welfare funds paid to the parent with custody.</w:t>
      </w:r>
      <w:r>
        <w:t xml:space="preserve"> </w:t>
      </w:r>
      <w:r>
        <w:rPr>
          <w:rStyle w:val="Elision"/>
        </w:rPr>
        <w:t xml:space="preserve">[ … ]</w:t>
      </w:r>
      <w:r>
        <w:t xml:space="preserve">. Those proceedings more closely resemble debt-collection proceedings. The government is likely to have counsel or some other competent representative.</w:t>
      </w:r>
      <w:r>
        <w:t xml:space="preserve"> </w:t>
      </w:r>
      <w:r>
        <w:rPr>
          <w:rStyle w:val="Elision"/>
        </w:rPr>
        <w:t xml:space="preserve">[ … ]</w:t>
      </w:r>
      <w:r>
        <w:t xml:space="preserve">And this kind of proceeding is not before us. Neither do we address what due process requires in an unusually complex case where a defendant “can fairly be represented only by a trained advocate.”</w:t>
      </w:r>
      <w:r>
        <w:t xml:space="preserve"> </w:t>
      </w:r>
      <w:r>
        <w:rPr>
          <w:rStyle w:val="Elision"/>
        </w:rPr>
        <w:t xml:space="preserve">[ … ]</w:t>
      </w:r>
    </w:p>
    <w:p>
      <w:pPr>
        <w:pStyle w:val="CaseBody"/>
      </w:pPr>
      <w:r>
        <w:t xml:space="preserve">IV</w:t>
      </w:r>
    </w:p>
    <w:p>
      <w:pPr>
        <w:pStyle w:val="CaseBody"/>
      </w:pPr>
      <w:r>
        <w:t xml:space="preserve">The record indicates that Turner received neither counsel nor the benefit of alternative procedures like those we have described. He did not receive clear notice that his ability to pay would constitute the critical question in his civil contempt proceeding. No one provided him with a form (or the equivalent) designed to elicit information about his financial circumstances. The court did not find that Turner was able to pay his arrearage, but instead left the relevant “finding” section of the contempt order blank. The court nonetheless found Turner in contempt and ordered him incarcerated. Under these circumstances Turner’s incarceration violated the Due Process Clause.</w:t>
      </w:r>
    </w:p>
    <w:p>
      <w:pPr>
        <w:pStyle w:val="CaseBody"/>
      </w:pPr>
      <w:r>
        <w:t xml:space="preserve">We vacate the judgment of the South Carolina Supreme Court and remand the case for further proceedings not inconsistent with this opinion.</w:t>
      </w:r>
    </w:p>
    <w:p>
      <w:pPr>
        <w:pStyle w:val="CaseBody"/>
      </w:pPr>
      <w:r>
        <w:rPr>
          <w:iCs/>
          <w:i/>
        </w:rPr>
        <w:t xml:space="preserve">It is so ordered.</w:t>
      </w:r>
    </w:p>
    <w:p>
      <w:pPr>
        <w:pStyle w:val="CaseBody"/>
      </w:pPr>
      <w:r>
        <w:t xml:space="preserve">Justice Thomas,</w:t>
      </w:r>
    </w:p>
    <w:p>
      <w:pPr>
        <w:pStyle w:val="CaseBody"/>
      </w:pPr>
      <w:r>
        <w:t xml:space="preserve">with whom Justice Scalia joins, and with whom The Chief Justice and Justice Alito join as to Parts I-B and II,</w:t>
      </w:r>
    </w:p>
    <w:p>
      <w:pPr>
        <w:pStyle w:val="CaseBody"/>
      </w:pPr>
      <w:r>
        <w:t xml:space="preserve">dissenting.</w:t>
      </w:r>
      <w:r>
        <w:rPr>
          <w:rStyle w:val="FootnoteReference"/>
        </w:rPr>
        <w:footnoteReference w:customMarkFollows="1" w:id="117"/>
        <w:t xml:space="preserve">***</w:t>
      </w:r>
    </w:p>
    <w:p>
      <w:pPr>
        <w:pStyle w:val="CaseBody"/>
      </w:pPr>
      <w:r>
        <w:t xml:space="preserve">The Due Process Clause of the Fourteenth Amendment does not provide a right to appointed counsel for indigent defendants facing incarceration in civil contempt proceedings. Therefore, I would affirm. Although the Court agrees that appointed counsel was not required in this case, it nevertheless vacates the judgment of the South Carolina Supreme Court on a different ground, which the parties have never raised. Solely at the invitation of the United States as</w:t>
      </w:r>
      <w:r>
        <w:t xml:space="preserve"> </w:t>
      </w:r>
      <w:r>
        <w:rPr>
          <w:iCs/>
          <w:i/>
        </w:rPr>
        <w:t xml:space="preserve">amicus curiae,</w:t>
      </w:r>
      <w:r>
        <w:t xml:space="preserve"> </w:t>
      </w:r>
      <w:r>
        <w:t xml:space="preserve">the majority decides that Turner's contempt proceeding violated due process because it did not include “alternative procedural safeguards.”</w:t>
      </w:r>
      <w:r>
        <w:t xml:space="preserve"> </w:t>
      </w:r>
      <w:r>
        <w:rPr>
          <w:rStyle w:val="Elision"/>
        </w:rPr>
        <w:t xml:space="preserve">[ … ]</w:t>
      </w:r>
      <w:r>
        <w:t xml:space="preserve"> </w:t>
      </w:r>
      <w:r>
        <w:t xml:space="preserve">Consistent with this Court’s longstanding practice, I would not reach that question.</w:t>
      </w:r>
      <w:hyperlink w:anchor="X23a0fbb8e5bc9f027ca50d9f56768b1a8c4fe7f">
        <w:r>
          <w:rPr>
            <w:rStyle w:val="Elision"/>
          </w:rPr>
          <w:t xml:space="preserve">[ … ]</w:t>
        </w:r>
      </w:hyperlink>
    </w:p>
    <w:p>
      <w:pPr>
        <w:pStyle w:val="CaseBody"/>
      </w:pPr>
      <w:r>
        <w:rPr>
          <w:rStyle w:val="Elision"/>
        </w:rPr>
        <w:t xml:space="preserve">[ … ]</w:t>
      </w:r>
    </w:p>
    <w:p>
      <w:pPr>
        <w:pStyle w:val="NodeEnd"/>
      </w:pPr>
      <w:r>
        <w:t xml:space="preserve"> </w:t>
      </w:r>
    </w:p>
    <w:p>
      <w:pPr>
        <w:pStyle w:val="NodeStart"/>
      </w:pPr>
      <w:r>
        <w:t xml:space="preserve"> </w:t>
      </w:r>
    </w:p>
    <w:p>
      <w:pPr>
        <w:pStyle w:val="HeadSeparator"/>
      </w:pPr>
      <w:r>
        <w:t xml:space="preserve"> </w:t>
      </w:r>
    </w:p>
    <w:bookmarkStart w:id="270" w:name="_auto_toc_270"/>
    <w:bookmarkEnd w:id="270"/>
    <w:p>
      <w:pPr>
        <w:pStyle w:val="ResourceNumber"/>
      </w:pPr>
      <w:r>
        <w:t xml:space="preserve">24.4</w:t>
      </w:r>
    </w:p>
    <w:p>
      <w:pPr>
        <w:pStyle w:val="ResourceTitle"/>
      </w:pPr>
      <w:r>
        <w:t xml:space="preserve">Triaging Appointed-Counsel Funding</w:t>
      </w:r>
    </w:p>
    <w:p>
      <w:pPr>
        <w:pStyle w:val="HeadFieldSeparator"/>
      </w:pPr>
      <w:r>
        <w:t xml:space="preserve"> </w:t>
      </w:r>
    </w:p>
    <w:p>
      <w:pPr>
        <w:pStyle w:val="ResourceHeadnote"/>
      </w:pPr>
      <w:r>
        <w:t xml:space="preserve">Read the sections of "Triaging Appointed-Counsel Funding and Pro Se Access to Justice" by Barton and Bibas found</w:t>
      </w:r>
      <w:r>
        <w:t xml:space="preserve"> </w:t>
      </w:r>
      <w:hyperlink r:id="rId298">
        <w:r>
          <w:rPr>
            <w:rStyle w:val="Hyperlink"/>
          </w:rPr>
          <w:t xml:space="preserve">here</w:t>
        </w:r>
      </w:hyperlink>
      <w:r>
        <w:t xml:space="preserve"> </w:t>
      </w:r>
      <w:r>
        <w:t xml:space="preserve">(pdf).</w:t>
      </w:r>
    </w:p>
    <w:p>
      <w:pPr>
        <w:pStyle w:val="HeadEnd"/>
      </w:pPr>
      <w:r>
        <w:t xml:space="preserve"> </w:t>
      </w:r>
    </w:p>
    <w:p>
      <w:pPr>
        <w:pStyle w:val="BodyText"/>
      </w:pPr>
      <w:r>
        <w:t xml:space="preserve">Citation: Benjamin H. Barton &amp; Stephanos Bibas, "Triaging Appointed-Counsel Funding and Pro Se Access to Justice," 160 </w:t>
      </w:r>
      <w:r>
        <w:rPr>
          <w:bCs/>
          <w:b/>
        </w:rPr>
        <w:t xml:space="preserve">U. Pa. L. Rev.</w:t>
      </w:r>
      <w:r>
        <w:t xml:space="preserve"> </w:t>
      </w:r>
      <w:r>
        <w:t xml:space="preserve">967 (2012).</w:t>
      </w:r>
    </w:p>
    <w:p>
      <w:pPr>
        <w:pStyle w:val="NodeEnd"/>
      </w:pPr>
      <w:r>
        <w:t xml:space="preserve"> </w:t>
      </w:r>
    </w:p>
    <w:p>
      <w:pPr>
        <w:pStyle w:val="NodeStart"/>
      </w:pPr>
      <w:r>
        <w:t xml:space="preserve"> </w:t>
      </w:r>
    </w:p>
    <w:p>
      <w:pPr>
        <w:pStyle w:val="HeadSeparator"/>
      </w:pPr>
      <w:r>
        <w:t xml:space="preserve"> </w:t>
      </w:r>
    </w:p>
    <w:bookmarkStart w:id="271" w:name="_auto_toc_271"/>
    <w:bookmarkEnd w:id="271"/>
    <w:p>
      <w:pPr>
        <w:pStyle w:val="ResourceNumber"/>
      </w:pPr>
      <w:r>
        <w:t xml:space="preserve">24.5</w:t>
      </w:r>
    </w:p>
    <w:p>
      <w:pPr>
        <w:pStyle w:val="ResourceTitle"/>
      </w:pPr>
      <w:r>
        <w:t xml:space="preserve">It's Not Triage if the Patient Bleeds Out</w:t>
      </w:r>
    </w:p>
    <w:p>
      <w:pPr>
        <w:pStyle w:val="HeadFieldSeparator"/>
      </w:pPr>
      <w:r>
        <w:t xml:space="preserve"> </w:t>
      </w:r>
    </w:p>
    <w:p>
      <w:pPr>
        <w:pStyle w:val="ResourceHeadnote"/>
      </w:pPr>
      <w:r>
        <w:t xml:space="preserve">Read the excerpts of "It's Not Triage if the Patient Bleeds Out" by John Pollock and Michael S. Greco found</w:t>
      </w:r>
      <w:r>
        <w:t xml:space="preserve"> </w:t>
      </w:r>
      <w:hyperlink r:id="rId299">
        <w:r>
          <w:rPr>
            <w:rStyle w:val="Hyperlink"/>
          </w:rPr>
          <w:t xml:space="preserve">here</w:t>
        </w:r>
      </w:hyperlink>
      <w:r>
        <w:t xml:space="preserve"> </w:t>
      </w:r>
      <w:r>
        <w:t xml:space="preserve">(pdf).</w:t>
      </w:r>
    </w:p>
    <w:p>
      <w:pPr>
        <w:pStyle w:val="HeadEnd"/>
      </w:pPr>
      <w:r>
        <w:t xml:space="preserve"> </w:t>
      </w:r>
    </w:p>
    <w:p>
      <w:pPr>
        <w:pStyle w:val="BodyText"/>
      </w:pPr>
      <w:r>
        <w:t xml:space="preserve">Citation:</w:t>
      </w:r>
      <w:r>
        <w:t xml:space="preserve"> </w:t>
      </w:r>
      <w:r>
        <w:t xml:space="preserve">John Pollock &amp; Michael S. Greco,</w:t>
      </w:r>
      <w:r>
        <w:t xml:space="preserve"> </w:t>
      </w:r>
      <w:r>
        <w:rPr>
          <w:iCs/>
          <w:i/>
        </w:rPr>
        <w:t xml:space="preserve">It's Not Triage if the Patient Bleeds Out</w:t>
      </w:r>
      <w:r>
        <w:t xml:space="preserve">, 161</w:t>
      </w:r>
      <w:r>
        <w:t xml:space="preserve"> </w:t>
      </w:r>
      <w:r>
        <w:rPr>
          <w:smallCaps/>
          <w:bCs/>
          <w:b/>
        </w:rPr>
        <w:t xml:space="preserve">U. Pa. L. Rev. Online</w:t>
      </w:r>
      <w:r>
        <w:t xml:space="preserve"> </w:t>
      </w:r>
      <w:r>
        <w:t xml:space="preserve">(2012).</w:t>
      </w:r>
      <w:r>
        <w:t xml:space="preserve"> </w:t>
      </w:r>
    </w:p>
    <w:p>
      <w:pPr>
        <w:pStyle w:val="NodeEnd"/>
      </w:pPr>
      <w:r>
        <w:t xml:space="preserve"> </w:t>
      </w:r>
    </w:p>
    <w:p>
      <w:r>
        <w:pict>
          <v:rect style="width:0;height:1.5pt" o:hralign="center" o:hrstd="t" o:hr="t"/>
        </w:pict>
      </w:r>
    </w:p>
    <w:p>
      <w:pPr>
        <w:pStyle w:val="AcknowledgementsTitle"/>
      </w:pPr>
      <w:r>
        <w:t xml:space="preserve">Acknowledgments</w:t>
      </w:r>
    </w:p>
    <w:p>
      <w:pPr>
        <w:pStyle w:val="AcknowledgementsSubtitle"/>
      </w:pPr>
      <w:r>
        <w:t xml:space="preserve">Some materials included in this export came from the following casebooks.</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Baskerville">
    <w:panose1 w:val="02020502070401020303"/>
    <w:charset w:val="00"/>
    <w:family w:val="roman"/>
    <w:pitch w:val="variable"/>
    <w:sig w:usb0="80000067" w:usb1="02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Headings CS)">
    <w:altName w:val="Arial"/>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auto"/>
    <w:pitch w:val="variable"/>
    <w:sig w:usb0="00000003" w:usb1="00000000" w:usb2="00000000" w:usb3="00000000" w:csb0="00000001" w:csb1="00000000"/>
  </w:font>
</w:fonts>
</file>

<file path=word/footer_blank.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_titl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CasebookAuthor"/>
    </w:pPr>
    <w:r>
      <w:t xml:space="preserve">[author name]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
    <w:p>
      <w:pPr>
        <w:pStyle w:val="FootnoteText"/>
      </w:pPr>
      <w:r>
        <w:rPr>
          <w:rStyle w:val="FootnoteReference"/>
        </w:rPr>
        <w:t xml:space="preserve">*  </w:t>
      </w:r>
      <w:r>
        <w:t xml:space="preserve"/>
      </w:r>
      <w:r>
        <w:t xml:space="preserve">"Demurrer" is an old law term; we do not use it anymore. Today, we would (approximately) say that the defendant has "moved to dismiss for failure to state a claim." In other words, the defendant says that even if a court accepts all of the facts in the plaintiff's complaint as true, the defendant should still win, based on nothing more than the complaint. We will learn more about this kind of motion later in the course.</w:t>
      </w:r>
    </w:p>
  </w:footnote>
  <w:footnote w:id="3">
    <w:p>
      <w:pPr>
        <w:pStyle w:val="FootnoteText"/>
      </w:pPr>
      <w:r>
        <w:rPr>
          <w:rStyle w:val="FootnoteReference"/>
        </w:rPr>
        <w:t xml:space="preserve">*  </w:t>
      </w:r>
      <w:r>
        <w:t xml:space="preserve"/>
      </w:r>
      <w:r>
        <w:t xml:space="preserve">In other words, the IRS sold the property to a company called "Darue."</w:t>
      </w:r>
    </w:p>
  </w:footnote>
  <w:footnote w:id="4">
    <w:p>
      <w:pPr>
        <w:pStyle w:val="FootnoteText"/>
      </w:pPr>
      <w:r>
        <w:rPr>
          <w:rStyle w:val="FootnoteReference"/>
        </w:rPr>
        <w:t xml:space="preserve">*  </w:t>
      </w:r>
      <w:r>
        <w:t xml:space="preserve"/>
      </w:r>
      <w:r>
        <w:t xml:space="preserve">The court in this opinion is about to clarify that this "alternative" is actually the law. The principle here is called the "coercive action" rule. To help you remember it, I will refer to it as the "imaginary lawsuit rule." Why do I give it that name?</w:t>
      </w:r>
    </w:p>
  </w:footnote>
  <w:footnote w:id="5">
    <w:p>
      <w:pPr>
        <w:pStyle w:val="FootnoteText"/>
      </w:pPr>
      <w:r>
        <w:rPr>
          <w:rStyle w:val="FootnoteReference"/>
        </w:rPr>
        <w:t xml:space="preserve">*  </w:t>
      </w:r>
      <w:r>
        <w:t xml:space="preserve"/>
      </w:r>
      <w:r>
        <w:t xml:space="preserve">Most people, including me, find this opinion pretty cryptic. On the issue of whether section 1332 requires complete or only minimal diversity, does the following sentence from the Court's "syllabus" (summary) of the opinion help, even though the syllabus is not considered part of the opinion and thus not considered part of the law? "If there be two or more joint plaintiffs, and two or more joint defendants, each of the plaintiffs must be capable of suing each of the defendants in the courts of the United States to sustain the jurisdiction of the court."</w:t>
      </w:r>
    </w:p>
  </w:footnote>
  <w:footnote w:id="6"/>
  <w:footnote w:id="7">
    <w:p>
      <w:pPr>
        <w:pStyle w:val="FootnoteText"/>
      </w:pPr>
      <w:r>
        <w:rPr>
          <w:rStyle w:val="FootnoteReference"/>
        </w:rPr>
        <w:t xml:space="preserve">*  </w:t>
      </w:r>
      <w:r>
        <w:t xml:space="preserve"/>
      </w:r>
      <w:r>
        <w:t xml:space="preserve">We will study this doctrine later in the semester. For now, it is enough to know that referring to this doctrine does nothing to clarify what a "cause of action" was under the Hurn test.</w:t>
      </w:r>
    </w:p>
  </w:footnote>
  <w:footnote w:id="8">
    <w:p>
      <w:pPr>
        <w:pStyle w:val="FootnoteText"/>
      </w:pPr>
      <w:r>
        <w:rPr>
          <w:rStyle w:val="FootnoteReference"/>
        </w:rPr>
        <w:t xml:space="preserve">*  </w:t>
      </w:r>
      <w:r>
        <w:t xml:space="preserve"/>
      </w:r>
      <w:r>
        <w:t xml:space="preserve">This branch of abstention is often referred to as the "Pullman" abstention, after a case that gave rise to it."</w:t>
      </w:r>
    </w:p>
  </w:footnote>
  <w:footnote w:id="9">
    <w:p>
      <w:pPr>
        <w:pStyle w:val="FootnoteText"/>
      </w:pPr>
      <w:r>
        <w:rPr>
          <w:rStyle w:val="FootnoteReference"/>
        </w:rPr>
        <w:t xml:space="preserve">*  </w:t>
      </w:r>
      <w:r>
        <w:t xml:space="preserve"/>
      </w:r>
      <w:r>
        <w:t xml:space="preserve">This is a fancy way of saying that Sears was losing money in its credit card business.</w:t>
      </w:r>
    </w:p>
  </w:footnote>
  <w:footnote w:id="10">
    <w:p>
      <w:pPr>
        <w:pStyle w:val="FootnoteText"/>
      </w:pPr>
      <w:r>
        <w:rPr>
          <w:rStyle w:val="FootnoteReference"/>
        </w:rPr>
        <w:t xml:space="preserve">*  </w:t>
      </w:r>
      <w:r>
        <w:t xml:space="preserve"/>
      </w:r>
      <w:r>
        <w:t xml:space="preserve">This Act, referred to as “section 2590” later in the opinion, repealed the common law ``fellow servant” tort doctrine in Alabama. As explained two paragraphs above, the “fellow servant” defense prevented an employee from suing his or her employer for injury resulting from on-the-job negligence committed by another of the employ-er’s employees. The Alabama Employer’s Liability Act replaced the “fellow serv-ant” defense with the doctrine of “respondeat superior,” under which an employer is liable for negligence committed by its employee in the scope of the latter’s employment.</w:t>
      </w:r>
    </w:p>
  </w:footnote>
  <w:footnote w:id="11">
    <w:p>
      <w:pPr>
        <w:pStyle w:val="FootnoteText"/>
      </w:pPr>
      <w:r>
        <w:rPr>
          <w:rStyle w:val="FootnoteReference"/>
        </w:rPr>
        <w:t xml:space="preserve">*  </w:t>
      </w:r>
      <w:r>
        <w:t xml:space="preserve"/>
      </w:r>
      <w:r>
        <w:t xml:space="preserve">Here, "guest" means "passenger."</w:t>
      </w:r>
    </w:p>
  </w:footnote>
  <w:footnote w:id="12">
    <w:p>
      <w:pPr>
        <w:pStyle w:val="FootnoteText"/>
      </w:pPr>
      <w:r>
        <w:rPr>
          <w:rStyle w:val="FootnoteReference"/>
        </w:rPr>
        <w:t xml:space="preserve">*  </w:t>
      </w:r>
      <w:r>
        <w:t xml:space="preserve"/>
      </w:r>
      <w:r>
        <w:t xml:space="preserve">Concurrence begins here.</w:t>
      </w:r>
    </w:p>
  </w:footnote>
  <w:footnote w:id="13">
    <w:p>
      <w:pPr>
        <w:pStyle w:val="FootnoteText"/>
      </w:pPr>
      <w:r>
        <w:rPr>
          <w:rStyle w:val="FootnoteReference"/>
        </w:rPr>
        <w:t xml:space="preserve">*  </w:t>
      </w:r>
      <w:r>
        <w:t xml:space="preserve"/>
      </w:r>
      <w:r>
        <w:t xml:space="preserve">Remember, "patent" here means "grant."</w:t>
      </w:r>
    </w:p>
  </w:footnote>
  <w:footnote w:id="14">
    <w:p>
      <w:pPr>
        <w:pStyle w:val="FootnoteText"/>
      </w:pPr>
      <w:r>
        <w:rPr>
          <w:rStyle w:val="FootnoteReference"/>
        </w:rPr>
        <w:t xml:space="preserve">*  </w:t>
      </w:r>
      <w:r>
        <w:t xml:space="preserve"/>
      </w:r>
      <w:r>
        <w:t xml:space="preserve">This is standard unemployment insurance of the type that exists today. Basically, International Shoe failed to pay a Washington tax that funded that State's unemployment system.</w:t>
      </w:r>
    </w:p>
  </w:footnote>
  <w:footnote w:id="15">
    <w:p>
      <w:pPr>
        <w:pStyle w:val="FootnoteText"/>
      </w:pPr>
      <w:r>
        <w:rPr>
          <w:rStyle w:val="FootnoteReference"/>
        </w:rPr>
        <w:t xml:space="preserve">*  </w:t>
      </w:r>
      <w:r>
        <w:t xml:space="preserve"/>
      </w:r>
      <w:r>
        <w:t xml:space="preserve">Concurrence begins here.</w:t>
      </w:r>
    </w:p>
  </w:footnote>
  <w:footnote w:id="16">
    <w:p>
      <w:pPr>
        <w:pStyle w:val="FootnoteText"/>
      </w:pPr>
      <w:r>
        <w:rPr>
          <w:rStyle w:val="FootnoteReference"/>
        </w:rPr>
        <w:t xml:space="preserve">*  </w:t>
      </w:r>
      <w:r>
        <w:t xml:space="preserve"/>
      </w:r>
      <w:r>
        <w:t xml:space="preserve">Did the International Shoe majority opinion (not the concurrence, the majority opinion) consider the forum state's "interest" in exercising special IPJ? Did it consider the plaintiff's interest?</w:t>
      </w:r>
    </w:p>
  </w:footnote>
  <w:footnote w:id="17">
    <w:p>
      <w:pPr>
        <w:pStyle w:val="FootnoteText"/>
      </w:pPr>
      <w:r>
        <w:rPr>
          <w:rStyle w:val="FootnoteReference"/>
        </w:rPr>
        <w:t xml:space="preserve">*  </w:t>
      </w:r>
      <w:r>
        <w:t xml:space="preserve"/>
      </w:r>
      <w:r>
        <w:t xml:space="preserve">As you may learn in your torts class, the law of some states provides that in a so-called "products liability" lawsuit, a plaintiff injured by a manufactured product may sue anyone in the commercial chain from the manufacturer to the retailer. Here, the plaintiff sued everyone in that chain: the manufacturer, the importer/exporter, the distributor, and the retailer.</w:t>
      </w:r>
    </w:p>
  </w:footnote>
  <w:footnote w:id="18">
    <w:p>
      <w:pPr>
        <w:pStyle w:val="FootnoteText"/>
      </w:pPr>
      <w:r>
        <w:rPr>
          <w:rStyle w:val="FootnoteReference"/>
        </w:rPr>
        <w:t xml:space="preserve">*  </w:t>
      </w:r>
      <w:r>
        <w:t xml:space="preserve"/>
      </w:r>
      <w:r>
        <w:t xml:space="preserve">Concurrence begins here.</w:t>
      </w:r>
    </w:p>
  </w:footnote>
  <w:footnote w:id="19">
    <w:p>
      <w:pPr>
        <w:pStyle w:val="FootnoteText"/>
      </w:pPr>
      <w:r>
        <w:rPr>
          <w:rStyle w:val="FootnoteReference"/>
        </w:rPr>
        <w:t xml:space="preserve">*  </w:t>
      </w:r>
      <w:r>
        <w:t xml:space="preserve"/>
      </w:r>
      <w:r>
        <w:t xml:space="preserve">Does the fact that the Court includes this sentence in its opinion affect your view of that opinion? If so, how?</w:t>
      </w:r>
    </w:p>
  </w:footnote>
  <w:footnote w:id="20">
    <w:p>
      <w:pPr>
        <w:pStyle w:val="FootnoteText"/>
      </w:pPr>
      <w:r>
        <w:rPr>
          <w:rStyle w:val="FootnoteReference"/>
        </w:rPr>
        <w:t xml:space="preserve">*  </w:t>
      </w:r>
      <w:r>
        <w:t xml:space="preserve"/>
      </w:r>
      <w:r>
        <w:t xml:space="preserve">Concurrence begins here.</w:t>
      </w:r>
    </w:p>
  </w:footnote>
  <w:footnote w:id="21">
    <w:p>
      <w:pPr>
        <w:pStyle w:val="FootnoteText"/>
      </w:pPr>
      <w:r>
        <w:rPr>
          <w:rStyle w:val="FootnoteReference"/>
        </w:rPr>
        <w:t xml:space="preserve">*  </w:t>
      </w:r>
      <w:r>
        <w:t xml:space="preserve"/>
      </w:r>
      <w:r>
        <w:t xml:space="preserve">This is a traditional way of saying that the defendants are moving to dismiss for lack of personal jurisdiction.</w:t>
      </w:r>
    </w:p>
  </w:footnote>
  <w:footnote w:id="22"/>
  <w:footnote w:id="23">
    <w:p>
      <w:pPr>
        <w:pStyle w:val="FootnoteText"/>
      </w:pPr>
      <w:r>
        <w:rPr>
          <w:rStyle w:val="FootnoteReference"/>
        </w:rPr>
        <w:t xml:space="preserve">*  </w:t>
      </w:r>
      <w:r>
        <w:t xml:space="preserve"/>
      </w:r>
      <w:r>
        <w:t xml:space="preserve">The Court, unfortunately, uses here the phrase "remanding the action." What it means is "transferring the lawsuit back to the court in which it originated, meaning the Northern District of Texas.</w:t>
      </w:r>
    </w:p>
  </w:footnote>
  <w:footnote w:id="24">
    <w:p>
      <w:pPr>
        <w:pStyle w:val="FootnoteText"/>
      </w:pPr>
      <w:r>
        <w:rPr>
          <w:rStyle w:val="FootnoteReference"/>
        </w:rPr>
        <w:t xml:space="preserve">*  </w:t>
      </w:r>
      <w:r>
        <w:t xml:space="preserve"/>
      </w:r>
      <w:r>
        <w:t xml:space="preserve">Here, "local tribunals" are state courts.</w:t>
      </w:r>
    </w:p>
  </w:footnote>
  <w:footnote w:id="25">
    <w:p>
      <w:pPr>
        <w:pStyle w:val="FootnoteText"/>
      </w:pPr>
      <w:r>
        <w:rPr>
          <w:rStyle w:val="FootnoteReference"/>
        </w:rPr>
        <w:t xml:space="preserve">*  </w:t>
      </w:r>
      <w:r>
        <w:t xml:space="preserve"/>
      </w:r>
      <w:r>
        <w:t xml:space="preserve">You will learn more about the distinction between "law" and "equity" later in the course. For now, just know that suits at "law" often involve requests for or awards of damages, while suits in "equity" often concerned injunctions. In addition, at least according to Justice Frankfurter, state legislatures were traditionally more active in passing statutes concerning suits in equity, thus leaving the "common law" making to the courts. The latter situation is likely no longer true today.</w:t>
      </w:r>
    </w:p>
  </w:footnote>
  <w:footnote w:id="26">
    <w:p>
      <w:pPr>
        <w:pStyle w:val="FootnoteText"/>
      </w:pPr>
      <w:r>
        <w:rPr>
          <w:rStyle w:val="FootnoteReference"/>
        </w:rPr>
        <w:t xml:space="preserve">*  </w:t>
      </w:r>
      <w:r>
        <w:t xml:space="preserve"/>
      </w:r>
      <w:r>
        <w:t xml:space="preserve">This is the Supreme Court say, "Oops."</w:t>
      </w:r>
    </w:p>
  </w:footnote>
  <w:footnote w:id="27">
    <w:p>
      <w:pPr>
        <w:pStyle w:val="FootnoteText"/>
      </w:pPr>
      <w:r>
        <w:rPr>
          <w:rStyle w:val="FootnoteReference"/>
        </w:rPr>
        <w:t xml:space="preserve">*  </w:t>
      </w:r>
      <w:r>
        <w:t xml:space="preserve"/>
      </w:r>
      <w:r>
        <w:t xml:space="preserve">Please read footnote 9, below.</w:t>
      </w:r>
    </w:p>
  </w:footnote>
  <w:footnote w:id="28">
    <w:p>
      <w:pPr>
        <w:pStyle w:val="FootnoteText"/>
      </w:pPr>
      <w:r>
        <w:rPr>
          <w:rStyle w:val="FootnoteReference"/>
        </w:rPr>
        <w:t xml:space="preserve">*  </w:t>
      </w:r>
      <w:r>
        <w:t xml:space="preserve"/>
      </w:r>
      <w:r>
        <w:t xml:space="preserve">This case was decided before Atlantic Marine. The text I've edited out here conflicts with Atlantic Marine, but this text is dictum. Atlantic Marine provides the law on how a district court should decide a motion to transfer when the parties have a forum selection clause.</w:t>
      </w:r>
    </w:p>
  </w:footnote>
  <w:footnote w:id="29">
    <w:p>
      <w:pPr>
        <w:pStyle w:val="FootnoteText"/>
      </w:pPr>
      <w:r>
        <w:rPr>
          <w:rStyle w:val="FootnoteReference"/>
        </w:rPr>
        <w:t xml:space="preserve">*  </w:t>
      </w:r>
      <w:r>
        <w:t xml:space="preserve"/>
      </w:r>
      <w:r>
        <w:t xml:space="preserve">In other words, the court assumes that the facts (not the legal conclusions) in the complaint are true when deciding a motion to dismiss.</w:t>
      </w:r>
    </w:p>
  </w:footnote>
  <w:footnote w:id="30">
    <w:p>
      <w:pPr>
        <w:pStyle w:val="FootnoteText"/>
      </w:pPr>
      <w:r>
        <w:rPr>
          <w:rStyle w:val="FootnoteReference"/>
        </w:rPr>
        <w:t xml:space="preserve">*  </w:t>
      </w:r>
      <w:r>
        <w:t xml:space="preserve"/>
      </w:r>
      <w:r>
        <w:t xml:space="preserve">The date is 1944. The "new rules of civil procedure" here are the Federal Rules, which were understood as adopting a notice pleading regime.</w:t>
      </w:r>
    </w:p>
  </w:footnote>
  <w:footnote w:id="31"/>
  <w:footnote w:id="32">
    <w:p>
      <w:pPr>
        <w:pStyle w:val="FootnoteText"/>
      </w:pPr>
      <w:r>
        <w:rPr>
          <w:rStyle w:val="FootnoteReference"/>
        </w:rPr>
        <w:t xml:space="preserve">*  </w:t>
      </w:r>
      <w:r>
        <w:t xml:space="preserve"/>
      </w:r>
      <w:r>
        <w:t xml:space="preserve">Remember that the defendants in this appeal are the Attorney-General and the Director of the FBI. Other, lower-level defendants, including the prison guards who allegedly beat and mistreated Iqbal, as well as their more direct supervisors, are not involved at this stage of the litigation.</w:t>
      </w:r>
    </w:p>
  </w:footnote>
  <w:footnote w:id="33">
    <w:p>
      <w:pPr>
        <w:pStyle w:val="FootnoteText"/>
      </w:pPr>
      <w:r>
        <w:rPr>
          <w:rStyle w:val="FootnoteReference"/>
        </w:rPr>
        <w:t xml:space="preserve">*  </w:t>
      </w:r>
      <w:r>
        <w:t xml:space="preserve"/>
      </w:r>
      <w:r>
        <w:t xml:space="preserve">Note the phrasing of the standard here. In the Third Circuit, only a "reasonable probability" of success on the merits is required. As you know from the Thane-Coat litigation, in the Fifth Circuit, the standard is a likelihood of success on the merits.</w:t>
      </w:r>
    </w:p>
  </w:footnote>
  <w:footnote w:id="34">
    <w:p>
      <w:pPr>
        <w:pStyle w:val="FootnoteText"/>
      </w:pPr>
      <w:r>
        <w:rPr>
          <w:rStyle w:val="FootnoteReference"/>
        </w:rPr>
        <w:t xml:space="preserve">*  </w:t>
      </w:r>
      <w:r>
        <w:t xml:space="preserve"/>
      </w:r>
      <w:r>
        <w:t xml:space="preserve">If you understand what the a "settlement" proceeding is in the context of this case, the rule of law that emerges is pretty simple. See if you can figure out what a "settlement" proceeding is. If you can't, no worries, we will be going through it in detail during class.</w:t>
      </w:r>
    </w:p>
  </w:footnote>
  <w:footnote w:id="35">
    <w:p>
      <w:pPr>
        <w:pStyle w:val="FootnoteText"/>
      </w:pPr>
      <w:r>
        <w:rPr>
          <w:rStyle w:val="FootnoteReference"/>
        </w:rPr>
        <w:t xml:space="preserve">*  </w:t>
      </w:r>
      <w:r>
        <w:t xml:space="preserve"/>
      </w:r>
      <w:r>
        <w:t xml:space="preserve">Dissent begins here.</w:t>
      </w:r>
    </w:p>
  </w:footnote>
  <w:footnote w:id="36">
    <w:p>
      <w:pPr>
        <w:pStyle w:val="FootnoteText"/>
      </w:pPr>
      <w:r>
        <w:rPr>
          <w:rStyle w:val="FootnoteReference"/>
        </w:rPr>
        <w:t xml:space="preserve">*  </w:t>
      </w:r>
      <w:r>
        <w:t xml:space="preserve"/>
      </w:r>
      <w:r>
        <w:t xml:space="preserve">Dissent begins here.</w:t>
      </w:r>
    </w:p>
  </w:footnote>
  <w:footnote w:id="37">
    <w:p>
      <w:pPr>
        <w:pStyle w:val="FootnoteText"/>
      </w:pPr>
      <w:r>
        <w:rPr>
          <w:rStyle w:val="FootnoteReference"/>
        </w:rPr>
        <w:t xml:space="preserve">*  </w:t>
      </w:r>
      <w:r>
        <w:t xml:space="preserve"/>
      </w:r>
      <w:r>
        <w:t xml:space="preserve">Note from Professor Greiner: You are not responsible for knowing the law that the Supreme Court invokes to hold that this case involves a consti-tutionally protected liberty interest. I have included it here, however, be-cause the Supreme Court’s extensive discussion of it suggests that the Court considered that interest important. Recall the first Matthews v. Eldridge factor.</w:t>
      </w:r>
    </w:p>
  </w:footnote>
  <w:footnote w:id="38">
    <w:p>
      <w:pPr>
        <w:pStyle w:val="FootnoteText"/>
      </w:pPr>
      <w:r>
        <w:rPr>
          <w:rStyle w:val="FootnoteReference"/>
        </w:rPr>
        <w:t xml:space="preserve">*  </w:t>
      </w:r>
      <w:r>
        <w:t xml:space="preserve"/>
      </w:r>
      <w:r>
        <w:t xml:space="preserve">This case uses maritime law vocabulary. A "libellant" is a plaintiff. Few of you will be familiar with maritime legal jargon (I personally find it hilarious). All you need know here is that the plaintiff is alleging that his injuries were caused by negligence of individuals working on the ship.</w:t>
      </w:r>
    </w:p>
  </w:footnote>
  <w:footnote w:id="39">
    <w:p>
      <w:pPr>
        <w:pStyle w:val="FootnoteText"/>
      </w:pPr>
      <w:r>
        <w:rPr>
          <w:rStyle w:val="FootnoteReference"/>
        </w:rPr>
        <w:t xml:space="preserve">*  </w:t>
      </w:r>
      <w:r>
        <w:t xml:space="preserve"/>
      </w:r>
      <w:r>
        <w:t xml:space="preserve">The wording of the current version of Rule 56 is mildly different, but there is no difference in substance.</w:t>
      </w:r>
    </w:p>
  </w:footnote>
  <w:footnote w:id="40">
    <w:p>
      <w:pPr>
        <w:pStyle w:val="FootnoteText"/>
      </w:pPr>
      <w:r>
        <w:rPr>
          <w:rStyle w:val="FootnoteReference"/>
        </w:rPr>
        <w:t xml:space="preserve">*  </w:t>
      </w:r>
      <w:r>
        <w:t xml:space="preserve"/>
      </w:r>
      <w:r>
        <w:t xml:space="preserve">Dissent begins here.</w:t>
      </w:r>
    </w:p>
  </w:footnote>
  <w:footnote w:id="41">
    <w:p>
      <w:pPr>
        <w:pStyle w:val="FootnoteText"/>
      </w:pPr>
      <w:r>
        <w:rPr>
          <w:rStyle w:val="FootnoteReference"/>
        </w:rPr>
        <w:t xml:space="preserve">*  </w:t>
      </w:r>
      <w:r>
        <w:t xml:space="preserve"/>
      </w:r>
      <w:r>
        <w:t xml:space="preserve">You do not need to know what qualified immunity is for this course. All you need understand is that the procedural posture of the case is such that the police officer, who was the moving party for summary judgment, bore the burden of persuasion at trial. So we are in a Brennan Step 1 situation.</w:t>
      </w:r>
    </w:p>
  </w:footnote>
  <w:footnote w:id="42">
    <w:p>
      <w:pPr>
        <w:pStyle w:val="FootnoteText"/>
      </w:pPr>
      <w:r>
        <w:rPr>
          <w:rStyle w:val="FootnoteReference"/>
        </w:rPr>
        <w:t xml:space="preserve">*  </w:t>
      </w:r>
      <w:r>
        <w:t xml:space="preserve"/>
      </w:r>
      <w:r>
        <w:t xml:space="preserve">Concurrence begins here.</w:t>
      </w:r>
    </w:p>
  </w:footnote>
  <w:footnote w:id="43">
    <w:p>
      <w:pPr>
        <w:pStyle w:val="FootnoteText"/>
      </w:pPr>
      <w:r>
        <w:rPr>
          <w:rStyle w:val="FootnoteReference"/>
        </w:rPr>
        <w:t xml:space="preserve">*  </w:t>
      </w:r>
      <w:r>
        <w:t xml:space="preserve"/>
      </w:r>
      <w:r>
        <w:t xml:space="preserve">Note that the word "claim" here means something completely different from the way we have been using the word thus far in Civil Procedure. You are not responsible for knowing this definition of the word "claim." So just get through this case.</w:t>
      </w:r>
    </w:p>
  </w:footnote>
  <w:footnote w:id="44">
    <w:p>
      <w:pPr>
        <w:pStyle w:val="FootnoteText"/>
      </w:pPr>
      <w:r>
        <w:rPr>
          <w:rStyle w:val="FootnoteReference"/>
        </w:rPr>
        <w:t xml:space="preserve">*  </w:t>
      </w:r>
      <w:r>
        <w:t xml:space="preserve"/>
      </w:r>
      <w:r>
        <w:t xml:space="preserve">Note what the word "claim" means for purposes of appellate jurisdiction. This definition is different from others that we have seen, and will see, in this course.</w:t>
      </w:r>
    </w:p>
  </w:footnote>
  <w:footnote w:id="45">
    <w:p>
      <w:pPr>
        <w:pStyle w:val="FootnoteText"/>
      </w:pPr>
      <w:r>
        <w:rPr>
          <w:rStyle w:val="FootnoteReference"/>
        </w:rPr>
        <w:t xml:space="preserve">*  </w:t>
      </w:r>
      <w:r>
        <w:t xml:space="preserve"/>
      </w:r>
      <w:r>
        <w:t xml:space="preserve">Justice Frankfurter's opinion is omitted.</w:t>
      </w:r>
    </w:p>
  </w:footnote>
  <w:footnote w:id="46"/>
  <w:footnote w:id="47">
    <w:p>
      <w:pPr>
        <w:pStyle w:val="FootnoteText"/>
      </w:pPr>
      <w:r>
        <w:rPr>
          <w:rStyle w:val="FootnoteReference"/>
        </w:rPr>
        <w:t xml:space="preserve">*  </w:t>
      </w:r>
      <w:r>
        <w:t xml:space="preserve"/>
      </w:r>
      <w:r>
        <w:t xml:space="preserve">Concurrence begins here.</w:t>
      </w:r>
    </w:p>
  </w:footnote>
  <w:footnote w:id="48">
    <w:p>
      <w:pPr>
        <w:pStyle w:val="FootnoteText"/>
      </w:pPr>
      <w:r>
        <w:rPr>
          <w:rStyle w:val="FootnoteReference"/>
        </w:rPr>
        <w:t xml:space="preserve">*  </w:t>
      </w:r>
      <w:r>
        <w:t xml:space="preserve"/>
      </w:r>
      <w:r>
        <w:t xml:space="preserve">This is lawsuit #1.</w:t>
      </w:r>
    </w:p>
  </w:footnote>
  <w:footnote w:id="49">
    <w:p>
      <w:pPr>
        <w:pStyle w:val="FootnoteText"/>
      </w:pPr>
      <w:r>
        <w:rPr>
          <w:rStyle w:val="FootnoteReference"/>
        </w:rPr>
        <w:t xml:space="preserve">*  </w:t>
      </w:r>
      <w:r>
        <w:t xml:space="preserve"/>
      </w:r>
      <w:r>
        <w:t xml:space="preserve">Remember that "collateral estoppel" means issue preclusion.</w:t>
      </w:r>
    </w:p>
  </w:footnote>
  <w:footnote w:id="50">
    <w:p>
      <w:pPr>
        <w:pStyle w:val="FootnoteText"/>
      </w:pPr>
      <w:r>
        <w:rPr>
          <w:rStyle w:val="FootnoteReference"/>
        </w:rPr>
        <w:t xml:space="preserve">*  </w:t>
      </w:r>
      <w:r>
        <w:t xml:space="preserve"/>
      </w:r>
      <w:r>
        <w:t xml:space="preserve">Be sure to read note 18, below.</w:t>
      </w:r>
    </w:p>
  </w:footnote>
  <w:footnote w:id="51">
    <w:p>
      <w:pPr>
        <w:pStyle w:val="FootnoteText"/>
      </w:pPr>
      <w:r>
        <w:rPr>
          <w:rStyle w:val="FootnoteReference"/>
        </w:rPr>
        <w:t xml:space="preserve">*  </w:t>
      </w:r>
      <w:r>
        <w:t xml:space="preserve"/>
      </w:r>
      <w:r>
        <w:t xml:space="preserve">The "issue of conspiracy" refers to the tort cause of action, i.e., wrongful interference with the employment contract.</w:t>
      </w:r>
    </w:p>
  </w:footnote>
  <w:footnote w:id="52">
    <w:p>
      <w:pPr>
        <w:pStyle w:val="FootnoteText"/>
      </w:pPr>
      <w:r>
        <w:rPr>
          <w:rStyle w:val="FootnoteReference"/>
        </w:rPr>
        <w:t xml:space="preserve">*  </w:t>
      </w:r>
      <w:r>
        <w:t xml:space="preserve"/>
      </w:r>
      <w:r>
        <w:t xml:space="preserve">Dissent begins here.</w:t>
      </w:r>
    </w:p>
  </w:footnote>
  <w:footnote w:id="53">
    <w:p>
      <w:pPr>
        <w:pStyle w:val="FootnoteText"/>
      </w:pPr>
      <w:r>
        <w:rPr>
          <w:rStyle w:val="FootnoteReference"/>
        </w:rPr>
        <w:t xml:space="preserve">*  </w:t>
      </w:r>
      <w:r>
        <w:t xml:space="preserve"/>
      </w:r>
      <w:r>
        <w:t xml:space="preserve">Dissent begins here.</w:t>
      </w:r>
    </w:p>
  </w:footnote>
  <w:footnote w:id="54">
    <w:p>
      <w:pPr>
        <w:pStyle w:val="FootnoteText"/>
      </w:pPr>
      <w:r>
        <w:rPr>
          <w:rStyle w:val="FootnoteReference"/>
        </w:rPr>
        <w:t xml:space="preserve">*  </w:t>
      </w:r>
      <w:r>
        <w:t xml:space="preserve"/>
      </w:r>
      <w:r>
        <w:t xml:space="preserve">Dissent begins here.</w:t>
      </w:r>
    </w:p>
  </w:footnote>
  <w:footnote w:id="55"/>
  <w:footnote w:id="56">
    <w:p>
      <w:pPr>
        <w:pStyle w:val="FootnoteText"/>
      </w:pPr>
      <w:r>
        <w:rPr>
          <w:rStyle w:val="FootnoteReference"/>
        </w:rPr>
        <w:t xml:space="preserve">*  </w:t>
      </w:r>
      <w:r>
        <w:t xml:space="preserve"/>
      </w:r>
      <w:r>
        <w:t xml:space="preserve">Concurrence begins here.</w:t>
      </w:r>
    </w:p>
  </w:footnote>
  <w:footnote w:id="57">
    <w:p>
      <w:pPr>
        <w:pStyle w:val="FootnoteText"/>
      </w:pPr>
      <w:r>
        <w:rPr>
          <w:rStyle w:val="FootnoteReference"/>
        </w:rPr>
        <w:t xml:space="preserve">*  </w:t>
      </w:r>
      <w:r>
        <w:t xml:space="preserve"/>
      </w:r>
      <w:r>
        <w:t xml:space="preserve">It's not totally clear to me that this lien is legal.</w:t>
      </w:r>
    </w:p>
  </w:footnote>
  <w:footnote w:id="58">
    <w:p>
      <w:pPr>
        <w:pStyle w:val="FootnoteText"/>
      </w:pPr>
      <w:r>
        <w:rPr>
          <w:rStyle w:val="FootnoteReference"/>
        </w:rPr>
        <w:t xml:space="preserve">**  </w:t>
      </w:r>
      <w:r>
        <w:t xml:space="preserve"/>
      </w:r>
      <w:r>
        <w:t xml:space="preserve">Here, the "bill" is the complaint.</w:t>
      </w:r>
    </w:p>
  </w:footnote>
  <w:footnote w:id="59"/>
  <w:footnote w:id="60">
    <w:p>
      <w:pPr>
        <w:pStyle w:val="FootnoteText"/>
      </w:pPr>
      <w:r>
        <w:rPr>
          <w:rStyle w:val="FootnoteReference"/>
        </w:rPr>
        <w:t xml:space="preserve">**  </w:t>
      </w:r>
      <w:r>
        <w:t xml:space="preserve"/>
      </w:r>
      <w:r>
        <w:t xml:space="preserve">In certain circumstances, including in certain types of lawsuits involving labor unions, Congress "preempts" state law theories of relief, meaning it displaces them with federal law. This case came close to triggering, but did not trigger, preemption of state law claims.</w:t>
      </w:r>
    </w:p>
  </w:footnote>
  <w:footnote w:id="61">
    <w:p>
      <w:pPr>
        <w:pStyle w:val="FootnoteText"/>
      </w:pPr>
      <w:r>
        <w:rPr>
          <w:rStyle w:val="FootnoteReference"/>
        </w:rPr>
        <w:t xml:space="preserve">**  </w:t>
      </w:r>
      <w:r>
        <w:t xml:space="preserve"/>
      </w:r>
      <w:r>
        <w:t xml:space="preserve">Please read note 21.</w:t>
      </w:r>
    </w:p>
  </w:footnote>
  <w:footnote w:id="62">
    <w:p>
      <w:pPr>
        <w:pStyle w:val="FootnoteText"/>
      </w:pPr>
      <w:r>
        <w:rPr>
          <w:rStyle w:val="FootnoteReference"/>
        </w:rPr>
        <w:t xml:space="preserve">**  </w:t>
      </w:r>
      <w:r>
        <w:t xml:space="preserve"/>
      </w:r>
      <w:r>
        <w:t xml:space="preserve">You know what shareholder derivative suits are. We talked about them when we discussed Smith.</w:t>
      </w:r>
    </w:p>
  </w:footnote>
  <w:footnote w:id="63">
    <w:p>
      <w:pPr>
        <w:pStyle w:val="FootnoteText"/>
      </w:pPr>
      <w:r>
        <w:rPr>
          <w:rStyle w:val="FootnoteReference"/>
        </w:rPr>
        <w:t xml:space="preserve">**  </w:t>
      </w:r>
      <w:r>
        <w:t xml:space="preserve"/>
      </w:r>
      <w:r>
        <w:t xml:space="preserve">Please read note 2.</w:t>
      </w:r>
    </w:p>
  </w:footnote>
  <w:footnote w:id="64">
    <w:p>
      <w:pPr>
        <w:pStyle w:val="FootnoteText"/>
      </w:pPr>
      <w:r>
        <w:rPr>
          <w:rStyle w:val="FootnoteReference"/>
        </w:rPr>
        <w:t xml:space="preserve">**  </w:t>
      </w:r>
      <w:r>
        <w:t xml:space="preserve"/>
      </w:r>
      <w:r>
        <w:t xml:space="preserve">Dissent begins here.</w:t>
      </w:r>
    </w:p>
  </w:footnote>
  <w:footnote w:id="65">
    <w:p>
      <w:pPr>
        <w:pStyle w:val="FootnoteText"/>
      </w:pPr>
      <w:r>
        <w:rPr>
          <w:rStyle w:val="FootnoteReference"/>
        </w:rPr>
        <w:t xml:space="preserve">**  </w:t>
      </w:r>
      <w:r>
        <w:t xml:space="preserve"/>
      </w:r>
      <w:r>
        <w:t xml:space="preserve">Here, the "sheriff" was acting at the behest of an Oregon court. So the court had seized and sold the property to satisfy the earlier default judgment.</w:t>
      </w:r>
    </w:p>
  </w:footnote>
  <w:footnote w:id="66">
    <w:p>
      <w:pPr>
        <w:pStyle w:val="FootnoteText"/>
      </w:pPr>
      <w:r>
        <w:rPr>
          <w:rStyle w:val="FootnoteReference"/>
        </w:rPr>
        <w:t xml:space="preserve">**  </w:t>
      </w:r>
      <w:r>
        <w:t xml:space="preserve"/>
      </w:r>
      <w:r>
        <w:t xml:space="preserve">In its brief before the Supreme Court in this case, International Shoe argued that tag of a shoe salesperson could not constitute a tax of the corporation because these salespeople were "happy-go-lucky fellows" ill-suited for such an important responsibility.</w:t>
      </w:r>
    </w:p>
  </w:footnote>
  <w:footnote w:id="67">
    <w:p>
      <w:pPr>
        <w:pStyle w:val="FootnoteText"/>
      </w:pPr>
      <w:r>
        <w:rPr>
          <w:rStyle w:val="FootnoteReference"/>
        </w:rPr>
        <w:t xml:space="preserve">**  </w:t>
      </w:r>
      <w:r>
        <w:t xml:space="preserve"/>
      </w:r>
      <w:r>
        <w:t xml:space="preserve">Did either opinion in International Shoe consider the location of witnesses and evidence (meaning where a case could be efficiently litigated)?</w:t>
      </w:r>
    </w:p>
  </w:footnote>
  <w:footnote w:id="68">
    <w:p>
      <w:pPr>
        <w:pStyle w:val="FootnoteText"/>
      </w:pPr>
      <w:r>
        <w:rPr>
          <w:rStyle w:val="FootnoteReference"/>
        </w:rPr>
        <w:t xml:space="preserve">**  </w:t>
      </w:r>
      <w:r>
        <w:t xml:space="preserve"/>
      </w:r>
      <w:r>
        <w:t xml:space="preserve">Isn't this conception of "foreseeability" circular?</w:t>
      </w:r>
    </w:p>
  </w:footnote>
  <w:footnote w:id="69">
    <w:p>
      <w:pPr>
        <w:pStyle w:val="FootnoteText"/>
      </w:pPr>
      <w:r>
        <w:rPr>
          <w:rStyle w:val="FootnoteReference"/>
        </w:rPr>
        <w:t xml:space="preserve">**  </w:t>
      </w:r>
      <w:r>
        <w:t xml:space="preserve"/>
      </w:r>
      <w:r>
        <w:t xml:space="preserve">Dissent begins here.</w:t>
      </w:r>
    </w:p>
  </w:footnote>
  <w:footnote w:id="70">
    <w:p>
      <w:pPr>
        <w:pStyle w:val="FootnoteText"/>
      </w:pPr>
      <w:r>
        <w:rPr>
          <w:rStyle w:val="FootnoteReference"/>
        </w:rPr>
        <w:t xml:space="preserve">**  </w:t>
      </w:r>
      <w:r>
        <w:t xml:space="preserve"/>
      </w:r>
      <w:r>
        <w:t xml:space="preserve">The Court here is using "in rem" as shorthand for both in rem and quasi-in-rem.</w:t>
      </w:r>
    </w:p>
  </w:footnote>
  <w:footnote w:id="71">
    <w:p>
      <w:pPr>
        <w:pStyle w:val="FootnoteText"/>
      </w:pPr>
      <w:r>
        <w:rPr>
          <w:rStyle w:val="FootnoteReference"/>
        </w:rPr>
        <w:t xml:space="preserve">**  </w:t>
      </w:r>
      <w:r>
        <w:t xml:space="preserve"/>
      </w:r>
      <w:r>
        <w:t xml:space="preserve">Another concurrence begins here.</w:t>
      </w:r>
    </w:p>
  </w:footnote>
  <w:footnote w:id="72"/>
  <w:footnote w:id="73">
    <w:p>
      <w:pPr>
        <w:pStyle w:val="FootnoteText"/>
      </w:pPr>
      <w:r>
        <w:rPr>
          <w:rStyle w:val="FootnoteReference"/>
        </w:rPr>
        <w:t xml:space="preserve">**  </w:t>
      </w:r>
      <w:r>
        <w:t xml:space="preserve"/>
      </w:r>
      <w:r>
        <w:t xml:space="preserve">Unfortunately, in this sentence, the Court uses the term "jurisdiction" to mean "subject matter jurisdiction."</w:t>
      </w:r>
    </w:p>
  </w:footnote>
  <w:footnote w:id="74">
    <w:p>
      <w:pPr>
        <w:pStyle w:val="FootnoteText"/>
      </w:pPr>
      <w:r>
        <w:rPr>
          <w:rStyle w:val="FootnoteReference"/>
        </w:rPr>
        <w:t xml:space="preserve">**  </w:t>
      </w:r>
      <w:r>
        <w:t xml:space="preserve"/>
      </w:r>
      <w:r>
        <w:t xml:space="preserve">Dissent begins here.</w:t>
      </w:r>
    </w:p>
  </w:footnote>
  <w:footnote w:id="75">
    <w:p>
      <w:pPr>
        <w:pStyle w:val="FootnoteText"/>
      </w:pPr>
      <w:r>
        <w:rPr>
          <w:rStyle w:val="FootnoteReference"/>
        </w:rPr>
        <w:t xml:space="preserve">**  </w:t>
      </w:r>
      <w:r>
        <w:t xml:space="preserve"/>
      </w:r>
      <w:r>
        <w:t xml:space="preserve">Concurrence begins here.</w:t>
      </w:r>
    </w:p>
  </w:footnote>
  <w:footnote w:id="76">
    <w:p>
      <w:pPr>
        <w:pStyle w:val="FootnoteText"/>
      </w:pPr>
      <w:r>
        <w:rPr>
          <w:rStyle w:val="FootnoteReference"/>
        </w:rPr>
        <w:t xml:space="preserve">**  </w:t>
      </w:r>
      <w:r>
        <w:t xml:space="preserve"/>
      </w:r>
      <w:r>
        <w:t xml:space="preserve">Concurrence begins here.</w:t>
      </w:r>
    </w:p>
  </w:footnote>
  <w:footnote w:id="77">
    <w:p>
      <w:pPr>
        <w:pStyle w:val="FootnoteText"/>
      </w:pPr>
      <w:r>
        <w:rPr>
          <w:rStyle w:val="FootnoteReference"/>
        </w:rPr>
        <w:t xml:space="preserve">**  </w:t>
      </w:r>
      <w:r>
        <w:t xml:space="preserve"/>
      </w:r>
      <w:r>
        <w:t xml:space="preserve">Recall this passage when we discuss access to justice on Day 24.</w:t>
      </w:r>
    </w:p>
  </w:footnote>
  <w:footnote w:id="78"/>
  <w:footnote w:id="79">
    <w:p>
      <w:pPr>
        <w:pStyle w:val="FootnoteText"/>
      </w:pPr>
      <w:r>
        <w:rPr>
          <w:rStyle w:val="FootnoteReference"/>
        </w:rPr>
        <w:t xml:space="preserve">**  </w:t>
      </w:r>
      <w:r>
        <w:t xml:space="preserve"/>
      </w:r>
      <w:r>
        <w:t xml:space="preserve">Looking at these factual allegations years after the Supreme Court decided this case, do the plaintiff's allegations here strike you as "extravagantly fanciful," as they did the Court?</w:t>
      </w:r>
    </w:p>
  </w:footnote>
  <w:footnote w:id="80">
    <w:p>
      <w:pPr>
        <w:pStyle w:val="FootnoteText"/>
      </w:pPr>
      <w:r>
        <w:rPr>
          <w:rStyle w:val="FootnoteReference"/>
        </w:rPr>
        <w:t xml:space="preserve">**  </w:t>
      </w:r>
      <w:r>
        <w:t xml:space="preserve"/>
      </w:r>
      <w:r>
        <w:t xml:space="preserve">The court here refers to "legal remedies." It means remedies available at "law" as opposed to in the "equity" system. You'll learn about this later in the course. For now, "legal remedies" means money damages.</w:t>
      </w:r>
    </w:p>
  </w:footnote>
  <w:footnote w:id="81">
    <w:p>
      <w:pPr>
        <w:pStyle w:val="FootnoteText"/>
      </w:pPr>
      <w:r>
        <w:rPr>
          <w:rStyle w:val="FootnoteReference"/>
        </w:rPr>
        <w:t xml:space="preserve">**  </w:t>
      </w:r>
      <w:r>
        <w:t xml:space="preserve"/>
      </w:r>
      <w:r>
        <w:t xml:space="preserve">Today, is there a different means of communication that is "recognized . . . efficient and inexpensive"?</w:t>
      </w:r>
    </w:p>
  </w:footnote>
  <w:footnote w:id="82">
    <w:p>
      <w:pPr>
        <w:pStyle w:val="FootnoteText"/>
      </w:pPr>
      <w:r>
        <w:rPr>
          <w:rStyle w:val="FootnoteReference"/>
        </w:rPr>
        <w:t xml:space="preserve">**  </w:t>
      </w:r>
      <w:r>
        <w:t xml:space="preserve"/>
      </w:r>
      <w:r>
        <w:t xml:space="preserve">Be sure to read note 22 in its entirety.</w:t>
      </w:r>
    </w:p>
  </w:footnote>
  <w:footnote w:id="83">
    <w:p>
      <w:pPr>
        <w:pStyle w:val="FootnoteText"/>
      </w:pPr>
      <w:r>
        <w:rPr>
          <w:rStyle w:val="FootnoteReference"/>
        </w:rPr>
        <w:t xml:space="preserve">**  </w:t>
      </w:r>
      <w:r>
        <w:t xml:space="preserve"/>
      </w:r>
      <w:r>
        <w:t xml:space="preserve">The portion of the opinion discussing the issues for which you are responsible in this class begins here.</w:t>
      </w:r>
    </w:p>
  </w:footnote>
  <w:footnote w:id="84">
    <w:p>
      <w:pPr>
        <w:pStyle w:val="FootnoteText"/>
      </w:pPr>
      <w:r>
        <w:rPr>
          <w:rStyle w:val="FootnoteReference"/>
        </w:rPr>
        <w:t xml:space="preserve">**  </w:t>
      </w:r>
      <w:r>
        <w:t xml:space="preserve"/>
      </w:r>
      <w:r>
        <w:t xml:space="preserve">The "report" here is the pretrial order.</w:t>
      </w:r>
    </w:p>
  </w:footnote>
  <w:footnote w:id="85">
    <w:p>
      <w:pPr>
        <w:pStyle w:val="FootnoteText"/>
      </w:pPr>
      <w:r>
        <w:rPr>
          <w:rStyle w:val="FootnoteReference"/>
        </w:rPr>
        <w:t xml:space="preserve">**  </w:t>
      </w:r>
      <w:r>
        <w:t xml:space="preserve"/>
      </w:r>
      <w:r>
        <w:t xml:space="preserve">Dissent begins here.</w:t>
      </w:r>
    </w:p>
  </w:footnote>
  <w:footnote w:id="86">
    <w:p>
      <w:pPr>
        <w:pStyle w:val="FootnoteText"/>
      </w:pPr>
      <w:r>
        <w:rPr>
          <w:rStyle w:val="FootnoteReference"/>
        </w:rPr>
        <w:t xml:space="preserve">**  </w:t>
      </w:r>
      <w:r>
        <w:t xml:space="preserve"/>
      </w:r>
      <w:r>
        <w:t xml:space="preserve">Dissent begins here.</w:t>
      </w:r>
    </w:p>
  </w:footnote>
  <w:footnote w:id="87">
    <w:p>
      <w:pPr>
        <w:pStyle w:val="FootnoteText"/>
      </w:pPr>
      <w:r>
        <w:rPr>
          <w:rStyle w:val="FootnoteReference"/>
        </w:rPr>
        <w:t xml:space="preserve">**  </w:t>
      </w:r>
      <w:r>
        <w:t xml:space="preserve"/>
      </w:r>
      <w:r>
        <w:t xml:space="preserve">Another concurrence begins here.</w:t>
      </w:r>
    </w:p>
  </w:footnote>
  <w:footnote w:id="88"/>
  <w:footnote w:id="89">
    <w:p>
      <w:pPr>
        <w:pStyle w:val="FootnoteText"/>
      </w:pPr>
      <w:r>
        <w:rPr>
          <w:rStyle w:val="FootnoteReference"/>
        </w:rPr>
        <w:t xml:space="preserve">**  </w:t>
      </w:r>
      <w:r>
        <w:t xml:space="preserve"/>
      </w:r>
      <w:r>
        <w:t xml:space="preserve">Here, the word "claim" means separate processes or methods that intellectual property law protects.</w:t>
      </w:r>
    </w:p>
  </w:footnote>
  <w:footnote w:id="90">
    <w:p>
      <w:pPr>
        <w:pStyle w:val="FootnoteText"/>
      </w:pPr>
      <w:r>
        <w:rPr>
          <w:rStyle w:val="FootnoteReference"/>
        </w:rPr>
        <w:t xml:space="preserve">**  </w:t>
      </w:r>
      <w:r>
        <w:t xml:space="preserve"/>
      </w:r>
      <w:r>
        <w:t xml:space="preserve">Concurrence begins here.</w:t>
      </w:r>
    </w:p>
  </w:footnote>
  <w:footnote w:id="91">
    <w:p>
      <w:pPr>
        <w:pStyle w:val="FootnoteText"/>
      </w:pPr>
      <w:r>
        <w:rPr>
          <w:rStyle w:val="FootnoteReference"/>
        </w:rPr>
        <w:t xml:space="preserve">**  </w:t>
      </w:r>
      <w:r>
        <w:t xml:space="preserve"/>
      </w:r>
      <w:r>
        <w:t xml:space="preserve">A second dissent begins here.</w:t>
      </w:r>
    </w:p>
  </w:footnote>
  <w:footnote w:id="92"/>
  <w:footnote w:id="93">
    <w:p>
      <w:pPr>
        <w:pStyle w:val="FootnoteText"/>
      </w:pPr>
      <w:r>
        <w:rPr>
          <w:rStyle w:val="FootnoteReference"/>
        </w:rPr>
        <w:t xml:space="preserve">**  </w:t>
      </w:r>
      <w:r>
        <w:t xml:space="preserve"/>
      </w:r>
      <w:r>
        <w:t xml:space="preserve">Do you find this as jaw-dropping as I do?</w:t>
      </w:r>
    </w:p>
  </w:footnote>
  <w:footnote w:id="94">
    <w:p>
      <w:pPr>
        <w:pStyle w:val="FootnoteText"/>
      </w:pPr>
      <w:r>
        <w:rPr>
          <w:rStyle w:val="FootnoteReference"/>
        </w:rPr>
        <w:t xml:space="preserve">***  </w:t>
      </w:r>
      <w:r>
        <w:t xml:space="preserve"/>
      </w:r>
      <w:r>
        <w:t xml:space="preserve">The "court below" was the federal trial court. We would now say the "federal district court."</w:t>
      </w:r>
    </w:p>
  </w:footnote>
  <w:footnote w:id="95"/>
  <w:footnote w:id="96">
    <w:p>
      <w:pPr>
        <w:pStyle w:val="FootnoteText"/>
      </w:pPr>
      <w:r>
        <w:rPr>
          <w:rStyle w:val="FootnoteReference"/>
        </w:rPr>
        <w:t xml:space="preserve">***  </w:t>
      </w:r>
      <w:r>
        <w:t xml:space="preserve"/>
      </w:r>
      <w:r>
        <w:t xml:space="preserve">This branch is often called "Burford" abstention.</w:t>
      </w:r>
    </w:p>
  </w:footnote>
  <w:footnote w:id="97">
    <w:p>
      <w:pPr>
        <w:pStyle w:val="FootnoteText"/>
      </w:pPr>
      <w:r>
        <w:rPr>
          <w:rStyle w:val="FootnoteReference"/>
        </w:rPr>
        <w:t xml:space="preserve">***  </w:t>
      </w:r>
      <w:r>
        <w:t xml:space="preserve"/>
      </w:r>
      <w:r>
        <w:t xml:space="preserve">Near the end of the course, we will discuss the doctrine of preclusion. You will learn there that whichever of the two proceedings that reached judgment first would almost certainly kill the other one the moment of that judgment. With this in mind, how real is the danger of inconsistent judgments?</w:t>
      </w:r>
    </w:p>
  </w:footnote>
  <w:footnote w:id="98">
    <w:p>
      <w:pPr>
        <w:pStyle w:val="FootnoteText"/>
      </w:pPr>
      <w:r>
        <w:rPr>
          <w:rStyle w:val="FootnoteReference"/>
        </w:rPr>
        <w:t xml:space="preserve">***  </w:t>
      </w:r>
      <w:r>
        <w:t xml:space="preserve"/>
      </w:r>
      <w:r>
        <w:t xml:space="preserve">Please read note 14.</w:t>
      </w:r>
    </w:p>
  </w:footnote>
  <w:footnote w:id="99">
    <w:p>
      <w:pPr>
        <w:pStyle w:val="FootnoteText"/>
      </w:pPr>
      <w:r>
        <w:rPr>
          <w:rStyle w:val="FootnoteReference"/>
        </w:rPr>
        <w:t xml:space="preserve">***  </w:t>
      </w:r>
      <w:r>
        <w:t xml:space="preserve"/>
      </w:r>
      <w:r>
        <w:t xml:space="preserve">Remember, every time you read "in rem" in this opinion, think "quasi-in-rem."</w:t>
      </w:r>
    </w:p>
  </w:footnote>
  <w:footnote w:id="100">
    <w:p>
      <w:pPr>
        <w:pStyle w:val="FootnoteText"/>
      </w:pPr>
      <w:r>
        <w:rPr>
          <w:rStyle w:val="FootnoteReference"/>
        </w:rPr>
        <w:t xml:space="preserve">***  </w:t>
      </w:r>
      <w:r>
        <w:t xml:space="preserve"/>
      </w:r>
      <w:r>
        <w:t xml:space="preserve">Notice all of the deliberate steps, particularly this one, that International Shoe has taken to attempt to avoid being perceived as "doing business" in the State of Washington, and thus having fictionally "consented" to personal jurisdiction there.</w:t>
      </w:r>
    </w:p>
  </w:footnote>
  <w:footnote w:id="101">
    <w:p>
      <w:pPr>
        <w:pStyle w:val="FootnoteText"/>
      </w:pPr>
      <w:r>
        <w:rPr>
          <w:rStyle w:val="FootnoteReference"/>
        </w:rPr>
        <w:t xml:space="preserve">***  </w:t>
      </w:r>
      <w:r>
        <w:t xml:space="preserve"/>
      </w:r>
      <w:r>
        <w:t xml:space="preserve">Dissent begins here.</w:t>
      </w:r>
    </w:p>
  </w:footnote>
  <w:footnote w:id="102">
    <w:p>
      <w:pPr>
        <w:pStyle w:val="FootnoteText"/>
      </w:pPr>
      <w:r>
        <w:rPr>
          <w:rStyle w:val="FootnoteReference"/>
        </w:rPr>
        <w:t xml:space="preserve">***  </w:t>
      </w:r>
      <w:r>
        <w:t xml:space="preserve"/>
      </w:r>
      <w:r>
        <w:t xml:space="preserve">Concurrence begins here.</w:t>
      </w:r>
    </w:p>
  </w:footnote>
  <w:footnote w:id="103">
    <w:p>
      <w:pPr>
        <w:pStyle w:val="FootnoteText"/>
      </w:pPr>
      <w:r>
        <w:rPr>
          <w:rStyle w:val="FootnoteReference"/>
        </w:rPr>
        <w:t xml:space="preserve">***  </w:t>
      </w:r>
      <w:r>
        <w:t xml:space="preserve"/>
      </w:r>
      <w:r>
        <w:t xml:space="preserve">Note: this is the whole of Justice Stevens' concurrence.</w:t>
      </w:r>
    </w:p>
  </w:footnote>
  <w:footnote w:id="104"/>
  <w:footnote w:id="105">
    <w:p>
      <w:pPr>
        <w:pStyle w:val="FootnoteText"/>
      </w:pPr>
      <w:r>
        <w:rPr>
          <w:rStyle w:val="FootnoteReference"/>
        </w:rPr>
        <w:t xml:space="preserve">***  </w:t>
      </w:r>
      <w:r>
        <w:t xml:space="preserve"/>
      </w:r>
      <w:r>
        <w:t xml:space="preserve">In this sentence, it's not totally clear what the Court means by "jurisdiction." It appears to mean the power to decide a case that has actually been filed in it, as opposed to power over a class of cases, or power over disputes that certain parties might have.</w:t>
      </w:r>
    </w:p>
  </w:footnote>
  <w:footnote w:id="106">
    <w:p>
      <w:pPr>
        <w:pStyle w:val="FootnoteText"/>
      </w:pPr>
      <w:r>
        <w:rPr>
          <w:rStyle w:val="FootnoteReference"/>
        </w:rPr>
        <w:t xml:space="preserve">***  </w:t>
      </w:r>
      <w:r>
        <w:t xml:space="preserve"/>
      </w:r>
      <w:r>
        <w:t xml:space="preserve">Note the concern Justice Rutlege expresses here: if Erie is a constitutional case about federalism, then Congress lacks the power to alter the Court's Erie decisions. In the context of, for example, a limitations period on a state law cause of action being litigated in federal court, do we really want to say that Congress could not pass a valid and applicable statute of limitations? Wouldn't that result seem odd, given who created the lower federal courts in the first place?</w:t>
      </w:r>
    </w:p>
  </w:footnote>
  <w:footnote w:id="107">
    <w:p>
      <w:pPr>
        <w:pStyle w:val="FootnoteText"/>
      </w:pPr>
      <w:r>
        <w:rPr>
          <w:rStyle w:val="FootnoteReference"/>
        </w:rPr>
        <w:t xml:space="preserve">***  </w:t>
      </w:r>
      <w:r>
        <w:t xml:space="preserve"/>
      </w:r>
      <w:r>
        <w:t xml:space="preserve">Dissent begins here.</w:t>
      </w:r>
    </w:p>
  </w:footnote>
  <w:footnote w:id="108"/>
  <w:footnote w:id="109">
    <w:p>
      <w:pPr>
        <w:pStyle w:val="FootnoteText"/>
      </w:pPr>
      <w:r>
        <w:rPr>
          <w:rStyle w:val="FootnoteReference"/>
        </w:rPr>
        <w:t xml:space="preserve">***  </w:t>
      </w:r>
      <w:r>
        <w:t xml:space="preserve"/>
      </w:r>
      <w:r>
        <w:t xml:space="preserve">Is this passage revelatory? Are the following facts relevant? The majority begins its opinion by stating that Iqbal was "citizen of Pakistan." Pakistan is not an Arab country. An Arab-American group’s website lists 22 nations as constituting the “Arab World.” Pakistan is not among them. (https://adc.org/facts-about-arabs-and-the-arab-world/) The Arab population in Pakistan is tiny. On the latter point, the Pakistani Arab population is definitely tiny relative to the country’s total population of (at around the time of this decision) almost 200,000,000. The only estimates I have been able to obtain thus far, which are out of date, suggest further that the Pakistani Arab population is also tiny in the absolute sense, numbering in the few thousand. Iqbal himself, according to interviews of him, was not a member of the Pakistani Arab community.</w:t>
      </w:r>
    </w:p>
  </w:footnote>
  <w:footnote w:id="110">
    <w:p>
      <w:pPr>
        <w:pStyle w:val="FootnoteText"/>
      </w:pPr>
      <w:r>
        <w:rPr>
          <w:rStyle w:val="FootnoteReference"/>
        </w:rPr>
        <w:t xml:space="preserve">***  </w:t>
      </w:r>
      <w:r>
        <w:t xml:space="preserve"/>
      </w:r>
      <w:r>
        <w:t xml:space="preserve">Please read note 3.</w:t>
      </w:r>
    </w:p>
  </w:footnote>
  <w:footnote w:id="111">
    <w:p>
      <w:pPr>
        <w:pStyle w:val="FootnoteText"/>
      </w:pPr>
      <w:r>
        <w:rPr>
          <w:rStyle w:val="FootnoteReference"/>
        </w:rPr>
        <w:t xml:space="preserve">***  </w:t>
      </w:r>
      <w:r>
        <w:t xml:space="preserve"/>
      </w:r>
      <w:r>
        <w:t xml:space="preserve">This part is joined only by Justices Brennan, Marshall, and Stevens (and so is not part of the governing opinion). Justice Powell did not join this paragraph (see Part V).</w:t>
      </w:r>
    </w:p>
  </w:footnote>
  <w:footnote w:id="112">
    <w:p>
      <w:pPr>
        <w:pStyle w:val="FootnoteText"/>
      </w:pPr>
      <w:r>
        <w:rPr>
          <w:rStyle w:val="FootnoteReference"/>
        </w:rPr>
        <w:t xml:space="preserve">***  </w:t>
      </w:r>
      <w:r>
        <w:t xml:space="preserve"/>
      </w:r>
      <w:r>
        <w:t xml:space="preserve">Note that there are two kinds of burden of persuasion here: 1) The burden of persuasion on the motion for summary judgment, and 2) the burden of persuasion on the issue at trial. Focus on the second; it is the more consequential, and it is the one to which Justice Brennan refers in the remainder of the opinion.</w:t>
      </w:r>
    </w:p>
  </w:footnote>
  <w:footnote w:id="113">
    <w:p>
      <w:pPr>
        <w:pStyle w:val="FootnoteText"/>
      </w:pPr>
      <w:r>
        <w:rPr>
          <w:rStyle w:val="FootnoteReference"/>
        </w:rPr>
        <w:t xml:space="preserve">***  </w:t>
      </w:r>
      <w:r>
        <w:t xml:space="preserve"/>
      </w:r>
      <w:r>
        <w:t xml:space="preserve">Dissent begins here.</w:t>
      </w:r>
    </w:p>
  </w:footnote>
  <w:footnote w:id="114"/>
  <w:footnote w:id="115">
    <w:p>
      <w:pPr>
        <w:pStyle w:val="FootnoteText"/>
      </w:pPr>
      <w:r>
        <w:rPr>
          <w:rStyle w:val="FootnoteReference"/>
        </w:rPr>
        <w:t xml:space="preserve">***  </w:t>
      </w:r>
      <w:r>
        <w:t xml:space="preserve"/>
      </w:r>
      <w:r>
        <w:t xml:space="preserve">For your purposes, in this opinion, Clark and Snyder held the same thing, so each time you see "Clark," think "Snyder."</w:t>
      </w:r>
    </w:p>
  </w:footnote>
  <w:footnote w:id="116"/>
  <w:footnote w:id="117">
    <w:p>
      <w:pPr>
        <w:pStyle w:val="FootnoteText"/>
      </w:pPr>
      <w:r>
        <w:rPr>
          <w:rStyle w:val="FootnoteReference"/>
        </w:rPr>
        <w:t xml:space="preserve">***  </w:t>
      </w:r>
      <w:r>
        <w:t xml:space="preserve"/>
      </w:r>
      <w:r>
        <w:t xml:space="preserve">Dissent begins here.</w:t>
      </w:r>
    </w:p>
  </w:footnote>
  <w:footnote w:id="118">
    <w:p>
      <w:pPr>
        <w:pStyle w:val="FootnoteText"/>
      </w:pPr>
      <w:r>
        <w:rPr>
          <w:rStyle w:val="FootnoteReference"/>
        </w:rPr>
        <w:t xml:space="preserve">****  </w:t>
      </w:r>
      <w:r>
        <w:t xml:space="preserve"/>
      </w:r>
      <w:r>
        <w:t xml:space="preserve">The court here says only "jurisdiction." You will learn that there are several kinds of "jurisdiction." Here, the Court refers to federal district court subject matter jurisdiction.</w:t>
      </w:r>
    </w:p>
  </w:footnote>
  <w:footnote w:id="119">
    <w:p>
      <w:pPr>
        <w:pStyle w:val="FootnoteText"/>
      </w:pPr>
      <w:r>
        <w:rPr>
          <w:rStyle w:val="FootnoteReference"/>
        </w:rPr>
        <w:t xml:space="preserve">****  </w:t>
      </w:r>
      <w:r>
        <w:t xml:space="preserve"/>
      </w:r>
      <w:r>
        <w:t xml:space="preserve">"Younger" abstention here.</w:t>
      </w:r>
    </w:p>
  </w:footnote>
  <w:footnote w:id="120">
    <w:p>
      <w:pPr>
        <w:pStyle w:val="FootnoteText"/>
      </w:pPr>
      <w:r>
        <w:rPr>
          <w:rStyle w:val="FootnoteReference"/>
        </w:rPr>
        <w:t xml:space="preserve">****  </w:t>
      </w:r>
      <w:r>
        <w:t xml:space="preserve"/>
      </w:r>
      <w:r>
        <w:t xml:space="preserve">Is this factor consistent with the existence of diversity jurisdiction?</w:t>
      </w:r>
    </w:p>
  </w:footnote>
  <w:footnote w:id="121">
    <w:p>
      <w:pPr>
        <w:pStyle w:val="FootnoteText"/>
      </w:pPr>
      <w:r>
        <w:rPr>
          <w:rStyle w:val="FootnoteReference"/>
        </w:rPr>
        <w:t xml:space="preserve">****  </w:t>
      </w:r>
      <w:r>
        <w:t xml:space="preserve"/>
      </w:r>
      <w:r>
        <w:t xml:space="preserve">As we will learn, this is the only part of Pennoyer that remains good law: the source of jurisdictional limits on personal jurisdiction is the Due Process Clause</w:t>
      </w:r>
    </w:p>
  </w:footnote>
  <w:footnote w:id="122">
    <w:p>
      <w:pPr>
        <w:pStyle w:val="FootnoteText"/>
      </w:pPr>
      <w:r>
        <w:rPr>
          <w:rStyle w:val="FootnoteReference"/>
        </w:rPr>
        <w:t xml:space="preserve">****  </w:t>
      </w:r>
      <w:r>
        <w:t xml:space="preserve"/>
      </w:r>
      <w:r>
        <w:t xml:space="preserve">Shipping "f.o.b." means that the recipient of the package, here the purchaser of the shoes, assumes ownership of the package at the moment of shipping. Thus, if the package is lost en route, the seller is not obligated to pay the loss because the package belonged to the recipient at that time. In this way, International Shoe can contend that it is not shipping "its" shoes into Washington.</w:t>
      </w:r>
    </w:p>
  </w:footnote>
  <w:footnote w:id="123">
    <w:p>
      <w:pPr>
        <w:pStyle w:val="FootnoteText"/>
      </w:pPr>
      <w:r>
        <w:rPr>
          <w:rStyle w:val="FootnoteReference"/>
        </w:rPr>
        <w:t xml:space="preserve">****  </w:t>
      </w:r>
      <w:r>
        <w:t xml:space="preserve"/>
      </w:r>
      <w:r>
        <w:t xml:space="preserve">Note: you will read all of these cases later in the course.</w:t>
      </w:r>
    </w:p>
  </w:footnote>
  <w:footnote w:id="124">
    <w:p>
      <w:pPr>
        <w:pStyle w:val="FootnoteText"/>
      </w:pPr>
      <w:r>
        <w:rPr>
          <w:rStyle w:val="FootnoteReference"/>
        </w:rPr>
        <w:t xml:space="preserve">****  </w:t>
      </w:r>
      <w:r>
        <w:t xml:space="preserve"/>
      </w:r>
      <w:r>
        <w:t xml:space="preserve">Another concurrence begins here.</w:t>
      </w:r>
    </w:p>
  </w:footnote>
  <w:footnote w:id="125">
    <w:p>
      <w:pPr>
        <w:pStyle w:val="FootnoteText"/>
      </w:pPr>
      <w:r>
        <w:rPr>
          <w:rStyle w:val="FootnoteReference"/>
        </w:rPr>
        <w:t xml:space="preserve">****  </w:t>
      </w:r>
      <w:r>
        <w:t xml:space="preserve"/>
      </w:r>
      <w:r>
        <w:t xml:space="preserve">Dissent begins here.</w:t>
      </w:r>
    </w:p>
  </w:footnote>
  <w:footnote w:id="126">
    <w:p>
      <w:pPr>
        <w:pStyle w:val="FootnoteText"/>
      </w:pPr>
      <w:r>
        <w:rPr>
          <w:rStyle w:val="FootnoteReference"/>
        </w:rPr>
        <w:t xml:space="preserve">****  </w:t>
      </w:r>
      <w:r>
        <w:t xml:space="preserve"/>
      </w:r>
      <w:r>
        <w:t xml:space="preserve">Included in the tradition to which Justice Rutledge refers is something you already know: that limitations periods are considered procedural for HCOL purposes.</w:t>
      </w:r>
    </w:p>
  </w:footnote>
  <w:footnote w:id="127">
    <w:p>
      <w:pPr>
        <w:pStyle w:val="FootnoteText"/>
      </w:pPr>
      <w:r>
        <w:rPr>
          <w:rStyle w:val="FootnoteReference"/>
        </w:rPr>
        <w:t xml:space="preserve">****  </w:t>
      </w:r>
      <w:r>
        <w:t xml:space="preserve"/>
      </w:r>
      <w:r>
        <w:t xml:space="preserve">Dissent begins here.</w:t>
      </w:r>
    </w:p>
  </w:footnote>
  <w:footnote w:id="128">
    <w:p>
      <w:pPr>
        <w:pStyle w:val="FootnoteText"/>
      </w:pPr>
      <w:r>
        <w:rPr>
          <w:rStyle w:val="FootnoteReference"/>
        </w:rPr>
        <w:t xml:space="preserve">****  </w:t>
      </w:r>
      <w:r>
        <w:t xml:space="preserve"/>
      </w:r>
      <w:r>
        <w:t xml:space="preserve">Partial concurrence begins here.</w:t>
      </w:r>
    </w:p>
  </w:footnote>
  <w:footnote w:id="129"/>
  <w:footnote w:id="130">
    <w:p>
      <w:pPr>
        <w:pStyle w:val="FootnoteText"/>
      </w:pPr>
      <w:r>
        <w:rPr>
          <w:rStyle w:val="FootnoteReference"/>
        </w:rPr>
        <w:t xml:space="preserve">*****  </w:t>
      </w:r>
      <w:r>
        <w:t xml:space="preserve"/>
      </w:r>
      <w:r>
        <w:t xml:space="preserve">We would now say "district court."</w:t>
      </w:r>
    </w:p>
  </w:footnote>
  <w:footnote w:id="131">
    <w:p>
      <w:pPr>
        <w:pStyle w:val="FootnoteText"/>
      </w:pPr>
      <w:r>
        <w:rPr>
          <w:rStyle w:val="FootnoteReference"/>
        </w:rPr>
        <w:t xml:space="preserve">*****  </w:t>
      </w:r>
      <w:r>
        <w:t xml:space="preserve"/>
      </w:r>
      <w:r>
        <w:t xml:space="preserve">Dissent begins here.</w:t>
      </w:r>
    </w:p>
  </w:footnote>
  <w:footnote w:id="132">
    <w:p>
      <w:pPr>
        <w:pStyle w:val="FootnoteText"/>
      </w:pPr>
      <w:r>
        <w:rPr>
          <w:rStyle w:val="FootnoteReference"/>
        </w:rPr>
        <w:t xml:space="preserve">*****  </w:t>
      </w:r>
      <w:r>
        <w:t xml:space="preserve"/>
      </w:r>
      <w:r>
        <w:t xml:space="preserve">Will there ever be parallel state and federal court litigation in circumstances in which the state court litigation for some reason cannot be removed?</w:t>
      </w:r>
    </w:p>
  </w:footnote>
  <w:footnote w:id="133">
    <w:p>
      <w:pPr>
        <w:pStyle w:val="FootnoteText"/>
      </w:pPr>
      <w:r>
        <w:rPr>
          <w:rStyle w:val="FootnoteReference"/>
        </w:rPr>
        <w:t xml:space="preserve">*****  </w:t>
      </w:r>
      <w:r>
        <w:t xml:space="preserve"/>
      </w:r>
      <w:r>
        <w:t xml:space="preserve">Do you find it odd that the Supreme Court is quoting from a British court to interpret the U.S. Constitution? What does this tell you about whether the Supreme Court is looking to international law to understand the law applicable to personal jurisdiction among the several states?</w:t>
      </w:r>
    </w:p>
  </w:footnote>
  <w:footnote w:id="134">
    <w:p>
      <w:pPr>
        <w:pStyle w:val="FootnoteText"/>
      </w:pPr>
      <w:r>
        <w:rPr>
          <w:rStyle w:val="FootnoteReference"/>
        </w:rPr>
        <w:t xml:space="preserve">*****  </w:t>
      </w:r>
      <w:r>
        <w:t xml:space="preserve"/>
      </w:r>
      <w:r>
        <w:t xml:space="preserve">A "capias ad respondendum" was a court order (called a "writ") authorizing a sheriff to arrest an individual and forcibly transport them before the court.</w:t>
      </w:r>
    </w:p>
  </w:footnote>
  <w:footnote w:id="135">
    <w:p>
      <w:pPr>
        <w:pStyle w:val="FootnoteText"/>
      </w:pPr>
      <w:r>
        <w:rPr>
          <w:rStyle w:val="FootnoteReference"/>
        </w:rPr>
        <w:t xml:space="preserve">*****  </w:t>
      </w:r>
      <w:r>
        <w:t xml:space="preserve"/>
      </w:r>
      <w:r>
        <w:t xml:space="preserve">Partial dissent and partial concurrence begins here.</w:t>
      </w:r>
    </w:p>
  </w:footnote>
  <w:footnote w:id="136">
    <w:p>
      <w:pPr>
        <w:pStyle w:val="FootnoteText"/>
      </w:pPr>
      <w:r>
        <w:rPr>
          <w:rStyle w:val="FootnoteReference"/>
        </w:rPr>
        <w:t xml:space="preserve">*****  </w:t>
      </w:r>
      <w:r>
        <w:t xml:space="preserve"/>
      </w:r>
      <w:r>
        <w:t xml:space="preserve">Here, the dissent uses "jurisdiction" to mean personal jurisdiction.</w:t>
      </w:r>
    </w:p>
  </w:footnote>
  <w:footnote w:id="137">
    <w:p>
      <w:pPr>
        <w:pStyle w:val="FootnoteText"/>
      </w:pPr>
      <w:r>
        <w:rPr>
          <w:rStyle w:val="FootnoteReference"/>
        </w:rPr>
        <w:t xml:space="preserve">*****  </w:t>
      </w:r>
      <w:r>
        <w:t xml:space="preserve"/>
      </w:r>
      <w:r>
        <w:t xml:space="preserve">Justice Rutledge points out here how HCOL may affect the VCOL context.</w:t>
      </w:r>
    </w:p>
  </w:footnote>
  <w:footnote w:id="138"/>
  <w:footnote w:id="139">
    <w:p>
      <w:pPr>
        <w:pStyle w:val="FootnoteText"/>
      </w:pPr>
      <w:r>
        <w:rPr>
          <w:rStyle w:val="FootnoteReference"/>
        </w:rPr>
        <w:t xml:space="preserve">******  </w:t>
      </w:r>
      <w:r>
        <w:t xml:space="preserve"/>
      </w:r>
      <w:r>
        <w:t xml:space="preserve">28 U.S.C. § 1331 codifies this Act.</w:t>
      </w:r>
    </w:p>
  </w:footnote>
  <w:footnote w:id="140"/>
  <w:footnote w:id="141"/>
  <w:footnote w:id="142"/>
  <w:footnote w:id="143"/>
  <w:footnote w:id="144"/>
  <w:footnote w:id="145"/>
  <w:footnote w:id="146"/>
  <w:footnote w:id="147"/>
  <w:footnote w:id="148"/>
  <w:footnote w:id="149"/>
  <w:footnote w:id="150"/>
  <w:footnote w:id="151"/>
  <w:footnote w:id="152"/>
  <w:footnote w:id="153"/>
  <w:footnote w:id="154"/>
  <w:footnote w:id="155"/>
  <w:footnote w:id="156"/>
  <w:footnote w:id="157"/>
  <w:footnote w:id="158"/>
  <w:footnote w:id="159"/>
  <w:footnote w:id="160"/>
  <w:footnote w:id="161"/>
  <w:footnote w:id="162"/>
  <w:footnote w:id="163"/>
  <w:footnote w:id="164">
    <w:p>
      <w:pPr>
        <w:pStyle w:val="CaseFootnoteText"/>
      </w:pPr>
      <w:r>
        <w:rPr>
          <w:rStyle w:val="FootnoteReference"/>
        </w:rPr>
        <w:t xml:space="preserve">1  </w:t>
      </w:r>
      <w:r>
        <w:rPr>
          <w:rStyle w:val="Elision"/>
        </w:rPr>
        <w:t xml:space="preserve">[ … ]</w:t>
      </w:r>
    </w:p>
    <w:p>
      <w:pPr>
        <w:pStyle w:val="FootnoteText"/>
      </w:pPr>
      <w:r>
        <w:rPr>
          <w:rStyle w:val="FootnoteReference"/>
        </w:rPr>
        <w:t xml:space="preserve">*    </w:t>
      </w:r>
      <w:r>
        <w:t xml:space="preserve"/>
      </w:r>
      <w:r>
        <w:t xml:space="preserve">As we will discuss in class, this statement of law, although true in some ways, is misleading.</w:t>
      </w:r>
    </w:p>
    <w:p>
      <w:pPr>
        <w:pStyle w:val="FootnoteText"/>
      </w:pPr>
      <w:r>
        <w:rPr>
          <w:rStyle w:val="FootnoteReference"/>
        </w:rPr>
        <w:t xml:space="preserve">**    </w:t>
      </w:r>
      <w:r>
        <w:t xml:space="preserve"/>
      </w:r>
      <w:r>
        <w:t xml:space="preserve">This is the most important statement of law in this case.</w:t>
      </w:r>
    </w:p>
    <w:p>
      <w:pPr>
        <w:pStyle w:val="FootnoteText"/>
      </w:pPr>
      <w:r>
        <w:rPr>
          <w:rStyle w:val="FootnoteReference"/>
        </w:rPr>
        <w:t xml:space="preserve">***    </w:t>
      </w:r>
      <w:r>
        <w:t xml:space="preserve"/>
      </w:r>
      <w:r>
        <w:t xml:space="preserve">Was the court wise to include this paragraph? Why are concerns of "sound judicial administration" important here when they were not, apparently, important enough to persuade the Supreme Court to adjudicate the merits in Mottley? Stepping back, are efficiency concerns ever enough to suggest that a court should exercise subject matter jurisdiction in the absence of an authorizing statute?</w:t>
      </w:r>
    </w:p>
    <w:p>
      <w:pPr>
        <w:pStyle w:val="NodeEnd"/>
      </w:pPr>
      <w:r>
        <w:t xml:space="preserve"> </w:t>
      </w:r>
    </w:p>
    <w:p>
      <w:pPr>
        <w:pStyle w:val="NodeStart"/>
      </w:pPr>
      <w:r>
        <w:t xml:space="preserve"> </w:t>
      </w:r>
    </w:p>
    <w:p>
      <w:pPr>
        <w:pStyle w:val="HeadSeparator"/>
      </w:pPr>
      <w:r>
        <w:t xml:space="preserve"> </w:t>
      </w:r>
    </w:p>
  </w:footnote>
  <w:footnote w:id="165">
    <w:p>
      <w:pPr>
        <w:pStyle w:val="CaseFootnoteText"/>
      </w:pPr>
      <w:r>
        <w:rPr>
          <w:rStyle w:val="FootnoteReference"/>
        </w:rPr>
        <w:t xml:space="preserve">1  </w:t>
      </w:r>
      <w:r>
        <w:t xml:space="preserve"/>
      </w:r>
      <w:r>
        <w:rPr>
          <w:rStyle w:val="Elision"/>
        </w:rPr>
        <w:t xml:space="preserve">[ … ]</w:t>
      </w:r>
    </w:p>
  </w:footnote>
  <w:footnote w:id="166">
    <w:p>
      <w:pPr>
        <w:pStyle w:val="CaseFootnoteText"/>
      </w:pPr>
      <w:r>
        <w:rPr>
          <w:rStyle w:val="FootnoteReference"/>
        </w:rPr>
        <w:t xml:space="preserve">1  </w:t>
      </w:r>
      <w:r>
        <w:t xml:space="preserve"/>
      </w:r>
      <w:r>
        <w:rPr>
          <w:rStyle w:val="Elision"/>
        </w:rPr>
        <w:t xml:space="preserve">[ … ]</w:t>
      </w:r>
    </w:p>
  </w:footnote>
  <w:footnote w:id="167">
    <w:p>
      <w:pPr>
        <w:pStyle w:val="CaseFootnoteText"/>
      </w:pPr>
      <w:r>
        <w:rPr>
          <w:rStyle w:val="FootnoteReference"/>
        </w:rPr>
        <w:t xml:space="preserve">1  </w:t>
      </w:r>
      <w:r>
        <w:t xml:space="preserve"/>
      </w:r>
      <w:r>
        <w:rPr>
          <w:rStyle w:val="Elision"/>
        </w:rPr>
        <w:t xml:space="preserve">[ … ]</w:t>
      </w:r>
    </w:p>
    <w:p>
      <w:pPr>
        <w:pStyle w:val="FootnoteText"/>
      </w:pPr>
      <w:r>
        <w:rPr>
          <w:rStyle w:val="FootnoteReference"/>
        </w:rPr>
        <w:t xml:space="preserve">*    </w:t>
      </w:r>
      <w:r>
        <w:t xml:space="preserve"/>
      </w:r>
      <w:r>
        <w:t xml:space="preserve">Take particular note of this statement. Do you find it credible?</w:t>
      </w:r>
    </w:p>
    <w:p>
      <w:pPr>
        <w:pStyle w:val="FootnoteText"/>
      </w:pPr>
      <w:r>
        <w:rPr>
          <w:rStyle w:val="FootnoteReference"/>
        </w:rPr>
        <w:t xml:space="preserve">**    </w:t>
      </w:r>
      <w:r>
        <w:t xml:space="preserve"/>
      </w:r>
      <w:r>
        <w:t xml:space="preserve">Judge Easterbrook was (and still is) a highly regarded circuit court judge. He built his reputation in part writing about antitrust.</w:t>
      </w:r>
    </w:p>
    <w:p>
      <w:pPr>
        <w:pStyle w:val="FootnoteText"/>
      </w:pPr>
      <w:r>
        <w:rPr>
          <w:rStyle w:val="FootnoteReference"/>
        </w:rPr>
        <w:t xml:space="preserve">***    </w:t>
      </w:r>
      <w:r>
        <w:t xml:space="preserve"/>
      </w:r>
      <w:r>
        <w:t xml:space="preserve">Dissent begins here.</w:t>
      </w:r>
    </w:p>
    <w:p>
      <w:pPr>
        <w:pStyle w:val="NodeEnd"/>
      </w:pPr>
      <w:r>
        <w:t xml:space="preserve"> </w:t>
      </w:r>
    </w:p>
    <w:p>
      <w:pPr>
        <w:pStyle w:val="NodeStart"/>
      </w:pPr>
      <w:r>
        <w:t xml:space="preserve"> </w:t>
      </w:r>
    </w:p>
    <w:p>
      <w:pPr>
        <w:pStyle w:val="HeadSeparator"/>
      </w:pPr>
      <w:r>
        <w:t xml:space="preserve"> </w:t>
      </w:r>
    </w:p>
  </w:footnote>
  <w:footnote w:id="168">
    <w:p>
      <w:pPr>
        <w:pStyle w:val="CaseFootnoteText"/>
      </w:pPr>
      <w:r>
        <w:rPr>
          <w:rStyle w:val="FootnoteReference"/>
        </w:rPr>
        <w:t xml:space="preserve">1  </w:t>
      </w:r>
      <w:r>
        <w:t xml:space="preserve"/>
      </w:r>
      <w:r>
        <w:rPr>
          <w:rStyle w:val="Elision"/>
        </w:rPr>
        <w:t xml:space="preserve">[ … ]</w:t>
      </w:r>
    </w:p>
  </w:footnote>
  <w:footnote w:id="169">
    <w:p>
      <w:pPr>
        <w:pStyle w:val="CaseFootnoteText"/>
      </w:pPr>
      <w:r>
        <w:rPr>
          <w:rStyle w:val="FootnoteReference"/>
        </w:rPr>
        <w:t xml:space="preserve">1  </w:t>
      </w:r>
      <w:r>
        <w:t xml:space="preserve"/>
      </w:r>
      <w:r>
        <w:t xml:space="preserve">The program is financed by revenues derived from employee and employer payroll taxes.</w:t>
      </w:r>
      <w:r>
        <w:t xml:space="preserve"> </w:t>
      </w:r>
      <w:r>
        <w:rPr>
          <w:rStyle w:val="Elision"/>
        </w:rPr>
        <w:t xml:space="preserve">[ … ]</w:t>
      </w:r>
      <w:r>
        <w:t xml:space="preserve"> </w:t>
      </w:r>
      <w:r>
        <w:t xml:space="preserve">It provides monthly benefits to disabled persons who have worked sufficiently long to have an insured status, and who have had substantial work experience in a specified interval directly preceding the onset of disability.</w:t>
      </w:r>
      <w:r>
        <w:t xml:space="preserve"> </w:t>
      </w:r>
      <w:r>
        <w:rPr>
          <w:rStyle w:val="Elision"/>
        </w:rPr>
        <w:t xml:space="preserve">[ … ]</w:t>
      </w:r>
      <w:r>
        <w:t xml:space="preserve">In fiscal 1974 approximately 3,700,000 persons received assistance under the program.</w:t>
      </w:r>
      <w:r>
        <w:t xml:space="preserve"> </w:t>
      </w:r>
      <w:r>
        <w:rPr>
          <w:rStyle w:val="Elision"/>
        </w:rPr>
        <w:t xml:space="preserve">[ … ]</w:t>
      </w:r>
    </w:p>
  </w:footnote>
  <w:footnote w:id="170">
    <w:p>
      <w:pPr>
        <w:pStyle w:val="CaseFootnoteText"/>
      </w:pPr>
      <w:r>
        <w:rPr>
          <w:rStyle w:val="FootnoteReference"/>
        </w:rPr>
        <w:t xml:space="preserve">1  </w:t>
      </w:r>
      <w:r>
        <w:rPr>
          <w:rStyle w:val="Elision"/>
        </w:rPr>
        <w:t xml:space="preserve">[ … ]</w:t>
      </w:r>
    </w:p>
  </w:footnote>
  <w:footnote w:id="171">
    <w:p>
      <w:pPr>
        <w:pStyle w:val="CaseFootnoteText"/>
      </w:pPr>
      <w:r>
        <w:rPr>
          <w:rStyle w:val="FootnoteReference"/>
        </w:rPr>
        <w:t xml:space="preserve">1  </w:t>
      </w:r>
      <w:r>
        <w:t xml:space="preserve">Commonwealth Edison Co. v. Allis-Chalmers Mfg. Co.,</w:t>
      </w:r>
      <w:r>
        <w:t xml:space="preserve"> </w:t>
      </w:r>
      <w:r>
        <w:t xml:space="preserve">32 F.R.D. 473</w:t>
      </w:r>
      <w:r>
        <w:t xml:space="preserve"> </w:t>
      </w:r>
      <w:r>
        <w:t xml:space="preserve">(N.D.Ill.1963).</w:t>
      </w:r>
    </w:p>
    <w:p>
      <w:pPr>
        <w:pStyle w:val="NodeEnd"/>
      </w:pPr>
      <w:r>
        <w:t xml:space="preserve"> </w:t>
      </w:r>
    </w:p>
    <w:p>
      <w:pPr>
        <w:pStyle w:val="NodeStart"/>
      </w:pPr>
      <w:r>
        <w:t xml:space="preserve"> </w:t>
      </w:r>
    </w:p>
    <w:p>
      <w:pPr>
        <w:pStyle w:val="HeadSeparator"/>
      </w:pPr>
      <w:r>
        <w:t xml:space="preserve"> </w:t>
      </w:r>
    </w:p>
  </w:footnote>
  <w:footnote w:id="172">
    <w:p>
      <w:pPr>
        <w:pStyle w:val="CaseFootnoteText"/>
      </w:pPr>
      <w:r>
        <w:rPr>
          <w:rStyle w:val="FootnoteReference"/>
        </w:rPr>
        <w:t xml:space="preserve">1  </w:t>
      </w:r>
      <w:r>
        <w:t xml:space="preserve"/>
      </w:r>
      <w:r>
        <w:rPr>
          <w:rStyle w:val="Elision"/>
        </w:rPr>
        <w:t xml:space="preserve">[ … ]</w:t>
      </w:r>
    </w:p>
  </w:footnote>
  <w:footnote w:id="173">
    <w:p>
      <w:pPr>
        <w:pStyle w:val="CaseFootnoteText"/>
      </w:pPr>
      <w:r>
        <w:rPr>
          <w:rStyle w:val="FootnoteReference"/>
        </w:rPr>
        <w:t xml:space="preserve">1  </w:t>
      </w:r>
      <w:r>
        <w:rPr>
          <w:rStyle w:val="Elision"/>
        </w:rPr>
        <w:t xml:space="preserve">[ … ]</w:t>
      </w:r>
    </w:p>
    <w:p>
      <w:pPr>
        <w:pStyle w:val="FootnoteText"/>
      </w:pPr>
      <w:r>
        <w:rPr>
          <w:rStyle w:val="FootnoteReference"/>
        </w:rPr>
        <w:t xml:space="preserve">*    </w:t>
      </w:r>
      <w:r>
        <w:t xml:space="preserve"/>
      </w:r>
      <w:r>
        <w:t xml:space="preserve">Note who filed the petition for certiorari in this case.</w:t>
      </w:r>
    </w:p>
    <w:p>
      <w:pPr>
        <w:pStyle w:val="FootnoteText"/>
      </w:pPr>
      <w:r>
        <w:rPr>
          <w:rStyle w:val="FootnoteReference"/>
        </w:rPr>
        <w:t xml:space="preserve">**    </w:t>
      </w:r>
      <w:r>
        <w:t xml:space="preserve"/>
      </w:r>
      <w:r>
        <w:t xml:space="preserve">Remember, the "petitioner" here is the district court judge.</w:t>
      </w:r>
    </w:p>
    <w:p>
      <w:pPr>
        <w:pStyle w:val="FootnoteText"/>
      </w:pPr>
      <w:r>
        <w:rPr>
          <w:rStyle w:val="FootnoteReference"/>
        </w:rPr>
        <w:t xml:space="preserve">***    </w:t>
      </w:r>
      <w:r>
        <w:t xml:space="preserve"/>
      </w:r>
      <w:r>
        <w:t xml:space="preserve">Dissent begins here.</w:t>
      </w:r>
    </w:p>
    <w:p>
      <w:pPr>
        <w:pStyle w:val="NodeEnd"/>
      </w:pPr>
      <w:r>
        <w:t xml:space="preserve"> </w:t>
      </w:r>
    </w:p>
    <w:p>
      <w:pPr>
        <w:pStyle w:val="NodeStart"/>
      </w:pPr>
      <w:r>
        <w:t xml:space="preserve"> </w:t>
      </w:r>
    </w:p>
    <w:p>
      <w:pPr>
        <w:pStyle w:val="HeadSeparator"/>
      </w:pPr>
      <w:r>
        <w:t xml:space="preserve"> </w:t>
      </w:r>
    </w:p>
  </w:footnote>
  <w:footnote w:id="178">
    <w:p>
      <w:pPr>
        <w:pStyle w:val="CaseFootnoteText"/>
      </w:pPr>
      <w:r>
        <w:rPr>
          <w:rStyle w:val="FootnoteReference"/>
        </w:rPr>
        <w:t xml:space="preserve">2  </w:t>
      </w:r>
      <w:r>
        <w:rPr>
          <w:rStyle w:val="Elision"/>
        </w:rPr>
        <w:t xml:space="preserve">[ … ]</w:t>
      </w:r>
    </w:p>
  </w:footnote>
  <w:footnote w:id="179">
    <w:p>
      <w:pPr>
        <w:pStyle w:val="CaseFootnoteText"/>
      </w:pPr>
      <w:r>
        <w:rPr>
          <w:rStyle w:val="FootnoteReference"/>
        </w:rPr>
        <w:t xml:space="preserve">2  </w:t>
      </w:r>
      <w:r>
        <w:t xml:space="preserve">This means that neither the patient volunteers nor the physician investigators know which patients are receiving the study drug and which patients are merely receiving the placebo.</w:t>
      </w:r>
    </w:p>
  </w:footnote>
  <w:footnote w:id="180">
    <w:p>
      <w:pPr>
        <w:pStyle w:val="CaseFootnoteText"/>
      </w:pPr>
      <w:r>
        <w:rPr>
          <w:rStyle w:val="FootnoteReference"/>
        </w:rPr>
        <w:t xml:space="preserve">2  </w:t>
      </w:r>
      <w:r>
        <w:t xml:space="preserve"/>
      </w:r>
      <w:r>
        <w:rPr>
          <w:rStyle w:val="Elision"/>
        </w:rPr>
        <w:t xml:space="preserve">[ … ]</w:t>
      </w:r>
    </w:p>
  </w:footnote>
  <w:footnote w:id="181">
    <w:p>
      <w:pPr>
        <w:pStyle w:val="CaseFootnoteText"/>
      </w:pPr>
      <w:r>
        <w:rPr>
          <w:rStyle w:val="FootnoteReference"/>
        </w:rPr>
        <w:t xml:space="preserve">2  </w:t>
      </w:r>
      <w:r>
        <w:t xml:space="preserve"/>
      </w:r>
      <w:r>
        <w:t xml:space="preserve">It is apparent, from the foregoing recital of facts and of events that took place in the state-court litigation, that the cause of action for reinstatement and for damages was brought to a conclusion in the Ohio courts, but that the cause of action sounding in tort, that is, for wrongful interference with petitioner’s contract of employment, was not. Instead, that cause of action was “reserved and continued,” evidently by the state trial court</w:t>
      </w:r>
      <w:r>
        <w:t xml:space="preserve"> </w:t>
      </w:r>
      <w:r>
        <w:rPr>
          <w:iCs/>
          <w:i/>
        </w:rPr>
        <w:t xml:space="preserve">sua sponte,</w:t>
      </w:r>
      <w:r>
        <w:t xml:space="preserve"> </w:t>
      </w:r>
      <w:r>
        <w:t xml:space="preserve">and was eventually dismissed without prejudice upon petitioner’s motion. This dismissal was subsequent to the entry of judgment on the breach-of-contract cause of action.</w:t>
      </w:r>
    </w:p>
  </w:footnote>
  <w:footnote w:id="182">
    <w:p>
      <w:pPr>
        <w:pStyle w:val="CaseFootnoteText"/>
      </w:pPr>
      <w:r>
        <w:rPr>
          <w:rStyle w:val="FootnoteReference"/>
        </w:rPr>
        <w:t xml:space="preserve">2  </w:t>
      </w:r>
      <w:r>
        <w:t xml:space="preserve"/>
      </w:r>
      <w:r>
        <w:rPr>
          <w:rStyle w:val="Elision"/>
        </w:rPr>
        <w:t xml:space="preserve">[ … ]</w:t>
      </w:r>
    </w:p>
  </w:footnote>
  <w:footnote w:id="183">
    <w:p>
      <w:pPr>
        <w:pStyle w:val="CaseFootnoteText"/>
      </w:pPr>
      <w:r>
        <w:rPr>
          <w:rStyle w:val="FootnoteReference"/>
        </w:rPr>
        <w:t xml:space="preserve">2  </w:t>
      </w:r>
      <w:r>
        <w:t xml:space="preserve">Justice Stevens stakes out common ground on this point: “[F]ederal rules,” he observes, “must be interpreted with some degree of‘sensitivity to important state interests and regulatory policies,’ . . . and applied to diversity cases against the background of Congress’ command that such rules not alter substantive rights and with consideration of ‘the degree to which the Rule makes the character and result of the federal litigation stray from the course it would follow in state courts,’</w:t>
      </w:r>
      <w:r>
        <w:t xml:space="preserve"> </w:t>
      </w:r>
      <w:r>
        <w:rPr>
          <w:iCs/>
          <w:i/>
        </w:rPr>
        <w:t xml:space="preserve">Hanna</w:t>
      </w:r>
      <w:r>
        <w:t xml:space="preserve"> </w:t>
      </w:r>
      <w:r>
        <w:rPr>
          <w:rStyle w:val="Elision"/>
        </w:rPr>
        <w:t xml:space="preserve">[ … ]</w:t>
      </w:r>
      <w:r>
        <w:t xml:space="preserve">Nevertheless, Justice Stevens sees no reason to read Rule 23 with restraint in this particular case; the Federal Rule preempts New York’s damages limitation, in his view, because § 901(b) is “a procedural rule that is not part of New York’s substantive law.”</w:t>
      </w:r>
      <w:r>
        <w:t xml:space="preserve"> </w:t>
      </w:r>
      <w:r>
        <w:rPr>
          <w:rStyle w:val="Elision"/>
        </w:rPr>
        <w:t xml:space="preserve">[ … ]</w:t>
      </w:r>
      <w:r>
        <w:t xml:space="preserve">This characterization of § 901(b) does not mirror reality, as I later explain.</w:t>
      </w:r>
      <w:r>
        <w:rPr>
          <w:rStyle w:val="Elision"/>
        </w:rPr>
        <w:t xml:space="preserve">[ … ]</w:t>
      </w:r>
      <w:r>
        <w:t xml:space="preserve">But a majority of this Court, it bears emphasis, agrees that Federal Rules should be read with moderation in diversity suits to accommodate important state concerns.</w:t>
      </w:r>
    </w:p>
  </w:footnote>
  <w:footnote w:id="187">
    <w:p>
      <w:pPr>
        <w:pStyle w:val="CaseFootnoteText"/>
      </w:pPr>
      <w:r>
        <w:rPr>
          <w:rStyle w:val="FootnoteReference"/>
        </w:rPr>
        <w:t xml:space="preserve">4  </w:t>
      </w:r>
      <w:r>
        <w:t xml:space="preserve">In fact, a copy of the website of the consulting business in the district court record identifies Griffis Consulting as “a U.S.-based consulting firm * * * involved in both domestic and international services to business, government, and other organizations.” There is no mention of Alabama on the website, other than an ad from the hosting site.</w:t>
      </w:r>
    </w:p>
    <w:p>
      <w:pPr>
        <w:pStyle w:val="FootnoteText"/>
      </w:pPr>
      <w:r>
        <w:rPr>
          <w:rStyle w:val="FootnoteReference"/>
        </w:rPr>
        <w:t xml:space="preserve">*    </w:t>
      </w:r>
      <w:r>
        <w:t xml:space="preserve"/>
      </w:r>
      <w:r>
        <w:t xml:space="preserve">Please read note 2.</w:t>
      </w:r>
    </w:p>
    <w:p>
      <w:pPr>
        <w:pStyle w:val="FootnoteText"/>
      </w:pPr>
      <w:r>
        <w:rPr>
          <w:rStyle w:val="FootnoteReference"/>
        </w:rPr>
        <w:t xml:space="preserve">**    </w:t>
      </w:r>
      <w:r>
        <w:t xml:space="preserve"/>
      </w:r>
      <w:r>
        <w:t xml:space="preserve">Please read note 3.</w:t>
      </w:r>
    </w:p>
    <w:p>
      <w:pPr>
        <w:pStyle w:val="FootnoteText"/>
      </w:pPr>
      <w:r>
        <w:rPr>
          <w:rStyle w:val="FootnoteReference"/>
        </w:rPr>
        <w:t xml:space="preserve">***    </w:t>
      </w:r>
      <w:r>
        <w:t xml:space="preserve"/>
      </w:r>
      <w:r>
        <w:t xml:space="preserve">Please read note 4.</w:t>
      </w:r>
    </w:p>
    <w:p>
      <w:pPr>
        <w:pStyle w:val="NodeEnd"/>
      </w:pPr>
      <w:r>
        <w:t xml:space="preserve"> </w:t>
      </w:r>
    </w:p>
    <w:p>
      <w:pPr>
        <w:pStyle w:val="NodeStart"/>
      </w:pPr>
      <w:r>
        <w:t xml:space="preserve"> </w:t>
      </w:r>
    </w:p>
    <w:p>
      <w:pPr>
        <w:pStyle w:val="HeadSeparator"/>
      </w:pPr>
      <w:r>
        <w:t xml:space="preserve"> </w:t>
      </w:r>
    </w:p>
  </w:footnote>
  <w:footnote w:id="188">
    <w:p>
      <w:pPr>
        <w:pStyle w:val="CaseFootnoteText"/>
      </w:pPr>
      <w:r>
        <w:rPr>
          <w:rStyle w:val="FootnoteReference"/>
        </w:rPr>
        <w:t xml:space="preserve">4  </w:t>
      </w:r>
      <w:r>
        <w:t xml:space="preserve"/>
      </w:r>
      <w:r>
        <w:t xml:space="preserve"> </w:t>
      </w:r>
      <w:r>
        <w:rPr>
          <w:rStyle w:val="Elision"/>
        </w:rPr>
        <w:t xml:space="preserve">[ … ]</w:t>
      </w:r>
    </w:p>
  </w:footnote>
  <w:footnote w:id="189">
    <w:p>
      <w:pPr>
        <w:pStyle w:val="CaseFootnoteText"/>
      </w:pPr>
      <w:r>
        <w:rPr>
          <w:rStyle w:val="FootnoteReference"/>
        </w:rPr>
        <w:t xml:space="preserve">4  </w:t>
      </w:r>
      <w:r>
        <w:t xml:space="preserve"/>
      </w:r>
      <w:r>
        <w:t xml:space="preserve">In</w:t>
      </w:r>
      <w:r>
        <w:t xml:space="preserve"> </w:t>
      </w:r>
      <w:r>
        <w:rPr>
          <w:iCs/>
          <w:i/>
        </w:rPr>
        <w:t xml:space="preserve">Goldberg</w:t>
      </w:r>
      <w:r>
        <w:t xml:space="preserve"> </w:t>
      </w:r>
      <w:r>
        <w:t xml:space="preserve">the Court held that the pretermination hearing must include the following elements: (1) “timely and adequate notice detailing the reasons for a proposed termination”; (2) “an. effective opportunity [for the recipient) to defend by confronting any adverse witnesses and by presenting his own arguments and evidence orally”; (3) retained counsel, if desired; (4) an “impartial” decisionmaker; (5) a decision resting “solely on the legal rules and evidence adduced at the hearing”; (6) a statement of reasons for the decision and the evidence relied on.</w:t>
      </w:r>
      <w:r>
        <w:t xml:space="preserve"> </w:t>
      </w:r>
      <w:r>
        <w:rPr>
          <w:rStyle w:val="Elision"/>
        </w:rPr>
        <w:t xml:space="preserve">[ … ]</w:t>
      </w:r>
      <w:r>
        <w:t xml:space="preserve">In this opinion the term “evidentiary hearing” refers to a hearing generally of the type required in</w:t>
      </w:r>
      <w:r>
        <w:t xml:space="preserve"> </w:t>
      </w:r>
      <w:r>
        <w:rPr>
          <w:iCs/>
          <w:i/>
        </w:rPr>
        <w:t xml:space="preserve">Goldberg.</w:t>
      </w:r>
    </w:p>
  </w:footnote>
  <w:footnote w:id="190">
    <w:p>
      <w:pPr>
        <w:pStyle w:val="CaseFootnoteText"/>
      </w:pPr>
      <w:r>
        <w:rPr>
          <w:rStyle w:val="FootnoteReference"/>
        </w:rPr>
        <w:t xml:space="preserve">4  </w:t>
      </w:r>
      <w:r>
        <w:t xml:space="preserve"/>
      </w:r>
      <w:r>
        <w:rPr>
          <w:rStyle w:val="Elision"/>
        </w:rPr>
        <w:t xml:space="preserve">[ … ]</w:t>
      </w:r>
    </w:p>
    <w:p>
      <w:pPr>
        <w:pStyle w:val="NodeEnd"/>
      </w:pPr>
      <w:r>
        <w:t xml:space="preserve"> </w:t>
      </w:r>
    </w:p>
    <w:p>
      <w:pPr>
        <w:pStyle w:val="NodeStart"/>
      </w:pPr>
      <w:r>
        <w:t xml:space="preserve"> </w:t>
      </w:r>
    </w:p>
    <w:p>
      <w:pPr>
        <w:pStyle w:val="HeadSeparator"/>
      </w:pPr>
      <w:r>
        <w:t xml:space="preserve"> </w:t>
      </w:r>
    </w:p>
  </w:footnote>
  <w:footnote w:id="192">
    <w:p>
      <w:pPr>
        <w:pStyle w:val="CaseFootnoteText"/>
      </w:pPr>
      <w:r>
        <w:rPr>
          <w:rStyle w:val="FootnoteReference"/>
        </w:rPr>
        <w:t xml:space="preserve">10  </w:t>
      </w:r>
      <w:r>
        <w:t xml:space="preserve">The plurality notes that “we have rejected every statutory challenge to a Federal Rule that has come before us</w:t>
      </w:r>
      <w:r>
        <w:t xml:space="preserve"> </w:t>
      </w:r>
      <w:r>
        <w:rPr>
          <w:iCs/>
          <w:i/>
        </w:rPr>
        <w:t xml:space="preserve">."</w:t>
      </w:r>
      <w:r>
        <w:rPr>
          <w:rStyle w:val="Elision"/>
        </w:rPr>
        <w:t xml:space="preserve">[ … ]</w:t>
      </w:r>
      <w:r>
        <w:t xml:space="preserve"> </w:t>
      </w:r>
      <w:r>
        <w:t xml:space="preserve">But it omits that we have interpreted Rules with due restraint, including Rule 23, thus diminishing prospects for the success of such challenges.</w:t>
      </w:r>
      <w:r>
        <w:t xml:space="preserve"> </w:t>
      </w:r>
      <w:r>
        <w:rPr>
          <w:rStyle w:val="Elision"/>
        </w:rPr>
        <w:t xml:space="preserve">[ … ]</w:t>
      </w:r>
    </w:p>
  </w:footnote>
  <w:footnote w:id="195">
    <w:p>
      <w:pPr>
        <w:pStyle w:val="CaseFootnoteText"/>
      </w:pPr>
      <w:r>
        <w:rPr>
          <w:rStyle w:val="FootnoteReference"/>
        </w:rPr>
        <w:t xml:space="preserve">15  </w:t>
      </w:r>
      <w:r>
        <w:t xml:space="preserve">The concurrence insists that the task will be easier if courts can “conside[r] the nature and functions of the state law,”</w:t>
      </w:r>
      <w:r>
        <w:t xml:space="preserve"> </w:t>
      </w:r>
      <w:r>
        <w:rPr>
          <w:rStyle w:val="Elision"/>
        </w:rPr>
        <w:t xml:space="preserve">[ … ]</w:t>
      </w:r>
      <w:r>
        <w:t xml:space="preserve">regardless of the law’s “form,”</w:t>
      </w:r>
      <w:r>
        <w:t xml:space="preserve"> </w:t>
      </w:r>
      <w:r>
        <w:rPr>
          <w:rStyle w:val="Elision"/>
        </w:rPr>
        <w:t xml:space="preserve">[ … ]</w:t>
      </w:r>
      <w:r>
        <w:t xml:space="preserve">,</w:t>
      </w:r>
      <w:r>
        <w:t xml:space="preserve"> </w:t>
      </w:r>
      <w:r>
        <w:rPr>
          <w:iCs/>
          <w:i/>
        </w:rPr>
        <w:t xml:space="preserve">i.e.,</w:t>
      </w:r>
      <w:r>
        <w:t xml:space="preserve"> </w:t>
      </w:r>
      <w:r>
        <w:t xml:space="preserve">what the law actually says. We think that amorphous inquiry into the “nature and functions” of a state law will tend to increase, rather than decrease, the difficulty of classifying Federal Rules as substantive or procedural. Walking through the concurrence’s application of its test to § 901(b)</w:t>
      </w:r>
      <w:r>
        <w:rPr>
          <w:rStyle w:val="Elision"/>
        </w:rPr>
        <w:t xml:space="preserve">[ … ]</w:t>
      </w:r>
      <w:r>
        <w:t xml:space="preserve">gives little reason to hope that its approach will lighten the burden for lower courts.</w:t>
      </w:r>
    </w:p>
  </w:footnote>
  <w:footnote w:id="196">
    <w:p>
      <w:pPr>
        <w:pStyle w:val="CaseFootnoteText"/>
      </w:pPr>
      <w:r>
        <w:rPr>
          <w:rStyle w:val="FootnoteReference"/>
        </w:rPr>
        <w:t xml:space="preserve">15  </w:t>
      </w:r>
      <w:r>
        <w:t xml:space="preserve"/>
      </w:r>
      <w:r>
        <w:t xml:space="preserve"> </w:t>
      </w:r>
      <w:r>
        <w:rPr>
          <w:rStyle w:val="Elision"/>
        </w:rPr>
        <w:t xml:space="preserve">[ … ]</w:t>
      </w:r>
    </w:p>
  </w:footnote>
  <w:footnote w:id="206">
    <w:p>
      <w:pPr>
        <w:pStyle w:val="CaseFootnoteText"/>
      </w:pPr>
      <w:r>
        <w:rPr>
          <w:rStyle w:val="FootnoteReference"/>
        </w:rPr>
        <w:t xml:space="preserve">21  </w:t>
      </w:r>
      <w:r>
        <w:t xml:space="preserve"/>
      </w:r>
      <w:r>
        <w:rPr>
          <w:rStyle w:val="Elision"/>
        </w:rPr>
        <w:t xml:space="preserve">[ … ]</w:t>
      </w:r>
      <w:r>
        <w:t xml:space="preserve"> </w:t>
      </w:r>
      <w:r>
        <w:t xml:space="preserve">We have held, of course, that the opportunity to avoid decision of a constitutional question does not alone justify abstention by a federal court.</w:t>
      </w:r>
      <w:r>
        <w:t xml:space="preserve"> </w:t>
      </w:r>
      <w:r>
        <w:rPr>
          <w:rStyle w:val="Elision"/>
        </w:rPr>
        <w:t xml:space="preserve">[ … ]</w:t>
      </w:r>
      <w:r>
        <w:t xml:space="preserve"> </w:t>
      </w:r>
      <w:r>
        <w:t xml:space="preserve">Indeed, the presence of a federal basis for jurisdiction may raise the level of justification needed for abstention.</w:t>
      </w:r>
      <w:r>
        <w:t xml:space="preserve"> </w:t>
      </w:r>
      <w:r>
        <w:rPr>
          <w:rStyle w:val="Elision"/>
        </w:rPr>
        <w:t xml:space="preserve">[ … ]</w:t>
      </w:r>
    </w:p>
  </w:footnote>
  <w:footnote w:id="207">
    <w:p>
      <w:pPr>
        <w:pStyle w:val="CaseFootnoteText"/>
      </w:pPr>
      <w:r>
        <w:rPr>
          <w:rStyle w:val="FootnoteReference"/>
        </w:rPr>
        <w:t xml:space="preserve">21  </w:t>
      </w:r>
      <w:r>
        <w:t xml:space="preserve"/>
      </w:r>
      <w:r>
        <w:t xml:space="preserve">Unlike all prior levels of review, which are</w:t>
      </w:r>
      <w:r>
        <w:t xml:space="preserve"> </w:t>
      </w:r>
      <w:r>
        <w:rPr>
          <w:iCs/>
          <w:i/>
        </w:rPr>
        <w:t xml:space="preserve">de novo,</w:t>
      </w:r>
      <w:r>
        <w:t xml:space="preserve"> </w:t>
      </w:r>
      <w:r>
        <w:t xml:space="preserve">the district court is required to treat findings of fact as conclusive if supported by substantial evidence.</w:t>
      </w:r>
      <w:r>
        <w:t xml:space="preserve"> </w:t>
      </w:r>
      <w:r>
        <w:rPr>
          <w:rStyle w:val="Elision"/>
        </w:rPr>
        <w:t xml:space="preserve">[ … ]</w:t>
      </w:r>
    </w:p>
  </w:footnote>
  <w:footnote w:id="209">
    <w:p>
      <w:pPr>
        <w:pStyle w:val="CaseFootnoteText"/>
      </w:pPr>
      <w:r>
        <w:rPr>
          <w:rStyle w:val="FootnoteReference"/>
        </w:rPr>
        <w:t xml:space="preserve">24  </w:t>
      </w:r>
      <w:r>
        <w:t xml:space="preserve"/>
      </w:r>
      <w:r>
        <w:rPr>
          <w:rStyle w:val="Elision"/>
        </w:rPr>
        <w:t xml:space="preserve">[ … ]</w:t>
      </w:r>
    </w:p>
  </w:footnote>
  <w:footnote w:id="210">
    <w:p>
      <w:pPr>
        <w:pStyle w:val="CaseFootnoteText"/>
      </w:pPr>
      <w:r>
        <w:rPr>
          <w:rStyle w:val="FootnoteReference"/>
        </w:rPr>
        <w:t xml:space="preserve">24  </w:t>
      </w:r>
      <w:r>
        <w:t xml:space="preserve"/>
      </w:r>
      <w:r>
        <w:t xml:space="preserve">This latter denial produced the following reaction from the court,</w:t>
      </w:r>
      <w:r>
        <w:t xml:space="preserve"> </w:t>
      </w:r>
      <w:r>
        <w:rPr>
          <w:iCs/>
          <w:i/>
        </w:rPr>
        <w:t xml:space="preserve">id.,</w:t>
      </w:r>
      <w:r>
        <w:t xml:space="preserve"> </w:t>
      </w:r>
      <w:r>
        <w:t xml:space="preserve">at 55:</w:t>
      </w:r>
    </w:p>
    <w:p>
      <w:pPr>
        <w:pStyle w:val="BlockText"/>
      </w:pPr>
      <w:r>
        <w:t xml:space="preserve">“Q [from respondent]: Did you tell Ms. Mangum on the 8th day of May, 1975, that when your daughter was in the hospital having William that she left the children in the cold house with no heat?</w:t>
      </w:r>
    </w:p>
    <w:p>
      <w:pPr>
        <w:pStyle w:val="BlockText"/>
      </w:pPr>
      <w:r>
        <w:t xml:space="preserve">“A: No, sir, no, sir, unh unh, no, sir.</w:t>
      </w:r>
    </w:p>
    <w:p>
      <w:pPr>
        <w:pStyle w:val="BlockText"/>
      </w:pPr>
      <w:r>
        <w:t xml:space="preserve">“[PETITIONER]: That’s a lie.</w:t>
      </w:r>
    </w:p>
    <w:p>
      <w:pPr>
        <w:pStyle w:val="BlockText"/>
      </w:pPr>
      <w:r>
        <w:t xml:space="preserve">“A: No, sir, no, sir. God knows, I’ll raise my right hand to God and die saying that. Somebody else told that.</w:t>
      </w:r>
    </w:p>
    <w:p>
      <w:pPr>
        <w:pStyle w:val="BlockText"/>
      </w:pPr>
      <w:r>
        <w:t xml:space="preserve">“THE COURT: I wish you wouldn’t talk like that it scares me to be in the same room with you.”</w:t>
      </w:r>
    </w:p>
  </w:footnote>
  <w:footnote w:id="212">
    <w:p>
      <w:pPr>
        <w:pStyle w:val="CaseFootnoteText"/>
      </w:pPr>
      <w:r>
        <w:rPr>
          <w:rStyle w:val="FootnoteReference"/>
        </w:rPr>
        <w:t xml:space="preserve">25  </w:t>
      </w:r>
      <w:r>
        <w:t xml:space="preserve"/>
      </w:r>
      <w:r>
        <w:rPr>
          <w:rStyle w:val="Elision"/>
        </w:rPr>
        <w:t xml:space="preserve">[ … ]</w:t>
      </w:r>
    </w:p>
  </w:footnote>
  <w:footnote w:id="213">
    <w:p>
      <w:pPr>
        <w:pStyle w:val="CaseFootnoteText"/>
      </w:pPr>
      <w:r>
        <w:rPr>
          <w:rStyle w:val="FootnoteReference"/>
        </w:rPr>
        <w:t xml:space="preserve">25  </w:t>
      </w:r>
      <w:r>
        <w:t xml:space="preserve"/>
      </w:r>
      <w:r>
        <w:t xml:space="preserve">The judge had initiated the examination of Mrs. Lassiter; subsequently he expressed exasperation with the rambling quality of her answers,</w:t>
      </w:r>
      <w:r>
        <w:t xml:space="preserve"> </w:t>
      </w:r>
      <w:r>
        <w:rPr>
          <w:iCs/>
          <w:i/>
        </w:rPr>
        <w:t xml:space="preserve">id.,</w:t>
      </w:r>
      <w:r>
        <w:t xml:space="preserve"> </w:t>
      </w:r>
      <w:r>
        <w:t xml:space="preserve">at 52:</w:t>
      </w:r>
    </w:p>
    <w:p>
      <w:pPr>
        <w:pStyle w:val="BlockText"/>
      </w:pPr>
      <w:r>
        <w:t xml:space="preserve">“THE COURT: I tell you what, let’s just stop all this. You question her, please. Just answer his questions. We’ll be here all day at this rate. I mean, we are just wasting time, we’re skipping from one subject to another—</w:t>
      </w:r>
    </w:p>
    <w:p>
      <w:pPr>
        <w:pStyle w:val="BlockText"/>
      </w:pPr>
      <w:r>
        <w:t xml:space="preserve">“CROSS EXAMINATION BY [RESPONDENT]; ...”</w:t>
      </w:r>
    </w:p>
  </w:footnote>
  <w:footnote w:id="214">
    <w:p>
      <w:pPr>
        <w:pStyle w:val="CaseFootnoteText"/>
      </w:pPr>
      <w:r>
        <w:rPr>
          <w:rStyle w:val="FootnoteReference"/>
        </w:rPr>
        <w:t xml:space="preserve">26  </w:t>
      </w:r>
      <w:r>
        <w:t xml:space="preserve"/>
      </w:r>
      <w:r>
        <w:rPr>
          <w:iCs/>
          <w:i/>
        </w:rPr>
        <w:t xml:space="preserve">Amici</w:t>
      </w:r>
      <w:r>
        <w:t xml:space="preserve"> </w:t>
      </w:r>
      <w:r>
        <w:t xml:space="preserve">cite statistics compiled by the Secretary which indicate that in 1965 the mean income of the family unit of a disabled worker was $3,803, while the median income for the unit was $2,836. The mean liquid</w:t>
      </w:r>
      <w:r>
        <w:t xml:space="preserve"> </w:t>
      </w:r>
      <w:r>
        <w:rPr>
          <w:iCs/>
          <w:i/>
        </w:rPr>
        <w:t xml:space="preserve">assets</w:t>
      </w:r>
      <w:r>
        <w:t xml:space="preserve"> </w:t>
      </w:r>
      <w:r>
        <w:t xml:space="preserve">— i.</w:t>
      </w:r>
      <w:r>
        <w:t xml:space="preserve"> </w:t>
      </w:r>
      <w:r>
        <w:rPr>
          <w:iCs/>
          <w:i/>
        </w:rPr>
        <w:t xml:space="preserve">e.,</w:t>
      </w:r>
      <w:r>
        <w:t xml:space="preserve"> </w:t>
      </w:r>
      <w:r>
        <w:t xml:space="preserve">cash, stocks, bonds — of these family units was $4,862; the median was $940. These statistics do not take into account the family unit’s nonliquid</w:t>
      </w:r>
      <w:r>
        <w:t xml:space="preserve"> </w:t>
      </w:r>
      <w:r>
        <w:rPr>
          <w:iCs/>
          <w:i/>
        </w:rPr>
        <w:t xml:space="preserve">assets</w:t>
      </w:r>
      <w:r>
        <w:t xml:space="preserve"> </w:t>
      </w:r>
      <w:r>
        <w:t xml:space="preserve">— i.</w:t>
      </w:r>
      <w:r>
        <w:t xml:space="preserve"> </w:t>
      </w:r>
      <w:r>
        <w:rPr>
          <w:iCs/>
          <w:i/>
        </w:rPr>
        <w:t xml:space="preserve">e.,</w:t>
      </w:r>
      <w:r>
        <w:t xml:space="preserve"> </w:t>
      </w:r>
      <w:r>
        <w:t xml:space="preserve">automobile, real estate, and the like.</w:t>
      </w:r>
      <w:r>
        <w:rPr>
          <w:rStyle w:val="Elision"/>
        </w:rPr>
        <w:t xml:space="preserve">[ … ]</w:t>
      </w:r>
    </w:p>
  </w:footnote>
  <w:footnote w:id="215">
    <w:p>
      <w:pPr>
        <w:pStyle w:val="CaseFootnoteText"/>
      </w:pPr>
      <w:r>
        <w:rPr>
          <w:rStyle w:val="FootnoteReference"/>
        </w:rPr>
        <w:t xml:space="preserve">26  </w:t>
      </w:r>
      <w:r>
        <w:t xml:space="preserve"/>
      </w:r>
      <w:r>
        <w:t xml:space="preserve">Unfortunately, the Court does not confine itself to the issue at hand. By going outside the official record of this case,</w:t>
      </w:r>
      <w:r>
        <w:t xml:space="preserve"> </w:t>
      </w:r>
      <w:r>
        <w:rPr>
          <w:iCs/>
          <w:i/>
        </w:rPr>
        <w:t xml:space="preserve">ante,</w:t>
      </w:r>
      <w:r>
        <w:t xml:space="preserve"> </w:t>
      </w:r>
      <w:r>
        <w:t xml:space="preserve">at 20-21, n. 1, to unearth and recite details of petitioner’s second-degree murder conviction set forth in an unpublished state appellate opinion, see</w:t>
      </w:r>
      <w:r>
        <w:t xml:space="preserve"> </w:t>
      </w:r>
      <w:r>
        <w:rPr>
          <w:iCs/>
          <w:i/>
        </w:rPr>
        <w:t xml:space="preserve">State</w:t>
      </w:r>
      <w:r>
        <w:t xml:space="preserve"> </w:t>
      </w:r>
      <w:r>
        <w:t xml:space="preserve">v.</w:t>
      </w:r>
      <w:r>
        <w:t xml:space="preserve"> </w:t>
      </w:r>
      <w:r>
        <w:rPr>
          <w:iCs/>
          <w:i/>
        </w:rPr>
        <w:t xml:space="preserve">Lassiter,</w:t>
      </w:r>
      <w:r>
        <w:t xml:space="preserve"> </w:t>
      </w:r>
      <w:r>
        <w:t xml:space="preserve">33 N. C. App. 405, 235 S. E. 2d 289 (1977); Rule 30 (e) (3), N. C. Rules of Appellate Procedure, N. C. Gen. Stat. (Supp. 1979 to vol. 4A), the Court apparently believes it has contributed evidence relevant to petitioner’s fitness as a parent, and perhaps to the fitness of petitioner’s mother as well. But while some States retain statutes permitting parental rights to be terminated upon a parent’s criminal conviction, North Carolina is not among them. See N. C. Gen. Stat. §7A-289.32 (Supp. 1979). See Note, On Prisoners and Parenting: Preserving the Tie that Binds, 87 Yale L. J. 1408, 1409-1410 (1978). Reliance on such evidence is likely to encourage the kind of subjective value judgments that an adversarial judicial proceeding is meant to avoid.</w:t>
      </w:r>
    </w:p>
  </w:footnote>
  <w:footnote w:id="216">
    <w:p>
      <w:pPr>
        <w:pStyle w:val="CaseFootnoteText"/>
      </w:pPr>
      <w:r>
        <w:rPr>
          <w:rStyle w:val="FootnoteReference"/>
        </w:rPr>
        <w:t xml:space="preserve">3  </w:t>
      </w:r>
      <w:r>
        <w:t xml:space="preserve">Luban concedes that she knew Griffis lived in Alabama. But this fact alone is insufficient to conclude that Luban expressly aimed her allegedly tortious conduct at the Alabama forum. We look to the record for other evidence that the Alabama forum was the focal point of the defamatory statements. The record contains only two messages posted by Luban on the</w:t>
      </w:r>
      <w:r>
        <w:t xml:space="preserve"> </w:t>
      </w:r>
      <w:r>
        <w:rPr>
          <w:iCs/>
          <w:i/>
        </w:rPr>
        <w:t xml:space="preserve">sci.archaeology</w:t>
      </w:r>
      <w:r>
        <w:t xml:space="preserve"> </w:t>
      </w:r>
      <w:r>
        <w:t xml:space="preserve">newsgroup that identify the Alabama forum in any way. In one, Luban stated Griffis was “from the great state of Alabama.” In another, in response to a message by Griffis signed University of Alabama at Birmingham, Special Studies, Luban asked: "What are special studies and what have you to do with them.” In response, Griffis posted, "Now for the record, I am an instructor with the University of Alabama at Birmingham, Department of Special Studies, and have been for over 17 years.” Luban also acknowledges that she made one phone call to the University of Alabama, in which she asked a receptionist whether Griffis was employed there.</w:t>
      </w:r>
    </w:p>
  </w:footnote>
  <w:footnote w:id="217">
    <w:p>
      <w:pPr>
        <w:pStyle w:val="CaseFootnoteText"/>
      </w:pPr>
      <w:r>
        <w:rPr>
          <w:rStyle w:val="FootnoteReference"/>
        </w:rPr>
        <w:t xml:space="preserve">3  </w:t>
      </w:r>
      <w:r>
        <w:t xml:space="preserve">One of The 1812’s witnesses testified: “On Chestnut Street, where Theatre 1812 is located, it is highly competitive with other theatres, but this theatre has distinguished itself by having the type of motion picture that Chestnut Street patrons like. ‘Husbands’ is this</w:t>
      </w:r>
      <w:r>
        <w:t xml:space="preserve"> </w:t>
      </w:r>
      <w:r>
        <w:rPr>
          <w:iCs/>
          <w:i/>
        </w:rPr>
        <w:t xml:space="preserve">type</w:t>
      </w:r>
      <w:r>
        <w:t xml:space="preserve"> </w:t>
      </w:r>
      <w:r>
        <w:t xml:space="preserve">of motion picture.” (emphasis added)</w:t>
      </w:r>
    </w:p>
  </w:footnote>
  <w:footnote w:id="218">
    <w:p>
      <w:pPr>
        <w:pStyle w:val="CaseFootnoteText"/>
      </w:pPr>
      <w:r>
        <w:rPr>
          <w:rStyle w:val="FootnoteReference"/>
        </w:rPr>
        <w:t xml:space="preserve">3  </w:t>
      </w:r>
      <w:r>
        <w:t xml:space="preserve"/>
      </w:r>
      <w:r>
        <w:t xml:space="preserve"> </w:t>
      </w:r>
      <w:r>
        <w:rPr>
          <w:rStyle w:val="Elision"/>
        </w:rPr>
        <w:t xml:space="preserve">[ … ]</w:t>
      </w:r>
    </w:p>
  </w:footnote>
  <w:footnote w:id="219">
    <w:p>
      <w:pPr>
        <w:pStyle w:val="CaseFootnoteText"/>
      </w:pPr>
      <w:r>
        <w:rPr>
          <w:rStyle w:val="FootnoteReference"/>
        </w:rPr>
        <w:t xml:space="preserve">3  </w:t>
      </w:r>
      <w:r>
        <w:t xml:space="preserve"/>
      </w:r>
      <w:r>
        <w:rPr>
          <w:rStyle w:val="Elision"/>
        </w:rPr>
        <w:t xml:space="preserve">[ … ]</w:t>
      </w:r>
    </w:p>
  </w:footnote>
  <w:footnote w:id="222">
    <w:p>
      <w:pPr>
        <w:pStyle w:val="CaseFootnoteText"/>
      </w:pPr>
      <w:r>
        <w:rPr>
          <w:rStyle w:val="FootnoteReference"/>
        </w:rPr>
        <w:t xml:space="preserve">6  </w:t>
      </w:r>
      <w:r>
        <w:t xml:space="preserve"/>
      </w:r>
      <w:r>
        <w:t xml:space="preserve">The Court lists four other policy reasons for the “appropriateness” of the District Court’s dismissal of this lawsuit. All of those reasons are insubstantial. First, the fact that no significant proceedings had yet taken place in the federal court at the time of the dismissal means no more than that the federal court was prompt in granting the defendants’ motion to dismiss. At that time, of course, no proceedings involving the Government’s claims had taken place in the state court either. Second, the geographic distance of the federal court from the rivers in question is hardly a significant factor in this age of rapid and easy transportation. Since the basic issues here involve the determination of the amount of water the Government intended to reserve rather than the amount it actually appropriated on a given date, there is little likelihood that live testimony by water district residents would be necessary. In any event, the Federal District Court in Colorado is authorized to sit at Durango, the headquarters of Water Division 7.</w:t>
      </w:r>
      <w:r>
        <w:rPr>
          <w:rStyle w:val="ReplacementText"/>
        </w:rPr>
        <w:t xml:space="preserve">[Discussion of the third and fourth factors is omitted.]</w:t>
      </w:r>
    </w:p>
  </w:footnote>
  <w:footnote w:id="223">
    <w:p>
      <w:pPr>
        <w:pStyle w:val="CaseFootnoteText"/>
      </w:pPr>
      <w:r>
        <w:rPr>
          <w:rStyle w:val="FootnoteReference"/>
        </w:rPr>
        <w:t xml:space="preserve">6  </w:t>
      </w:r>
      <w:r>
        <w:t xml:space="preserve">A number of courts have held that indigent parents have a right to appointed counsel in child dependency or neglect hearings as well.</w:t>
      </w:r>
      <w:r>
        <w:t xml:space="preserve"/>
      </w:r>
      <w:r>
        <w:rPr>
          <w:iCs/>
          <w:i/>
        </w:rPr>
        <w:t xml:space="preserve">E. g., Davis</w:t>
      </w:r>
      <w:r>
        <w:t xml:space="preserve"> </w:t>
      </w:r>
      <w:r>
        <w:t xml:space="preserve">v.</w:t>
      </w:r>
      <w:r>
        <w:t xml:space="preserve"> </w:t>
      </w:r>
      <w:r>
        <w:rPr>
          <w:iCs/>
          <w:i/>
        </w:rPr>
        <w:t xml:space="preserve">Page,</w:t>
      </w:r>
      <w:r>
        <w:t xml:space="preserve"> </w:t>
      </w:r>
      <w:r>
        <w:t xml:space="preserve">640 F. 2d 599 (CA5 1981) (en banc);</w:t>
      </w:r>
      <w:r>
        <w:t xml:space="preserve"> </w:t>
      </w:r>
      <w:r>
        <w:rPr>
          <w:iCs/>
          <w:i/>
        </w:rPr>
        <w:t xml:space="preserve">Cleaver</w:t>
      </w:r>
      <w:r>
        <w:t xml:space="preserve"> </w:t>
      </w:r>
      <w:r>
        <w:t xml:space="preserve">v.</w:t>
      </w:r>
      <w:r>
        <w:t xml:space="preserve"> </w:t>
      </w:r>
      <w:r>
        <w:rPr>
          <w:iCs/>
          <w:i/>
        </w:rPr>
        <w:t xml:space="preserve">Wilcox,</w:t>
      </w:r>
      <w:r>
        <w:t xml:space="preserve"> </w:t>
      </w:r>
      <w:r>
        <w:t xml:space="preserve">499 F. 2d 940 (CA9 1974) (right to be decided case by case);</w:t>
      </w:r>
      <w:r>
        <w:t xml:space="preserve"> </w:t>
      </w:r>
      <w:r>
        <w:rPr>
          <w:iCs/>
          <w:i/>
        </w:rPr>
        <w:t xml:space="preserve">Smith</w:t>
      </w:r>
      <w:r>
        <w:t xml:space="preserve"> </w:t>
      </w:r>
      <w:r>
        <w:t xml:space="preserve">v.</w:t>
      </w:r>
      <w:r>
        <w:t xml:space="preserve"> </w:t>
      </w:r>
      <w:r>
        <w:rPr>
          <w:iCs/>
          <w:i/>
        </w:rPr>
        <w:t xml:space="preserve">Edmiston,</w:t>
      </w:r>
      <w:r>
        <w:t xml:space="preserve"> </w:t>
      </w:r>
      <w:r>
        <w:t xml:space="preserve">431 F. Supp. 941 (WD Tenn. 1977).</w:t>
      </w:r>
    </w:p>
  </w:footnote>
  <w:footnote w:id="224">
    <w:p>
      <w:pPr>
        <w:pStyle w:val="CaseFootnoteText"/>
      </w:pPr>
      <w:r>
        <w:rPr>
          <w:rStyle w:val="FootnoteReference"/>
        </w:rPr>
        <w:t xml:space="preserve">6  </w:t>
      </w:r>
      <w:r>
        <w:t xml:space="preserve"/>
      </w:r>
      <w:r>
        <w:rPr>
          <w:rStyle w:val="Elision"/>
        </w:rPr>
        <w:t xml:space="preserve">[ … ]</w:t>
      </w:r>
      <w:r>
        <w:rPr>
          <w:rStyle w:val="Elision"/>
        </w:rPr>
        <w:t xml:space="preserve">[ … ]</w:t>
      </w:r>
    </w:p>
    <w:p>
      <w:pPr>
        <w:pStyle w:val="NodeEnd"/>
      </w:pPr>
      <w:r>
        <w:t xml:space="preserve"> </w:t>
      </w:r>
    </w:p>
    <w:p>
      <w:pPr>
        <w:pStyle w:val="NodeStart"/>
      </w:pPr>
      <w:r>
        <w:t xml:space="preserve"> </w:t>
      </w:r>
    </w:p>
    <w:p>
      <w:pPr>
        <w:pStyle w:val="HeadSeparator"/>
      </w:pPr>
      <w:r>
        <w:t xml:space="preserve"> </w:t>
      </w:r>
    </w:p>
  </w:footnote>
  <w:footnote w:id="227">
    <w:p>
      <w:pPr>
        <w:pStyle w:val="CaseFootnoteText"/>
      </w:pPr>
      <w:r>
        <w:rPr>
          <w:rStyle w:val="FootnoteReference"/>
        </w:rPr>
        <w:t xml:space="preserve">19  </w:t>
      </w:r>
      <w:r>
        <w:t xml:space="preserve"/>
      </w:r>
      <w:r>
        <w:rPr>
          <w:rStyle w:val="Elision"/>
        </w:rPr>
        <w:t xml:space="preserve">[ … ]</w:t>
      </w:r>
    </w:p>
  </w:footnote>
  <w:footnote w:id="228">
    <w:p>
      <w:pPr>
        <w:pStyle w:val="CaseFootnoteText"/>
      </w:pPr>
      <w:r>
        <w:rPr>
          <w:rStyle w:val="FootnoteReference"/>
        </w:rPr>
        <w:t xml:space="preserve">19  </w:t>
      </w:r>
      <w:r>
        <w:t xml:space="preserve"/>
      </w:r>
      <w:r>
        <w:t xml:space="preserve">Of course, the case-by-case approach announced by the Court today places an even heavier burden on the trial court, which will be required to determine in advance what difference legal representation might make. A trial judge will be obligated to examine the State’s documentary and testimonial evidence well before the hearing so as to reach an informed decision about the need for counsel in time to allow adequate preparation of the parent’s case.</w:t>
      </w:r>
    </w:p>
  </w:footnote>
  <w:footnote w:id="231">
    <w:p>
      <w:pPr>
        <w:pStyle w:val="CaseFootnoteText"/>
      </w:pPr>
      <w:r>
        <w:rPr>
          <w:rStyle w:val="FootnoteReference"/>
        </w:rPr>
        <w:t xml:space="preserve">16  </w:t>
      </w:r>
      <w:r>
        <w:t xml:space="preserve"/>
      </w:r>
      <w:r>
        <w:t xml:space="preserve">Information is also requested concerning the recipient’s belief as to whether he can return to work, the nature and extent of his employment during the past year, and any vocational services he is receiving.</w:t>
      </w:r>
    </w:p>
  </w:footnote>
  <w:footnote w:id="232">
    <w:p>
      <w:pPr>
        <w:pStyle w:val="CaseFootnoteText"/>
      </w:pPr>
      <w:r>
        <w:rPr>
          <w:rStyle w:val="FootnoteReference"/>
        </w:rPr>
        <w:t xml:space="preserve">17  </w:t>
      </w:r>
      <w:r>
        <w:t xml:space="preserve"/>
      </w:r>
      <w:r>
        <w:t xml:space="preserve">All medical-source evidence used to establish the absence of continuing disability must be in writing, with the source properly identified.</w:t>
      </w:r>
      <w:r>
        <w:rPr>
          <w:rStyle w:val="Elision"/>
        </w:rPr>
        <w:t xml:space="preserve">[ … ]</w:t>
      </w:r>
    </w:p>
  </w:footnote>
  <w:footnote w:id="233">
    <w:p>
      <w:pPr>
        <w:pStyle w:val="CaseFootnoteText"/>
      </w:pPr>
      <w:r>
        <w:rPr>
          <w:rStyle w:val="FootnoteReference"/>
        </w:rPr>
        <w:t xml:space="preserve">18  </w:t>
      </w:r>
      <w:r>
        <w:t xml:space="preserve"/>
      </w:r>
      <w:r>
        <w:rPr>
          <w:rStyle w:val="Elision"/>
        </w:rPr>
        <w:t xml:space="preserve">[ … ]</w:t>
      </w:r>
      <w:r>
        <w:rPr>
          <w:rStyle w:val="Elision"/>
        </w:rPr>
        <w:t xml:space="preserve">[ … ]</w:t>
      </w:r>
    </w:p>
  </w:footnote>
  <w:footnote w:id="234">
    <w:p>
      <w:pPr>
        <w:pStyle w:val="CaseFootnoteText"/>
      </w:pPr>
      <w:r>
        <w:rPr>
          <w:rStyle w:val="FootnoteReference"/>
        </w:rPr>
        <w:t xml:space="preserve">18  </w:t>
      </w:r>
      <w:r>
        <w:t xml:space="preserve">Justice Ginsburg asserts that class certification in this matter would “transform a $500 case into a $5 million award.’’</w:t>
      </w:r>
      <w:r>
        <w:t xml:space="preserve"> </w:t>
      </w:r>
      <w:r>
        <w:rPr>
          <w:rStyle w:val="Elision"/>
        </w:rPr>
        <w:t xml:space="preserve">[ … ]</w:t>
      </w:r>
      <w:r>
        <w:t xml:space="preserve">But in fact, class certification would transform 10,000 $500 cases into one $5 million case. It may be that without class certification, not all of the potential plaintiffs would bring their cases. But that is true of any procedural vehicle; without a lower filing fee, a conveniently located courthouse, easy-to-use federal procedural rules, or many other features of the federal courts, many plaintiffs would not sue.</w:t>
      </w:r>
    </w:p>
  </w:footnote>
  <w:footnote w:id="235">
    <w:p>
      <w:pPr>
        <w:pStyle w:val="CaseFootnoteText"/>
      </w:pPr>
      <w:r>
        <w:rPr>
          <w:rStyle w:val="FootnoteReference"/>
        </w:rPr>
        <w:t xml:space="preserve">20  </w:t>
      </w:r>
      <w:r>
        <w:t xml:space="preserve"/>
      </w:r>
      <w:r>
        <w:t xml:space="preserve">The reconsideration assessment is initially made by the state agency, but usually not by the same persons who considered the case originally.</w:t>
      </w:r>
      <w:r>
        <w:t xml:space="preserve"> </w:t>
      </w:r>
      <w:r>
        <w:rPr>
          <w:rStyle w:val="Elision"/>
        </w:rPr>
        <w:t xml:space="preserve">[ … ]</w:t>
      </w:r>
      <w:r>
        <w:t xml:space="preserve">Both the recipient and the agency may adduce new evidence.</w:t>
      </w:r>
    </w:p>
  </w:footnote>
  <w:footnote w:id="237">
    <w:p>
      <w:pPr>
        <w:pStyle w:val="CaseFootnoteText"/>
      </w:pPr>
      <w:r>
        <w:rPr>
          <w:rStyle w:val="FootnoteReference"/>
        </w:rPr>
        <w:t xml:space="preserve">22  </w:t>
      </w:r>
      <w:r>
        <w:t xml:space="preserve"/>
      </w:r>
      <w:r>
        <w:rPr>
          <w:rStyle w:val="Elision"/>
        </w:rPr>
        <w:t xml:space="preserve">[ … ]</w:t>
      </w:r>
    </w:p>
  </w:footnote>
  <w:footnote w:id="238">
    <w:p>
      <w:pPr>
        <w:pStyle w:val="CaseFootnoteText"/>
      </w:pPr>
      <w:r>
        <w:rPr>
          <w:rStyle w:val="FootnoteReference"/>
        </w:rPr>
        <w:t xml:space="preserve">22  </w:t>
      </w:r>
      <w:r>
        <w:t xml:space="preserve"/>
      </w:r>
      <w:r>
        <w:t xml:space="preserve">The Secretary may reduce other payments to which the beneficiary is entitled, or seek the payment of a refund, unless the beneficiary is “without fault” and such adjustment or recovery would defeat the purposes of the Act or be “against equity and good conscience.”</w:t>
      </w:r>
      <w:r>
        <w:t xml:space="preserve"> </w:t>
      </w:r>
      <w:r>
        <w:rPr>
          <w:rStyle w:val="Elision"/>
        </w:rPr>
        <w:t xml:space="preserve">[ … ]</w:t>
      </w:r>
    </w:p>
  </w:footnote>
  <w:footnote w:id="240">
    <w:p>
      <w:pPr>
        <w:pStyle w:val="CaseFootnoteText"/>
      </w:pPr>
      <w:r>
        <w:rPr>
          <w:rStyle w:val="FootnoteReference"/>
        </w:rPr>
        <w:t xml:space="preserve">23  </w:t>
      </w:r>
      <w:r>
        <w:t xml:space="preserve"/>
      </w:r>
      <w:r>
        <w:t xml:space="preserve">This, of course, assumes that an employee whose wages are garnisheed erroneously is subsequently able to recover his back wages.</w:t>
      </w:r>
    </w:p>
  </w:footnote>
  <w:footnote w:id="241">
    <w:p>
      <w:pPr>
        <w:pStyle w:val="CaseFootnoteText"/>
      </w:pPr>
      <w:r>
        <w:rPr>
          <w:rStyle w:val="FootnoteReference"/>
        </w:rPr>
        <w:t xml:space="preserve">23  </w:t>
      </w:r>
      <w:r>
        <w:t xml:space="preserve"/>
      </w:r>
      <w:r>
        <w:rPr>
          <w:iCs/>
          <w:i/>
        </w:rPr>
        <w:t xml:space="preserve">Id.,</w:t>
      </w:r>
      <w:r>
        <w:t xml:space="preserve"> </w:t>
      </w:r>
      <w:r>
        <w:t xml:space="preserve">at 30:</w:t>
      </w:r>
    </w:p>
    <w:p>
      <w:pPr>
        <w:pStyle w:val="BlockText"/>
      </w:pPr>
      <w:r>
        <w:t xml:space="preserve">“[THE COURT]: Did you know that your mother filed a complaint on the 8th day of May, 1975 . . . . ?</w:t>
      </w:r>
    </w:p>
    <w:p>
      <w:pPr>
        <w:pStyle w:val="BlockText"/>
      </w:pPr>
      <w:r>
        <w:t xml:space="preserve">“A: No, ’cause she said she didn’t file no complaint.</w:t>
      </w:r>
    </w:p>
    <w:p>
      <w:pPr>
        <w:pStyle w:val="BlockText"/>
      </w:pPr>
      <w:r>
        <w:t xml:space="preserve">“[THE COURT]: That was some ghost who came up here and filed it I suppose.”</w:t>
      </w:r>
    </w:p>
    <w:p>
      <w:pPr>
        <w:pStyle w:val="BlockText"/>
      </w:pPr>
      <w:r>
        <w:t xml:space="preserve">The judge concluded his questioning by saying to the County,Attorney: “All right, Mr. Odom, see what you can do.”</w:t>
      </w:r>
      <w:r>
        <w:t xml:space="preserve"/>
      </w:r>
      <w:r>
        <w:rPr>
          <w:iCs/>
          <w:i/>
        </w:rPr>
        <w:t xml:space="preserve">Id.,</w:t>
      </w:r>
      <w:r>
        <w:t xml:space="preserve"> </w:t>
      </w:r>
      <w:r>
        <w:t xml:space="preserve">at 36.</w:t>
      </w:r>
    </w:p>
  </w:footnote>
  <w:footnote w:id="242">
    <w:p>
      <w:pPr>
        <w:pStyle w:val="CaseFootnoteText"/>
      </w:pPr>
      <w:r>
        <w:rPr>
          <w:rStyle w:val="FootnoteReference"/>
        </w:rPr>
        <w:t xml:space="preserve">27  </w:t>
      </w:r>
      <w:r>
        <w:t xml:space="preserve"/>
      </w:r>
      <w:r>
        <w:rPr>
          <w:iCs/>
          <w:i/>
        </w:rPr>
        <w:t xml:space="preserve">Amici</w:t>
      </w:r>
      <w:r>
        <w:t xml:space="preserve"> </w:t>
      </w:r>
      <w:r>
        <w:t xml:space="preserve">emphasize that because an identical definition of disability is employed in both the Title II Social Security Program and in the companion welfare system for the disabled, Supplemental Security Income (SSI), compare 42 U. S. C. § 423 (d)(1) with § 1382c (a)(3) (1970 ed., Supp. III), the terminated disability-benefits recipient will be ineligible for the SSI Program. There exist, however, state and local welfare programs which may supplement the worker’s income. In addition, the worker’s household unit can qualify for food stamps if it meets the financial need requirements.</w:t>
      </w:r>
      <w:r>
        <w:t xml:space="preserve"> </w:t>
      </w:r>
      <w:r>
        <w:rPr>
          <w:rStyle w:val="Elision"/>
        </w:rPr>
        <w:t xml:space="preserve">[ … ]</w:t>
      </w:r>
      <w:r>
        <w:t xml:space="preserve"> </w:t>
      </w:r>
      <w:r>
        <w:t xml:space="preserve">Finally, in 1974 480,000 of the approximately 2,000,000 disabled workers receiving Social Security benefits also received SSI benefits. Since financial need is a criterion for eligibility under the SSI program, those disabled workers who are most in need will in the majority of eases be receiving SSI benefits when disability insurance aid is terminated. And, under the SSI program, a pretermination evidentiary hearing is provided, if requested.</w:t>
      </w:r>
      <w:r>
        <w:t xml:space="preserve"> </w:t>
      </w:r>
      <w:r>
        <w:rPr>
          <w:rStyle w:val="Elision"/>
        </w:rPr>
        <w:t xml:space="preserve">[ … ]</w:t>
      </w:r>
    </w:p>
  </w:footnote>
  <w:footnote w:id="243">
    <w:p>
      <w:pPr>
        <w:pStyle w:val="CaseFootnoteText"/>
      </w:pPr>
      <w:r>
        <w:rPr>
          <w:rStyle w:val="FootnoteReference"/>
        </w:rPr>
        <w:t xml:space="preserve">28  </w:t>
      </w:r>
      <w:r>
        <w:t xml:space="preserve"/>
      </w:r>
      <w:r>
        <w:t xml:space="preserve">The decision is not purely a question of the accuracy of a medical diagnosis since the ultimate issue which the state agency must resolve is whether in light of the particular worker’s “age, education, and work, experience”’he cannot “engage'in any . . . substantial gainful work which exists in the national economy . . . .”</w:t>
      </w:r>
      <w:r>
        <w:t xml:space="preserve"> </w:t>
      </w:r>
      <w:r>
        <w:rPr>
          <w:rStyle w:val="Elision"/>
        </w:rPr>
        <w:t xml:space="preserve">[ … ]</w:t>
      </w:r>
      <w:r>
        <w:t xml:space="preserve">Yet information concerning each of these worker characteristics is amenable to effective written presentation. The value of an evidentiary hearing, or even a limited oral presentation, to an accurate presentation of those factors to the decisionmaker does not appear substantial. Similarly, resolution of the inquiry as to the types of employment opportunities that exist in the national economy for a physically impaired worker with a particular set of skills would not necessarily be advanced by an., evidentiary hearing.</w:t>
      </w:r>
      <w:r>
        <w:rPr>
          <w:rStyle w:val="Elision"/>
        </w:rPr>
        <w:t xml:space="preserve">[ … ]</w:t>
      </w:r>
      <w:r>
        <w:t xml:space="preserve"> </w:t>
      </w:r>
      <w:r>
        <w:t xml:space="preserve">The statistical information relevant to this judgment is more amenable to written than to oral presentation.</w:t>
      </w:r>
    </w:p>
  </w:footnote>
  <w:footnote w:id="244">
    <w:p>
      <w:pPr>
        <w:pStyle w:val="CaseFootnoteText"/>
      </w:pPr>
      <w:r>
        <w:rPr>
          <w:rStyle w:val="FootnoteReference"/>
        </w:rPr>
        <w:t xml:space="preserve">29  </w:t>
      </w:r>
      <w:r>
        <w:t xml:space="preserve"/>
      </w:r>
      <w:r>
        <w:t xml:space="preserve">By focusing solely on the reversal rate for appealed reconsideration determinations</w:t>
      </w:r>
      <w:r>
        <w:t xml:space="preserve"> </w:t>
      </w:r>
      <w:r>
        <w:rPr>
          <w:iCs/>
          <w:i/>
        </w:rPr>
        <w:t xml:space="preserve">amici</w:t>
      </w:r>
      <w:r>
        <w:t xml:space="preserve"> </w:t>
      </w:r>
      <w:r>
        <w:t xml:space="preserve">overstate the relevant reversal rate. As we indicated last Term in</w:t>
      </w:r>
      <w:r>
        <w:t xml:space="preserve"> </w:t>
      </w:r>
      <w:r>
        <w:rPr>
          <w:iCs/>
          <w:i/>
        </w:rPr>
        <w:t xml:space="preserve">Fusari</w:t>
      </w:r>
      <w:r>
        <w:t xml:space="preserve"> </w:t>
      </w:r>
      <w:r>
        <w:t xml:space="preserve">v. Steinberg,</w:t>
      </w:r>
      <w:r>
        <w:t xml:space="preserve"> </w:t>
      </w:r>
      <w:r>
        <w:t xml:space="preserve">419 U. S. 379</w:t>
      </w:r>
      <w:r>
        <w:t xml:space="preserve">, 383 n. 6 (1975), in order fully to assess the reliability-and fairness of a system of procedure, one must also consider the overall rate of error for all denials of benefits. Here that overall rate is 12.2%. Moreover, about 75% of these reversals occur at the reconsideration stage of the administrative process. Since the median period between a request for reconsideration review and decision is only two months, Brief for AFL-CIO et al. as</w:t>
      </w:r>
      <w:r>
        <w:t xml:space="preserve"> </w:t>
      </w:r>
      <w:r>
        <w:rPr>
          <w:iCs/>
          <w:i/>
        </w:rPr>
        <w:t xml:space="preserve">Amici Curiae</w:t>
      </w:r>
      <w:r>
        <w:t xml:space="preserve"> </w:t>
      </w:r>
      <w:r>
        <w:t xml:space="preserve">App. 4a, the deprivation is significantly less than that concomitant to the lengthier delay before an evidentiary hearing. Netting out these reconsideration reversals, the overall reversal rate falls to 3.3%. See Supplemental and Reply Brief for Petitioner 14.</w:t>
      </w:r>
    </w:p>
  </w:footnote>
  <w:footnote w:id="245">
    <w:p>
      <w:pPr>
        <w:pStyle w:val="CaseFootnoteText"/>
      </w:pPr>
      <w:r>
        <w:rPr>
          <w:rStyle w:val="FootnoteReference"/>
        </w:rPr>
        <w:t xml:space="preserve">5  </w:t>
      </w:r>
      <w:r>
        <w:t xml:space="preserve"/>
      </w:r>
      <w:r>
        <w:t xml:space="preserve">Both the respondent and the Columbia Journal of Law and Social Problems, 4 Colum. J. L. &amp; Soc. Prob. 230 (1968), have conducted surveys purporting to reveal whether the presence of counsel reduces the number of erroneous determinations in parental termination proceedings. Unfortunately, neither survey goes beyond presenting statistics which, standing alone, are unilluminating. The Journal note does, however, report that it questioned the New York Family Court judges who preside over parental termination hearings and found that 72.2% of them agreed that when a parent is unrepresented, it becomes more difficult to conduct a fair hearing (11.1% of the judges disagreed); 66.7% thought it became difficult to develop the facts (22.2% disagreed).</w:t>
      </w:r>
    </w:p>
  </w:footnote>
  <w:footnote w:id="246">
    <w:p>
      <w:pPr>
        <w:pStyle w:val="CaseFootnoteText"/>
      </w:pPr>
      <w:r>
        <w:rPr>
          <w:rStyle w:val="FootnoteReference"/>
        </w:rPr>
        <w:t xml:space="preserve">5  </w:t>
      </w:r>
      <w:r>
        <w:t xml:space="preserve">I thus agree with Justice Ginsburg,</w:t>
      </w:r>
      <w:r>
        <w:t xml:space="preserve"> </w:t>
      </w:r>
      <w:r>
        <w:rPr>
          <w:rStyle w:val="Elision"/>
        </w:rPr>
        <w:t xml:space="preserve">[ … ]</w:t>
      </w:r>
      <w:r>
        <w:t xml:space="preserve"> </w:t>
      </w:r>
      <w:r>
        <w:t xml:space="preserve">that a federal rule, like any federal law, must be interpreted in light of many different considerations, including “sensitivity to important state interests,’’</w:t>
      </w:r>
      <w:r>
        <w:t xml:space="preserve"> </w:t>
      </w:r>
      <w:r>
        <w:rPr>
          <w:rStyle w:val="Elision"/>
        </w:rPr>
        <w:t xml:space="preserve">[ … ]</w:t>
      </w:r>
      <w:r>
        <w:t xml:space="preserve"> </w:t>
      </w:r>
      <w:r>
        <w:t xml:space="preserve">See</w:t>
      </w:r>
      <w:r>
        <w:t xml:space="preserve"> </w:t>
      </w:r>
      <w:r>
        <w:rPr>
          <w:iCs/>
          <w:i/>
        </w:rPr>
        <w:t xml:space="preserve">Stewart Organization, Inc.</w:t>
      </w:r>
      <w:r>
        <w:t xml:space="preserve"> </w:t>
      </w:r>
      <w:r>
        <w:t xml:space="preserve">v.</w:t>
      </w:r>
      <w:r>
        <w:t xml:space="preserve"> </w:t>
      </w:r>
      <w:r>
        <w:rPr>
          <w:iCs/>
          <w:i/>
        </w:rPr>
        <w:t xml:space="preserve">Ricoh Corp.,</w:t>
      </w:r>
      <w:r>
        <w:t xml:space="preserve"> </w:t>
      </w:r>
      <w:r>
        <w:t xml:space="preserve">487 U.S. 22</w:t>
      </w:r>
      <w:r>
        <w:t xml:space="preserve">, 37-38,</w:t>
      </w:r>
      <w:r>
        <w:t xml:space="preserve"> </w:t>
      </w:r>
      <w:r>
        <w:t xml:space="preserve">108 S. Ct. 2239</w:t>
      </w:r>
      <w:r>
        <w:t xml:space="preserve">,</w:t>
      </w:r>
      <w:r>
        <w:t xml:space="preserve"> </w:t>
      </w:r>
      <w:r>
        <w:t xml:space="preserve">101 L. Ed. 2d 22</w:t>
      </w:r>
      <w:r>
        <w:t xml:space="preserve"> </w:t>
      </w:r>
      <w:r>
        <w:t xml:space="preserve">(1988) (Scalia, J., dissenting) (“We should assume . . . when it is fair to do so, that Congress is just as concerned as we have been to avoid significant differences between state and federal courts in adjudicating claims. . . . Thus, in deciding whether a federal . . . Rule of Procedure encompasses a particular issue, a broad reading that would create significant disuniformity between state and federal courts should be avoided if the text permits’’). I disagree with Justice Ginsburg, however, about the degree to which the meaning of federal rules may be contorted, absent congressional authorization to do so, to accommodate state policy goals.</w:t>
      </w:r>
    </w:p>
  </w:footnote>
  <w:footnote w:id="248">
    <w:p>
      <w:pPr>
        <w:pStyle w:val="CaseFootnoteText"/>
      </w:pPr>
      <w:r>
        <w:rPr>
          <w:rStyle w:val="FootnoteReference"/>
        </w:rPr>
        <w:t xml:space="preserve">7  </w:t>
      </w:r>
      <w:r>
        <w:t xml:space="preserve"/>
      </w:r>
      <w:r>
        <w:t xml:space="preserve">It is true, as the Court notes, that the relationship among water rights is interdependent. When water levels in a river are low, junior appropriators may not be able to take any water from the river. The Court is mistaken, however, in suggesting that the determination of a priority is related to the determination of other priorities. When a priority is established, the holder’s right to take a certain amount of water and the seniority (date) of his priority is established. That determination does not affect and is not affected by the establishment of other priorities.</w:t>
      </w:r>
    </w:p>
  </w:footnote>
  <w:footnote w:id="249">
    <w:p>
      <w:pPr>
        <w:pStyle w:val="CaseFootnoteText"/>
      </w:pPr>
      <w:r>
        <w:rPr>
          <w:rStyle w:val="FootnoteReference"/>
        </w:rPr>
        <w:t xml:space="preserve">7  </w:t>
      </w:r>
      <w:r>
        <w:t xml:space="preserve"/>
      </w:r>
      <w:r>
        <w:t xml:space="preserve">According to the respondent’s brief, William Lassiter is now living “in a pre-adoptive home with foster parents committed to formal adoption to become his legal parents.” He cannot be legally adopted, nor can his status otherwise be finally clarified, until this litigation ends.</w:t>
      </w:r>
    </w:p>
  </w:footnote>
  <w:footnote w:id="251">
    <w:p>
      <w:pPr>
        <w:pStyle w:val="CaseFootnoteText"/>
      </w:pPr>
      <w:r>
        <w:rPr>
          <w:rStyle w:val="FootnoteReference"/>
        </w:rPr>
        <w:t xml:space="preserve">8  </w:t>
      </w:r>
      <w:r>
        <w:t xml:space="preserve"/>
      </w:r>
      <w:r>
        <w:t xml:space="preserve">Ms. Lassiter’s argument here that her mother should have been given custody of William is hardly consistent with her argument in the collateral attack on her murder conviction that she was innocent because her mother was guilty. See n. 1,</w:t>
      </w:r>
      <w:r>
        <w:t xml:space="preserve"> </w:t>
      </w:r>
      <w:r>
        <w:rPr>
          <w:iCs/>
          <w:i/>
        </w:rPr>
        <w:t xml:space="preserve">supra.</w:t>
      </w:r>
    </w:p>
  </w:footnote>
  <w:footnote w:id="252">
    <w:p>
      <w:pPr>
        <w:pStyle w:val="CaseFootnoteText"/>
      </w:pPr>
      <w:r>
        <w:rPr>
          <w:rStyle w:val="FootnoteReference"/>
        </w:rPr>
        <w:t xml:space="preserve">8  </w:t>
      </w:r>
      <w:r>
        <w:t xml:space="preserve"/>
      </w:r>
      <w:r>
        <w:t xml:space="preserve">Except for</w:t>
      </w:r>
      <w:r>
        <w:t xml:space="preserve"> </w:t>
      </w:r>
      <w:r>
        <w:rPr>
          <w:iCs/>
          <w:i/>
        </w:rPr>
        <w:t xml:space="preserve">per curiam</w:t>
      </w:r>
      <w:r>
        <w:t xml:space="preserve"> </w:t>
      </w:r>
      <w:r>
        <w:t xml:space="preserve">opinions, the Ohio Supreme Court speaks as a court only through the syllabi of its cases.</w:t>
      </w:r>
      <w:r>
        <w:t xml:space="preserve"> </w:t>
      </w:r>
      <w:r>
        <w:rPr>
          <w:rStyle w:val="Elision"/>
        </w:rPr>
        <w:t xml:space="preserve">[ … ]</w:t>
      </w:r>
    </w:p>
  </w:footnote>
  <w:footnote w:id="253">
    <w:p>
      <w:pPr>
        <w:pStyle w:val="CaseFootnoteText"/>
      </w:pPr>
      <w:r>
        <w:rPr>
          <w:rStyle w:val="FootnoteReference"/>
        </w:rPr>
        <w:t xml:space="preserve">8  </w:t>
      </w:r>
      <w:r>
        <w:t xml:space="preserve">The cases chronicled by the dissent,</w:t>
      </w:r>
      <w:r>
        <w:t xml:space="preserve"> </w:t>
      </w:r>
      <w:r>
        <w:rPr>
          <w:rStyle w:val="Elision"/>
        </w:rPr>
        <w:t xml:space="preserve">[ … ]</w:t>
      </w:r>
      <w:r>
        <w:t xml:space="preserve">each involved a Federal Rule that we concluded could fairly be read not to “control the issue’’ addressed by the pertinent state law, thus avoiding a “direct collision’’ between federal and state law,</w:t>
      </w:r>
    </w:p>
    <w:p>
      <w:pPr>
        <w:pStyle w:val="CaseFootnoteText"/>
      </w:pPr>
      <w:r>
        <w:t xml:space="preserve">Walker,</w:t>
      </w:r>
    </w:p>
    <w:p>
      <w:pPr>
        <w:pStyle w:val="CaseFootnoteText"/>
      </w:pPr>
      <w:r>
        <w:rPr>
          <w:rStyle w:val="Elision"/>
        </w:rPr>
        <w:t xml:space="preserve">[ … ]</w:t>
      </w:r>
      <w:r>
        <w:t xml:space="preserve"/>
      </w:r>
      <w:r>
        <w:t xml:space="preserve">But here, as in</w:t>
      </w:r>
      <w:r>
        <w:t xml:space="preserve"> </w:t>
      </w:r>
      <w:r>
        <w:rPr>
          <w:iCs/>
          <w:i/>
        </w:rPr>
        <w:t xml:space="preserve">Hanna,</w:t>
      </w:r>
      <w:r>
        <w:t xml:space="preserve"> </w:t>
      </w:r>
      <w:r>
        <w:rPr>
          <w:rStyle w:val="Elision"/>
        </w:rPr>
        <w:t xml:space="preserve">[ … ]</w:t>
      </w:r>
      <w:r>
        <w:t xml:space="preserve"> </w:t>
      </w:r>
      <w:r>
        <w:t xml:space="preserve">a collision is “unavoidable.’’</w:t>
      </w:r>
    </w:p>
  </w:footnote>
  <w:footnote w:id="254">
    <w:p>
      <w:pPr>
        <w:pStyle w:val="CaseFootnoteText"/>
      </w:pPr>
      <w:r>
        <w:rPr>
          <w:rStyle w:val="FootnoteReference"/>
        </w:rPr>
        <w:t xml:space="preserve">8  </w:t>
      </w:r>
      <w:r>
        <w:t xml:space="preserve">Justice Scalia concedes as much, s</w:t>
      </w:r>
      <w:r>
        <w:rPr>
          <w:rStyle w:val="Elision"/>
        </w:rPr>
        <w:t xml:space="preserve">[ … ]</w:t>
      </w:r>
      <w:r>
        <w:t xml:space="preserve">but argues that insofar as I allow for the possibility that a federal rule might violate the Enabling Act when it displaces a seemingly procedural state rule, my approach is itself “unfaithful to the statute’s terms,’’ which cover “substantive rights’’ but not “procedural rules,’’</w:t>
      </w:r>
      <w:r>
        <w:t xml:space="preserve"> </w:t>
      </w:r>
      <w:r>
        <w:rPr>
          <w:rStyle w:val="Elision"/>
        </w:rPr>
        <w:t xml:space="preserve">[ … ]</w:t>
      </w:r>
      <w:r>
        <w:t xml:space="preserve"> </w:t>
      </w:r>
      <w:r>
        <w:t xml:space="preserve">This is not an objection to my interpretation of the Enabling Act—that courts must look to whether a federal rule alters substantive rights in a given case—but simply to the way I would apply it, allowing for the possibility that a state rule that regulates something traditionally considered to be procedural might actually define a substantive right. Justice Scalia’s objection, moreover, misses the key point: In some instances, a state rule that appears procedural really is not. A rule about how damages are reviewed on appeal may really be a damages cap. See</w:t>
      </w:r>
      <w:r>
        <w:t xml:space="preserve"> </w:t>
      </w:r>
      <w:r>
        <w:rPr>
          <w:iCs/>
          <w:i/>
        </w:rPr>
        <w:t xml:space="preserve">Gasperini,</w:t>
      </w:r>
      <w:r>
        <w:t xml:space="preserve"> </w:t>
      </w:r>
      <w:r>
        <w:rPr>
          <w:rStyle w:val="Elision"/>
        </w:rPr>
        <w:t xml:space="preserve">[ … ]</w:t>
      </w:r>
      <w:r>
        <w:t xml:space="preserve">A rule that a plaintiff can bring a claim for only three years may really be a limit on the existence of the right to seek redress. A rule that a claim must be proved beyond a reasonable doubt may really be a definition of the scope of the claim. These are the sorts of rules that one might describe as “procedural,” but they nonetheless define substantive rights. Thus, if a federal rule displaced such a state rule, the federal rule would have altered the State’s “substantive rights.”</w:t>
      </w:r>
    </w:p>
  </w:footnote>
  <w:footnote w:id="256">
    <w:p>
      <w:pPr>
        <w:pStyle w:val="CaseFootnoteText"/>
      </w:pPr>
      <w:r>
        <w:rPr>
          <w:rStyle w:val="FootnoteReference"/>
        </w:rPr>
        <w:t xml:space="preserve">*  </w:t>
      </w:r>
      <w:r>
        <w:rPr>
          <w:rStyle w:val="Elision"/>
        </w:rPr>
        <w:t xml:space="preserve">[ … ]</w:t>
      </w:r>
    </w:p>
  </w:footnote>
  <w:footnote w:id="257">
    <w:p>
      <w:pPr>
        <w:pStyle w:val="CaseFootnoteText"/>
      </w:pPr>
      <w:r>
        <w:rPr>
          <w:rStyle w:val="FootnoteReference"/>
        </w:rPr>
        <w:t xml:space="preserve">13  </w:t>
      </w:r>
      <w:r>
        <w:t xml:space="preserve"/>
      </w:r>
      <w:r>
        <w:t xml:space="preserve"> </w:t>
      </w:r>
      <w:r>
        <w:t xml:space="preserve">In contrast, many “state rules ostensibly addressed to procedure,’’</w:t>
      </w:r>
      <w:r>
        <w:t xml:space="preserve"> </w:t>
      </w:r>
    </w:p>
    <w:p>
      <w:pPr>
        <w:pStyle w:val="CaseFootnoteText"/>
      </w:pPr>
      <w:r>
        <w:rPr>
          <w:rStyle w:val="Elision"/>
        </w:rPr>
        <w:t xml:space="preserve">[ … ]</w:t>
      </w:r>
      <w:r>
        <w:t xml:space="preserve">including pleading standards and rules governing summary judgment, pretrial discovery, and the admissibility of certain evidence—would not so hugely impact forum choices. It is difficult to imagine a scenario that would promote more forum shopping than one in which the difference between filing in state and federal court is the difference between a potential award of $500 and one of $5 million.</w:t>
      </w:r>
    </w:p>
    <w:p>
      <w:pPr>
        <w:pStyle w:val="CaseFootnoteText"/>
      </w:pPr>
      <w:r>
        <w:rPr>
          <w:rStyle w:val="Elision"/>
        </w:rPr>
        <w:t xml:space="preserve">[ … ]</w:t>
      </w:r>
      <w:r>
        <w:rPr>
          <w:rStyle w:val="FootnoteReference"/>
        </w:rPr>
        <w:footnoteReference w:customMarkFollows="1" w:id="163"/>
        <w:t xml:space="preserve">*****************************  </w:t>
      </w:r>
    </w:p>
    <w:p>
      <w:pPr>
        <w:pStyle w:val="FootnoteText"/>
      </w:pPr>
      <w:r>
        <w:rPr>
          <w:rStyle w:val="FootnoteReference"/>
        </w:rPr>
        <w:t xml:space="preserve">*    </w:t>
      </w:r>
      <w:r>
        <w:t xml:space="preserve"/>
      </w:r>
      <w:r>
        <w:t xml:space="preserve">Please read footnote 6, below.</w:t>
      </w:r>
    </w:p>
    <w:p>
      <w:pPr>
        <w:pStyle w:val="FootnoteText"/>
      </w:pPr>
      <w:r>
        <w:rPr>
          <w:rStyle w:val="FootnoteReference"/>
        </w:rPr>
        <w:t xml:space="preserve">**    </w:t>
      </w:r>
      <w:r>
        <w:t xml:space="preserve"/>
      </w:r>
      <w:r>
        <w:t xml:space="preserve">Have I lost my mind here, or is this sentence in the teeth of Erie?</w:t>
      </w:r>
    </w:p>
    <w:p>
      <w:pPr>
        <w:pStyle w:val="FootnoteText"/>
      </w:pPr>
      <w:r>
        <w:rPr>
          <w:rStyle w:val="FootnoteReference"/>
        </w:rPr>
        <w:t xml:space="preserve">***    </w:t>
      </w:r>
      <w:r>
        <w:t xml:space="preserve"/>
      </w:r>
      <w:r>
        <w:t xml:space="preserve">Please read footnote 7, below.</w:t>
      </w:r>
    </w:p>
    <w:p>
      <w:pPr>
        <w:pStyle w:val="FootnoteText"/>
      </w:pPr>
      <w:r>
        <w:rPr>
          <w:rStyle w:val="FootnoteReference"/>
        </w:rPr>
        <w:t xml:space="preserve">****    </w:t>
      </w:r>
      <w:r>
        <w:t xml:space="preserve"/>
      </w:r>
      <w:r>
        <w:t xml:space="preserve">Please read footnote 8, below.</w:t>
      </w:r>
    </w:p>
    <w:p>
      <w:pPr>
        <w:pStyle w:val="FootnoteText"/>
      </w:pPr>
      <w:r>
        <w:rPr>
          <w:rStyle w:val="FootnoteReference"/>
        </w:rPr>
        <w:t xml:space="preserve">*****    </w:t>
      </w:r>
      <w:r>
        <w:t xml:space="preserve"/>
      </w:r>
      <w:r>
        <w:t xml:space="preserve">Did Justice Scalia's famous dedication to statutory (or rule) text just go "poof" before my eyes? And not for the first time in cases we've read this semester (see Semtek)?</w:t>
      </w:r>
    </w:p>
    <w:p>
      <w:pPr>
        <w:pStyle w:val="FootnoteText"/>
      </w:pPr>
      <w:r>
        <w:rPr>
          <w:rStyle w:val="FootnoteReference"/>
        </w:rPr>
        <w:t xml:space="preserve">******    </w:t>
      </w:r>
      <w:r>
        <w:t xml:space="preserve"/>
      </w:r>
      <w:r>
        <w:t xml:space="preserve">Please read footnote 15, below.</w:t>
      </w:r>
    </w:p>
    <w:p>
      <w:pPr>
        <w:pStyle w:val="FootnoteText"/>
      </w:pPr>
      <w:r>
        <w:rPr>
          <w:rStyle w:val="FootnoteReference"/>
        </w:rPr>
        <w:t xml:space="preserve">*******    </w:t>
      </w:r>
      <w:r>
        <w:t xml:space="preserve"/>
      </w:r>
      <w:r>
        <w:t xml:space="preserve">Does this sentence suggest that federal courts can never create common law? If so, isn't it pure garbage?</w:t>
      </w:r>
    </w:p>
    <w:p>
      <w:pPr>
        <w:pStyle w:val="FootnoteText"/>
      </w:pPr>
      <w:r>
        <w:rPr>
          <w:rStyle w:val="FootnoteReference"/>
        </w:rPr>
        <w:t xml:space="preserve">********    </w:t>
      </w:r>
      <w:r>
        <w:t xml:space="preserve"/>
      </w:r>
      <w:r>
        <w:t xml:space="preserve">Does this make any sense?</w:t>
      </w:r>
    </w:p>
    <w:p>
      <w:pPr>
        <w:pStyle w:val="FootnoteText"/>
      </w:pPr>
      <w:r>
        <w:rPr>
          <w:rStyle w:val="FootnoteReference"/>
        </w:rPr>
        <w:t xml:space="preserve">*********    </w:t>
      </w:r>
      <w:r>
        <w:t xml:space="preserve"/>
      </w:r>
      <w:r>
        <w:t xml:space="preserve">Just to clarify, the Gasperini opinion from with Justice Scalia quotes here commanded a majority of the Court.</w:t>
      </w:r>
    </w:p>
    <w:p>
      <w:pPr>
        <w:pStyle w:val="FootnoteText"/>
      </w:pPr>
      <w:r>
        <w:rPr>
          <w:rStyle w:val="FootnoteReference"/>
        </w:rPr>
        <w:t xml:space="preserve">**********    </w:t>
      </w:r>
      <w:r>
        <w:t xml:space="preserve"/>
      </w:r>
      <w:r>
        <w:t xml:space="preserve">Concurrence begins here.</w:t>
      </w:r>
    </w:p>
    <w:p>
      <w:pPr>
        <w:pStyle w:val="FootnoteText"/>
      </w:pPr>
      <w:r>
        <w:rPr>
          <w:rStyle w:val="FootnoteReference"/>
        </w:rPr>
        <w:t xml:space="preserve">***********    </w:t>
      </w:r>
      <w:r>
        <w:t xml:space="preserve"/>
      </w:r>
      <w:r>
        <w:t xml:space="preserve">Do you think Walker was a "plain meaning" case? (What planet am I on?)</w:t>
      </w:r>
    </w:p>
    <w:p>
      <w:pPr>
        <w:pStyle w:val="FootnoteText"/>
      </w:pPr>
      <w:r>
        <w:rPr>
          <w:rStyle w:val="FootnoteReference"/>
        </w:rPr>
        <w:t xml:space="preserve">************    </w:t>
      </w:r>
      <w:r>
        <w:t xml:space="preserve"/>
      </w:r>
      <w:r>
        <w:t xml:space="preserve">Please read note 5, below.</w:t>
      </w:r>
    </w:p>
    <w:p>
      <w:pPr>
        <w:pStyle w:val="FootnoteText"/>
      </w:pPr>
      <w:r>
        <w:rPr>
          <w:rStyle w:val="FootnoteReference"/>
        </w:rPr>
        <w:t xml:space="preserve">*************    </w:t>
      </w:r>
      <w:r>
        <w:t xml:space="preserve"/>
      </w:r>
      <w:r>
        <w:t xml:space="preserve">Who does this sound like?</w:t>
      </w:r>
    </w:p>
    <w:p>
      <w:pPr>
        <w:pStyle w:val="FootnoteText"/>
      </w:pPr>
      <w:r>
        <w:rPr>
          <w:rStyle w:val="FootnoteReference"/>
        </w:rPr>
        <w:t xml:space="preserve">**************    </w:t>
      </w:r>
      <w:r>
        <w:t xml:space="preserve"/>
      </w:r>
      <w:r>
        <w:t xml:space="preserve">Anyone else remember who wrote the majority opinion in Semtek?</w:t>
      </w:r>
    </w:p>
    <w:p>
      <w:pPr>
        <w:pStyle w:val="FootnoteText"/>
      </w:pPr>
      <w:r>
        <w:rPr>
          <w:rStyle w:val="FootnoteReference"/>
        </w:rPr>
        <w:t xml:space="preserve">***************    </w:t>
      </w:r>
      <w:r>
        <w:t xml:space="preserve"/>
      </w:r>
      <w:r>
        <w:t xml:space="preserve">Please read note 8, below.</w:t>
      </w:r>
    </w:p>
    <w:p>
      <w:pPr>
        <w:pStyle w:val="FootnoteText"/>
      </w:pPr>
      <w:r>
        <w:rPr>
          <w:rStyle w:val="FootnoteReference"/>
        </w:rPr>
        <w:t xml:space="preserve">****************    </w:t>
      </w:r>
      <w:r>
        <w:t xml:space="preserve"/>
      </w:r>
      <w:r>
        <w:t xml:space="preserve">Please read note 9, below.</w:t>
      </w:r>
    </w:p>
    <w:p>
      <w:pPr>
        <w:pStyle w:val="FootnoteText"/>
      </w:pPr>
      <w:r>
        <w:rPr>
          <w:rStyle w:val="FootnoteReference"/>
        </w:rPr>
        <w:t xml:space="preserve">*****************    </w:t>
      </w:r>
      <w:r>
        <w:t xml:space="preserve"/>
      </w:r>
      <w:r>
        <w:t xml:space="preserve">"[I]it is emphatically the province and duty of the judiciary to say what the law is, not what it should be." Statement of Principles of The Federalist Society, see https://fedsoc.org/about-us</w:t>
      </w:r>
    </w:p>
    <w:p>
      <w:pPr>
        <w:pStyle w:val="FootnoteText"/>
      </w:pPr>
      <w:r>
        <w:rPr>
          <w:rStyle w:val="FootnoteReference"/>
        </w:rPr>
        <w:t xml:space="preserve">******************    </w:t>
      </w:r>
      <w:r>
        <w:t xml:space="preserve"/>
      </w:r>
      <w:r>
        <w:t xml:space="preserve">In a couple of paragraphs that require too much case law that I did not assign, Justice Stevens argues that the "really regulates procedure" language in Sibback was dictum.</w:t>
      </w:r>
    </w:p>
    <w:p>
      <w:pPr>
        <w:pStyle w:val="FootnoteText"/>
      </w:pPr>
      <w:r>
        <w:rPr>
          <w:rStyle w:val="FootnoteReference"/>
        </w:rPr>
        <w:t xml:space="preserve">*******************    </w:t>
      </w:r>
      <w:r>
        <w:t xml:space="preserve"/>
      </w:r>
      <w:r>
        <w:t xml:space="preserve">Please read note 18, below.</w:t>
      </w:r>
    </w:p>
    <w:p>
      <w:pPr>
        <w:pStyle w:val="FootnoteText"/>
      </w:pPr>
      <w:r>
        <w:rPr>
          <w:rStyle w:val="FootnoteReference"/>
        </w:rPr>
        <w:t xml:space="preserve">********************    </w:t>
      </w:r>
      <w:r>
        <w:t xml:space="preserve"/>
      </w:r>
      <w:r>
        <w:t xml:space="preserve">Dissent begins here.</w:t>
      </w:r>
    </w:p>
    <w:p>
      <w:pPr>
        <w:pStyle w:val="FootnoteText"/>
      </w:pPr>
      <w:r>
        <w:rPr>
          <w:rStyle w:val="FootnoteReference"/>
        </w:rPr>
        <w:t xml:space="preserve">*********************    </w:t>
      </w:r>
      <w:r>
        <w:t xml:space="preserve"/>
      </w:r>
      <w:r>
        <w:t xml:space="preserve">Please read note 2, below.</w:t>
      </w:r>
    </w:p>
    <w:p>
      <w:pPr>
        <w:pStyle w:val="FootnoteText"/>
      </w:pPr>
      <w:r>
        <w:rPr>
          <w:rStyle w:val="FootnoteReference"/>
        </w:rPr>
        <w:t xml:space="preserve">**********************    </w:t>
      </w:r>
      <w:r>
        <w:t xml:space="preserve"/>
      </w:r>
      <w:r>
        <w:t xml:space="preserve">Do you think that's what the NY law does? (Five members of the court, Stevens plus the Ginsburg four, seem to think that this is the right question.)</w:t>
      </w:r>
    </w:p>
    <w:p>
      <w:pPr>
        <w:pStyle w:val="FootnoteText"/>
      </w:pPr>
      <w:r>
        <w:rPr>
          <w:rStyle w:val="FootnoteReference"/>
        </w:rPr>
        <w:t xml:space="preserve">***********************    </w:t>
      </w:r>
      <w:r>
        <w:t xml:space="preserve"/>
      </w:r>
      <w:r>
        <w:t xml:space="preserve">I had to read this about five times before I understood what it was saying. (I don't mean that as a compliment.) My point: there isn't a lot of reading for today's class, so slow down! Read this a few times if you have to. (That doesn't mean you have to agree with it.)</w:t>
      </w:r>
    </w:p>
    <w:p>
      <w:pPr>
        <w:pStyle w:val="FootnoteText"/>
      </w:pPr>
      <w:r>
        <w:rPr>
          <w:rStyle w:val="FootnoteReference"/>
        </w:rPr>
        <w:t xml:space="preserve">************************    </w:t>
      </w:r>
      <w:r>
        <w:t xml:space="preserve"/>
      </w:r>
      <w:r>
        <w:t xml:space="preserve">Please read note 6, below.</w:t>
      </w:r>
    </w:p>
    <w:p>
      <w:pPr>
        <w:pStyle w:val="FootnoteText"/>
      </w:pPr>
      <w:r>
        <w:rPr>
          <w:rStyle w:val="FootnoteReference"/>
        </w:rPr>
        <w:t xml:space="preserve">*************************    </w:t>
      </w:r>
      <w:r>
        <w:t xml:space="preserve"/>
      </w:r>
      <w:r>
        <w:t xml:space="preserve">Please read note 8, below.</w:t>
      </w:r>
    </w:p>
    <w:p>
      <w:pPr>
        <w:pStyle w:val="FootnoteText"/>
      </w:pPr>
      <w:r>
        <w:rPr>
          <w:rStyle w:val="FootnoteReference"/>
        </w:rPr>
        <w:t xml:space="preserve">**************************    </w:t>
      </w:r>
      <w:r>
        <w:t xml:space="preserve"/>
      </w:r>
      <w:r>
        <w:t xml:space="preserve">Please read note 10, below.</w:t>
      </w:r>
    </w:p>
    <w:p>
      <w:pPr>
        <w:pStyle w:val="FootnoteText"/>
      </w:pPr>
      <w:r>
        <w:rPr>
          <w:rStyle w:val="FootnoteReference"/>
        </w:rPr>
        <w:t xml:space="preserve">***************************    </w:t>
      </w:r>
      <w:r>
        <w:t xml:space="preserve"/>
      </w:r>
      <w:r>
        <w:t xml:space="preserve">Please read note 13, below.</w:t>
      </w:r>
    </w:p>
    <w:p>
      <w:pPr>
        <w:pStyle w:val="FootnoteText"/>
      </w:pPr>
      <w:r>
        <w:rPr>
          <w:rStyle w:val="FootnoteReference"/>
        </w:rPr>
        <w:t xml:space="preserve">****************************    </w:t>
      </w:r>
      <w:r>
        <w:t xml:space="preserve"/>
      </w:r>
      <w:r>
        <w:t xml:space="preserve">Do you agree that the Court did not rewrite Rule 3 (or, if you prefer, Rule 4) in Walker?</w:t>
      </w:r>
    </w:p>
    <w:p>
      <w:pPr>
        <w:pStyle w:val="FootnoteText"/>
      </w:pPr>
      <w:r>
        <w:rPr>
          <w:rStyle w:val="FootnoteReference"/>
        </w:rPr>
        <w:t xml:space="preserve">*****************************    </w:t>
      </w:r>
      <w:r>
        <w:t xml:space="preserve"/>
      </w:r>
      <w:r>
        <w:t xml:space="preserve">Isn't this just the forum-shopping test from the Hanna majority? But the Hanna majority wouldn't have addressed forum-shopping until it first determined that a federal rule did not apply?</w:t>
      </w:r>
    </w:p>
    <w:p>
      <w:pPr>
        <w:pStyle w:val="NodeEnd"/>
      </w:pPr>
      <w:r>
        <w:t xml:space="preserve"> </w:t>
      </w:r>
    </w:p>
    <w:p>
      <w:pPr>
        <w:pStyle w:val="NodeStart"/>
      </w:pPr>
      <w:r>
        <w:t xml:space="preserve"> </w:t>
      </w:r>
    </w:p>
    <w:p>
      <w:pPr>
        <w:pStyle w:val="HeadSeparator"/>
      </w:pPr>
      <w:r>
        <w:t xml:space="preserve"> </w:t>
      </w:r>
    </w:p>
    <w:p>
      <w:pPr>
        <w:pStyle w:val="ChapterSpacer"/>
      </w:pPr>
      <w:r>
        <w:t xml:space="preserve"> </w:t>
      </w:r>
    </w:p>
  </w:footnote>
  <w:footnote w:id="260">
    <w:p>
      <w:pPr>
        <w:pStyle w:val="CaseFootnoteText"/>
      </w:pPr>
      <w:r>
        <w:rPr>
          <w:rStyle w:val="FootnoteReference"/>
        </w:rPr>
        <w:t xml:space="preserve">9  </w:t>
      </w:r>
      <w:r>
        <w:t xml:space="preserve">The plurality’s interpretation of the Enabling Act appears to mean that no matter how bound up a state provision is with the State’s own rights or remedies, any contrary federal rule that happens to regulate “the manner and the means by which the litigants’ rights are enforced,”</w:t>
      </w:r>
      <w:r>
        <w:t xml:space="preserve"> </w:t>
      </w:r>
      <w:r>
        <w:rPr>
          <w:rStyle w:val="Elision"/>
        </w:rPr>
        <w:t xml:space="preserve">[ … ]</w:t>
      </w:r>
      <w:r>
        <w:t xml:space="preserve"> </w:t>
      </w:r>
      <w:r>
        <w:t xml:space="preserve">must govern. There are many ways in which seemingly procedural rules may displace a State’s formulation of its substantive law. For example, statutes of limitations, although in some sense procedural rules, can also be understood as a temporal limitation on legally created rights; if this Court were to promulgate a federal limitations period, federal courts would still, in some instances, be required to apply state limitations periods. Similarly, if the federal rules altered the burden of proof in a case, this could eviscerate a critical aspect—albeit one that deals with</w:t>
      </w:r>
      <w:r>
        <w:t xml:space="preserve"> </w:t>
      </w:r>
      <w:r>
        <w:rPr>
          <w:iCs/>
          <w:i/>
        </w:rPr>
        <w:t xml:space="preserve">how</w:t>
      </w:r>
      <w:r>
        <w:t xml:space="preserve"> </w:t>
      </w:r>
      <w:r>
        <w:t xml:space="preserve">a right is enforced—of a State’s framework of rights and remedies. Or if a federal rule about appellate review displaced a state rule about how damages are reviewed on appeal, the federal rule might be pre-empting a state damages cap. Cf.</w:t>
      </w:r>
      <w:r>
        <w:t xml:space="preserve"> </w:t>
      </w:r>
      <w:r>
        <w:rPr>
          <w:iCs/>
          <w:i/>
        </w:rPr>
        <w:t xml:space="preserve">Gasperini,</w:t>
      </w:r>
      <w:r>
        <w:rPr>
          <w:rStyle w:val="Elision"/>
        </w:rPr>
        <w:t xml:space="preserve">[ … ]</w:t>
      </w:r>
    </w:p>
    <w:p>
      <w:pPr>
        <w:pStyle w:val="CaseFootnoteText"/>
      </w:pPr>
      <w:r>
        <w:t xml:space="preserve">Justice Scalia responds that some of these federal rules might be invalid under his view of the Enabling Act because they may not “really regulat[e] procedure.”</w:t>
      </w:r>
      <w:r>
        <w:t xml:space="preserve"/>
      </w:r>
      <w:r>
        <w:rPr>
          <w:rStyle w:val="Elision"/>
        </w:rPr>
        <w:t xml:space="preserve">[ … ]</w:t>
      </w:r>
      <w:r>
        <w:t xml:space="preserve">This response, of course, highlights how empty the plurality’s test really is.</w:t>
      </w:r>
      <w:r>
        <w:t xml:space="preserve"> </w:t>
      </w:r>
      <w:r>
        <w:rPr>
          <w:rStyle w:val="Elision"/>
        </w:rPr>
        <w:t xml:space="preserve">[ … ]</w:t>
      </w:r>
      <w:r>
        <w:t xml:space="preserve"> </w:t>
      </w:r>
      <w:r>
        <w:t xml:space="preserve"> </w:t>
      </w:r>
      <w:r>
        <w:t xml:space="preserve">The response is also limited to those rules that can be described as “regulatftng]” substance,</w:t>
      </w:r>
      <w:r>
        <w:t xml:space="preserve"> </w:t>
      </w:r>
      <w:r>
        <w:rPr>
          <w:rStyle w:val="Elision"/>
        </w:rPr>
        <w:t xml:space="preserve">[ … ]</w:t>
      </w:r>
      <w:r>
        <w:t xml:space="preserve">it does not address those federal rules that alter the right at issue in the litigation, see</w:t>
      </w:r>
      <w:r>
        <w:t xml:space="preserve"> </w:t>
      </w:r>
      <w:r>
        <w:rPr>
          <w:iCs/>
          <w:i/>
        </w:rPr>
        <w:t xml:space="preserve">Sibbach</w:t>
      </w:r>
      <w:r>
        <w:t xml:space="preserve"> </w:t>
      </w:r>
      <w:r>
        <w:t xml:space="preserve">v.</w:t>
      </w:r>
      <w:r>
        <w:t xml:space="preserve"> </w:t>
      </w:r>
      <w:r>
        <w:rPr>
          <w:iCs/>
          <w:i/>
        </w:rPr>
        <w:t xml:space="preserve">Wilson &amp; Co.,</w:t>
      </w:r>
      <w:r>
        <w:t xml:space="preserve"> </w:t>
      </w:r>
      <w:r>
        <w:rPr>
          <w:rStyle w:val="Elision"/>
        </w:rPr>
        <w:t xml:space="preserve">[ … ]</w:t>
      </w:r>
      <w:r>
        <w:t xml:space="preserve"> </w:t>
      </w:r>
      <w:r>
        <w:t xml:space="preserve">only when they displace particular state laws. Justice Scalia speculates that “Congress may well have accepted” the occasional alteration of substantive rights “as the price of a uniform system of federal procedure.”</w:t>
      </w:r>
      <w:r>
        <w:t xml:space="preserve"> </w:t>
      </w:r>
      <w:r>
        <w:rPr>
          <w:rStyle w:val="Elision"/>
        </w:rPr>
        <w:t xml:space="preserve">[ … ]</w:t>
      </w:r>
      <w:r>
        <w:t xml:space="preserve">Were we forced to speculate about the balance that Congress struck, I might very well agree. But no speculation is necessary because Congress explicitly told us that federal rules “shall not’’ alter “any” substantive right. § 2072(b).</w:t>
      </w:r>
    </w:p>
  </w:footnote>
</w:footnotes>
</file>

<file path=word/header_blank.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BodyText"/>
      <w:ind w:right="360" w:firstLine="360"/>
    </w:pPr>
    <w:r>
      <w:t/>
    </w:r>
  </w:p>
</w:hdr>
</file>

<file path=word/header_even.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framePr w:wrap="around"/>
    </w:pPr>
    <w:r>
      <w:fldChar w:fldCharType="begin"/>
    </w:r>
    <w:r>
      <w:instrText>STYLEREF "Chapter Number" </w:instrText>
    </w:r>
    <w:r>
      <w:fldChar w:fldCharType="separate"/>
    </w:r>
    <w:r w:rsidR="006019C2">
      <w:rPr>
        <w:noProof/>
      </w:rPr>
      <w:t>ChapterNumber</w:t>
    </w:r>
    <w:r>
      <w:rPr>
        <w:noProof/>
      </w:rPr>
      <w:fldChar w:fldCharType="end"/>
    </w:r>
    <w:r w:rsidR="00C81DA0">
      <w:t xml:space="preserve">: </w:t>
    </w:r>
    <w:r>
      <w:fldChar w:fldCharType="begin"/>
    </w:r>
    <w:r>
      <w:instrText>STYLEREF "Chapter Title"</w:instrText>
    </w:r>
    <w:r>
      <w:fldChar w:fldCharType="separate"/>
    </w:r>
    <w:r>
      <w:rPr>
        <w:noProof/>
      </w:rPr>
      <w:fldChar w:fldCharType="end"/>
    </w:r>
  </w:p>
  <w:p>
    <w:pPr>
      <w:pStyle w:val="HeaderPageNumber"/>
      <w:framePr w:wrap="around"/>
    </w:pPr>
    <w:r>
      <w:fldChar w:fldCharType="begin"/>
    </w:r>
    <w:r>
      <w:instrText>PAGE</w:instrText>
    </w:r>
    <w:r>
      <w:fldChar w:fldCharType="end"/>
    </w:r>
  </w:p>
</w:hdr>
</file>

<file path=word/header_front_matter_even.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framePr w:wrap="around"/>
    </w:pPr>
    <w:r>
      <w:fldChar w:fldCharType="begin"/>
    </w:r>
    <w:r>
      <w:t> </w:t>
    </w:r>
    <w:r>
      <w:fldChar w:fldCharType="separate"/>
    </w:r>
    <w:r w:rsidR="006019C2">
      <w:rPr>
        <w:noProof/>
      </w:rPr>
      <w:t> </w:t>
    </w:r>
    <w:r>
      <w:rPr>
        <w:noProof/>
      </w:rPr>
      <w:fldChar w:fldCharType="end"/>
    </w:r>
    <w:r>
      <w:fldChar w:fldCharType="begin"/>
    </w:r>
    <w:r>
      <w:t> </w:t>
    </w:r>
    <w:r>
      <w:fldChar w:fldCharType="separate"/>
    </w:r>
    <w:r>
      <w:rPr>
        <w:noProof/>
      </w:rPr>
      <w:fldChar w:fldCharType="end"/>
    </w:r>
  </w:p>
  <w:p>
    <w:pPr>
      <w:pStyle w:val="HeaderPageNumber"/>
      <w:framePr w:wrap="around"/>
    </w:pPr>
    <w:r>
      <w:fldChar w:fldCharType="begin"/>
    </w:r>
    <w:r>
      <w:instrText>PAGE</w:instrText>
    </w:r>
    <w:r>
      <w:fldChar w:fldCharType="end"/>
    </w:r>
  </w:p>
</w:hdr>
</file>

<file path=word/header_front_matter_odd.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framePr w:wrap="around"/>
    </w:pPr>
    <w:r>
      <w:fldChar w:fldCharType="begin"/>
    </w:r>
    <w:r>
      <w:t> </w:t>
    </w:r>
    <w:r>
      <w:fldChar w:fldCharType="separate"/>
    </w:r>
    <w:r>
      <w:rPr>
        <w:noProof/>
      </w:rPr>
      <w:fldChar w:fldCharType="end"/>
    </w:r>
  </w:p>
  <w:p>
    <w:pPr>
      <w:pStyle w:val="HeaderPageNumber"/>
      <w:framePr w:wrap="around"/>
    </w:pPr>
    <w:r>
      <w:fldChar w:fldCharType="begin"/>
    </w:r>
    <w:r>
      <w:instrText>PAGE</w:instrText>
    </w:r>
    <w:r>
      <w:fldChar w:fldCharType="end"/>
    </w:r>
  </w:p>
</w:hdr>
</file>

<file path=word/header_odd.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framePr w:wrap="around"/>
    </w:pPr>
    <w:r>
      <w:fldChar w:fldCharType="begin"/>
    </w:r>
    <w:r>
      <w:instrText>STYLEREF "Casebook Title"</w:instrText>
    </w:r>
    <w:r>
      <w:fldChar w:fldCharType="separate"/>
    </w:r>
    <w:r>
      <w:rPr>
        <w:noProof/>
      </w:rPr>
      <w:fldChar w:fldCharType="end"/>
    </w:r>
  </w:p>
  <w:p>
    <w:pPr>
      <w:pStyle w:val="HeaderPageNumber"/>
      <w:framePr w:wrap="around"/>
    </w:pPr>
    <w:r>
      <w:fldChar w:fldCharType="begin"/>
    </w:r>
    <w:r>
      <w:instrText>PAGE</w:instrText>
    </w:r>
    <w:r>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99203">
    <w:nsid w:val="A99203"/>
    <w:multiLevelType w:val="multilevel"/>
    <w:lvl w:ilvl="0">
      <w:start w:val="3"/>
      <w:numFmt w:val="decimal"/>
      <w:lvlText w:val="%1."/>
      <w:lvlJc w:val="left"/>
      <w:pPr>
        <w:ind w:left="720" w:hanging="480"/>
      </w:pPr>
    </w:lvl>
    <w:lvl w:ilvl="1">
      <w:start w:val="3"/>
      <w:numFmt w:val="lowerLetter"/>
      <w:lvlText w:val="%2."/>
      <w:lvlJc w:val="left"/>
      <w:pPr>
        <w:ind w:left="1440" w:hanging="480"/>
      </w:pPr>
    </w:lvl>
    <w:lvl w:ilvl="2">
      <w:start w:val="3"/>
      <w:numFmt w:val="lowerRoman"/>
      <w:lvlText w:val="%3."/>
      <w:lvlJc w:val="left"/>
      <w:pPr>
        <w:ind w:left="2160" w:hanging="480"/>
      </w:pPr>
    </w:lvl>
    <w:lvl w:ilvl="3">
      <w:start w:val="3"/>
      <w:numFmt w:val="decimal"/>
      <w:lvlText w:val="%4."/>
      <w:lvlJc w:val="left"/>
      <w:pPr>
        <w:ind w:left="2880" w:hanging="480"/>
      </w:pPr>
    </w:lvl>
    <w:lvl w:ilvl="4">
      <w:start w:val="3"/>
      <w:numFmt w:val="lowerLetter"/>
      <w:lvlText w:val="%5."/>
      <w:lvlJc w:val="left"/>
      <w:pPr>
        <w:ind w:left="3600" w:hanging="480"/>
      </w:pPr>
    </w:lvl>
    <w:lvl w:ilvl="5">
      <w:start w:val="3"/>
      <w:numFmt w:val="lowerRoman"/>
      <w:lvlText w:val="%6."/>
      <w:lvlJc w:val="left"/>
      <w:pPr>
        <w:ind w:left="4320" w:hanging="480"/>
      </w:pPr>
    </w:lvl>
    <w:lvl w:ilvl="6">
      <w:start w:val="3"/>
      <w:numFmt w:val="decimal"/>
      <w:lvlText w:val="%7."/>
      <w:lvlJc w:val="left"/>
      <w:pPr>
        <w:ind w:left="5040" w:hanging="480"/>
      </w:pPr>
    </w:lvl>
    <w:lvl w:ilvl="7">
      <w:start w:val="3"/>
      <w:numFmt w:val="lowerLetter"/>
      <w:lvlText w:val="%8."/>
      <w:lvlJc w:val="left"/>
      <w:pPr>
        <w:ind w:left="5760" w:hanging="480"/>
      </w:pPr>
    </w:lvl>
    <w:lvl w:ilvl="8">
      <w:start w:val="3"/>
      <w:numFmt w:val="lowerRoman"/>
      <w:lvlText w:val="%9."/>
      <w:lvlJc w:val="left"/>
      <w:pPr>
        <w:ind w:left="6480" w:hanging="480"/>
      </w:pPr>
    </w:lvl>
  </w:abstractNum>
  <w:abstractNum w:abstractNumId="99204">
    <w:nsid w:val="A99204"/>
    <w:multiLevelType w:val="multilevel"/>
    <w:lvl w:ilvl="0">
      <w:start w:val="4"/>
      <w:numFmt w:val="decimal"/>
      <w:lvlText w:val="%1."/>
      <w:lvlJc w:val="left"/>
      <w:pPr>
        <w:ind w:left="720" w:hanging="480"/>
      </w:pPr>
    </w:lvl>
    <w:lvl w:ilvl="1">
      <w:start w:val="4"/>
      <w:numFmt w:val="lowerLetter"/>
      <w:lvlText w:val="%2."/>
      <w:lvlJc w:val="left"/>
      <w:pPr>
        <w:ind w:left="1440" w:hanging="480"/>
      </w:pPr>
    </w:lvl>
    <w:lvl w:ilvl="2">
      <w:start w:val="4"/>
      <w:numFmt w:val="lowerRoman"/>
      <w:lvlText w:val="%3."/>
      <w:lvlJc w:val="left"/>
      <w:pPr>
        <w:ind w:left="2160" w:hanging="480"/>
      </w:pPr>
    </w:lvl>
    <w:lvl w:ilvl="3">
      <w:start w:val="4"/>
      <w:numFmt w:val="decimal"/>
      <w:lvlText w:val="%4."/>
      <w:lvlJc w:val="left"/>
      <w:pPr>
        <w:ind w:left="2880" w:hanging="480"/>
      </w:pPr>
    </w:lvl>
    <w:lvl w:ilvl="4">
      <w:start w:val="4"/>
      <w:numFmt w:val="lowerLetter"/>
      <w:lvlText w:val="%5."/>
      <w:lvlJc w:val="left"/>
      <w:pPr>
        <w:ind w:left="3600" w:hanging="480"/>
      </w:pPr>
    </w:lvl>
    <w:lvl w:ilvl="5">
      <w:start w:val="4"/>
      <w:numFmt w:val="lowerRoman"/>
      <w:lvlText w:val="%6."/>
      <w:lvlJc w:val="left"/>
      <w:pPr>
        <w:ind w:left="4320" w:hanging="480"/>
      </w:pPr>
    </w:lvl>
    <w:lvl w:ilvl="6">
      <w:start w:val="4"/>
      <w:numFmt w:val="decimal"/>
      <w:lvlText w:val="%7."/>
      <w:lvlJc w:val="left"/>
      <w:pPr>
        <w:ind w:left="5040" w:hanging="480"/>
      </w:pPr>
    </w:lvl>
    <w:lvl w:ilvl="7">
      <w:start w:val="4"/>
      <w:numFmt w:val="lowerLetter"/>
      <w:lvlText w:val="%8."/>
      <w:lvlJc w:val="left"/>
      <w:pPr>
        <w:ind w:left="5760" w:hanging="480"/>
      </w:pPr>
    </w:lvl>
    <w:lvl w:ilvl="8">
      <w:start w:val="4"/>
      <w:numFmt w:val="lowerRoman"/>
      <w:lvlText w:val="%9."/>
      <w:lvlJc w:val="left"/>
      <w:pPr>
        <w:ind w:left="6480" w:hanging="480"/>
      </w:pPr>
    </w:lvl>
  </w:abstractNum>
  <w:abstractNum w:abstractNumId="99205">
    <w:nsid w:val="A99205"/>
    <w:multiLevelType w:val="multilevel"/>
    <w:lvl w:ilvl="0">
      <w:start w:val="5"/>
      <w:numFmt w:val="decimal"/>
      <w:lvlText w:val="%1."/>
      <w:lvlJc w:val="left"/>
      <w:pPr>
        <w:ind w:left="720" w:hanging="480"/>
      </w:pPr>
    </w:lvl>
    <w:lvl w:ilvl="1">
      <w:start w:val="5"/>
      <w:numFmt w:val="lowerLetter"/>
      <w:lvlText w:val="%2."/>
      <w:lvlJc w:val="left"/>
      <w:pPr>
        <w:ind w:left="1440" w:hanging="480"/>
      </w:pPr>
    </w:lvl>
    <w:lvl w:ilvl="2">
      <w:start w:val="5"/>
      <w:numFmt w:val="lowerRoman"/>
      <w:lvlText w:val="%3."/>
      <w:lvlJc w:val="left"/>
      <w:pPr>
        <w:ind w:left="2160" w:hanging="480"/>
      </w:pPr>
    </w:lvl>
    <w:lvl w:ilvl="3">
      <w:start w:val="5"/>
      <w:numFmt w:val="decimal"/>
      <w:lvlText w:val="%4."/>
      <w:lvlJc w:val="left"/>
      <w:pPr>
        <w:ind w:left="2880" w:hanging="480"/>
      </w:pPr>
    </w:lvl>
    <w:lvl w:ilvl="4">
      <w:start w:val="5"/>
      <w:numFmt w:val="lowerLetter"/>
      <w:lvlText w:val="%5."/>
      <w:lvlJc w:val="left"/>
      <w:pPr>
        <w:ind w:left="3600" w:hanging="480"/>
      </w:pPr>
    </w:lvl>
    <w:lvl w:ilvl="5">
      <w:start w:val="5"/>
      <w:numFmt w:val="lowerRoman"/>
      <w:lvlText w:val="%6."/>
      <w:lvlJc w:val="left"/>
      <w:pPr>
        <w:ind w:left="4320" w:hanging="480"/>
      </w:pPr>
    </w:lvl>
    <w:lvl w:ilvl="6">
      <w:start w:val="5"/>
      <w:numFmt w:val="decimal"/>
      <w:lvlText w:val="%7."/>
      <w:lvlJc w:val="left"/>
      <w:pPr>
        <w:ind w:left="5040" w:hanging="480"/>
      </w:pPr>
    </w:lvl>
    <w:lvl w:ilvl="7">
      <w:start w:val="5"/>
      <w:numFmt w:val="lowerLetter"/>
      <w:lvlText w:val="%8."/>
      <w:lvlJc w:val="left"/>
      <w:pPr>
        <w:ind w:left="5760" w:hanging="480"/>
      </w:pPr>
    </w:lvl>
    <w:lvl w:ilvl="8">
      <w:start w:val="5"/>
      <w:numFmt w:val="lowerRoman"/>
      <w:lvlText w:val="%9."/>
      <w:lvlJc w:val="left"/>
      <w:pPr>
        <w:ind w:left="6480" w:hanging="480"/>
      </w:pPr>
    </w:lvl>
  </w:abstractNum>
  <w:abstractNum w:abstractNumId="99206">
    <w:nsid w:val="A99206"/>
    <w:multiLevelType w:val="multilevel"/>
    <w:lvl w:ilvl="0">
      <w:start w:val="6"/>
      <w:numFmt w:val="decimal"/>
      <w:lvlText w:val="%1."/>
      <w:lvlJc w:val="left"/>
      <w:pPr>
        <w:ind w:left="720" w:hanging="480"/>
      </w:pPr>
    </w:lvl>
    <w:lvl w:ilvl="1">
      <w:start w:val="6"/>
      <w:numFmt w:val="lowerLetter"/>
      <w:lvlText w:val="%2."/>
      <w:lvlJc w:val="left"/>
      <w:pPr>
        <w:ind w:left="1440" w:hanging="480"/>
      </w:pPr>
    </w:lvl>
    <w:lvl w:ilvl="2">
      <w:start w:val="6"/>
      <w:numFmt w:val="lowerRoman"/>
      <w:lvlText w:val="%3."/>
      <w:lvlJc w:val="left"/>
      <w:pPr>
        <w:ind w:left="2160" w:hanging="480"/>
      </w:pPr>
    </w:lvl>
    <w:lvl w:ilvl="3">
      <w:start w:val="6"/>
      <w:numFmt w:val="decimal"/>
      <w:lvlText w:val="%4."/>
      <w:lvlJc w:val="left"/>
      <w:pPr>
        <w:ind w:left="2880" w:hanging="480"/>
      </w:pPr>
    </w:lvl>
    <w:lvl w:ilvl="4">
      <w:start w:val="6"/>
      <w:numFmt w:val="lowerLetter"/>
      <w:lvlText w:val="%5."/>
      <w:lvlJc w:val="left"/>
      <w:pPr>
        <w:ind w:left="3600" w:hanging="480"/>
      </w:pPr>
    </w:lvl>
    <w:lvl w:ilvl="5">
      <w:start w:val="6"/>
      <w:numFmt w:val="lowerRoman"/>
      <w:lvlText w:val="%6."/>
      <w:lvlJc w:val="left"/>
      <w:pPr>
        <w:ind w:left="4320" w:hanging="480"/>
      </w:pPr>
    </w:lvl>
    <w:lvl w:ilvl="6">
      <w:start w:val="6"/>
      <w:numFmt w:val="decimal"/>
      <w:lvlText w:val="%7."/>
      <w:lvlJc w:val="left"/>
      <w:pPr>
        <w:ind w:left="5040" w:hanging="480"/>
      </w:pPr>
    </w:lvl>
    <w:lvl w:ilvl="7">
      <w:start w:val="6"/>
      <w:numFmt w:val="lowerLetter"/>
      <w:lvlText w:val="%8."/>
      <w:lvlJc w:val="left"/>
      <w:pPr>
        <w:ind w:left="5760" w:hanging="480"/>
      </w:pPr>
    </w:lvl>
    <w:lvl w:ilvl="8">
      <w:start w:val="6"/>
      <w:numFmt w:val="lowerRoman"/>
      <w:lvlText w:val="%9."/>
      <w:lvlJc w:val="left"/>
      <w:pPr>
        <w:ind w:left="6480" w:hanging="480"/>
      </w:pPr>
    </w:lvl>
  </w:abstractNum>
  <w:abstractNum w:abstractNumId="99207">
    <w:nsid w:val="A99207"/>
    <w:multiLevelType w:val="multilevel"/>
    <w:lvl w:ilvl="0">
      <w:start w:val="7"/>
      <w:numFmt w:val="decimal"/>
      <w:lvlText w:val="%1."/>
      <w:lvlJc w:val="left"/>
      <w:pPr>
        <w:ind w:left="720" w:hanging="480"/>
      </w:pPr>
    </w:lvl>
    <w:lvl w:ilvl="1">
      <w:start w:val="7"/>
      <w:numFmt w:val="lowerLetter"/>
      <w:lvlText w:val="%2."/>
      <w:lvlJc w:val="left"/>
      <w:pPr>
        <w:ind w:left="1440" w:hanging="480"/>
      </w:pPr>
    </w:lvl>
    <w:lvl w:ilvl="2">
      <w:start w:val="7"/>
      <w:numFmt w:val="lowerRoman"/>
      <w:lvlText w:val="%3."/>
      <w:lvlJc w:val="left"/>
      <w:pPr>
        <w:ind w:left="2160" w:hanging="480"/>
      </w:pPr>
    </w:lvl>
    <w:lvl w:ilvl="3">
      <w:start w:val="7"/>
      <w:numFmt w:val="decimal"/>
      <w:lvlText w:val="%4."/>
      <w:lvlJc w:val="left"/>
      <w:pPr>
        <w:ind w:left="2880" w:hanging="480"/>
      </w:pPr>
    </w:lvl>
    <w:lvl w:ilvl="4">
      <w:start w:val="7"/>
      <w:numFmt w:val="lowerLetter"/>
      <w:lvlText w:val="%5."/>
      <w:lvlJc w:val="left"/>
      <w:pPr>
        <w:ind w:left="3600" w:hanging="480"/>
      </w:pPr>
    </w:lvl>
    <w:lvl w:ilvl="5">
      <w:start w:val="7"/>
      <w:numFmt w:val="lowerRoman"/>
      <w:lvlText w:val="%6."/>
      <w:lvlJc w:val="left"/>
      <w:pPr>
        <w:ind w:left="4320" w:hanging="480"/>
      </w:pPr>
    </w:lvl>
    <w:lvl w:ilvl="6">
      <w:start w:val="7"/>
      <w:numFmt w:val="decimal"/>
      <w:lvlText w:val="%7."/>
      <w:lvlJc w:val="left"/>
      <w:pPr>
        <w:ind w:left="5040" w:hanging="480"/>
      </w:pPr>
    </w:lvl>
    <w:lvl w:ilvl="7">
      <w:start w:val="7"/>
      <w:numFmt w:val="lowerLetter"/>
      <w:lvlText w:val="%8."/>
      <w:lvlJc w:val="left"/>
      <w:pPr>
        <w:ind w:left="5760" w:hanging="480"/>
      </w:pPr>
    </w:lvl>
    <w:lvl w:ilvl="8">
      <w:start w:val="7"/>
      <w:numFmt w:val="lowerRoman"/>
      <w:lvlText w:val="%9."/>
      <w:lvlJc w:val="left"/>
      <w:pPr>
        <w:ind w:left="6480" w:hanging="480"/>
      </w:pPr>
    </w:lvl>
  </w:abstractNum>
  <w:abstractNum w:abstractNumId="99208">
    <w:nsid w:val="A99208"/>
    <w:multiLevelType w:val="multilevel"/>
    <w:lvl w:ilvl="0">
      <w:start w:val="8"/>
      <w:numFmt w:val="decimal"/>
      <w:lvlText w:val="%1."/>
      <w:lvlJc w:val="left"/>
      <w:pPr>
        <w:ind w:left="720" w:hanging="480"/>
      </w:pPr>
    </w:lvl>
    <w:lvl w:ilvl="1">
      <w:start w:val="8"/>
      <w:numFmt w:val="lowerLetter"/>
      <w:lvlText w:val="%2."/>
      <w:lvlJc w:val="left"/>
      <w:pPr>
        <w:ind w:left="1440" w:hanging="480"/>
      </w:pPr>
    </w:lvl>
    <w:lvl w:ilvl="2">
      <w:start w:val="8"/>
      <w:numFmt w:val="lowerRoman"/>
      <w:lvlText w:val="%3."/>
      <w:lvlJc w:val="left"/>
      <w:pPr>
        <w:ind w:left="2160" w:hanging="480"/>
      </w:pPr>
    </w:lvl>
    <w:lvl w:ilvl="3">
      <w:start w:val="8"/>
      <w:numFmt w:val="decimal"/>
      <w:lvlText w:val="%4."/>
      <w:lvlJc w:val="left"/>
      <w:pPr>
        <w:ind w:left="2880" w:hanging="480"/>
      </w:pPr>
    </w:lvl>
    <w:lvl w:ilvl="4">
      <w:start w:val="8"/>
      <w:numFmt w:val="lowerLetter"/>
      <w:lvlText w:val="%5."/>
      <w:lvlJc w:val="left"/>
      <w:pPr>
        <w:ind w:left="3600" w:hanging="480"/>
      </w:pPr>
    </w:lvl>
    <w:lvl w:ilvl="5">
      <w:start w:val="8"/>
      <w:numFmt w:val="lowerRoman"/>
      <w:lvlText w:val="%6."/>
      <w:lvlJc w:val="left"/>
      <w:pPr>
        <w:ind w:left="4320" w:hanging="480"/>
      </w:pPr>
    </w:lvl>
    <w:lvl w:ilvl="6">
      <w:start w:val="8"/>
      <w:numFmt w:val="decimal"/>
      <w:lvlText w:val="%7."/>
      <w:lvlJc w:val="left"/>
      <w:pPr>
        <w:ind w:left="5040" w:hanging="480"/>
      </w:pPr>
    </w:lvl>
    <w:lvl w:ilvl="7">
      <w:start w:val="8"/>
      <w:numFmt w:val="lowerLetter"/>
      <w:lvlText w:val="%8."/>
      <w:lvlJc w:val="left"/>
      <w:pPr>
        <w:ind w:left="5760" w:hanging="480"/>
      </w:pPr>
    </w:lvl>
    <w:lvl w:ilvl="8">
      <w:start w:val="8"/>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10">
    <w:nsid w:val="A992010"/>
    <w:multiLevelType w:val="multilevel"/>
    <w:lvl w:ilvl="0">
      <w:start w:val="10"/>
      <w:numFmt w:val="decimal"/>
      <w:lvlText w:val="%1."/>
      <w:lvlJc w:val="left"/>
      <w:pPr>
        <w:ind w:left="720" w:hanging="480"/>
      </w:pPr>
    </w:lvl>
    <w:lvl w:ilvl="1">
      <w:start w:val="10"/>
      <w:numFmt w:val="lowerLetter"/>
      <w:lvlText w:val="%2."/>
      <w:lvlJc w:val="left"/>
      <w:pPr>
        <w:ind w:left="1440" w:hanging="480"/>
      </w:pPr>
    </w:lvl>
    <w:lvl w:ilvl="2">
      <w:start w:val="10"/>
      <w:numFmt w:val="lowerRoman"/>
      <w:lvlText w:val="%3."/>
      <w:lvlJc w:val="left"/>
      <w:pPr>
        <w:ind w:left="2160" w:hanging="480"/>
      </w:pPr>
    </w:lvl>
    <w:lvl w:ilvl="3">
      <w:start w:val="10"/>
      <w:numFmt w:val="decimal"/>
      <w:lvlText w:val="%4."/>
      <w:lvlJc w:val="left"/>
      <w:pPr>
        <w:ind w:left="2880" w:hanging="480"/>
      </w:pPr>
    </w:lvl>
    <w:lvl w:ilvl="4">
      <w:start w:val="10"/>
      <w:numFmt w:val="lowerLetter"/>
      <w:lvlText w:val="%5."/>
      <w:lvlJc w:val="left"/>
      <w:pPr>
        <w:ind w:left="3600" w:hanging="480"/>
      </w:pPr>
    </w:lvl>
    <w:lvl w:ilvl="5">
      <w:start w:val="10"/>
      <w:numFmt w:val="lowerRoman"/>
      <w:lvlText w:val="%6."/>
      <w:lvlJc w:val="left"/>
      <w:pPr>
        <w:ind w:left="4320" w:hanging="480"/>
      </w:pPr>
    </w:lvl>
    <w:lvl w:ilvl="6">
      <w:start w:val="10"/>
      <w:numFmt w:val="decimal"/>
      <w:lvlText w:val="%7."/>
      <w:lvlJc w:val="left"/>
      <w:pPr>
        <w:ind w:left="5040" w:hanging="480"/>
      </w:pPr>
    </w:lvl>
    <w:lvl w:ilvl="7">
      <w:start w:val="10"/>
      <w:numFmt w:val="lowerLetter"/>
      <w:lvlText w:val="%8."/>
      <w:lvlJc w:val="left"/>
      <w:pPr>
        <w:ind w:left="5760" w:hanging="480"/>
      </w:pPr>
    </w:lvl>
    <w:lvl w:ilvl="8">
      <w:start w:val="10"/>
      <w:numFmt w:val="lowerRoman"/>
      <w:lvlText w:val="%9."/>
      <w:lvlJc w:val="left"/>
      <w:pPr>
        <w:ind w:left="6480" w:hanging="480"/>
      </w:pPr>
    </w:lvl>
  </w:abstractNum>
  <w:abstractNum w:abstractNumId="992011">
    <w:nsid w:val="A992011"/>
    <w:multiLevelType w:val="multilevel"/>
    <w:lvl w:ilvl="0">
      <w:start w:val="11"/>
      <w:numFmt w:val="decimal"/>
      <w:lvlText w:val="%1."/>
      <w:lvlJc w:val="left"/>
      <w:pPr>
        <w:ind w:left="720" w:hanging="480"/>
      </w:pPr>
    </w:lvl>
    <w:lvl w:ilvl="1">
      <w:start w:val="11"/>
      <w:numFmt w:val="lowerLetter"/>
      <w:lvlText w:val="%2."/>
      <w:lvlJc w:val="left"/>
      <w:pPr>
        <w:ind w:left="1440" w:hanging="480"/>
      </w:pPr>
    </w:lvl>
    <w:lvl w:ilvl="2">
      <w:start w:val="11"/>
      <w:numFmt w:val="lowerRoman"/>
      <w:lvlText w:val="%3."/>
      <w:lvlJc w:val="left"/>
      <w:pPr>
        <w:ind w:left="2160" w:hanging="480"/>
      </w:pPr>
    </w:lvl>
    <w:lvl w:ilvl="3">
      <w:start w:val="11"/>
      <w:numFmt w:val="decimal"/>
      <w:lvlText w:val="%4."/>
      <w:lvlJc w:val="left"/>
      <w:pPr>
        <w:ind w:left="2880" w:hanging="480"/>
      </w:pPr>
    </w:lvl>
    <w:lvl w:ilvl="4">
      <w:start w:val="11"/>
      <w:numFmt w:val="lowerLetter"/>
      <w:lvlText w:val="%5."/>
      <w:lvlJc w:val="left"/>
      <w:pPr>
        <w:ind w:left="3600" w:hanging="480"/>
      </w:pPr>
    </w:lvl>
    <w:lvl w:ilvl="5">
      <w:start w:val="11"/>
      <w:numFmt w:val="lowerRoman"/>
      <w:lvlText w:val="%6."/>
      <w:lvlJc w:val="left"/>
      <w:pPr>
        <w:ind w:left="4320" w:hanging="480"/>
      </w:pPr>
    </w:lvl>
    <w:lvl w:ilvl="6">
      <w:start w:val="11"/>
      <w:numFmt w:val="decimal"/>
      <w:lvlText w:val="%7."/>
      <w:lvlJc w:val="left"/>
      <w:pPr>
        <w:ind w:left="5040" w:hanging="480"/>
      </w:pPr>
    </w:lvl>
    <w:lvl w:ilvl="7">
      <w:start w:val="11"/>
      <w:numFmt w:val="lowerLetter"/>
      <w:lvlText w:val="%8."/>
      <w:lvlJc w:val="left"/>
      <w:pPr>
        <w:ind w:left="5760" w:hanging="480"/>
      </w:pPr>
    </w:lvl>
    <w:lvl w:ilvl="8">
      <w:start w:val="1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1">
    <w:abstractNumId w:val="992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2">
    <w:abstractNumId w:val="9920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3">
    <w:abstractNumId w:val="9920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4">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5">
    <w:abstractNumId w:val="9920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6">
    <w:abstractNumId w:val="9920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7">
    <w:abstractNumId w:val="991"/>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90"/>
  <w:embedSystemFonts/>
  <w:evenAndOddHeader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ucida Grande"/>
    <m:brkBin m:val="before"/>
    <m:brkBinSub m:val="--"/>
    <m:smallFrac m:val="false"/>
    <m:dispDef m:val="false"/>
    <m:lMargin m:val="0"/>
    <m:rMargin m:val="0"/>
    <m:wrapRight/>
    <m:intLim m:val="subSup"/>
    <m:naryLim m:val="subSup"/>
  </m:mathPr>
  <w:themeFontLang w:val="en-US"/>
  <w:decimalSymbol w:val="."/>
  <w:listSeparator w:val=","/>
  <w:mirrorMargins/>
</w:settings>
</file>

<file path=word/styles.xml><?xml version="1.0" encoding="utf-8"?>
<w:styles xmlns:r="http://schemas.openxmlformats.org/officeDocument/2006/relationships" xmlns:w="http://schemas.openxmlformats.org/wordprocessingml/2006/main">
  <w:docDefaults>
    <w:rPrDefault>
      <w:rPr>
        <w:rFonts w:ascii="Century Gothic" w:cs="Arial" w:eastAsia="Arial" w:hAnsi="Century Gothic"/>
        <w:lang w:bidi="ar-SA" w:eastAsia="en-US" w:val="en-US"/>
        <w:color w:val="000000"/>
        <w:spacing w:val="5"/>
        <w:sz w:val="18"/>
      </w:rPr>
    </w:rPrDefault>
    <w:pPrDefault/>
  </w:docDefaults>
  <w:style w:customStyle="1" w:styleId="TitleHeadnoteDefaultFontProperties" w:type="paragraph">
    <w:name w:val="Title Headnote Default Font Properties"/>
    <w:semiHidden/>
    <w:unhideWhenUsed/>
    <w:uiPriority w:val="99"/>
    <w:rPr>
      <w:rFonts w:ascii="Century Gothic" w:hAnsi="Century Gothic"/>
      <w:color w:val="000000"/>
      <w:spacing w:val="5"/>
      <w:sz w:val="18"/>
    </w:rPr>
  </w:style>
  <w:style w:customStyle="1" w:styleId="BodyCaseDefaultFontProperties" w:type="paragraph">
    <w:name w:val="Body Case Default Font Properties"/>
    <w:semiHidden/>
    <w:unhideWhenUsed/>
    <w:uiPriority w:val="99"/>
    <w:rPr>
      <w:rFonts w:ascii="Baskerville" w:hAnsi="Baskerville"/>
      <w:color w:themeColor="text1" w:val="000000"/>
      <w:spacing w:val="5"/>
      <w:sz w:val="18"/>
    </w:rPr>
  </w:style>
  <w:style w:customStyle="1" w:styleId="MonospaceDefaultFontProperties" w:type="paragraph">
    <w:name w:val="Monospace Default Font Properties"/>
    <w:semiHidden/>
    <w:unhideWhenUsed/>
    <w:semiHidden/>
    <w:uiPriority w:val="99"/>
    <w:rPr>
      <w:sz w:val="16"/>
      <w:rFonts w:ascii="Courier New" w:cs="Courier New" w:hAnsi="Courier New"/>
      <w:spacing w:val="5"/>
      <w:sz w:val="16"/>
    </w:rPr>
  </w:style>
  <w:style w:styleId="BodyTextLayout" w:type="paragraph">
    <w:name w:val="Body Text Layout"/>
    <w:basedOn w:val="BodyCaseDefaultFontProperties"/>
    <w:semiHidden/>
    <w:unhideWhenUsed/>
    <w:uiPriority w:val="99"/>
    <w:pPr>
      <w:spacing w:before="160" w:line="276" w:lineRule="auto"/>
      <w:ind w:right="2160"/>
    </w:pPr>
  </w:style>
  <w:style w:customStyle="1" w:styleId="HeadnoteTextLayout" w:type="paragraph">
    <w:name w:val="Headnote Text Layout"/>
    <w:uiPriority w:val="59"/>
    <w:basedOn w:val="TitleHeadnoteDefaultFontProperties"/>
    <w:semiHidden/>
    <w:unhideWhenUsed/>
    <w:uiPriority w:val="99"/>
    <w:pPr>
      <w:spacing w:before="160" w:line="276" w:lineRule="auto"/>
      <w:ind w:right="2880"/>
    </w:pPr>
  </w:style>
  <w:style w:customStyle="1" w:styleId="HeadnoteText" w:type="paragraph">
    <w:name w:val="Headnote Text"/>
    <w:uiPriority w:val="59"/>
    <w:basedOn w:val="HeadnoteTextLayout"/>
    <w:qFormat/>
    <w:uiPriority w:val="0"/>
  </w:style>
  <w:style w:customStyle="1" w:default="1" w:styleId="BodyText" w:type="paragraph">
    <w:name w:val="Body Text"/>
    <w:basedOn w:val="BodyTextLayout"/>
    <w:qFormat/>
    <w:uiPriority w:val="0"/>
  </w:style>
  <w:style w:customStyle="1" w:styleId="FirstParagraph" w:type="paragraph">
    <w:name w:val="First Paragraph"/>
    <w:basedOn w:val="BodyTextLayout"/>
    <w:semiHidden/>
    <w:unhideWhenUsed/>
    <w:uiPriority w:val="99"/>
  </w:style>
  <w:style w:styleId="Normal" w:type="paragraph">
    <w:name w:val="Normal"/>
    <w:basedOn w:val="BodyTextLayout"/>
    <w:semiHidden/>
    <w:unhideWhenUsed/>
    <w:uiPriority w:val="99"/>
  </w:style>
  <w:style w:customStyle="1" w:styleId="Compact" w:type="paragraph">
    <w:name w:val="Compact"/>
    <w:hidden/>
  </w:style>
  <w:style w:customStyle="1" w:styleId="CaseHeader" w:type="paragraph">
    <w:name w:val="Case Header"/>
    <w:basedOn w:val="CaseBody"/>
    <w:uiPriority w:val="8"/>
    <w:qFormat/>
    <w:pPr>
      <w:keepNext/>
      <w:keepLines/>
      <w:suppressAutoHyphens/>
      <w:contextualSpacing/>
      <w:jc w:val="center"/>
    </w:pPr>
    <w:rPr>
      <w:b w:val="0"/>
      <w:bCs w:val="0"/>
      <w:sz w:val="28"/>
    </w:rPr>
  </w:style>
  <w:style w:customStyle="1" w:styleId="CaseBody" w:type="paragraph">
    <w:name w:val="Case Body"/>
    <w:basedOn w:val="BodyText"/>
    <w:uiPriority w:val="8"/>
    <w:qFormat/>
  </w:style>
  <w:style w:styleId="Heading1" w:type="paragraph">
    <w:name w:val="heading 1"/>
    <w:basedOn w:val="HStruct05Title"/>
    <w:next w:val="BodyText"/>
    <w:uiPriority w:val="2"/>
    <w:qFormat/>
    <w:pPr>
      <w:spacing w:after="340" w:before="680"/>
      <w:outlineLvl w:val="0"/>
      <w:ind w:right="2880"/>
    </w:pPr>
    <w:rPr>
      <w:color w:val="000000"/>
      <w:kern w:val="24"/>
      <w:sz w:val="36"/>
    </w:rPr>
  </w:style>
  <w:style w:styleId="Heading2" w:type="paragraph">
    <w:name w:val="heading 2"/>
    <w:basedOn w:val="Heading1"/>
    <w:next w:val="BodyText"/>
    <w:uiPriority w:val="2"/>
    <w:qFormat/>
    <w:pPr>
      <w:spacing w:after="280" w:before="560"/>
      <w:outlineLvl w:val="1"/>
    </w:pPr>
    <w:rPr>
      <w:sz w:val="28"/>
    </w:rPr>
  </w:style>
  <w:style w:styleId="Heading3" w:type="paragraph">
    <w:name w:val="heading 3"/>
    <w:basedOn w:val="Heading2"/>
    <w:next w:val="BodyText"/>
    <w:uiPriority w:val="2"/>
    <w:qFormat/>
    <w:pPr>
      <w:spacing w:after="220" w:before="440"/>
      <w:outlineLvl w:val="2"/>
    </w:pPr>
    <w:rPr>
      <w:b w:val="0"/>
      <w:bCs w:val="0"/>
      <w:sz w:val="28"/>
    </w:rPr>
  </w:style>
  <w:style w:styleId="Heading4" w:type="paragraph">
    <w:name w:val="heading 4"/>
    <w:basedOn w:val="Heading3"/>
    <w:next w:val="BodyText"/>
    <w:uiPriority w:val="2"/>
    <w:qFormat/>
    <w:pPr>
      <w:spacing w:after="180" w:before="320"/>
      <w:outlineLvl w:val="3"/>
    </w:pPr>
    <w:rPr>
      <w:sz w:val="24"/>
    </w:rPr>
  </w:style>
  <w:style w:styleId="Heading5" w:type="paragraph">
    <w:name w:val="heading 5"/>
    <w:basedOn w:val="Heading4"/>
    <w:next w:val="BodyText"/>
    <w:uiPriority w:val="2"/>
    <w:qFormat/>
    <w:pPr>
      <w:spacing w:after="180" w:before="260"/>
      <w:outlineLvl w:val="4"/>
    </w:pPr>
    <w:rPr>
      <w:sz w:val="20"/>
    </w:rPr>
  </w:style>
  <w:style w:styleId="Heading6" w:type="paragraph">
    <w:name w:val="heading 6"/>
    <w:basedOn w:val="Heading5"/>
    <w:next w:val="BodyText"/>
    <w:uiPriority w:val="9"/>
    <w:unhideWhenUsed/>
    <w:uiPriority w:val="2"/>
    <w:qFormat/>
    <w:pPr>
      <w:outlineLvl w:val="5"/>
    </w:pPr>
    <w:rPr>
      <w:b w:val="0"/>
      <w:bCs w:val="0"/>
      <w:u/>
      <w:sz w:val="18"/>
    </w:rPr>
  </w:style>
  <w:style w:styleId="Heading7" w:type="paragraph">
    <w:name w:val="heading 7"/>
    <w:basedOn w:val="Heading6"/>
    <w:next w:val="BodyText"/>
    <w:uiPriority w:val="9"/>
    <w:unhideWhenUsed/>
    <w:uiPriority w:val="2"/>
    <w:qFormat/>
    <w:pPr>
      <w:outlineLvl w:val="6"/>
    </w:pPr>
    <w:rPr>
      <w:sz w:val="16"/>
    </w:rPr>
  </w:style>
  <w:style w:styleId="Heading8" w:type="paragraph">
    <w:name w:val="heading 8"/>
    <w:basedOn w:val="Heading7"/>
    <w:next w:val="BodyText"/>
    <w:uiPriority w:val="9"/>
    <w:unhideWhenUsed/>
    <w:uiPriority w:val="2"/>
    <w:qFormat/>
    <w:pPr>
      <w:outlineLvl w:val="7"/>
    </w:pPr>
    <w:rPr>
      <w:u/>
      <w:sz w:val="16"/>
    </w:rPr>
  </w:style>
  <w:style w:styleId="Heading9" w:type="paragraph">
    <w:name w:val="heading 9"/>
    <w:basedOn w:val="Heading8"/>
    <w:next w:val="BodyText"/>
    <w:uiPriority w:val="9"/>
    <w:unhideWhenUsed/>
    <w:uiPriority w:val="2"/>
    <w:qFormat/>
    <w:pPr>
      <w:outlineLvl w:val="8"/>
    </w:pPr>
    <w:rPr>
      <w:u/>
      <w:sz w:val="12"/>
    </w:rPr>
  </w:style>
  <w:style w:customStyle="1" w:styleId="Subheading1" w:type="paragraph">
    <w:name w:val="Subheading 1"/>
    <w:basedOn w:val="Heading1"/>
    <w:next w:val="BodyText"/>
    <w:uiPriority w:val="3"/>
    <w:qFormat/>
    <w:pPr>
      <w:spacing w:before="0"/>
      <w:spacing w:after="180" w:before="320"/>
      <w:outlineLvl w:val="2"/>
    </w:pPr>
    <w:rPr>
      <w:b w:val="0"/>
      <w:bCs w:val="0"/>
      <w:i/>
      <w:iCs/>
      <w:color w:val="5A771D"/>
    </w:rPr>
  </w:style>
  <w:style w:customStyle="1" w:styleId="Subheading2" w:type="paragraph">
    <w:name w:val="Subheading 2"/>
    <w:basedOn w:val="Heading2"/>
    <w:next w:val="BodyText"/>
    <w:uiPriority w:val="3"/>
    <w:qFormat/>
    <w:rPr>
      <w:b w:val="0"/>
      <w:bCs w:val="0"/>
      <w:i/>
      <w:iCs/>
      <w:color w:val="5A771D"/>
      <w:u w:val="none"/>
    </w:rPr>
  </w:style>
  <w:style w:customStyle="1" w:styleId="Subheading3" w:type="paragraph">
    <w:name w:val="Subheading 3"/>
    <w:basedOn w:val="Heading3"/>
    <w:next w:val="BodyText"/>
    <w:uiPriority w:val="3"/>
    <w:qFormat/>
    <w:rPr>
      <w:b w:val="0"/>
      <w:bCs w:val="0"/>
      <w:i/>
      <w:iCs/>
      <w:color w:val="5A771D"/>
      <w:u w:val="none"/>
    </w:rPr>
  </w:style>
  <w:style w:customStyle="1" w:styleId="Subheading4" w:type="paragraph">
    <w:name w:val="Subheading 4"/>
    <w:basedOn w:val="Heading4"/>
    <w:next w:val="BodyText"/>
    <w:uiPriority w:val="3"/>
    <w:qFormat/>
    <w:rPr>
      <w:b w:val="0"/>
      <w:bCs w:val="0"/>
      <w:i/>
      <w:iCs/>
      <w:color w:val="5A771D"/>
      <w:u w:val="none"/>
    </w:rPr>
  </w:style>
  <w:style w:customStyle="1" w:styleId="Subheading5" w:type="paragraph">
    <w:name w:val="Subheading 5"/>
    <w:basedOn w:val="Heading5"/>
    <w:next w:val="BodyText"/>
    <w:uiPriority w:val="3"/>
    <w:qFormat/>
    <w:rPr>
      <w:b w:val="0"/>
      <w:bCs w:val="0"/>
      <w:i/>
      <w:iCs/>
      <w:color w:val="5A771D"/>
      <w:u w:val="none"/>
    </w:rPr>
  </w:style>
  <w:style w:customStyle="1" w:styleId="Subheading6" w:type="paragraph">
    <w:name w:val="Subheading 6"/>
    <w:basedOn w:val="Heading6"/>
    <w:next w:val="BodyText"/>
    <w:uiPriority w:val="3"/>
    <w:qFormat/>
    <w:rPr>
      <w:b w:val="0"/>
      <w:bCs w:val="0"/>
      <w:i/>
      <w:iCs/>
      <w:color w:val="5A771D"/>
      <w:u w:val="none"/>
    </w:rPr>
  </w:style>
  <w:style w:customStyle="1" w:styleId="Subheading7" w:type="paragraph">
    <w:name w:val="Subheading 7"/>
    <w:basedOn w:val="Heading7"/>
    <w:next w:val="BodyText"/>
    <w:uiPriority w:val="3"/>
    <w:qFormat/>
    <w:rPr>
      <w:b w:val="0"/>
      <w:bCs w:val="0"/>
      <w:i/>
      <w:iCs/>
      <w:color w:val="5A771D"/>
      <w:u w:val="none"/>
    </w:rPr>
  </w:style>
  <w:style w:customStyle="1" w:styleId="Subheading8" w:type="paragraph">
    <w:name w:val="Subheading 8"/>
    <w:basedOn w:val="Heading8"/>
    <w:next w:val="BodyText"/>
    <w:uiPriority w:val="3"/>
    <w:qFormat/>
    <w:rPr>
      <w:b w:val="0"/>
      <w:bCs w:val="0"/>
      <w:i/>
      <w:iCs/>
      <w:color w:val="5A771D"/>
      <w:u w:val="none"/>
    </w:rPr>
  </w:style>
  <w:style w:customStyle="1" w:styleId="Subheading9" w:type="paragraph">
    <w:name w:val="Subheading 9"/>
    <w:basedOn w:val="Heading9"/>
    <w:next w:val="BodyText"/>
    <w:uiPriority w:val="3"/>
    <w:qFormat/>
    <w:rPr>
      <w:b w:val="0"/>
      <w:bCs w:val="0"/>
      <w:i/>
      <w:iCs/>
      <w:color w:val="5A771D"/>
      <w:u w:val="none"/>
    </w:rPr>
  </w:style>
  <w:style w:customStyle="1" w:styleId="HStructTitleBase" w:type="paragraph">
    <w:name w:val="H Struct Title Base"/>
    <w:basedOn w:val="TitleHeadnoteDefaultFontProperties"/>
    <w:uiPriority w:val="99"/>
    <w:semiHidden/>
    <w:pPr>
      <w:spacing w:after="240" w:line="204" w:lineRule="auto"/>
    </w:pPr>
    <w:rPr>
      <w:b/>
      <w:bCs/>
      <w:color w:val="1B418C"/>
      <w:kern w:val="24"/>
    </w:rPr>
  </w:style>
  <w:style w:customStyle="1" w:styleId="HStruct01Title" w:type="paragraph">
    <w:name w:val="H Struct 01 Title"/>
    <w:basedOn w:val="HStructTitleBase"/>
    <w:next w:val="HStruct01Subtitle"/>
    <w:uiPriority w:val="99"/>
    <w:semiHidden/>
    <w:rPr>
      <w:spacing w:val="-6"/>
      <w:sz w:val="72"/>
    </w:rPr>
  </w:style>
  <w:style w:customStyle="1" w:styleId="HStruct02Title" w:type="paragraph">
    <w:name w:val="H Struct 02 Title"/>
    <w:basedOn w:val="HStructTitleBase"/>
    <w:uiPriority w:val="59"/>
    <w:semiHidden/>
    <w:rPr>
      <w:spacing w:val="-5"/>
      <w:sz w:val="52"/>
    </w:rPr>
  </w:style>
  <w:style w:customStyle="1" w:styleId="HStruct03Title" w:type="paragraph">
    <w:name w:val="H Struct 03 Title"/>
    <w:basedOn w:val="HStructTitleBase"/>
    <w:uiPriority w:val="59"/>
    <w:semiHidden/>
    <w:rPr>
      <w:sz w:val="44"/>
    </w:rPr>
  </w:style>
  <w:style w:customStyle="1" w:styleId="HStruct04Title" w:type="paragraph">
    <w:name w:val="H Struct 04 Title"/>
    <w:basedOn w:val="HStructTitleBase"/>
    <w:uiPriority w:val="99"/>
    <w:semiHidden/>
    <w:rPr>
      <w:sz w:val="36"/>
    </w:rPr>
  </w:style>
  <w:style w:customStyle="1" w:styleId="HStruct05Title" w:type="paragraph">
    <w:name w:val="H Struct 05 Title"/>
    <w:basedOn w:val="HStructTitleBase"/>
    <w:uiPriority w:val="59"/>
    <w:semiHidden/>
    <w:rPr>
      <w:sz w:val="28"/>
    </w:rPr>
  </w:style>
  <w:style w:customStyle="1" w:styleId="HStructSubtitleBase" w:type="paragraph">
    <w:name w:val="H Struct Subtitle Base"/>
    <w:basedOn w:val="HStructTitleBase"/>
    <w:uiPriority w:val="59"/>
    <w:semiHidden/>
    <w:rPr>
      <w:b w:val="0"/>
      <w:bCs w:val="0"/>
      <w:color w:val="5A771D"/>
    </w:rPr>
  </w:style>
  <w:style w:customStyle="1" w:styleId="HStruct01Subtitle" w:type="paragraph">
    <w:name w:val="H Struct 01 Subtitle"/>
    <w:basedOn w:val="HStructSubtitleBase"/>
    <w:uiPriority w:val="59"/>
    <w:semiHidden/>
    <w:rPr>
      <w:sz w:val="36"/>
    </w:rPr>
  </w:style>
  <w:style w:customStyle="1" w:styleId="HStruct02Subtitle" w:type="paragraph">
    <w:name w:val="H Struct 02 Subtitle"/>
    <w:basedOn w:val="HStructSubtitleBase"/>
    <w:uiPriority w:val="59"/>
    <w:semiHidden/>
    <w:rPr>
      <w:sz w:val="26"/>
    </w:rPr>
  </w:style>
  <w:style w:customStyle="1" w:styleId="HStruct03Subtitle" w:type="paragraph">
    <w:name w:val="H Struct 03 Subtitle"/>
    <w:basedOn w:val="HStructSubtitleBase"/>
    <w:uiPriority w:val="59"/>
    <w:semiHidden/>
    <w:rPr>
      <w:sz w:val="24"/>
    </w:rPr>
  </w:style>
  <w:style w:customStyle="1" w:styleId="HStruct04Subtitle" w:type="paragraph">
    <w:name w:val="H Struct 04 Subtitle"/>
    <w:basedOn w:val="HStructSubtitleBase"/>
    <w:uiPriority w:val="59"/>
    <w:semiHidden/>
    <w:rPr>
      <w:sz w:val="22"/>
    </w:rPr>
  </w:style>
  <w:style w:customStyle="1" w:styleId="HStruct05Subtitle" w:type="paragraph">
    <w:name w:val="H Struct 05 Subtitle"/>
    <w:basedOn w:val="HStructSubtitleBase"/>
    <w:uiPriority w:val="59"/>
    <w:semiHidden/>
    <w:rPr>
      <w:sz w:val="20"/>
    </w:rPr>
  </w:style>
  <w:style w:customStyle="1" w:styleId="PostHeadlineShortBlurb" w:type="paragraph">
    <w:name w:val="Post Headline Short Blurb"/>
    <w:uiPriority w:val="59"/>
    <w:basedOn w:val="HeadnoteTextLayout"/>
    <w:semiHidden/>
    <w:pPr>
      <w:spacing w:line="276" w:lineRule="auto"/>
    </w:pPr>
    <w:rPr>
      <w:sz w:val="28"/>
    </w:rPr>
  </w:style>
  <w:style w:customStyle="1" w:styleId="HeadnoteTableText" w:type="paragraph">
    <w:name w:val="Headnote Table Text"/>
    <w:basedOn w:val="TitleHeadnoteDefaultFontProperties"/>
    <w:uiPriority w:val="40"/>
    <w:qFormat/>
  </w:style>
  <w:style w:customStyle="1" w:styleId="TableText" w:type="paragraph">
    <w:name w:val="Table Text"/>
    <w:basedOn w:val="BodyCaseDefaultFontProperties"/>
    <w:uiPriority w:val="40"/>
    <w:qFormat/>
  </w:style>
  <w:style w:customStyle="1" w:styleId="CasebookTitle" w:type="paragraph">
    <w:name w:val="Casebook Title"/>
    <w:basedOn w:val="HStruct01Title"/>
    <w:next w:val="CasebookSubtitle"/>
    <w:uiPriority w:val="40"/>
    <w:qFormat/>
    <w:pPr>
      <w:spacing w:before="2880"/>
      <w:jc w:val="right"/>
    </w:pPr>
  </w:style>
  <w:style w:customStyle="1" w:styleId="CasebookSubtitle" w:type="paragraph">
    <w:name w:val="Casebook Subtitle"/>
    <w:basedOn w:val="HStruct01Subtitle"/>
    <w:uiPriority w:val="40"/>
    <w:qFormat/>
    <w:pPr>
      <w:spacing w:after="0" w:before="480"/>
      <w:ind w:left="2880"/>
    </w:pPr>
  </w:style>
  <w:style w:customStyle="1" w:styleId="CasebookHeadnoteTitle" w:type="paragraph">
    <w:name w:val="Casebook Headnote Title"/>
    <w:basedOn w:val="HStruct02Title"/>
    <w:uiPriority w:val="40"/>
    <w:qFormat/>
    <w:pPr>
      <w:pageBreakBefore/>
    </w:pPr>
  </w:style>
  <w:style w:customStyle="1" w:styleId="CasebookHeadnote" w:type="paragraph">
    <w:name w:val="Casebook Headnote"/>
    <w:basedOn w:val="HeadnoteTextLayout"/>
    <w:uiPriority w:val="40"/>
    <w:qFormat/>
  </w:style>
  <w:style w:customStyle="1" w:styleId="CasebookBlurb" w:type="paragraph">
    <w:name w:val="Casebook Blurb"/>
    <w:basedOn w:val="PostHeadlineShortBlurb"/>
    <w:uiPriority w:val="40"/>
    <w:qFormat/>
    <w:pPr>
      <w:spacing w:after="0" w:before="2540"/>
    </w:pPr>
  </w:style>
  <w:style w:customStyle="1" w:styleId="CasebookAuthor" w:type="paragraph">
    <w:name w:val="Casebook Author"/>
    <w:basedOn w:val="HStruct04Title"/>
    <w:uiPriority w:val="40"/>
    <w:qFormat/>
    <w:pPr>
      <w:jc w:val="right"/>
    </w:pPr>
    <w:rPr>
      <w:color w:val="D96955"/>
    </w:rPr>
  </w:style>
  <w:style w:customStyle="1" w:styleId="AboutPageTitle" w:type="paragraph">
    <w:name w:val="About Page Title"/>
    <w:basedOn w:val="HStruct04Title"/>
    <w:uiPriority w:val="50"/>
    <w:pPr>
      <w:color w:val="5A771D"/>
      <w:pageBreakBefore/>
      <w:spacing w:before="1920"/>
      <w:ind w:right="2160"/>
    </w:pPr>
  </w:style>
  <w:style w:customStyle="1" w:styleId="AboutPageInstructions" w:type="paragraph">
    <w:name w:val="About Page Instructions"/>
    <w:basedOn w:val="HeadnoteTextLayout"/>
    <w:uiPriority w:val="50"/>
    <w:pPr>
      <w:spacing w:after="240" w:before="240" w:line="300" w:lineRule="auto"/>
      <w:ind w:right="2160"/>
    </w:pPr>
  </w:style>
  <w:style w:customStyle="1" w:styleId="AcknowledgementsTitle" w:type="paragraph">
    <w:name w:val="Acknowledgements Title"/>
    <w:basedOn w:val="HStruct02Title"/>
    <w:uiPriority w:val="50"/>
    <w:pPr>
      <w:color w:val="8C3829"/>
      <w:pageBreakBefore/>
    </w:pPr>
  </w:style>
  <w:style w:customStyle="1" w:styleId="AcknowledgementsSubtitle" w:type="paragraph">
    <w:name w:val="Acknowledgements Subtitle"/>
    <w:basedOn w:val="HStruct05Subtitle"/>
    <w:next w:val="Credits"/>
    <w:uiPriority w:val="50"/>
    <w:pPr>
      <w:spacing w:after="480"/>
    </w:pPr>
    <w:rPr>
      <w:sz w:val="36"/>
    </w:rPr>
  </w:style>
  <w:style w:customStyle="1" w:styleId="Credits" w:type="paragraph">
    <w:uiPriority w:val="20"/>
    <w:name w:val="Credits"/>
    <w:basedOn w:val="TitleHeadnoteDefaultFontProperties"/>
    <w:qFormat/>
  </w:style>
  <w:style w:styleId="Title" w:type="paragraph">
    <w:name w:val="Title"/>
    <w:basedOn w:val="HStruct01Title"/>
    <w:uiPriority w:val="99"/>
    <w:next w:val="BodyText"/>
    <w:semiHidden/>
    <w:unhideWhenUsed/>
  </w:style>
  <w:style w:styleId="Subtitle" w:type="paragraph">
    <w:name w:val="Subtitle"/>
    <w:basedOn w:val="HStruct01Subtitle"/>
    <w:uiPriority w:val="99"/>
    <w:next w:val="BodyText"/>
    <w:semiHidden/>
    <w:unhideWhenUsed/>
  </w:style>
  <w:style w:customStyle="1" w:styleId="Author" w:type="paragraph">
    <w:name w:val="Author"/>
    <w:basedOn w:val="TitleHeadnoteDefaultFontProperties"/>
    <w:uiPriority w:val="99"/>
    <w:semiHidden/>
    <w:unhideWhenUsed/>
  </w:style>
  <w:style w:styleId="Date" w:type="paragraph">
    <w:name w:val="Date"/>
    <w:basedOn w:val="TitleHeadnoteDefaultFontProperties"/>
    <w:uiPriority w:val="99"/>
    <w:semiHidden/>
    <w:unhideWhenUsed/>
  </w:style>
  <w:style w:styleId="TOCHeading" w:type="paragraph">
    <w:name w:val="TOC Heading"/>
    <w:basedOn w:val="HStruct02Title"/>
    <w:next w:val="BodyText"/>
    <w:uiPriority w:val="39"/>
    <w:qFormat/>
    <w:pPr>
      <w:pageBreakBefore/>
    </w:pPr>
  </w:style>
  <w:style w:styleId="TOC1" w:type="paragraph">
    <w:name w:val="toc 1"/>
    <w:basedOn w:val="TitleHeadnoteDefaultFontProperties"/>
    <w:uiPriority w:val="39"/>
    <w:semiHidden/>
    <w:unhideWhenUsed/>
    <w:pPr>
      <w:tabs>
        <w:tab w:pos="720" w:val="left"/>
        <w:tab w:pos="7200" w:val="right"/>
      </w:tabs>
      <w:spacing w:before="480" w:line="192" w:lineRule="auto"/>
      <w:ind w:hanging="720" w:left="720" w:right="2160"/>
    </w:pPr>
    <w:rPr>
      <w:bCs/>
      <w:noProof/>
      <w:spacing w:val="-7"/>
      <w:sz w:val="28"/>
    </w:rPr>
  </w:style>
  <w:style w:styleId="TOC2" w:type="paragraph">
    <w:name w:val="toc 2"/>
    <w:basedOn w:val="TOC1"/>
    <w:uiPriority w:val="39"/>
    <w:semiHidden/>
    <w:unhideWhenUsed/>
    <w:pPr>
      <w:tabs>
        <w:tab w:pos="720" w:val="clear"/>
        <w:tab w:pos="1080" w:val="left"/>
        <w:tab w:leader="dot" w:pos="7200" w:val="right"/>
      </w:tabs>
      <w:spacing w:after="0" w:before="240" w:line="252" w:lineRule="auto"/>
      <w:ind w:hanging="1080" w:left="1080"/>
    </w:pPr>
    <w:rPr>
      <w:bCs w:val="0"/>
      <w:sz w:val="22"/>
    </w:rPr>
  </w:style>
  <w:style w:styleId="TOC3" w:type="paragraph">
    <w:name w:val="toc 3"/>
    <w:basedOn w:val="TOC1"/>
    <w:uiPriority w:val="39"/>
    <w:semiHidden/>
    <w:unhideWhenUsed/>
    <w:pPr>
      <w:tabs>
        <w:tab w:pos="720" w:val="clear"/>
        <w:tab w:pos="1440" w:val="left"/>
        <w:tab w:leader="dot" w:pos="7200" w:val="right"/>
      </w:tabs>
      <w:spacing w:after="60" w:before="120" w:line="240" w:lineRule="auto"/>
      <w:ind w:hanging="1440" w:left="1440"/>
    </w:pPr>
    <w:rPr>
      <w:bCs w:val="0"/>
      <w:spacing w:val="0"/>
      <w:sz w:val="18"/>
    </w:rPr>
  </w:style>
  <w:style w:styleId="TOC4" w:type="paragraph">
    <w:name w:val="toc 4"/>
    <w:basedOn w:val="TOC3"/>
    <w:uiPriority w:val="39"/>
    <w:semiHidden/>
    <w:unhideWhenUsed/>
    <w:pPr>
      <w:tabs>
        <w:tab w:pos="1440" w:val="clear"/>
        <w:tab w:pos="1620" w:val="left"/>
        <w:tab w:leader="dot" w:pos="7200" w:val="right"/>
      </w:tabs>
      <w:ind w:hanging="1620" w:left="1620"/>
    </w:pPr>
  </w:style>
  <w:style w:styleId="TOC5" w:type="paragraph">
    <w:name w:val="toc 5"/>
    <w:basedOn w:val="TOC4"/>
    <w:uiPriority w:val="39"/>
    <w:semiHidden/>
    <w:unhideWhenUsed/>
    <w:pPr>
      <w:tabs>
        <w:tab w:pos="1620" w:val="clear"/>
        <w:tab w:pos="1800" w:val="left"/>
        <w:tab w:leader="dot" w:pos="7200" w:val="right"/>
      </w:tabs>
    </w:pPr>
    <w:ind w:hanging="1800" w:left="1800"/>
  </w:style>
  <w:style w:styleId="TOC6" w:type="paragraph">
    <w:name w:val="toc 6"/>
    <w:basedOn w:val="TOC5"/>
    <w:uiPriority w:val="39"/>
    <w:semiHidden/>
    <w:unhideWhenUsed/>
    <w:pPr>
      <w:tabs>
        <w:tab w:pos="1800" w:val="clear"/>
        <w:tab w:pos="1980" w:val="left"/>
        <w:tab w:leader="dot" w:pos="7200" w:val="right"/>
      </w:tabs>
      <w:ind w:hanging="1980" w:left="1980"/>
    </w:pPr>
  </w:style>
  <w:style w:styleId="TOC7" w:type="paragraph">
    <w:name w:val="toc 7"/>
    <w:basedOn w:val="TOC6"/>
    <w:uiPriority w:val="39"/>
    <w:semiHidden/>
    <w:unhideWhenUsed/>
    <w:pPr>
      <w:tabs>
        <w:tab w:pos="1980" w:val="clear"/>
        <w:tab w:pos="2160" w:val="left"/>
        <w:tab w:leader="dot" w:pos="7200" w:val="right"/>
      </w:tabs>
      <w:ind w:hanging="2160" w:left="2160"/>
    </w:pPr>
  </w:style>
  <w:style w:styleId="TOC8" w:type="paragraph">
    <w:name w:val="toc 8"/>
    <w:basedOn w:val="TOC7"/>
    <w:uiPriority w:val="39"/>
    <w:semiHidden/>
    <w:unhideWhenUsed/>
    <w:pPr>
      <w:tabs>
        <w:tab w:pos="2160" w:val="clear"/>
        <w:tab w:pos="2340" w:val="left"/>
        <w:tab w:leader="dot" w:pos="7200" w:val="right"/>
      </w:tabs>
      <w:ind w:hanging="2340" w:left="2340"/>
    </w:pPr>
  </w:style>
  <w:style w:styleId="TOC9" w:type="paragraph">
    <w:name w:val="toc 9"/>
    <w:basedOn w:val="TOC8"/>
    <w:uiPriority w:val="39"/>
    <w:semiHidden/>
    <w:unhideWhenUsed/>
    <w:pPr>
      <w:tabs>
        <w:tab w:pos="2340" w:val="clear"/>
        <w:tab w:pos="2520" w:val="left"/>
        <w:tab w:leader="dot" w:pos="7200" w:val="right"/>
      </w:tabs>
      <w:ind w:hanging="2520" w:left="2520"/>
    </w:pPr>
  </w:style>
  <w:style w:customStyle="1" w:styleId="Abstract" w:type="paragraph">
    <w:name w:val="Abstract"/>
    <w:basedOn w:val="BodyTextLayout"/>
    <w:semiHidden/>
    <w:unhideWhenUsed/>
    <w:pPr>
      <w:keepLines/>
    </w:pPr>
  </w:style>
  <w:style w:styleId="Bibliography" w:type="paragraph">
    <w:name w:val="Bibliography"/>
    <w:basedOn w:val="HeadnoteTextLayout"/>
    <w:semiHidden/>
    <w:unhideWhenUsed/>
  </w:style>
  <w:style w:styleId="Quote" w:type="paragraph">
    <w:name w:val="Quote"/>
    <w:basedOn w:val="BodyTextLayout"/>
    <w:semiHidden/>
    <w:unhideWhenUsed/>
    <w:pPr>
      <w:spacing w:after="200" w:before="200"/>
      <w:ind w:left="360"/>
    </w:pPr>
    <w:rPr>
      <w:i/>
      <w:iCs/>
    </w:rPr>
  </w:style>
  <w:style w:styleId="BlockText" w:type="paragraph">
    <w:name w:val="Block Text"/>
    <w:basedOn w:val="BodyTextLayout"/>
    <w:next w:val="BodyText"/>
    <w:uiPriority w:val="5"/>
    <w:qFormat/>
    <w:pPr>
      <w:spacing w:after="240" w:before="240"/>
      <w:ind w:left="360" w:right="2520"/>
    </w:pPr>
    <w:pPr>
      <w:shd w:color="5A771D" w:fill="auto" w:val="clear"/>
    </w:pPr>
  </w:style>
  <w:style w:customStyle="1" w:styleId="SourceCode" w:type="paragraph">
    <w:name w:val="Source Code"/>
    <w:basedOn w:val="MonospaceDefaultFontProperties"/>
    <w:uiPriority w:val="5"/>
    <w:qFormat/>
    <w:pPr>
      <w:pBdr>
        <w:top w:color="E0EBFF" w:space="6" w:sz="48" w:val="single"/>
        <w:left w:color="E0EBFF" w:space="0" w:sz="48" w:val="single"/>
        <w:bottom w:color="E0EBFF" w:space="6" w:sz="48" w:val="single"/>
      </w:pBdr>
      <w:shd w:color="auto" w:fill="E0EBFF" w:val="clear"/>
      <w:ind w:left="360"/>
    </w:pPr>
    <w:rPr>
      <w:sz w:val="14"/>
    </w:rPr>
  </w:style>
  <w:style w:customStyle="1" w:styleId="DefinitionTerm" w:type="paragraph">
    <w:name w:val="Definition Term"/>
    <w:basedOn w:val="Definition"/>
    <w:next w:val="Definition"/>
    <w:uiPriority w:val="20"/>
    <w:qFormat/>
    <w:pPr>
      <w:spacing w:before="320"/>
    </w:pPr>
    <w:rPr>
      <w:b/>
      <w:bCs/>
    </w:rPr>
  </w:style>
  <w:style w:customStyle="1" w:styleId="Definition" w:type="paragraph">
    <w:name w:val="Definition"/>
    <w:basedOn w:val="HeadnoteTextLayout"/>
    <w:uiPriority w:val="20"/>
    <w:qFormat/>
    <w:pPr>
      <w:spacing w:after="160"/>
    </w:pPr>
  </w:style>
  <w:style w:styleId="Caption" w:type="paragraph">
    <w:name w:val="caption"/>
    <w:basedOn w:val="HeadnoteTextLayout"/>
    <w:uiPriority w:val="30"/>
    <w:rPr>
      <w:keepNext/>
      <w:sz w:val="16"/>
      <w:i/>
      <w:iCs/>
    </w:rPr>
  </w:style>
  <w:style w:customStyle="1" w:styleId="TableCaption" w:type="paragraph">
    <w:name w:val="Table Caption"/>
    <w:basedOn w:val="Caption"/>
    <w:semiHidden/>
    <w:unhideWhenUsed/>
    <w:uiPriority w:val="35"/>
  </w:style>
  <w:style w:customStyle="1" w:styleId="ImageCaption" w:type="paragraph">
    <w:name w:val="Image Caption"/>
    <w:basedOn w:val="Caption"/>
    <w:uiPriority w:val="35"/>
    <w:rPr>
      <w:rFonts w:ascii="Baskerville" w:hAnsi="Baskerville"/>
    </w:rPr>
  </w:style>
  <w:style w:customStyle="1" w:styleId="Figure" w:type="paragraph">
    <w:name w:val="Figure"/>
    <w:basedOn w:val="TitleHeadnoteDefaultFontProperties"/>
    <w:uiPriority w:val="35"/>
    <w:semiHidden/>
    <w:unhideWhenUsed/>
    <w:rPr>
      <w:i/>
      <w:iCs/>
      <w:keepNext/>
    </w:rPr>
  </w:style>
  <w:style w:customStyle="1" w:styleId="CaptionedFigure" w:type="paragraph">
    <w:name w:val="Captioned Figure"/>
    <w:basedOn w:val="Figure"/>
    <w:uiPriority w:val="35"/>
    <w:semiHidden/>
    <w:unhideWhenUsed/>
  </w:style>
  <w:style w:customStyle="1" w:styleId="Image" w:type="paragraph">
    <w:name w:val="Image"/>
    <w:uiPriority w:val="65"/>
    <w:pPr>
      <w:framePr w:hAnchor="text" w:vAnchor="text" w:w="11520" w:wrap="notBeside" w:xAlign="center" w:y="1"/>
      <w:jc w:val="center"/>
    </w:pPr>
    <w:rPr>
      <w:noProof/>
    </w:rPr>
  </w:style>
  <w:style w:customStyle="1" w:styleId="ImageCenteredLarge" w:type="paragraph">
    <w:name w:val="Image Centered Large"/>
    <w:basedOn w:val="Image"/>
    <w:uiPriority w:val="65"/>
  </w:style>
  <w:style w:customStyle="1" w:styleId="ImageLeftMedium" w:type="paragraph">
    <w:name w:val="Image Left Medium"/>
    <w:basedOn w:val="Image"/>
    <w:uiPriority w:val="65"/>
  </w:style>
  <w:style w:customStyle="1" w:styleId="ImageRightMedium" w:type="paragraph">
    <w:name w:val="Image Right Medium"/>
    <w:basedOn w:val="Image"/>
    <w:uiPriority w:val="65"/>
  </w:style>
  <w:style w:customStyle="1" w:styleId="ImageCenteredMedium" w:type="paragraph">
    <w:name w:val="Image Centered Medium"/>
    <w:basedOn w:val="Image"/>
    <w:uiPriority w:val="65"/>
  </w:style>
  <w:style w:customStyle="1" w:styleId="ChapterNumber" w:type="paragraph">
    <w:name w:val="Chapter Number"/>
    <w:basedOn w:val="ChapterTitle"/>
    <w:next w:val="ChapterTitle"/>
    <w:uiPriority w:val="11"/>
    <w:qFormat/>
    <w:pPr>
      <w:keepNext/>
      <w:keepLines/>
      <w:framePr w:anchorLock="1" w:h="1450" w:hAnchor="margin" w:vAnchor="text" w:w="1440" w:wrap="around" w:xAlign="right"/>
      <w:jc w:val="right"/>
      <w:ind w:left="0" w:right="0"/>
    </w:pPr>
    <w:rPr>
      <w:spacing w:val="-12"/>
      <w:color w:val="D96955"/>
      <w:sz w:val="72"/>
    </w:rPr>
  </w:style>
  <w:style w:customStyle="1" w:styleId="ChapterTitle" w:type="paragraph">
    <w:name w:val="Chapter Title"/>
    <w:basedOn w:val="HStruct02Title"/>
    <w:next w:val="ChapterSubtitle"/>
    <w:uiPriority w:val="11"/>
    <w:qFormat/>
    <w:pPr>
      <w:keepNext/>
      <w:keepLines/>
      <w:ind w:right="2160"/>
    </w:pPr>
    <w:rPr>
      <w:spacing w:val="-5"/>
    </w:rPr>
  </w:style>
  <w:style w:customStyle="1" w:styleId="ChapterSubtitle" w:type="paragraph">
    <w:name w:val="Chapter Subtitle"/>
    <w:basedOn w:val="HStruct02Subtitle"/>
    <w:next w:val="ChapterHeadnote"/>
    <w:uiPriority w:val="11"/>
    <w:qFormat/>
    <w:pPr>
      <w:keepNext/>
      <w:keepLines/>
      <w:ind w:right="2160"/>
    </w:pPr>
  </w:style>
  <w:style w:customStyle="1" w:styleId="ChapterHeadnote" w:type="paragraph">
    <w:name w:val="Chapter Headnote"/>
    <w:basedOn w:val="HeadnoteTextLayout"/>
    <w:next w:val="ChapterHeadnote"/>
    <w:uiPriority w:val="11"/>
    <w:qFormat/>
    <w:pPr>
      <w:ind w:right="2160"/>
    </w:pPr>
  </w:style>
  <w:style w:customStyle="1" w:styleId="SectionNumber" w:type="paragraph">
    <w:name w:val="Section Number"/>
    <w:basedOn w:val="SectionTitle"/>
    <w:next w:val="SectionTitle"/>
    <w:uiPriority w:val="11"/>
    <w:qFormat/>
    <w:pPr>
      <w:keepNext/>
      <w:keepLines/>
      <w:framePr w:anchorLock="1" w:h="1450" w:hAnchor="margin" w:vAnchor="text" w:w="1440" w:wrap="around" w:xAlign="right"/>
      <w:jc w:val="right"/>
      <w:ind w:left="0" w:right="0"/>
    </w:pPr>
    <w:rPr>
      <w:color w:val="D96955"/>
    </w:rPr>
  </w:style>
  <w:style w:customStyle="1" w:styleId="SectionTitle" w:type="paragraph">
    <w:name w:val="Section Title"/>
    <w:basedOn w:val="HStruct03Title"/>
    <w:next w:val="SectionSubtitle"/>
    <w:uiPriority w:val="11"/>
    <w:qFormat/>
    <w:pPr>
      <w:keepNext/>
      <w:keepLines/>
      <w:ind w:right="2160"/>
    </w:pPr>
  </w:style>
  <w:style w:customStyle="1" w:styleId="SectionSubtitle" w:type="paragraph">
    <w:name w:val="Section Subtitle"/>
    <w:basedOn w:val="HStruct04Subtitle"/>
    <w:next w:val="SectionHeadnote"/>
    <w:uiPriority w:val="11"/>
    <w:qFormat/>
    <w:pPr>
      <w:keepNext/>
      <w:keepLines/>
      <w:ind w:right="2160"/>
    </w:pPr>
  </w:style>
  <w:style w:customStyle="1" w:styleId="SectionHeadnote" w:type="paragraph">
    <w:name w:val="Section Headnote"/>
    <w:basedOn w:val="HeadnoteTextLayout"/>
    <w:next w:val="SectionHeadnote"/>
    <w:qFormat/>
    <w:uiPriority w:val="11"/>
    <w:pPr>
      <w:ind w:right="2160"/>
    </w:pPr>
  </w:style>
  <w:style w:customStyle="1" w:styleId="ResourceNumber" w:type="paragraph">
    <w:name w:val="Resource Number"/>
    <w:basedOn w:val="ResourceTitle"/>
    <w:next w:val="ResourceTitle"/>
    <w:qFormat/>
    <w:uiPriority w:val="10"/>
    <w:pPr>
      <w:keepNext/>
      <w:keepLines/>
      <w:framePr w:anchorLock="1" w:h="1450" w:hAnchor="margin" w:vAnchor="text" w:w="1440" w:wrap="around" w:xAlign="right"/>
      <w:jc w:val="right"/>
      <w:ind w:left="0" w:right="0"/>
    </w:pPr>
    <w:rPr>
      <w:color w:val="D96955"/>
    </w:rPr>
  </w:style>
  <w:style w:customStyle="1" w:styleId="ResourceTitle" w:type="paragraph">
    <w:name w:val="Resource Title"/>
    <w:basedOn w:val="HStruct05Title"/>
    <w:next w:val="ResourceSubtitle"/>
    <w:qFormat/>
    <w:uiPriority w:val="10"/>
    <w:pPr>
      <w:keepNext/>
      <w:keepLines/>
      <w:ind w:right="2160"/>
      <w:spacing w:before="480"/>
    </w:pPr>
  </w:style>
  <w:style w:customStyle="1" w:styleId="ResourceSubtitle" w:type="paragraph">
    <w:name w:val="Resource Subtitle"/>
    <w:basedOn w:val="HStruct05Subtitle"/>
    <w:next w:val="ResourceHeadnote"/>
    <w:uiPriority w:val="10"/>
    <w:qFormat/>
    <w:pPr>
      <w:keepNext/>
      <w:keepLines/>
      <w:ind w:right="2160"/>
    </w:pPr>
  </w:style>
  <w:style w:customStyle="1" w:styleId="ResourceHeadnote" w:type="paragraph">
    <w:name w:val="Resource Headnote"/>
    <w:basedOn w:val="SectionHeadnote"/>
    <w:next w:val="ResourceHeadnote"/>
    <w:uiPriority w:val="10"/>
    <w:qFormat/>
    <w:pPr>
      <w:ind w:right="2160"/>
    </w:pPr>
  </w:style>
  <w:style w:customStyle="1" w:styleId="ResourceLink" w:type="paragraph">
    <w:name w:val="Resource Link"/>
    <w:basedOn w:val="ResourceSubtitle"/>
    <w:next w:val="ResourceHeadnote"/>
    <w:qFormat/>
    <w:uiPriority w:val="10"/>
    <w:pPr>
      <w:keepNext/>
      <w:keepLines/>
      <w:spacing w:after="240" w:line="240"/>
      <w:ind w:right="2880"/>
    </w:pPr>
    <w:rPr>
      <w:color w:val="3E71D8"/>
      <w:spacing w:val="10"/>
      <w:sz w:val="18"/>
    </w:rPr>
  </w:style>
  <w:style w:styleId="Footer" w:type="paragraph">
    <w:name w:val="footer"/>
    <w:basedOn w:val="BodyCaseDefaultFontProperties"/>
    <w:uiPriority w:val="99"/>
    <w:pPr>
      <w:tabs>
        <w:tab w:pos="4680" w:val="center"/>
        <w:tab w:pos="9360" w:val="right"/>
      </w:tabs>
    </w:pPr>
  </w:style>
  <w:style w:styleId="Header" w:type="paragraph">
    <w:name w:val="Header"/>
    <w:basedOn w:val="TitleHeadnoteDefaultFontProperties"/>
    <w:uiPriority w:val="50"/>
    <w:pPr>
      <w:framePr w:hAnchor="page" w:vAnchor="page" w:wrap="around" w:xAlign="center" w:y="361"/>
      <w:tabs>
        <w:tab w:pos="5040" w:val="right"/>
      </w:tabs>
      <w:spacing w:before="0"/>
      <w:jc w:val="center"/>
    </w:pPr>
  </w:style>
  <w:style w:customStyle="1" w:styleId="HeaderPageNumber" w:type="paragraph">
    <w:name w:val="Header Page Number"/>
    <w:basedOn w:val="Header"/>
    <w:qFormat/>
    <w:pPr>
      <w:framePr w:anchorLock="1" w:h="360" w:w="1440" w:wrap="around" w:xAlign="outside"/>
      <w:widowControl w:val="0"/>
      <w:pBdr>
        <w:bottom w:color="1B418C" w:space="1" w:sz="18" w:val="single"/>
      </w:pBdr>
      <w:adjustRightInd w:val="0"/>
      <w:snapToGrid w:val="0"/>
      <w:spacing w:before="0"/>
    </w:pPr>
    <w:rPr>
      <w:b/>
      <w:bCs/>
      <w:spacing w:val="-5"/>
      <w:sz w:val="13"/>
    </w:rPr>
  </w:style>
  <w:style w:styleId="FootnoteText" w:type="paragraph">
    <w:name w:val="Footnote Text"/>
    <w:basedOn w:val="TitleHeadnoteDefaultFontProperties"/>
    <w:uiPriority w:val="60"/>
    <w:rPr>
      <w:sz w:val="14"/>
    </w:rPr>
  </w:style>
  <w:style w:styleId="CaseFootnoteText" w:type="paragraph">
    <w:name w:val="Case Footnote Text"/>
    <w:basedOn w:val="BodyCaseDefaultFontProperties"/>
    <w:uiPriority w:val="60"/>
    <w:rPr>
      <w:sz w:val="14"/>
    </w:rPr>
  </w:style>
  <w:style w:customStyle="1" w:styleId="IntentionallyInvisibleSeparator" w:type="paragraph">
    <w:name w:val="Intentionally Invisible Separator"/>
    <w:uiPriority w:val="99"/>
    <w:semiHidden/>
    <w:unhideWhenUsed/>
    <w:rPr>
      <w:sz w:val="1"/>
      <w:color w:val="FFFFFF"/>
    </w:rPr>
  </w:style>
  <w:style w:customStyle="1" w:styleId="FrontMatterEnd" w:type="paragraph">
    <w:name w:val="Front Matter End"/>
    <w:basedOn w:val="IntentionallyInvisibleSeparator"/>
    <w:uiPriority w:val="15"/>
    <w:pPr>
      <w:widowControl w:val="0"/>
      <w:adjustRightInd w:val="0"/>
      <w:snapToGrid w:val="0"/>
      <w:framePr w:hAnchor="text" w:vAnchor="text" w:w="9000" w:wrap="notBeside" w:xAlign="center"/>
      <w:spacing w:before="0"/>
      <w:jc w:val="center"/>
    </w:pPr>
  </w:style>
  <w:style w:customStyle="1" w:styleId="HeadSeparator" w:type="paragraph">
    <w:name w:val="Head Separator"/>
    <w:basedOn w:val="IntentionallyInvisibleSeparator"/>
    <w:uiPriority w:val="15"/>
    <w:pPr>
      <w:spacing w:before="240"/>
      <w:jc w:val="center"/>
    </w:pPr>
    <w:rPr>
      <w:sz w:val="1"/>
    </w:rPr>
  </w:style>
  <w:style w:customStyle="1" w:styleId="ChapterSpacer" w:type="paragraph">
    <w:name w:val="Chapter Spacer"/>
    <w:basedOn w:val="IntentionallyInvisibleSeparator"/>
    <w:uiPriority w:val="15"/>
    <w:pPr>
      <w:widowControl w:val="0"/>
      <w:adjustRightInd w:val="0"/>
      <w:snapToGrid w:val="0"/>
      <w:spacing w:before="2160"/>
      <w:jc w:val="center"/>
    </w:pPr>
    <w:rPr>
      <w:sz w:val="1"/>
    </w:rPr>
  </w:style>
  <w:style w:customStyle="1" w:styleId="HeadFieldSeparator" w:type="paragraph">
    <w:name w:val="Head Field Separator"/>
    <w:basedOn w:val="IntentionallyInvisibleSeparator"/>
    <w:uiPriority w:val="15"/>
    <w:pPr>
      <w:spacing w:before="0"/>
      <w:jc w:val="center"/>
    </w:pPr>
    <w:rPr>
      <w:sz w:val="1"/>
    </w:rPr>
  </w:style>
  <w:style w:customStyle="1" w:styleId="HeadEnd" w:type="paragraph">
    <w:name w:val="Head End"/>
    <w:basedOn w:val="IntentionallyInvisibleSeparator"/>
    <w:uiPriority w:val="15"/>
    <w:pPr>
      <w:widowControl w:val="0"/>
      <w:adjustRightInd w:val="0"/>
      <w:snapToGrid w:val="0"/>
      <w:framePr w:hAnchor="page" w:vAnchor="text" w:w="9000" w:wrap="notBeside" w:xAlign="center"/>
      <w:spacing w:before="0"/>
      <w:jc w:val="center"/>
    </w:pPr>
    <w:rPr>
      <w:sz w:val="1"/>
    </w:rPr>
  </w:style>
  <w:style w:customStyle="1" w:styleId="NodeStart" w:type="paragraph">
    <w:name w:val="Node Start"/>
    <w:basedOn w:val="IntentionallyInvisibleSeparator"/>
    <w:uiPriority w:val="15"/>
    <w:pPr>
      <w:widowControl w:val="0"/>
      <w:adjustRightInd w:val="0"/>
      <w:snapToGrid w:val="0"/>
      <w:spacing w:before="0"/>
      <w:jc w:val="center"/>
    </w:pPr>
    <w:rPr>
      <w:sz w:val="1"/>
    </w:rPr>
  </w:style>
  <w:style w:customStyle="1" w:styleId="NodeEnd" w:type="paragraph">
    <w:name w:val="Node End"/>
    <w:basedOn w:val="IntentionallyInvisibleSeparator"/>
    <w:uiPriority w:val="15"/>
    <w:pPr>
      <w:widowControl w:val="0"/>
      <w:adjustRightInd w:val="0"/>
      <w:snapToGrid w:val="0"/>
      <w:spacing w:before="0"/>
      <w:jc w:val="center"/>
    </w:pPr>
    <w:rPr>
      <w:sz w:val="1"/>
    </w:rPr>
  </w:style>
  <w:style w:customStyle="1" w:styleId="CreditTitle" w:type="character">
    <w:name w:val="Credit Title"/>
    <w:basedOn w:val="CreditAuthors"/>
    <w:rPr>
      <w:b w:val="0"/>
      <w:bCs w:val="0"/>
      <w:caps/>
      <w:sz w:val="24"/>
      <w:u w:val="single"/>
    </w:rPr>
  </w:style>
  <w:style w:customStyle="1" w:styleId="CreditAuthors" w:type="character">
    <w:name w:val="Credit Authors"/>
    <w:basedOn w:val="DefaultParagraphFont"/>
    <w:rPr>
      <w:b/>
      <w:bCs/>
      <w:spacing w:val="4"/>
      <w:kern w:val="0"/>
      <w:sz w:val="20"/>
    </w:rPr>
  </w:style>
  <w:style w:default="1" w:styleId="DefaultParagraphFont" w:type="character">
    <w:name w:val="Default Paragraph Font"/>
    <w:uiPriority w:val="99"/>
    <w:semiHidden/>
    <w:unhideWhenUsed/>
    <w:rPr>
      <w:rFonts w:ascii="Century Gothic" w:hAnsi="Century Gothic"/>
      <w:color w:val="000000"/>
      <w:spacing w:val="5"/>
      <w:sz w:val="18"/>
    </w:rPr>
  </w:style>
  <w:style w:styleId="UnresolvedMention" w:type="character">
    <w:name w:val="Unresolved Mention"/>
    <w:basedOn w:val="DefaultParagraphFont"/>
    <w:uiPriority w:val="99"/>
    <w:semiHidden/>
    <w:unhideWhenUsed/>
    <w:rPr>
      <w:rFonts w:ascii="Baskerville" w:hAnsi="Baskerville"/>
      <w:color w:themeColor="text1" w:val="000000"/>
      <w:spacing w:val="5"/>
      <w:sz w:val="16"/>
    </w:rPr>
  </w:style>
  <w:style w:customStyle="1" w:styleId="Elision" w:type="character">
    <w:name w:val="Elision"/>
    <w:basedOn w:val="DefaultParagraphFont"/>
    <w:uiPriority w:val="25"/>
    <w:rPr>
      <w:b w:val="1"/>
      <w:bCs w:val="1"/>
      <w:color w:val="5A771D"/>
    </w:rPr>
  </w:style>
  <w:style w:customStyle="1" w:styleId="ReplacementText" w:type="character">
    <w:name w:val="Replacement Text"/>
    <w:uiPriority w:val="25"/>
    <w:rPr>
      <w:i/>
      <w:iCs/>
      <w:color w:val="5A771D"/>
      <w:u w:val="dotted"/>
    </w:rPr>
  </w:style>
  <w:style w:customStyle="1" w:styleId="HighlightedText" w:type="character">
    <w:name w:val="Highlighted Text"/>
    <w:uiPriority w:val="25"/>
    <w:rPr>
      <w:bdr w:color="auto" w:space="0" w:sz="0" w:val="none"/>
      <w:shd w:color="000000" w:fill="EAFFBD" w:val="clear"/>
    </w:rPr>
  </w:style>
  <w:style w:styleId="FootnoteReference" w:type="character">
    <w:name w:val="Footnote Reference"/>
    <w:uiPriority w:val="40"/>
    <w:rPr>
      <w:rFonts w:ascii="Century Gothic" w:hAnsi="Century Gothic"/>
      <w:b/>
      <w:i w:val="0"/>
      <w:color w:val="D96955"/>
      <w:position w:val="4"/>
      <w:sz w:val="15"/>
      <w:vertAlign w:val="superscript"/>
    </w:rPr>
  </w:style>
  <w:style w:customStyle="1" w:styleId="CaseFootnoteReference" w:type="character">
    <w:name w:val="Case Footnote Reference"/>
    <w:basedOn w:val="DefaultParagraphFont"/>
    <w:uiPriority w:val="40"/>
    <w:rPr>
      <w:b/>
      <w:bCs/>
      <w:color w:val="D96955"/>
      <w:position w:val="4"/>
      <w:sz w:val="13"/>
    </w:rPr>
  </w:style>
  <w:style w:styleId="Hyperlink" w:type="character">
    <w:name w:val="Hyperlink"/>
    <w:semiHidden/>
    <w:uiPriority w:val="99"/>
    <w:unhideWhenUsed/>
    <w:rPr>
      <w:color w:val="3E71D8"/>
      <w:u w:val="single"/>
    </w:rPr>
  </w:style>
  <w:style w:styleId="FollowedHyperlink" w:type="character">
    <w:name w:val="FollowedHyperlink"/>
    <w:basedOn w:val="Hyperlink"/>
    <w:semiHidden/>
    <w:uiPriority w:val="99"/>
    <w:unhideWhenUsed/>
    <w:rPr>
      <w:color w:themeColor="followedHyperlink" w:val="D96955"/>
      <w:u w:val="single"/>
    </w:rPr>
  </w:style>
  <w:style w:styleId="TOCTitleChar1" w:type="character">
    <w:name w:val="TOC Title Char 1"/>
    <w:basedOn w:val="DefaultParagraphFont"/>
    <w:semiHidden/>
    <w:uiPriority w:val="99"/>
    <w:unhideWhenUsed/>
    <w:rPr>
      <w:b/>
      <w:bCs/>
      <w:noProof/>
      <w:spacing w:val="-7"/>
      <w:sz w:val="24"/>
    </w:rPr>
  </w:style>
  <w:style w:styleId="TOCTitleChar2" w:type="character">
    <w:name w:val="TOC Title Char 2"/>
    <w:basedOn w:val="TOCTitleChar1"/>
    <w:semiHidden/>
    <w:uiPriority w:val="99"/>
    <w:unhideWhenUsed/>
    <w:rPr>
      <w:b w:val="0"/>
      <w:bCs/>
      <w:noProof/>
      <w:spacing w:val="-7"/>
      <w:sz w:val="20"/>
    </w:rPr>
  </w:style>
  <w:style w:styleId="TOCTitleChar3" w:type="character">
    <w:name w:val="TOC Title Char 3"/>
    <w:basedOn w:val="TOCTitleChar2"/>
    <w:semiHidden/>
    <w:uiPriority w:val="99"/>
    <w:unhideWhenUsed/>
    <w:rPr>
      <w:b w:val="0"/>
      <w:bCs w:val="0"/>
      <w:noProof/>
      <w:spacing w:val="0"/>
      <w:sz w:val="16"/>
    </w:rPr>
  </w:style>
  <w:style w:styleId="TOCTitleChar4" w:type="character">
    <w:name w:val="TOC Title Char 4"/>
    <w:basedOn w:val="TOCTitleChar3"/>
    <w:semiHidden/>
    <w:uiPriority w:val="99"/>
    <w:unhideWhenUsed/>
  </w:style>
  <w:style w:styleId="TOCTitleChar5" w:type="character">
    <w:name w:val="TOC Title Char 5"/>
    <w:basedOn w:val="TOCTitleChar4"/>
    <w:semiHidden/>
    <w:uiPriority w:val="99"/>
    <w:unhideWhenUsed/>
  </w:style>
  <w:style w:styleId="TOCTitleChar6" w:type="character">
    <w:name w:val="TOC Title Char 6"/>
    <w:basedOn w:val="TOCTitleChar5"/>
    <w:semiHidden/>
    <w:uiPriority w:val="99"/>
    <w:unhideWhenUsed/>
  </w:style>
  <w:style w:styleId="TOCTitleChar7" w:type="character">
    <w:name w:val="TOC Title Char 7"/>
    <w:basedOn w:val="TOCTitleChar6"/>
    <w:semiHidden/>
    <w:uiPriority w:val="99"/>
    <w:unhideWhenUsed/>
  </w:style>
  <w:style w:styleId="TOCTitleChar8" w:type="character">
    <w:name w:val="TOC Title Char 8"/>
    <w:basedOn w:val="TOCTitleChar7"/>
    <w:semiHidden/>
    <w:uiPriority w:val="99"/>
    <w:unhideWhenUsed/>
  </w:style>
  <w:style w:styleId="TOCTitleChar9" w:type="character">
    <w:name w:val="TOC Title Char 9"/>
    <w:basedOn w:val="TOCTitleChar8"/>
    <w:semiHidden/>
    <w:uiPriority w:val="99"/>
    <w:unhideWhenUsed/>
  </w:style>
  <w:style w:styleId="TOCOrdinalChar1" w:type="character">
    <w:name w:val="TOC Ordinal Char 1"/>
    <w:basedOn w:val="TOCTitleChar1"/>
    <w:semiHidden/>
    <w:uiPriority w:val="99"/>
    <w:unhideWhenUsed/>
    <w:rPr>
      <w:b/>
      <w:bCs/>
      <w:noProof/>
      <w:spacing w:val="-14"/>
      <w:sz w:val="56"/>
    </w:rPr>
  </w:style>
  <w:style w:styleId="TOCOrdinalChar2" w:type="character">
    <w:name w:val="TOC Ordinal Char 2"/>
    <w:basedOn w:val="TOCTitleChar2"/>
    <w:semiHidden/>
    <w:uiPriority w:val="99"/>
    <w:unhideWhenUsed/>
    <w:rPr>
      <w:b/>
      <w:bCs/>
      <w:noProof/>
      <w:spacing w:val="-7"/>
      <w:sz w:val="24"/>
    </w:rPr>
  </w:style>
  <w:style w:styleId="TOCOrdinalChar3" w:type="character">
    <w:name w:val="TOC Ordinal Char 3"/>
    <w:basedOn w:val="TOCTitleChar3"/>
    <w:semiHidden/>
    <w:uiPriority w:val="99"/>
    <w:unhideWhenUsed/>
    <w:rPr>
      <w:b w:val="0"/>
      <w:bCs w:val="0"/>
      <w:noProof/>
      <w:spacing w:val="0"/>
      <w:sz w:val="16"/>
    </w:rPr>
  </w:style>
  <w:style w:styleId="TOCOrdinalChar4" w:type="character">
    <w:name w:val="TOC Ordinal Char 4"/>
    <w:basedOn w:val="TOCTitleChar4"/>
    <w:semiHidden/>
    <w:uiPriority w:val="99"/>
    <w:unhideWhenUsed/>
    <w:rPr>
      <w:b w:val="0"/>
      <w:bCs w:val="0"/>
    </w:rPr>
  </w:style>
  <w:style w:styleId="TOCOrdinalChar5" w:type="character">
    <w:name w:val="TOC Ordinal Char 5"/>
    <w:basedOn w:val="TOCTitleChar5"/>
    <w:semiHidden/>
    <w:uiPriority w:val="99"/>
    <w:unhideWhenUsed/>
  </w:style>
  <w:style w:styleId="TOCOrdinalChar6" w:type="character">
    <w:name w:val="TOC Ordinal Char 6"/>
    <w:basedOn w:val="TOCTitleChar6"/>
    <w:semiHidden/>
    <w:uiPriority w:val="99"/>
    <w:unhideWhenUsed/>
  </w:style>
  <w:style w:styleId="TOCOrdinalChar7" w:type="character">
    <w:name w:val="TOC Ordinal Char 7"/>
    <w:basedOn w:val="TOCTitleChar7"/>
    <w:semiHidden/>
    <w:uiPriority w:val="99"/>
    <w:unhideWhenUsed/>
  </w:style>
  <w:style w:styleId="TOCOrdinalChar8" w:type="character">
    <w:name w:val="TOC Ordinal Char 8"/>
    <w:basedOn w:val="TOCTitleChar8"/>
    <w:semiHidden/>
    <w:uiPriority w:val="99"/>
    <w:unhideWhenUsed/>
  </w:style>
  <w:style w:styleId="TOCOrdinalChar9" w:type="character">
    <w:name w:val="TOC Ordinal Char 9"/>
    <w:basedOn w:val="TOCTitleChar9"/>
    <w:semiHidden/>
    <w:uiPriority w:val="99"/>
    <w:unhideWhenUsed/>
  </w:style>
  <w:style w:customStyle="1" w:styleId="VerbatimChar" w:type="character">
    <w:name w:val="Verbatim Char"/>
    <w:uiPriority w:val="50"/>
    <w:semiHidden/>
    <w:unhideWhenUsed/>
    <w:rPr>
      <w:sz w:val="16"/>
      <w:rFonts w:ascii="Courier New" w:cs="Courier New" w:hAnsi="Courier New"/>
      <w:spacing w:val="5"/>
      <w:sz w:val="16"/>
    </w:rPr>
  </w:style>
  <w:style w:customStyle="0" w:styleId="UnusedPandoc" w:type="character">
    <w:name w:val="UnusedPandoc"/>
    <w:hidden/>
    <w:uiPriority w:val="99"/>
  </w:style>
  <w:style w:customStyle="0" w:styleId="AlertTok" w:type="character">
    <w:name w:val="AlertTok"/>
    <w:basedOn w:val="UnusedPandoc"/>
    <w:hidden/>
    <w:uiPriority w:val="99"/>
  </w:style>
  <w:style w:customStyle="0" w:styleId="AnnotationTok" w:type="character">
    <w:name w:val="AnnotationTok"/>
    <w:basedOn w:val="UnusedPandoc"/>
    <w:hidden/>
    <w:uiPriority w:val="99"/>
  </w:style>
  <w:style w:customStyle="0" w:styleId="AttributeTok" w:type="character">
    <w:name w:val="AttributeTok"/>
    <w:basedOn w:val="UnusedPandoc"/>
    <w:hidden/>
    <w:uiPriority w:val="99"/>
  </w:style>
  <w:style w:customStyle="0" w:styleId="BaseNTok" w:type="character">
    <w:name w:val="BaseNTok"/>
    <w:basedOn w:val="UnusedPandoc"/>
    <w:hidden/>
    <w:uiPriority w:val="99"/>
  </w:style>
  <w:style w:customStyle="0" w:styleId="BuiltInTok" w:type="character">
    <w:name w:val="BuiltInTok"/>
    <w:basedOn w:val="UnusedPandoc"/>
    <w:hidden/>
    <w:uiPriority w:val="99"/>
  </w:style>
  <w:style w:customStyle="0" w:styleId="CharTok" w:type="character">
    <w:name w:val="CharTok"/>
    <w:basedOn w:val="UnusedPandoc"/>
    <w:hidden/>
    <w:uiPriority w:val="99"/>
  </w:style>
  <w:style w:customStyle="0" w:styleId="CommentTok" w:type="character">
    <w:name w:val="CommentTok"/>
    <w:basedOn w:val="UnusedPandoc"/>
    <w:hidden/>
    <w:uiPriority w:val="99"/>
  </w:style>
  <w:style w:customStyle="0" w:styleId="CommentVarTok" w:type="character">
    <w:name w:val="CommentVarTok"/>
    <w:basedOn w:val="UnusedPandoc"/>
    <w:hidden/>
    <w:uiPriority w:val="99"/>
  </w:style>
  <w:style w:customStyle="0" w:styleId="ControlFlowTok" w:type="character">
    <w:name w:val="ControlFlowTok"/>
    <w:basedOn w:val="UnusedPandoc"/>
    <w:hidden/>
    <w:uiPriority w:val="99"/>
  </w:style>
  <w:style w:customStyle="0" w:styleId="DataTypeTok" w:type="character">
    <w:name w:val="DataTypeTok"/>
    <w:basedOn w:val="UnusedPandoc"/>
    <w:hidden/>
    <w:uiPriority w:val="99"/>
  </w:style>
  <w:style w:customStyle="0" w:styleId="DocumentationTok" w:type="character">
    <w:name w:val="DocumentationTok"/>
    <w:basedOn w:val="UnusedPandoc"/>
    <w:hidden/>
    <w:uiPriority w:val="99"/>
  </w:style>
  <w:style w:customStyle="0" w:styleId="ErrorTok" w:type="character">
    <w:name w:val="ErrorTok"/>
    <w:basedOn w:val="UnusedPandoc"/>
    <w:hidden/>
    <w:uiPriority w:val="99"/>
  </w:style>
  <w:style w:customStyle="0" w:styleId="ExtensionTok" w:type="character">
    <w:name w:val="ExtensionTok"/>
    <w:basedOn w:val="UnusedPandoc"/>
    <w:hidden/>
    <w:uiPriority w:val="99"/>
  </w:style>
  <w:style w:customStyle="0" w:styleId="FloatTok" w:type="character">
    <w:name w:val="FloatTok"/>
    <w:basedOn w:val="UnusedPandoc"/>
    <w:hidden/>
    <w:uiPriority w:val="99"/>
  </w:style>
  <w:style w:customStyle="0" w:styleId="FunctionTok" w:type="character">
    <w:name w:val="FunctionTok"/>
    <w:basedOn w:val="UnusedPandoc"/>
    <w:hidden/>
    <w:uiPriority w:val="99"/>
  </w:style>
  <w:style w:customStyle="0" w:styleId="ImportTok" w:type="character">
    <w:name w:val="ImportTok"/>
    <w:basedOn w:val="UnusedPandoc"/>
    <w:hidden/>
    <w:uiPriority w:val="99"/>
  </w:style>
  <w:style w:customStyle="0" w:styleId="InformationTok" w:type="character">
    <w:name w:val="InformationTok"/>
    <w:basedOn w:val="UnusedPandoc"/>
    <w:hidden/>
    <w:uiPriority w:val="99"/>
  </w:style>
  <w:style w:customStyle="0" w:styleId="KeywordTok" w:type="character">
    <w:name w:val="KeywordTok"/>
    <w:basedOn w:val="UnusedPandoc"/>
    <w:hidden/>
    <w:uiPriority w:val="99"/>
  </w:style>
  <w:style w:customStyle="0" w:styleId="NormalTok" w:type="character">
    <w:name w:val="NormalTok"/>
    <w:basedOn w:val="UnusedPandoc"/>
    <w:hidden/>
    <w:uiPriority w:val="99"/>
  </w:style>
  <w:style w:customStyle="0" w:styleId="OperatorTok" w:type="character">
    <w:name w:val="OperatorTok"/>
    <w:basedOn w:val="UnusedPandoc"/>
    <w:hidden/>
    <w:uiPriority w:val="99"/>
  </w:style>
  <w:style w:customStyle="0" w:styleId="OtherTok" w:type="character">
    <w:name w:val="OtherTok"/>
    <w:basedOn w:val="UnusedPandoc"/>
    <w:hidden/>
    <w:uiPriority w:val="99"/>
  </w:style>
  <w:style w:customStyle="0" w:styleId="PreprocessorTok" w:type="character">
    <w:name w:val="PreprocessorTok"/>
    <w:basedOn w:val="UnusedPandoc"/>
    <w:hidden/>
    <w:uiPriority w:val="99"/>
  </w:style>
  <w:style w:customStyle="0" w:styleId="RegionMarkerTok" w:type="character">
    <w:name w:val="RegionMarkerTok"/>
    <w:basedOn w:val="UnusedPandoc"/>
    <w:hidden/>
    <w:uiPriority w:val="99"/>
  </w:style>
  <w:style w:customStyle="0" w:styleId="SpecialCharTok" w:type="character">
    <w:name w:val="SpecialCharTok"/>
    <w:basedOn w:val="UnusedPandoc"/>
    <w:hidden/>
    <w:uiPriority w:val="99"/>
  </w:style>
  <w:style w:customStyle="0" w:styleId="SpecialStringTok" w:type="character">
    <w:name w:val="SpecialStringTok"/>
    <w:basedOn w:val="UnusedPandoc"/>
    <w:hidden/>
    <w:uiPriority w:val="99"/>
  </w:style>
  <w:style w:customStyle="0" w:styleId="StringTok" w:type="character">
    <w:name w:val="StringTok"/>
    <w:basedOn w:val="UnusedPandoc"/>
    <w:hidden/>
    <w:uiPriority w:val="99"/>
  </w:style>
  <w:style w:customStyle="0" w:styleId="VariableTok" w:type="character">
    <w:name w:val="VariableTok"/>
    <w:basedOn w:val="UnusedPandoc"/>
    <w:hidden/>
    <w:uiPriority w:val="99"/>
  </w:style>
  <w:style w:customStyle="0" w:styleId="VerbatimStringTok" w:type="character">
    <w:name w:val="VerbatimStringTok"/>
    <w:basedOn w:val="UnusedPandoc"/>
    <w:hidden/>
    <w:uiPriority w:val="99"/>
  </w:style>
  <w:style w:customStyle="0" w:styleId="WarningTok" w:type="character">
    <w:name w:val="WarningTok"/>
    <w:basedOn w:val="UnusedPandoc"/>
    <w:hidden/>
    <w:uiPriority w:val="99"/>
  </w:style>
  <w:style w:styleId="PlainTable4" w:type="table">
    <w:name w:val="Plain Table 4"/>
    <w:basedOn w:val="TableNormal"/>
    <w:uiPriority w:val="9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TableGrid" w:type="table">
    <w:name w:val="Table Grid"/>
    <w:basedOn w:val="TableNormal"/>
    <w:uiPriority w:val="9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semiHidden/>
    <w:unhideWhenUsed/>
    <w:uiPriority w:val="99"/>
    <w:tblPr>
      <w:tblInd w:type="dxa" w:w="0"/>
      <w:tblCellMar>
        <w:top w:type="dxa" w:w="0"/>
        <w:left w:type="dxa" w:w="108"/>
        <w:bottom w:type="dxa" w:w="0"/>
        <w:right w:type="dxa" w:w="108"/>
      </w:tblCellMar>
    </w:tbl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CurrentList1" w:type="numbering">
    <w:name w:val="Current List1"/>
    <w:uiPriority w:val="99"/>
    <w:pPr>
      <w:numPr>
        <w:numId w:val="20"/>
      </w:numPr>
    </w:pPr>
  </w:style>
  <w:style w:customStyle="1" w:styleId="CurrentList2" w:type="numbering">
    <w:name w:val="Current List2"/>
    <w:uiPriority w:val="99"/>
    <w:pPr>
      <w:numPr>
        <w:numId w:val="21"/>
      </w:numPr>
    </w:pPr>
  </w:style>
  <w:style w:customStyle="1" w:styleId="CurrentList3" w:type="numbering">
    <w:name w:val="Current List3"/>
    <w:uiPriority w:val="99"/>
    <w:pPr>
      <w:numPr>
        <w:numId w:val="23"/>
      </w:numPr>
    </w:pPr>
  </w:style>
  <w:style w:customStyle="1" w:styleId="CurrentList4" w:type="numbering">
    <w:name w:val="Current List4"/>
    <w:uiPriority w:val="99"/>
    <w:pPr>
      <w:numPr>
        <w:numId w:val="25"/>
      </w:numPr>
    </w:pPr>
  </w:style>
  <w:style w:type="character" w:customStyle="1" w:styleId="FootnoteRef">
    <w:name w:val="Footnote Ref"/>
    <w:basedOn w:val="BodyTextChar"/>
  </w:style>
  <w:style w:type="character" w:customStyle="1" w:styleId="DecValTok">
    <w:name w:val="DecValTok"/>
    <w:basedOn w:val="VerbatimChar"/>
    <w:rPr>
      <w:color w:val="40a070"/>
    </w:rPr>
  </w:style>
  <w:style w:type="character" w:customStyle="1" w:styleId="ConstantTok">
    <w:name w:val="ConstantTok"/>
    <w:basedOn w:val="VerbatimChar"/>
    <w:rPr>
      <w:color w:val="88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_front_matter_even.xml"/><Relationship Id="rId10" Type="http://schemas.openxmlformats.org/officeDocument/2006/relationships/header" Target="header_front_matter_odd.xml"/><Relationship Id="rId11" Type="http://schemas.openxmlformats.org/officeDocument/2006/relationships/header" Target="header_even.xml"/><Relationship Id="rId12" Type="http://schemas.openxmlformats.org/officeDocument/2006/relationships/header" Target="header_odd.xml"/><Relationship Id="rId13" Type="http://schemas.openxmlformats.org/officeDocument/2006/relationships/header" Target="header_blank.xml"/><Relationship Id="rId14" Type="http://schemas.openxmlformats.org/officeDocument/2006/relationships/footer" Target="footer_blank.xml"/><Relationship Id="rId15" Type="http://schemas.openxmlformats.org/officeDocument/2006/relationships/footer" Target="footer_title.xml"/><Relationship Id="rId68" Type="http://schemas.openxmlformats.org/officeDocument/2006/relationships/image" Target="media/rId68.png"/><Relationship Id="rId69" Type="http://schemas.openxmlformats.org/officeDocument/2006/relationships/image" Target="media/rId69.png"/><Relationship Id="rId293" Type="http://schemas.openxmlformats.org/officeDocument/2006/relationships/image" Target="media/rId293.png"/><Relationship Id="rId261" Type="http://schemas.openxmlformats.org/officeDocument/2006/relationships/image" Target="media/rId261.png"/><Relationship Id="rId292" Type="http://schemas.openxmlformats.org/officeDocument/2006/relationships/image" Target="media/rId292.png"/><Relationship Id="rId260" Type="http://schemas.openxmlformats.org/officeDocument/2006/relationships/image" Target="media/rId260.png"/><Relationship Id="rId52" Type="http://schemas.openxmlformats.org/officeDocument/2006/relationships/hyperlink" Target="http://www.lrcvaw.org/laws/malongarm.pdf" TargetMode="External"/><Relationship Id="rId226" Type="http://schemas.openxmlformats.org/officeDocument/2006/relationships/hyperlink" Target="http://www.supremecourt.gov/media/media.aspx/" TargetMode="External"/><Relationship Id="rId133" Type="http://schemas.openxmlformats.org/officeDocument/2006/relationships/hyperlink" Target="https://1.next.westlaw.com/Document/Ia870dd0559ad11e38912df21cb42a557/View/FullText.html?transitionType=UniqueDocItem&amp;contextData=(sc.Default)&amp;userEnteredCitation=134+S.Ct.+568#co_anchor_F12032188004" TargetMode="External"/><Relationship Id="rId147" Type="http://schemas.openxmlformats.org/officeDocument/2006/relationships/hyperlink" Target="https://1.next.westlaw.com/Document/Ia870dd0559ad11e38912df21cb42a557/View/FullText.html?transitionType=UniqueDocItem&amp;contextData=(sc.Default)&amp;userEnteredCitation=134+S.Ct.+568#co_anchor_F122032188004" TargetMode="External"/><Relationship Id="rId149" Type="http://schemas.openxmlformats.org/officeDocument/2006/relationships/hyperlink" Target="https://1.next.westlaw.com/Document/Ia870dd0559ad11e38912df21cb42a557/View/FullText.html?transitionType=UniqueDocItem&amp;contextData=(sc.Default)&amp;userEnteredCitation=134+S.Ct.+568#co_anchor_F152032188004" TargetMode="External"/><Relationship Id="rId152" Type="http://schemas.openxmlformats.org/officeDocument/2006/relationships/hyperlink" Target="https://1.next.westlaw.com/Document/Ia870dd0559ad11e38912df21cb42a557/View/FullText.html?transitionType=UniqueDocItem&amp;contextData=(sc.Default)&amp;userEnteredCitation=134+S.Ct.+568#co_anchor_F182032188004" TargetMode="External"/><Relationship Id="rId155" Type="http://schemas.openxmlformats.org/officeDocument/2006/relationships/hyperlink" Target="https://1.next.westlaw.com/Document/Ia870dd0559ad11e38912df21cb42a557/View/FullText.html?transitionType=UniqueDocItem&amp;contextData=(sc.Default)&amp;userEnteredCitation=134+S.Ct.+568#co_anchor_F222032188004" TargetMode="External"/><Relationship Id="rId157" Type="http://schemas.openxmlformats.org/officeDocument/2006/relationships/hyperlink" Target="https://1.next.westlaw.com/Document/Ia870dd0559ad11e38912df21cb42a557/View/FullText.html?transitionType=UniqueDocItem&amp;contextData=(sc.Default)&amp;userEnteredCitation=134+S.Ct.+568#co_anchor_F242032188004" TargetMode="External"/><Relationship Id="rId161" Type="http://schemas.openxmlformats.org/officeDocument/2006/relationships/hyperlink" Target="https://1.next.westlaw.com/Document/Ia870dd0559ad11e38912df21cb42a557/View/FullText.html?transitionType=UniqueDocItem&amp;contextData=(sc.Default)&amp;userEnteredCitation=134+S.Ct.+568#co_anchor_F282032188004" TargetMode="External"/><Relationship Id="rId162" Type="http://schemas.openxmlformats.org/officeDocument/2006/relationships/hyperlink" Target="https://1.next.westlaw.com/Document/Ia870dd0559ad11e38912df21cb42a557/View/FullText.html?transitionType=UniqueDocItem&amp;contextData=(sc.Default)&amp;userEnteredCitation=134+S.Ct.+568#co_anchor_F292032188004" TargetMode="External"/><Relationship Id="rId167" Type="http://schemas.openxmlformats.org/officeDocument/2006/relationships/hyperlink" Target="https://1.next.westlaw.com/Document/Ia870dd0559ad11e38912df21cb42a557/View/FullText.html?transitionType=UniqueDocItem&amp;contextData=(sc.Default)&amp;userEnteredCitation=134+S.Ct.+568#co_anchor_F332032188004" TargetMode="External"/><Relationship Id="rId138" Type="http://schemas.openxmlformats.org/officeDocument/2006/relationships/hyperlink" Target="https://1.next.westlaw.com/Document/Ia870dd0559ad11e38912df21cb42a557/View/FullText.html?transitionType=UniqueDocItem&amp;contextData=(sc.Default)&amp;userEnteredCitation=134+S.Ct.+568#co_anchor_F42032188004" TargetMode="External"/><Relationship Id="rId139" Type="http://schemas.openxmlformats.org/officeDocument/2006/relationships/hyperlink" Target="https://1.next.westlaw.com/Document/Ia870dd0559ad11e38912df21cb42a557/View/FullText.html?transitionType=UniqueDocItem&amp;contextData=(sc.Default)&amp;userEnteredCitation=134+S.Ct.+568#co_anchor_F52032188004" TargetMode="External"/><Relationship Id="rId140" Type="http://schemas.openxmlformats.org/officeDocument/2006/relationships/hyperlink" Target="https://1.next.westlaw.com/Document/Ia870dd0559ad11e38912df21cb42a557/View/FullText.html?transitionType=UniqueDocItem&amp;contextData=(sc.Default)&amp;userEnteredCitation=134+S.Ct.+568#co_anchor_F62032188004" TargetMode="External"/><Relationship Id="rId141" Type="http://schemas.openxmlformats.org/officeDocument/2006/relationships/hyperlink" Target="https://1.next.westlaw.com/Document/Ia870dd0559ad11e38912df21cb42a557/View/FullText.html?transitionType=UniqueDocItem&amp;contextData=(sc.Default)&amp;userEnteredCitation=134+S.Ct.+568#co_anchor_F72032188004" TargetMode="External"/><Relationship Id="rId142" Type="http://schemas.openxmlformats.org/officeDocument/2006/relationships/hyperlink" Target="https://1.next.westlaw.com/Document/Ia870dd0559ad11e38912df21cb42a557/View/FullText.html?transitionType=UniqueDocItem&amp;contextData=(sc.Default)&amp;userEnteredCitation=134+S.Ct.+568#co_anchor_F82032188004" TargetMode="External"/><Relationship Id="rId143" Type="http://schemas.openxmlformats.org/officeDocument/2006/relationships/hyperlink" Target="https://1.next.westlaw.com/Document/Ia870dd0559ad11e38912df21cb42a557/View/FullText.html?transitionType=UniqueDocItem&amp;contextData=(sc.Default)&amp;userEnteredCitation=134+S.Ct.+568#co_anchor_F92032188004" TargetMode="External"/><Relationship Id="rId151" Type="http://schemas.openxmlformats.org/officeDocument/2006/relationships/hyperlink" Target="https://1.next.westlaw.com/Document/Ia870dd0559ad11e38912df21cb42a557/View/FullText.html?transitionType=UniqueDocItem&amp;contextData=(sc.Default)&amp;userEnteredCitation=134+S.Ct.+568#co_footnote_B00062032188004" TargetMode="External"/><Relationship Id="rId153" Type="http://schemas.openxmlformats.org/officeDocument/2006/relationships/hyperlink" Target="https://1.next.westlaw.com/Document/Ia870dd0559ad11e38912df21cb42a557/View/FullText.html?transitionType=UniqueDocItem&amp;contextData=(sc.Default)&amp;userEnteredCitation=134+S.Ct.+568#co_footnote_B00072032188004" TargetMode="External"/><Relationship Id="rId136" Type="http://schemas.openxmlformats.org/officeDocument/2006/relationships/hyperlink" Target="https://1.next.westlaw.com/Link/Document/FullText?findType=L&amp;pubNum=1000546&amp;cite=28USCAS1391&amp;originatingDoc=Ia870dd0559ad11e38912df21cb42a557&amp;refType=LQ&amp;originationContext=document&amp;transitionType=DocumentItem&amp;ppcid=4fa8e757e5aa44789ec613c37003a839&amp;contextData=(sc.UserEnteredCitation)" TargetMode="External"/><Relationship Id="rId135" Type="http://schemas.openxmlformats.org/officeDocument/2006/relationships/hyperlink" Target="https://1.next.westlaw.com/Link/Document/FullText?findType=L&amp;pubNum=1000546&amp;cite=28USCAS1391&amp;originatingDoc=Ia870dd0559ad11e38912df21cb42a557&amp;refType=RB&amp;originationContext=document&amp;transitionType=DocumentItem&amp;ppcid=4fa8e757e5aa44789ec613c37003a839&amp;contextData=(sc.UserEnteredCitation)#co_pp_a83b000018c76" TargetMode="External"/><Relationship Id="rId120" Type="http://schemas.openxmlformats.org/officeDocument/2006/relationships/hyperlink" Target="https://1.next.westlaw.com/Link/Document/FullText?findType=L&amp;pubNum=1000546&amp;cite=28USCAS1404&amp;originatingDoc=Ia870dd0559ad11e38912df21cb42a557&amp;refType=RB&amp;originationContext=document&amp;transitionType=DocumentItem&amp;ppcid=4fa8e757e5aa44789ec613c37003a839&amp;contextData=(sc.UserEnteredCitation)#co_pp_8b3b0000958a4" TargetMode="External"/><Relationship Id="rId146" Type="http://schemas.openxmlformats.org/officeDocument/2006/relationships/hyperlink" Target="https://1.next.westlaw.com/Link/Document/FullText?findType=L&amp;pubNum=1000546&amp;cite=28USCAS1406&amp;originatingDoc=Ia870dd0559ad11e38912df21cb42a557&amp;refType=LQ&amp;originationContext=document&amp;transitionType=DocumentItem&amp;ppcid=4fa8e757e5aa44789ec613c37003a839&amp;contextData=(sc.UserEnteredCitation)" TargetMode="External"/><Relationship Id="rId118" Type="http://schemas.openxmlformats.org/officeDocument/2006/relationships/hyperlink" Target="https://1.next.westlaw.com/Link/Document/FullText?findType=L&amp;pubNum=1000546&amp;cite=28USCAS1406&amp;originatingDoc=Ia870dd0559ad11e38912df21cb42a557&amp;refType=RB&amp;originationContext=document&amp;transitionType=DocumentItem&amp;ppcid=4fa8e757e5aa44789ec613c37003a839&amp;contextData=(sc.UserEnteredCitation)#co_pp_8b3b0000958a4" TargetMode="External"/><Relationship Id="rId119" Type="http://schemas.openxmlformats.org/officeDocument/2006/relationships/hyperlink" Target="https://1.next.westlaw.com/Link/Document/FullText?findType=L&amp;pubNum=1000600&amp;cite=USFRCPR12&amp;originatingDoc=Ia870dd0559ad11e38912df21cb42a557&amp;refType=RB&amp;originationContext=document&amp;transitionType=DocumentItem&amp;ppcid=4fa8e757e5aa44789ec613c37003a839&amp;contextData=(sc.UserEnteredCitation)#co_pp_d801000002763" TargetMode="External"/><Relationship Id="rId129" Type="http://schemas.openxmlformats.org/officeDocument/2006/relationships/hyperlink" Target="https://1.next.westlaw.com/Link/Document/FullText?findType=Y&amp;pubNum=0000708&amp;cite=133SCT1748&amp;originatingDoc=Ia870dd0559ad11e38912df21cb42a557&amp;refType=RP&amp;originationContext=document&amp;transitionType=DocumentItem&amp;ppcid=4fa8e757e5aa44789ec613c37003a839&amp;contextData=(sc.UserEnteredCitation)" TargetMode="External"/><Relationship Id="rId165" Type="http://schemas.openxmlformats.org/officeDocument/2006/relationships/hyperlink" Target="https://1.next.westlaw.com/Link/Document/FullText?findType=Y&amp;serNum=1941124504&amp;pubNum=0000708&amp;originatingDoc=Ia870dd0559ad11e38912df21cb42a557&amp;refType=RP&amp;originationContext=document&amp;transitionType=DocumentItem&amp;ppcid=4fa8e757e5aa44789ec613c37003a839&amp;contextData=(sc.UserEnteredCitation)" TargetMode="External"/><Relationship Id="rId159" Type="http://schemas.openxmlformats.org/officeDocument/2006/relationships/hyperlink" Target="https://1.next.westlaw.com/Link/Document/FullText?findType=Y&amp;serNum=1964106283&amp;pubNum=708&amp;originatingDoc=Ia870dd0559ad11e38912df21cb42a557&amp;refType=RP&amp;originationContext=document&amp;transitionType=DocumentItem&amp;ppcid=4fa8e757e5aa44789ec613c37003a839&amp;contextData=(sc.UserEnteredCitation)" TargetMode="External"/><Relationship Id="rId163" Type="http://schemas.openxmlformats.org/officeDocument/2006/relationships/hyperlink" Target="https://1.next.westlaw.com/Link/Document/FullText?findType=Y&amp;serNum=1981151372&amp;pubNum=0000708&amp;originatingDoc=Ia870dd0559ad11e38912df21cb42a557&amp;refType=RP&amp;originationContext=document&amp;transitionType=DocumentItem&amp;ppcid=4fa8e757e5aa44789ec613c37003a839&amp;contextData=(sc.UserEnteredCitation)" TargetMode="External"/><Relationship Id="rId156" Type="http://schemas.openxmlformats.org/officeDocument/2006/relationships/hyperlink" Target="https://1.next.westlaw.com/Link/Document/FullText?findType=Y&amp;serNum=1988079268&amp;pubNum=708&amp;originatingDoc=Ia870dd0559ad11e38912df21cb42a557&amp;refType=RP&amp;originationContext=document&amp;transitionType=DocumentItem&amp;ppcid=4fa8e757e5aa44789ec613c37003a839&amp;contextData=(sc.UserEnteredCitation)" TargetMode="External"/><Relationship Id="rId145" Type="http://schemas.openxmlformats.org/officeDocument/2006/relationships/hyperlink" Target="https://1.next.westlaw.com/Link/Document/FullText?findType=Y&amp;serNum=2029226924&amp;pubNum=506&amp;originatingDoc=Ia870dd0559ad11e38912df21cb42a557&amp;refType=RP&amp;fi=co_pp_sp_506_740&amp;originationContext=document&amp;transitionType=DocumentItem&amp;ppcid=4fa8e757e5aa44789ec613c37003a839&amp;contextData=(sc.UserEnteredCitation)#co_pp_sp_506_740" TargetMode="External"/><Relationship Id="rId127" Type="http://schemas.openxmlformats.org/officeDocument/2006/relationships/hyperlink" Target="https://1.next.westlaw.com/Link/Document/FullText?findType=Y&amp;serNum=2030930425&amp;originatingDoc=Ia870dd0559ad11e38912df21cb42a557&amp;refType=RP&amp;originationContext=document&amp;transitionType=DocumentItem&amp;ppcid=4fa8e757e5aa44789ec613c37003a839&amp;contextData=(sc.UserEnteredCitation)" TargetMode="External"/><Relationship Id="rId125" Type="http://schemas.openxmlformats.org/officeDocument/2006/relationships/hyperlink" Target="https://1.next.westlaw.com/Link/Document/FullText?findType=Y&amp;serNum=2030930425&amp;pubNum=0000999&amp;originatingDoc=Ia870dd0559ad11e38912df21cb42a557&amp;refType=RP&amp;originationContext=document&amp;transitionType=DocumentItem&amp;ppcid=4fa8e757e5aa44789ec613c37003a839&amp;contextData=(sc.UserEnteredCitation)" TargetMode="External"/><Relationship Id="rId117" Type="http://schemas.openxmlformats.org/officeDocument/2006/relationships/hyperlink" Target="https://1.next.westlaw.com/Link/Document/FullText?findType=h&amp;pubNum=176284&amp;cite=0153052401&amp;originatingDoc=Ia870dd0559ad11e38912df21cb42a557&amp;refType=RQ&amp;originationContext=document&amp;transitionType=DocumentItem&amp;ppcid=4fa8e757e5aa44789ec613c37003a839&amp;contextData=(sc.UserEnteredCitation)&amp;analyticGuid=Ia870dd0559ad11e38912df21cb42a557" TargetMode="External"/><Relationship Id="rId51" Type="http://schemas.openxmlformats.org/officeDocument/2006/relationships/hyperlink" Target="https://digitalcommons.law.uw.edu/cgi/viewcontent.cgi?article=3730&amp;context=wlr" TargetMode="External"/><Relationship Id="rId228" Type="http://schemas.openxmlformats.org/officeDocument/2006/relationships/hyperlink" Target="https://docs.google.com/document/d/1HuXmvykrFDWmVBQtu9mC0wD3jU__JljwuJQvM1FfxS8/edit?usp=sharing" TargetMode="External"/><Relationship Id="rId229" Type="http://schemas.openxmlformats.org/officeDocument/2006/relationships/hyperlink" Target="https://docs.google.com/document/d/1qdwrKXz1Z9vcWs2HeIsaSyUCUxzjTNi1amXv3LjzjiA/edit?usp=sharing" TargetMode="External"/><Relationship Id="rId222" Type="http://schemas.openxmlformats.org/officeDocument/2006/relationships/hyperlink" Target="https://drive.google.com/drive/folders/1MA1MgwdJ7H88yg7SC3gJ4uBrl2EZzz02?usp=drive_link" TargetMode="External"/><Relationship Id="rId23" Type="http://schemas.openxmlformats.org/officeDocument/2006/relationships/hyperlink" Target="https://harvard.zoom.us/rec/play/5aurbALTPPWD_62VYy2Z0yfsr9klBjSeRV8mHUyWPEI33HGxlglKlLPdOvWLMrr_rWtY_0v5DOhoXGVR.xsrpPXNUQYvLUc0t?canPlayFromShare=true&amp;from=share_recording_detail&amp;continueMode=true&amp;componentName=rec-play&amp;originRequestUrl=https%3A%2F%2Fharvard.zoom.us%2Frec%2Fshare%2F3pFoH7XWp0ZJXpXP7kLGSKMeGqvVeaa823Me-_oFmB43S-B45nmb0DJzVrXyT-5M" TargetMode="External"/><Relationship Id="rId21" Type="http://schemas.openxmlformats.org/officeDocument/2006/relationships/hyperlink" Target="https://harvard.zoom.us/rec/play/BIdRKjuf4HS_5FdhMK0oaQfPCRRtHT01N3Ie8S66gwO2k_HmPyXMhkGgS46NJAbCLKhXcnFgdhLEYLDR.ksUvWDXNwD_tcI9q?canPlayFromShare=true&amp;from=share_recording_detail&amp;continueMode=true&amp;componentName=rec-play&amp;originRequestUrl=https%3A%2F%2Fharvard.zoom.us%2Frec%2Fshare%2Fys1scrzpzUNOTbfk0mjWXKAjB5Tpaaa823cZrqAJyUpi9CvRVT2mPNwrTWpg_n3N" TargetMode="External"/><Relationship Id="rId50" Type="http://schemas.openxmlformats.org/officeDocument/2006/relationships/hyperlink" Target="https://harvard.zoom.us/rec/share/2gWACRw0DTRa-Te6lNWYrHJ1mmFsBaYBBzCd1tjUuGFAjQ97fQX1lzLyhUWhSHE5.xxIMCA9yD5GG4oW4" TargetMode="External"/><Relationship Id="rId22" Type="http://schemas.openxmlformats.org/officeDocument/2006/relationships/hyperlink" Target="https://harvard.zoom.us/rec/share/5tN2AIDA0WFIY4Xw4wbBeoAbO6i8eaa8hChM-KEEmU51PYkpps5YUj4yWwHWpWRz" TargetMode="External"/><Relationship Id="rId55" Type="http://schemas.openxmlformats.org/officeDocument/2006/relationships/hyperlink" Target="https://harvard.zoom.us/rec/share/F9UgtDRn3IQIuYev2wA4SXCQ_whbB7gIUJnjVSbkB6l-Jh-YNujWqbA68056_4Zy.wnAgqfh-px6p_3k3" TargetMode="External"/><Relationship Id="rId176" Type="http://schemas.openxmlformats.org/officeDocument/2006/relationships/hyperlink" Target="https://harvard.zoom.us/rec/share/UhvSrQQ_X9mtUqmmZkM5yMPRxrLZyEQf4UY3hFwIc3lDFwgLJUeC5r32Ma80Hvkb.tfs4bAphxSLGTMxd" TargetMode="External"/><Relationship Id="rId94" Type="http://schemas.openxmlformats.org/officeDocument/2006/relationships/hyperlink" Target="https://harvard.zoom.us/rec/share/_0C66FJG8_485shkCh0TbWx3KT8N2WYFW-iaDtVHbNKWaHPBPuTMMzXBQ9_JBZSZ.aOZhv7sZaQKEF5Ay" TargetMode="External"/><Relationship Id="rId200" Type="http://schemas.openxmlformats.org/officeDocument/2006/relationships/hyperlink" Target="https://harvard.zoom.us/rec/share/_qD-aNHnaicBihkV_BjMk2jJWmWrRbyrC5ypdo2qpnv8YYxtY4MSE_2T9Wzp8XEV._G5z_xg7LMXhiBIP" TargetMode="External"/><Relationship Id="rId238" Type="http://schemas.openxmlformats.org/officeDocument/2006/relationships/hyperlink" Target="https://harvard.zoom.us/rec/share/hh5kgF9KlD9os2iffy1WDv-Q6hPtJjr06WzGP74XMgKfYfOdFsgeHgS4VN9UQGHu.SO9OSlTgikB4ejCm" TargetMode="External"/><Relationship Id="rId179" Type="http://schemas.openxmlformats.org/officeDocument/2006/relationships/hyperlink" Target="https://harvard.zoom.us/rec/share/zQh1k4azZwzYXWeRAXfehwphxNJI_zT5W-fL5tOG6hIrcTdEtYsijeK7OP2kFXuK.NI78DfqG4FxDh2WU" TargetMode="External"/><Relationship Id="rId227" Type="http://schemas.openxmlformats.org/officeDocument/2006/relationships/hyperlink" Target="https://harvardlawreview.org/print/vol-122/whose-eyes-are-you-going-to-believe-scott-v-harris-and-the-perils-of-cognitive-illiberalism/#:~:text=Harris%2C%20127%20S.,in%20a%20high%2Dspeed%20chase." TargetMode="External"/><Relationship Id="rId97" Type="http://schemas.openxmlformats.org/officeDocument/2006/relationships/hyperlink" Target="https://hu.sharepoint.com/:b:/s/h2o/EQX7I4iVR8xLgTjKwhQrTJgBkoYfj7wXpv9xeA2buvNQ2g?e=chxkIa" TargetMode="External"/><Relationship Id="rId96" Type="http://schemas.openxmlformats.org/officeDocument/2006/relationships/hyperlink" Target="https://hu.sharepoint.com/:b:/s/h2o/ETVPJwhxhA9Bv4zvCyfj6Z4Bj6orbx2Ww8xbejJehaPrzg?e=gyrOhg" TargetMode="External"/><Relationship Id="rId230" Type="http://schemas.openxmlformats.org/officeDocument/2006/relationships/hyperlink" Target="https://hu.sharepoint.com/:b:/s/h2o/EXA4RKWFViBBl_8kCgxrLuAB0YtxLh8ZfjAMlDQM6X1PtA?e=rs7nri" TargetMode="External"/><Relationship Id="rId201" Type="http://schemas.openxmlformats.org/officeDocument/2006/relationships/hyperlink" Target="https://hu.sharepoint.com/:b:/s/h2o/EaFX8fATQPFAulx66Cy_KlEBQO4XahW7ztNgteLKmlKu5Q?e=AdGExl" TargetMode="External"/><Relationship Id="rId95" Type="http://schemas.openxmlformats.org/officeDocument/2006/relationships/hyperlink" Target="https://hu.sharepoint.com/:b:/s/h2o/EckIdTSQooBHk2_qiKwWzJsBBzcGRzkKNyqNNTu0hM6c8w?e=Az5KOs" TargetMode="External"/><Relationship Id="rId206" Type="http://schemas.openxmlformats.org/officeDocument/2006/relationships/hyperlink" Target="https://hu.sharepoint.com/:b:/s/h2o/EeLK8jvCY15MovdzZI56kvsBQu4VZ4iao6dZW61oDvRCyw?e=UbcAeT" TargetMode="External"/><Relationship Id="rId239" Type="http://schemas.openxmlformats.org/officeDocument/2006/relationships/hyperlink" Target="https://hu.sharepoint.com/:p:/s/h2o/EVbpG6Z-eSRLrEH7PcQSahABeIcD-2it4JJaT4tcThKffQ?e=SQIZb7" TargetMode="External"/><Relationship Id="rId24" Type="http://schemas.openxmlformats.org/officeDocument/2006/relationships/hyperlink" Target="https://hu.sharepoint.com/:u:/s/h2o/ER8Dp1-K57FIidy7CxFhBsMBJ9wgNIXCU7F14SFAq-QzWg?e=JZAhqA" TargetMode="External"/><Relationship Id="rId225" Type="http://schemas.openxmlformats.org/officeDocument/2006/relationships/hyperlink" Target="https://hu.sharepoint.com/:u:/s/h2o/ES86QeWeW35OrayZQ5BhefMBrlZnzqDH-w6pYaW7c6EbrQ?e=MnVewn" TargetMode="External"/><Relationship Id="rId244" Type="http://schemas.openxmlformats.org/officeDocument/2006/relationships/hyperlink" Target="https://hu.sharepoint.com/:u:/s/h2o/ESk11e4ekjVAl1Lu0VxoBc8BG_vfFqAnKP0s1F-kmM9BKw?e=cdqV0U" TargetMode="External"/><Relationship Id="rId26" Type="http://schemas.openxmlformats.org/officeDocument/2006/relationships/hyperlink" Target="https://hu.sharepoint.com/:u:/s/h2o/EU-5G_eIebdKisDxl-w2cC0BjdrWdRpHiy2zKWxZ3NtzJA?e=ywiHfd" TargetMode="External"/><Relationship Id="rId291" Type="http://schemas.openxmlformats.org/officeDocument/2006/relationships/hyperlink" Target="https://hu.sharepoint.com/:u:/s/h2o/EUDIVNYGc_9Bo66IhNOOaYsByO-H5778-XzH0jLQHSEXRw?e=OLeAAR" TargetMode="External"/><Relationship Id="rId199" Type="http://schemas.openxmlformats.org/officeDocument/2006/relationships/hyperlink" Target="https://hu.sharepoint.com/:u:/s/h2o/EUL--Pr95nRPhv-olHRrDOgBsvuAty8uWWdsu9Pie3zbpw?e=WX9Wvq" TargetMode="External"/><Relationship Id="rId183" Type="http://schemas.openxmlformats.org/officeDocument/2006/relationships/hyperlink" Target="https://hu.sharepoint.com/:u:/s/h2o/EVnWEqNhsRRJqMkmb0gwF8gBDcvvJamd2iv3UDyjl0BfEg?e=tyRkue" TargetMode="External"/><Relationship Id="rId210" Type="http://schemas.openxmlformats.org/officeDocument/2006/relationships/hyperlink" Target="https://hu.sharepoint.com/:u:/s/h2o/EWE0OwfR3RpIvXBGQriLpoUBMon24776LSj6GJrAZzSEeg?e=fVT6lN" TargetMode="External"/><Relationship Id="rId223" Type="http://schemas.openxmlformats.org/officeDocument/2006/relationships/hyperlink" Target="https://hu.sharepoint.com/:u:/s/h2o/EWsD0iEHnptNlLN0AWITSAYBUZEFg6rdsNdPESoL4KEIUA?e=d7i9U6" TargetMode="External"/><Relationship Id="rId29" Type="http://schemas.openxmlformats.org/officeDocument/2006/relationships/hyperlink" Target="https://hu.sharepoint.com/:u:/s/h2o/EX0VgUE2bmNKvErcpRV3J4cBoaSaW9GJZ4k_EMLPAPiLjg?e=zYzfM1" TargetMode="External"/><Relationship Id="rId259" Type="http://schemas.openxmlformats.org/officeDocument/2006/relationships/hyperlink" Target="https://hu.sharepoint.com/:u:/s/h2o/EXB8LAdwSRJAt9cgbMbfqPIB4eQbf2Zwq98PN3feYGB5jw?e=YboPON" TargetMode="External"/><Relationship Id="rId299" Type="http://schemas.openxmlformats.org/officeDocument/2006/relationships/hyperlink" Target="https://hu.sharepoint.com/:u:/s/h2o/EYAzwc_pTOxMu3yooMUw3iAB2njOYQ551sV3ZxSPBTMdQw?e=M3hsA4" TargetMode="External"/><Relationship Id="rId211" Type="http://schemas.openxmlformats.org/officeDocument/2006/relationships/hyperlink" Target="https://hu.sharepoint.com/:u:/s/h2o/EYID3vXcWLNGiGJXdiBabQMBTMUCF6yhWkImPlZZZ72Eow?e=ngb0Go" TargetMode="External"/><Relationship Id="rId208" Type="http://schemas.openxmlformats.org/officeDocument/2006/relationships/hyperlink" Target="https://hu.sharepoint.com/:u:/s/h2o/EYV5I0eKrVRCm8pOEtXfb6IBa6SAwKdtQSM7n4O66x4nog?e=tIPLTT" TargetMode="External"/><Relationship Id="rId25" Type="http://schemas.openxmlformats.org/officeDocument/2006/relationships/hyperlink" Target="https://hu.sharepoint.com/:u:/s/h2o/EYxjiXPdARtPt29rCWjkZjQBIhBxiuY01mPgbzTIRHoCCQ?e=lWgl7Y" TargetMode="External"/><Relationship Id="rId27" Type="http://schemas.openxmlformats.org/officeDocument/2006/relationships/hyperlink" Target="https://hu.sharepoint.com/:u:/s/h2o/EZ5T-55rXWBLvv9-yvhEK_cBq3fr1-YB5SWRABWnHnBGkw?e=QAIc0s" TargetMode="External"/><Relationship Id="rId298" Type="http://schemas.openxmlformats.org/officeDocument/2006/relationships/hyperlink" Target="https://hu.sharepoint.com/:u:/s/h2o/EahBqdespbBJpZPPGWf1_10BPLEIkKScI38Ouyho3HV8_Q?e=CYDFbc" TargetMode="External"/><Relationship Id="rId212" Type="http://schemas.openxmlformats.org/officeDocument/2006/relationships/hyperlink" Target="https://hu.sharepoint.com/:u:/s/h2o/Eap5TJwKGhFGnio57TNo5tgBqSADgnsR-albXRPITK2RGg?e=UNJMn8" TargetMode="External"/><Relationship Id="rId178" Type="http://schemas.openxmlformats.org/officeDocument/2006/relationships/hyperlink" Target="https://hu.sharepoint.com/:u:/s/h2o/EeW5Mz7Pq2ROkgUlzIcBcwYBFGchAmGya-g5Ag9zuZtuiQ?e=IctzjE" TargetMode="External"/><Relationship Id="rId198" Type="http://schemas.openxmlformats.org/officeDocument/2006/relationships/hyperlink" Target="https://hu.sharepoint.com/:u:/s/h2o/EeWA-VFdohBLm8rTrApZu40BJ40Zno6pOBbJV3r2rGhijg?e=5HsRpr" TargetMode="External"/><Relationship Id="rId182" Type="http://schemas.openxmlformats.org/officeDocument/2006/relationships/hyperlink" Target="https://hu.sharepoint.com/:u:/s/h2o/EeZA2bfxU6JMvix2AsyeEf8B3VEApwAP1dqoOdCI0GDJjw?e=6dvi8R" TargetMode="External"/><Relationship Id="rId20" Type="http://schemas.openxmlformats.org/officeDocument/2006/relationships/hyperlink" Target="https://support.microsoft.com/en-us/topic/the-styles-advantage-in-word-b4a6372f-188c-93cb-831b-c4dd0cb3a881" TargetMode="External"/><Relationship Id="rId231" Type="http://schemas.openxmlformats.org/officeDocument/2006/relationships/hyperlink" Target="https://www.law.cornell.edu/supremecourt/text/22-859#:~:text=The%20Fifth%20Circuit%20vacated%20the,defendant%20to%20a%20jury%20trial." TargetMode="External"/><Relationship Id="rId209" Type="http://schemas.openxmlformats.org/officeDocument/2006/relationships/hyperlink" Target="https://www2.ca3.uscourts.gov/opinarch/203371np.pdf"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http://www.lrcvaw.org/laws/malongarm.pdf" TargetMode="External"/><Relationship Id="rId226" Type="http://schemas.openxmlformats.org/officeDocument/2006/relationships/hyperlink" Target="http://www.supremecourt.gov/media/media.aspx/" TargetMode="External"/><Relationship Id="rId133" Type="http://schemas.openxmlformats.org/officeDocument/2006/relationships/hyperlink" Target="https://1.next.westlaw.com/Document/Ia870dd0559ad11e38912df21cb42a557/View/FullText.html?transitionType=UniqueDocItem&amp;contextData=(sc.Default)&amp;userEnteredCitation=134+S.Ct.+568#co_anchor_F12032188004" TargetMode="External"/><Relationship Id="rId147" Type="http://schemas.openxmlformats.org/officeDocument/2006/relationships/hyperlink" Target="https://1.next.westlaw.com/Document/Ia870dd0559ad11e38912df21cb42a557/View/FullText.html?transitionType=UniqueDocItem&amp;contextData=(sc.Default)&amp;userEnteredCitation=134+S.Ct.+568#co_anchor_F122032188004" TargetMode="External"/><Relationship Id="rId149" Type="http://schemas.openxmlformats.org/officeDocument/2006/relationships/hyperlink" Target="https://1.next.westlaw.com/Document/Ia870dd0559ad11e38912df21cb42a557/View/FullText.html?transitionType=UniqueDocItem&amp;contextData=(sc.Default)&amp;userEnteredCitation=134+S.Ct.+568#co_anchor_F152032188004" TargetMode="External"/><Relationship Id="rId152" Type="http://schemas.openxmlformats.org/officeDocument/2006/relationships/hyperlink" Target="https://1.next.westlaw.com/Document/Ia870dd0559ad11e38912df21cb42a557/View/FullText.html?transitionType=UniqueDocItem&amp;contextData=(sc.Default)&amp;userEnteredCitation=134+S.Ct.+568#co_anchor_F182032188004" TargetMode="External"/><Relationship Id="rId155" Type="http://schemas.openxmlformats.org/officeDocument/2006/relationships/hyperlink" Target="https://1.next.westlaw.com/Document/Ia870dd0559ad11e38912df21cb42a557/View/FullText.html?transitionType=UniqueDocItem&amp;contextData=(sc.Default)&amp;userEnteredCitation=134+S.Ct.+568#co_anchor_F222032188004" TargetMode="External"/><Relationship Id="rId157" Type="http://schemas.openxmlformats.org/officeDocument/2006/relationships/hyperlink" Target="https://1.next.westlaw.com/Document/Ia870dd0559ad11e38912df21cb42a557/View/FullText.html?transitionType=UniqueDocItem&amp;contextData=(sc.Default)&amp;userEnteredCitation=134+S.Ct.+568#co_anchor_F242032188004" TargetMode="External"/><Relationship Id="rId161" Type="http://schemas.openxmlformats.org/officeDocument/2006/relationships/hyperlink" Target="https://1.next.westlaw.com/Document/Ia870dd0559ad11e38912df21cb42a557/View/FullText.html?transitionType=UniqueDocItem&amp;contextData=(sc.Default)&amp;userEnteredCitation=134+S.Ct.+568#co_anchor_F282032188004" TargetMode="External"/><Relationship Id="rId162" Type="http://schemas.openxmlformats.org/officeDocument/2006/relationships/hyperlink" Target="https://1.next.westlaw.com/Document/Ia870dd0559ad11e38912df21cb42a557/View/FullText.html?transitionType=UniqueDocItem&amp;contextData=(sc.Default)&amp;userEnteredCitation=134+S.Ct.+568#co_anchor_F292032188004" TargetMode="External"/><Relationship Id="rId167" Type="http://schemas.openxmlformats.org/officeDocument/2006/relationships/hyperlink" Target="https://1.next.westlaw.com/Document/Ia870dd0559ad11e38912df21cb42a557/View/FullText.html?transitionType=UniqueDocItem&amp;contextData=(sc.Default)&amp;userEnteredCitation=134+S.Ct.+568#co_anchor_F332032188004" TargetMode="External"/><Relationship Id="rId138" Type="http://schemas.openxmlformats.org/officeDocument/2006/relationships/hyperlink" Target="https://1.next.westlaw.com/Document/Ia870dd0559ad11e38912df21cb42a557/View/FullText.html?transitionType=UniqueDocItem&amp;contextData=(sc.Default)&amp;userEnteredCitation=134+S.Ct.+568#co_anchor_F42032188004" TargetMode="External"/><Relationship Id="rId139" Type="http://schemas.openxmlformats.org/officeDocument/2006/relationships/hyperlink" Target="https://1.next.westlaw.com/Document/Ia870dd0559ad11e38912df21cb42a557/View/FullText.html?transitionType=UniqueDocItem&amp;contextData=(sc.Default)&amp;userEnteredCitation=134+S.Ct.+568#co_anchor_F52032188004" TargetMode="External"/><Relationship Id="rId140" Type="http://schemas.openxmlformats.org/officeDocument/2006/relationships/hyperlink" Target="https://1.next.westlaw.com/Document/Ia870dd0559ad11e38912df21cb42a557/View/FullText.html?transitionType=UniqueDocItem&amp;contextData=(sc.Default)&amp;userEnteredCitation=134+S.Ct.+568#co_anchor_F62032188004" TargetMode="External"/><Relationship Id="rId141" Type="http://schemas.openxmlformats.org/officeDocument/2006/relationships/hyperlink" Target="https://1.next.westlaw.com/Document/Ia870dd0559ad11e38912df21cb42a557/View/FullText.html?transitionType=UniqueDocItem&amp;contextData=(sc.Default)&amp;userEnteredCitation=134+S.Ct.+568#co_anchor_F72032188004" TargetMode="External"/><Relationship Id="rId142" Type="http://schemas.openxmlformats.org/officeDocument/2006/relationships/hyperlink" Target="https://1.next.westlaw.com/Document/Ia870dd0559ad11e38912df21cb42a557/View/FullText.html?transitionType=UniqueDocItem&amp;contextData=(sc.Default)&amp;userEnteredCitation=134+S.Ct.+568#co_anchor_F82032188004" TargetMode="External"/><Relationship Id="rId143" Type="http://schemas.openxmlformats.org/officeDocument/2006/relationships/hyperlink" Target="https://1.next.westlaw.com/Document/Ia870dd0559ad11e38912df21cb42a557/View/FullText.html?transitionType=UniqueDocItem&amp;contextData=(sc.Default)&amp;userEnteredCitation=134+S.Ct.+568#co_anchor_F92032188004" TargetMode="External"/><Relationship Id="rId151" Type="http://schemas.openxmlformats.org/officeDocument/2006/relationships/hyperlink" Target="https://1.next.westlaw.com/Document/Ia870dd0559ad11e38912df21cb42a557/View/FullText.html?transitionType=UniqueDocItem&amp;contextData=(sc.Default)&amp;userEnteredCitation=134+S.Ct.+568#co_footnote_B00062032188004" TargetMode="External"/><Relationship Id="rId153" Type="http://schemas.openxmlformats.org/officeDocument/2006/relationships/hyperlink" Target="https://1.next.westlaw.com/Document/Ia870dd0559ad11e38912df21cb42a557/View/FullText.html?transitionType=UniqueDocItem&amp;contextData=(sc.Default)&amp;userEnteredCitation=134+S.Ct.+568#co_footnote_B00072032188004" TargetMode="External"/><Relationship Id="rId136" Type="http://schemas.openxmlformats.org/officeDocument/2006/relationships/hyperlink" Target="https://1.next.westlaw.com/Link/Document/FullText?findType=L&amp;pubNum=1000546&amp;cite=28USCAS1391&amp;originatingDoc=Ia870dd0559ad11e38912df21cb42a557&amp;refType=LQ&amp;originationContext=document&amp;transitionType=DocumentItem&amp;ppcid=4fa8e757e5aa44789ec613c37003a839&amp;contextData=(sc.UserEnteredCitation)" TargetMode="External"/><Relationship Id="rId135" Type="http://schemas.openxmlformats.org/officeDocument/2006/relationships/hyperlink" Target="https://1.next.westlaw.com/Link/Document/FullText?findType=L&amp;pubNum=1000546&amp;cite=28USCAS1391&amp;originatingDoc=Ia870dd0559ad11e38912df21cb42a557&amp;refType=RB&amp;originationContext=document&amp;transitionType=DocumentItem&amp;ppcid=4fa8e757e5aa44789ec613c37003a839&amp;contextData=(sc.UserEnteredCitation)#co_pp_a83b000018c76" TargetMode="External"/><Relationship Id="rId120" Type="http://schemas.openxmlformats.org/officeDocument/2006/relationships/hyperlink" Target="https://1.next.westlaw.com/Link/Document/FullText?findType=L&amp;pubNum=1000546&amp;cite=28USCAS1404&amp;originatingDoc=Ia870dd0559ad11e38912df21cb42a557&amp;refType=RB&amp;originationContext=document&amp;transitionType=DocumentItem&amp;ppcid=4fa8e757e5aa44789ec613c37003a839&amp;contextData=(sc.UserEnteredCitation)#co_pp_8b3b0000958a4" TargetMode="External"/><Relationship Id="rId146" Type="http://schemas.openxmlformats.org/officeDocument/2006/relationships/hyperlink" Target="https://1.next.westlaw.com/Link/Document/FullText?findType=L&amp;pubNum=1000546&amp;cite=28USCAS1406&amp;originatingDoc=Ia870dd0559ad11e38912df21cb42a557&amp;refType=LQ&amp;originationContext=document&amp;transitionType=DocumentItem&amp;ppcid=4fa8e757e5aa44789ec613c37003a839&amp;contextData=(sc.UserEnteredCitation)" TargetMode="External"/><Relationship Id="rId118" Type="http://schemas.openxmlformats.org/officeDocument/2006/relationships/hyperlink" Target="https://1.next.westlaw.com/Link/Document/FullText?findType=L&amp;pubNum=1000546&amp;cite=28USCAS1406&amp;originatingDoc=Ia870dd0559ad11e38912df21cb42a557&amp;refType=RB&amp;originationContext=document&amp;transitionType=DocumentItem&amp;ppcid=4fa8e757e5aa44789ec613c37003a839&amp;contextData=(sc.UserEnteredCitation)#co_pp_8b3b0000958a4" TargetMode="External"/><Relationship Id="rId119" Type="http://schemas.openxmlformats.org/officeDocument/2006/relationships/hyperlink" Target="https://1.next.westlaw.com/Link/Document/FullText?findType=L&amp;pubNum=1000600&amp;cite=USFRCPR12&amp;originatingDoc=Ia870dd0559ad11e38912df21cb42a557&amp;refType=RB&amp;originationContext=document&amp;transitionType=DocumentItem&amp;ppcid=4fa8e757e5aa44789ec613c37003a839&amp;contextData=(sc.UserEnteredCitation)#co_pp_d801000002763" TargetMode="External"/><Relationship Id="rId129" Type="http://schemas.openxmlformats.org/officeDocument/2006/relationships/hyperlink" Target="https://1.next.westlaw.com/Link/Document/FullText?findType=Y&amp;pubNum=0000708&amp;cite=133SCT1748&amp;originatingDoc=Ia870dd0559ad11e38912df21cb42a557&amp;refType=RP&amp;originationContext=document&amp;transitionType=DocumentItem&amp;ppcid=4fa8e757e5aa44789ec613c37003a839&amp;contextData=(sc.UserEnteredCitation)" TargetMode="External"/><Relationship Id="rId165" Type="http://schemas.openxmlformats.org/officeDocument/2006/relationships/hyperlink" Target="https://1.next.westlaw.com/Link/Document/FullText?findType=Y&amp;serNum=1941124504&amp;pubNum=0000708&amp;originatingDoc=Ia870dd0559ad11e38912df21cb42a557&amp;refType=RP&amp;originationContext=document&amp;transitionType=DocumentItem&amp;ppcid=4fa8e757e5aa44789ec613c37003a839&amp;contextData=(sc.UserEnteredCitation)" TargetMode="External"/><Relationship Id="rId159" Type="http://schemas.openxmlformats.org/officeDocument/2006/relationships/hyperlink" Target="https://1.next.westlaw.com/Link/Document/FullText?findType=Y&amp;serNum=1964106283&amp;pubNum=708&amp;originatingDoc=Ia870dd0559ad11e38912df21cb42a557&amp;refType=RP&amp;originationContext=document&amp;transitionType=DocumentItem&amp;ppcid=4fa8e757e5aa44789ec613c37003a839&amp;contextData=(sc.UserEnteredCitation)" TargetMode="External"/><Relationship Id="rId163" Type="http://schemas.openxmlformats.org/officeDocument/2006/relationships/hyperlink" Target="https://1.next.westlaw.com/Link/Document/FullText?findType=Y&amp;serNum=1981151372&amp;pubNum=0000708&amp;originatingDoc=Ia870dd0559ad11e38912df21cb42a557&amp;refType=RP&amp;originationContext=document&amp;transitionType=DocumentItem&amp;ppcid=4fa8e757e5aa44789ec613c37003a839&amp;contextData=(sc.UserEnteredCitation)" TargetMode="External"/><Relationship Id="rId156" Type="http://schemas.openxmlformats.org/officeDocument/2006/relationships/hyperlink" Target="https://1.next.westlaw.com/Link/Document/FullText?findType=Y&amp;serNum=1988079268&amp;pubNum=708&amp;originatingDoc=Ia870dd0559ad11e38912df21cb42a557&amp;refType=RP&amp;originationContext=document&amp;transitionType=DocumentItem&amp;ppcid=4fa8e757e5aa44789ec613c37003a839&amp;contextData=(sc.UserEnteredCitation)" TargetMode="External"/><Relationship Id="rId145" Type="http://schemas.openxmlformats.org/officeDocument/2006/relationships/hyperlink" Target="https://1.next.westlaw.com/Link/Document/FullText?findType=Y&amp;serNum=2029226924&amp;pubNum=506&amp;originatingDoc=Ia870dd0559ad11e38912df21cb42a557&amp;refType=RP&amp;fi=co_pp_sp_506_740&amp;originationContext=document&amp;transitionType=DocumentItem&amp;ppcid=4fa8e757e5aa44789ec613c37003a839&amp;contextData=(sc.UserEnteredCitation)#co_pp_sp_506_740" TargetMode="External"/><Relationship Id="rId127" Type="http://schemas.openxmlformats.org/officeDocument/2006/relationships/hyperlink" Target="https://1.next.westlaw.com/Link/Document/FullText?findType=Y&amp;serNum=2030930425&amp;originatingDoc=Ia870dd0559ad11e38912df21cb42a557&amp;refType=RP&amp;originationContext=document&amp;transitionType=DocumentItem&amp;ppcid=4fa8e757e5aa44789ec613c37003a839&amp;contextData=(sc.UserEnteredCitation)" TargetMode="External"/><Relationship Id="rId125" Type="http://schemas.openxmlformats.org/officeDocument/2006/relationships/hyperlink" Target="https://1.next.westlaw.com/Link/Document/FullText?findType=Y&amp;serNum=2030930425&amp;pubNum=0000999&amp;originatingDoc=Ia870dd0559ad11e38912df21cb42a557&amp;refType=RP&amp;originationContext=document&amp;transitionType=DocumentItem&amp;ppcid=4fa8e757e5aa44789ec613c37003a839&amp;contextData=(sc.UserEnteredCitation)" TargetMode="External"/><Relationship Id="rId117" Type="http://schemas.openxmlformats.org/officeDocument/2006/relationships/hyperlink" Target="https://1.next.westlaw.com/Link/Document/FullText?findType=h&amp;pubNum=176284&amp;cite=0153052401&amp;originatingDoc=Ia870dd0559ad11e38912df21cb42a557&amp;refType=RQ&amp;originationContext=document&amp;transitionType=DocumentItem&amp;ppcid=4fa8e757e5aa44789ec613c37003a839&amp;contextData=(sc.UserEnteredCitation)&amp;analyticGuid=Ia870dd0559ad11e38912df21cb42a557" TargetMode="External"/><Relationship Id="rId51" Type="http://schemas.openxmlformats.org/officeDocument/2006/relationships/hyperlink" Target="https://digitalcommons.law.uw.edu/cgi/viewcontent.cgi?article=3730&amp;context=wlr" TargetMode="External"/><Relationship Id="rId228" Type="http://schemas.openxmlformats.org/officeDocument/2006/relationships/hyperlink" Target="https://docs.google.com/document/d/1HuXmvykrFDWmVBQtu9mC0wD3jU__JljwuJQvM1FfxS8/edit?usp=sharing" TargetMode="External"/><Relationship Id="rId229" Type="http://schemas.openxmlformats.org/officeDocument/2006/relationships/hyperlink" Target="https://docs.google.com/document/d/1qdwrKXz1Z9vcWs2HeIsaSyUCUxzjTNi1amXv3LjzjiA/edit?usp=sharing" TargetMode="External"/><Relationship Id="rId222" Type="http://schemas.openxmlformats.org/officeDocument/2006/relationships/hyperlink" Target="https://drive.google.com/drive/folders/1MA1MgwdJ7H88yg7SC3gJ4uBrl2EZzz02?usp=drive_link" TargetMode="External"/><Relationship Id="rId23" Type="http://schemas.openxmlformats.org/officeDocument/2006/relationships/hyperlink" Target="https://harvard.zoom.us/rec/play/5aurbALTPPWD_62VYy2Z0yfsr9klBjSeRV8mHUyWPEI33HGxlglKlLPdOvWLMrr_rWtY_0v5DOhoXGVR.xsrpPXNUQYvLUc0t?canPlayFromShare=true&amp;from=share_recording_detail&amp;continueMode=true&amp;componentName=rec-play&amp;originRequestUrl=https%3A%2F%2Fharvard.zoom.us%2Frec%2Fshare%2F3pFoH7XWp0ZJXpXP7kLGSKMeGqvVeaa823Me-_oFmB43S-B45nmb0DJzVrXyT-5M" TargetMode="External"/><Relationship Id="rId21" Type="http://schemas.openxmlformats.org/officeDocument/2006/relationships/hyperlink" Target="https://harvard.zoom.us/rec/play/BIdRKjuf4HS_5FdhMK0oaQfPCRRtHT01N3Ie8S66gwO2k_HmPyXMhkGgS46NJAbCLKhXcnFgdhLEYLDR.ksUvWDXNwD_tcI9q?canPlayFromShare=true&amp;from=share_recording_detail&amp;continueMode=true&amp;componentName=rec-play&amp;originRequestUrl=https%3A%2F%2Fharvard.zoom.us%2Frec%2Fshare%2Fys1scrzpzUNOTbfk0mjWXKAjB5Tpaaa823cZrqAJyUpi9CvRVT2mPNwrTWpg_n3N" TargetMode="External"/><Relationship Id="rId50" Type="http://schemas.openxmlformats.org/officeDocument/2006/relationships/hyperlink" Target="https://harvard.zoom.us/rec/share/2gWACRw0DTRa-Te6lNWYrHJ1mmFsBaYBBzCd1tjUuGFAjQ97fQX1lzLyhUWhSHE5.xxIMCA9yD5GG4oW4" TargetMode="External"/><Relationship Id="rId22" Type="http://schemas.openxmlformats.org/officeDocument/2006/relationships/hyperlink" Target="https://harvard.zoom.us/rec/share/5tN2AIDA0WFIY4Xw4wbBeoAbO6i8eaa8hChM-KEEmU51PYkpps5YUj4yWwHWpWRz" TargetMode="External"/><Relationship Id="rId55" Type="http://schemas.openxmlformats.org/officeDocument/2006/relationships/hyperlink" Target="https://harvard.zoom.us/rec/share/F9UgtDRn3IQIuYev2wA4SXCQ_whbB7gIUJnjVSbkB6l-Jh-YNujWqbA68056_4Zy.wnAgqfh-px6p_3k3" TargetMode="External"/><Relationship Id="rId176" Type="http://schemas.openxmlformats.org/officeDocument/2006/relationships/hyperlink" Target="https://harvard.zoom.us/rec/share/UhvSrQQ_X9mtUqmmZkM5yMPRxrLZyEQf4UY3hFwIc3lDFwgLJUeC5r32Ma80Hvkb.tfs4bAphxSLGTMxd" TargetMode="External"/><Relationship Id="rId94" Type="http://schemas.openxmlformats.org/officeDocument/2006/relationships/hyperlink" Target="https://harvard.zoom.us/rec/share/_0C66FJG8_485shkCh0TbWx3KT8N2WYFW-iaDtVHbNKWaHPBPuTMMzXBQ9_JBZSZ.aOZhv7sZaQKEF5Ay" TargetMode="External"/><Relationship Id="rId200" Type="http://schemas.openxmlformats.org/officeDocument/2006/relationships/hyperlink" Target="https://harvard.zoom.us/rec/share/_qD-aNHnaicBihkV_BjMk2jJWmWrRbyrC5ypdo2qpnv8YYxtY4MSE_2T9Wzp8XEV._G5z_xg7LMXhiBIP" TargetMode="External"/><Relationship Id="rId238" Type="http://schemas.openxmlformats.org/officeDocument/2006/relationships/hyperlink" Target="https://harvard.zoom.us/rec/share/hh5kgF9KlD9os2iffy1WDv-Q6hPtJjr06WzGP74XMgKfYfOdFsgeHgS4VN9UQGHu.SO9OSlTgikB4ejCm" TargetMode="External"/><Relationship Id="rId179" Type="http://schemas.openxmlformats.org/officeDocument/2006/relationships/hyperlink" Target="https://harvard.zoom.us/rec/share/zQh1k4azZwzYXWeRAXfehwphxNJI_zT5W-fL5tOG6hIrcTdEtYsijeK7OP2kFXuK.NI78DfqG4FxDh2WU" TargetMode="External"/><Relationship Id="rId227" Type="http://schemas.openxmlformats.org/officeDocument/2006/relationships/hyperlink" Target="https://harvardlawreview.org/print/vol-122/whose-eyes-are-you-going-to-believe-scott-v-harris-and-the-perils-of-cognitive-illiberalism/#:~:text=Harris%2C%20127%20S.,in%20a%20high%2Dspeed%20chase." TargetMode="External"/><Relationship Id="rId97" Type="http://schemas.openxmlformats.org/officeDocument/2006/relationships/hyperlink" Target="https://hu.sharepoint.com/:b:/s/h2o/EQX7I4iVR8xLgTjKwhQrTJgBkoYfj7wXpv9xeA2buvNQ2g?e=chxkIa" TargetMode="External"/><Relationship Id="rId96" Type="http://schemas.openxmlformats.org/officeDocument/2006/relationships/hyperlink" Target="https://hu.sharepoint.com/:b:/s/h2o/ETVPJwhxhA9Bv4zvCyfj6Z4Bj6orbx2Ww8xbejJehaPrzg?e=gyrOhg" TargetMode="External"/><Relationship Id="rId230" Type="http://schemas.openxmlformats.org/officeDocument/2006/relationships/hyperlink" Target="https://hu.sharepoint.com/:b:/s/h2o/EXA4RKWFViBBl_8kCgxrLuAB0YtxLh8ZfjAMlDQM6X1PtA?e=rs7nri" TargetMode="External"/><Relationship Id="rId201" Type="http://schemas.openxmlformats.org/officeDocument/2006/relationships/hyperlink" Target="https://hu.sharepoint.com/:b:/s/h2o/EaFX8fATQPFAulx66Cy_KlEBQO4XahW7ztNgteLKmlKu5Q?e=AdGExl" TargetMode="External"/><Relationship Id="rId95" Type="http://schemas.openxmlformats.org/officeDocument/2006/relationships/hyperlink" Target="https://hu.sharepoint.com/:b:/s/h2o/EckIdTSQooBHk2_qiKwWzJsBBzcGRzkKNyqNNTu0hM6c8w?e=Az5KOs" TargetMode="External"/><Relationship Id="rId206" Type="http://schemas.openxmlformats.org/officeDocument/2006/relationships/hyperlink" Target="https://hu.sharepoint.com/:b:/s/h2o/EeLK8jvCY15MovdzZI56kvsBQu4VZ4iao6dZW61oDvRCyw?e=UbcAeT" TargetMode="External"/><Relationship Id="rId239" Type="http://schemas.openxmlformats.org/officeDocument/2006/relationships/hyperlink" Target="https://hu.sharepoint.com/:p:/s/h2o/EVbpG6Z-eSRLrEH7PcQSahABeIcD-2it4JJaT4tcThKffQ?e=SQIZb7" TargetMode="External"/><Relationship Id="rId24" Type="http://schemas.openxmlformats.org/officeDocument/2006/relationships/hyperlink" Target="https://hu.sharepoint.com/:u:/s/h2o/ER8Dp1-K57FIidy7CxFhBsMBJ9wgNIXCU7F14SFAq-QzWg?e=JZAhqA" TargetMode="External"/><Relationship Id="rId225" Type="http://schemas.openxmlformats.org/officeDocument/2006/relationships/hyperlink" Target="https://hu.sharepoint.com/:u:/s/h2o/ES86QeWeW35OrayZQ5BhefMBrlZnzqDH-w6pYaW7c6EbrQ?e=MnVewn" TargetMode="External"/><Relationship Id="rId244" Type="http://schemas.openxmlformats.org/officeDocument/2006/relationships/hyperlink" Target="https://hu.sharepoint.com/:u:/s/h2o/ESk11e4ekjVAl1Lu0VxoBc8BG_vfFqAnKP0s1F-kmM9BKw?e=cdqV0U" TargetMode="External"/><Relationship Id="rId26" Type="http://schemas.openxmlformats.org/officeDocument/2006/relationships/hyperlink" Target="https://hu.sharepoint.com/:u:/s/h2o/EU-5G_eIebdKisDxl-w2cC0BjdrWdRpHiy2zKWxZ3NtzJA?e=ywiHfd" TargetMode="External"/><Relationship Id="rId291" Type="http://schemas.openxmlformats.org/officeDocument/2006/relationships/hyperlink" Target="https://hu.sharepoint.com/:u:/s/h2o/EUDIVNYGc_9Bo66IhNOOaYsByO-H5778-XzH0jLQHSEXRw?e=OLeAAR" TargetMode="External"/><Relationship Id="rId199" Type="http://schemas.openxmlformats.org/officeDocument/2006/relationships/hyperlink" Target="https://hu.sharepoint.com/:u:/s/h2o/EUL--Pr95nRPhv-olHRrDOgBsvuAty8uWWdsu9Pie3zbpw?e=WX9Wvq" TargetMode="External"/><Relationship Id="rId183" Type="http://schemas.openxmlformats.org/officeDocument/2006/relationships/hyperlink" Target="https://hu.sharepoint.com/:u:/s/h2o/EVnWEqNhsRRJqMkmb0gwF8gBDcvvJamd2iv3UDyjl0BfEg?e=tyRkue" TargetMode="External"/><Relationship Id="rId210" Type="http://schemas.openxmlformats.org/officeDocument/2006/relationships/hyperlink" Target="https://hu.sharepoint.com/:u:/s/h2o/EWE0OwfR3RpIvXBGQriLpoUBMon24776LSj6GJrAZzSEeg?e=fVT6lN" TargetMode="External"/><Relationship Id="rId223" Type="http://schemas.openxmlformats.org/officeDocument/2006/relationships/hyperlink" Target="https://hu.sharepoint.com/:u:/s/h2o/EWsD0iEHnptNlLN0AWITSAYBUZEFg6rdsNdPESoL4KEIUA?e=d7i9U6" TargetMode="External"/><Relationship Id="rId29" Type="http://schemas.openxmlformats.org/officeDocument/2006/relationships/hyperlink" Target="https://hu.sharepoint.com/:u:/s/h2o/EX0VgUE2bmNKvErcpRV3J4cBoaSaW9GJZ4k_EMLPAPiLjg?e=zYzfM1" TargetMode="External"/><Relationship Id="rId259" Type="http://schemas.openxmlformats.org/officeDocument/2006/relationships/hyperlink" Target="https://hu.sharepoint.com/:u:/s/h2o/EXB8LAdwSRJAt9cgbMbfqPIB4eQbf2Zwq98PN3feYGB5jw?e=YboPON" TargetMode="External"/><Relationship Id="rId299" Type="http://schemas.openxmlformats.org/officeDocument/2006/relationships/hyperlink" Target="https://hu.sharepoint.com/:u:/s/h2o/EYAzwc_pTOxMu3yooMUw3iAB2njOYQ551sV3ZxSPBTMdQw?e=M3hsA4" TargetMode="External"/><Relationship Id="rId211" Type="http://schemas.openxmlformats.org/officeDocument/2006/relationships/hyperlink" Target="https://hu.sharepoint.com/:u:/s/h2o/EYID3vXcWLNGiGJXdiBabQMBTMUCF6yhWkImPlZZZ72Eow?e=ngb0Go" TargetMode="External"/><Relationship Id="rId208" Type="http://schemas.openxmlformats.org/officeDocument/2006/relationships/hyperlink" Target="https://hu.sharepoint.com/:u:/s/h2o/EYV5I0eKrVRCm8pOEtXfb6IBa6SAwKdtQSM7n4O66x4nog?e=tIPLTT" TargetMode="External"/><Relationship Id="rId25" Type="http://schemas.openxmlformats.org/officeDocument/2006/relationships/hyperlink" Target="https://hu.sharepoint.com/:u:/s/h2o/EYxjiXPdARtPt29rCWjkZjQBIhBxiuY01mPgbzTIRHoCCQ?e=lWgl7Y" TargetMode="External"/><Relationship Id="rId27" Type="http://schemas.openxmlformats.org/officeDocument/2006/relationships/hyperlink" Target="https://hu.sharepoint.com/:u:/s/h2o/EZ5T-55rXWBLvv9-yvhEK_cBq3fr1-YB5SWRABWnHnBGkw?e=QAIc0s" TargetMode="External"/><Relationship Id="rId298" Type="http://schemas.openxmlformats.org/officeDocument/2006/relationships/hyperlink" Target="https://hu.sharepoint.com/:u:/s/h2o/EahBqdespbBJpZPPGWf1_10BPLEIkKScI38Ouyho3HV8_Q?e=CYDFbc" TargetMode="External"/><Relationship Id="rId212" Type="http://schemas.openxmlformats.org/officeDocument/2006/relationships/hyperlink" Target="https://hu.sharepoint.com/:u:/s/h2o/Eap5TJwKGhFGnio57TNo5tgBqSADgnsR-albXRPITK2RGg?e=UNJMn8" TargetMode="External"/><Relationship Id="rId178" Type="http://schemas.openxmlformats.org/officeDocument/2006/relationships/hyperlink" Target="https://hu.sharepoint.com/:u:/s/h2o/EeW5Mz7Pq2ROkgUlzIcBcwYBFGchAmGya-g5Ag9zuZtuiQ?e=IctzjE" TargetMode="External"/><Relationship Id="rId198" Type="http://schemas.openxmlformats.org/officeDocument/2006/relationships/hyperlink" Target="https://hu.sharepoint.com/:u:/s/h2o/EeWA-VFdohBLm8rTrApZu40BJ40Zno6pOBbJV3r2rGhijg?e=5HsRpr" TargetMode="External"/><Relationship Id="rId182" Type="http://schemas.openxmlformats.org/officeDocument/2006/relationships/hyperlink" Target="https://hu.sharepoint.com/:u:/s/h2o/EeZA2bfxU6JMvix2AsyeEf8B3VEApwAP1dqoOdCI0GDJjw?e=6dvi8R" TargetMode="External"/><Relationship Id="rId20" Type="http://schemas.openxmlformats.org/officeDocument/2006/relationships/hyperlink" Target="https://support.microsoft.com/en-us/topic/the-styles-advantage-in-word-b4a6372f-188c-93cb-831b-c4dd0cb3a881" TargetMode="External"/><Relationship Id="rId231" Type="http://schemas.openxmlformats.org/officeDocument/2006/relationships/hyperlink" Target="https://www.law.cornell.edu/supremecourt/text/22-859#:~:text=The%20Fifth%20Circuit%20vacated%20the,defendant%20to%20a%20jury%20trial." TargetMode="External"/><Relationship Id="rId209" Type="http://schemas.openxmlformats.org/officeDocument/2006/relationships/hyperlink" Target="https://www2.ca3.uscourts.gov/opinarch/203371n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2026-04-02T19:29:13Z</dcterms:created>
  <dcterms:modified xsi:type="dcterms:W3CDTF">2026-04-02T19:29:13Z</dcterms:modified>
</cp:coreProperties>
</file>

<file path=docProps/custom.xml><?xml version="1.0" encoding="utf-8"?>
<Properties xmlns="http://schemas.openxmlformats.org/officeDocument/2006/custom-properties" xmlns:vt="http://schemas.openxmlformats.org/officeDocument/2006/docPropsVTypes"/>
</file>