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가설-지표 매핑표 (AARRR 기준)</w:t>
      </w:r>
    </w:p>
    <w:p>
      <w:pPr>
        <w:spacing w:after="260"/>
      </w:pPr>
      <w:r>
        <w:rPr>
          <w:i/>
          <w:iCs/>
          <w:color w:val="666666"/>
          <w:sz w:val="19"/>
          <w:szCs w:val="19"/>
        </w:rPr>
        <w:t xml:space="preserve">Starbucks Capstone Challenge 데이터 기반 · 오퍼 전략 최적화 문제정의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750"/>
        <w:gridCol w:w="1000"/>
        <w:gridCol w:w="1850"/>
        <w:gridCol w:w="2350"/>
        <w:gridCol w:w="900"/>
      </w:tblGrid>
      <w:tr>
        <w:trPr>
          <w:tblHeader/>
        </w:trPr>
        <w:tc>
          <w:tcPr>
            <w:tcW w:type="dxa" w:w="45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75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가설</w:t>
            </w:r>
          </w:p>
        </w:tc>
        <w:tc>
          <w:tcPr>
            <w:tcW w:type="dxa" w:w="100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AARRR 단계</w:t>
            </w:r>
          </w:p>
        </w:tc>
        <w:tc>
          <w:tcPr>
            <w:tcW w:type="dxa" w:w="185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측정 지표</w:t>
            </w:r>
          </w:p>
        </w:tc>
        <w:tc>
          <w:tcPr>
            <w:tcW w:type="dxa" w:w="235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데이터 소스</w:t>
            </w:r>
          </w:p>
        </w:tc>
        <w:tc>
          <w:tcPr>
            <w:tcW w:type="dxa" w:w="90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측정 가능 여부</w:t>
            </w:r>
          </w:p>
        </w:tc>
      </w:tr>
      <w:tr>
        <w:tc>
          <w:tcPr>
            <w:tcW w:type="dxa" w:w="4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열람 후 완료 → 오퍼가 실제로 구매를 유도한 것이다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Activation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오퍼 열람율, 열람→완료 전환율</w:t>
            </w:r>
          </w:p>
        </w:tc>
        <w:tc>
          <w:tcPr>
            <w:tcW w:type="dxa" w:w="23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transcript.json</w:t>
            </w:r>
          </w:p>
        </w:tc>
        <w:tc>
          <w:tcPr>
            <w:tcW w:type="dxa" w:w="900"/>
            <w:shd w:fill="E1F5EE" w:color="auto" w:val="clear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가능</w:t>
            </w:r>
          </w:p>
        </w:tc>
      </w:tr>
      <w:tr>
        <w:tc>
          <w:tcPr>
            <w:tcW w:type="dxa" w:w="4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무열람 완료 → 오퍼 없이도 샀을 고객(Sure-thing)일 것이다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Retention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Sure-thing 비율</w:t>
            </w:r>
          </w:p>
        </w:tc>
        <w:tc>
          <w:tcPr>
            <w:tcW w:type="dxa" w:w="23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transcript.json</w:t>
            </w:r>
          </w:p>
        </w:tc>
        <w:tc>
          <w:tcPr>
            <w:tcW w:type="dxa" w:w="900"/>
            <w:shd w:fill="E1F5EE" w:color="auto" w:val="clear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가능</w:t>
            </w:r>
          </w:p>
        </w:tc>
      </w:tr>
      <w:tr>
        <w:tc>
          <w:tcPr>
            <w:tcW w:type="dxa" w:w="4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오퍼를 받으면 재구매 텀이 짧아질 것이다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Retention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오퍼타입별 구매텀 단축률</w:t>
            </w:r>
          </w:p>
        </w:tc>
        <w:tc>
          <w:tcPr>
            <w:tcW w:type="dxa" w:w="23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transcript.json (transaction, offer received)</w:t>
            </w:r>
          </w:p>
        </w:tc>
        <w:tc>
          <w:tcPr>
            <w:tcW w:type="dxa" w:w="900"/>
            <w:shd w:fill="E1F5EE" w:color="auto" w:val="clear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가능 (신규)</w:t>
            </w:r>
          </w:p>
        </w:tc>
      </w:tr>
      <w:tr>
        <w:tc>
          <w:tcPr>
            <w:tcW w:type="dxa" w:w="4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소득이 높으면 완료율이 높을 것이다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세그먼트별 완료율, ARPU</w:t>
            </w:r>
          </w:p>
        </w:tc>
        <w:tc>
          <w:tcPr>
            <w:tcW w:type="dxa" w:w="23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profile.json + transcript.json</w:t>
            </w:r>
          </w:p>
        </w:tc>
        <w:tc>
          <w:tcPr>
            <w:tcW w:type="dxa" w:w="900"/>
            <w:shd w:fill="E1F5EE" w:color="auto" w:val="clear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가능</w:t>
            </w:r>
          </w:p>
        </w:tc>
      </w:tr>
      <w:tr>
        <w:tc>
          <w:tcPr>
            <w:tcW w:type="dxa" w:w="4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여성이면 완료율이 높을 것이다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성별 완료율, 성별 평균 거래액</w:t>
            </w:r>
          </w:p>
        </w:tc>
        <w:tc>
          <w:tcPr>
            <w:tcW w:type="dxa" w:w="23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profile.json + transcript.json</w:t>
            </w:r>
          </w:p>
        </w:tc>
        <w:tc>
          <w:tcPr>
            <w:tcW w:type="dxa" w:w="900"/>
            <w:shd w:fill="E1F5EE" w:color="auto" w:val="clear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가능</w:t>
            </w:r>
          </w:p>
        </w:tc>
      </w:tr>
      <w:tr>
        <w:tc>
          <w:tcPr>
            <w:tcW w:type="dxa" w:w="4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할인형이 BOGO보다 완료율이 높을 것이다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오퍼유형별 완료율, 리워드 대비 ROI</w:t>
            </w:r>
          </w:p>
        </w:tc>
        <w:tc>
          <w:tcPr>
            <w:tcW w:type="dxa" w:w="23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portfolio.json + transcript.json</w:t>
            </w:r>
          </w:p>
        </w:tc>
        <w:tc>
          <w:tcPr>
            <w:tcW w:type="dxa" w:w="900"/>
            <w:shd w:fill="E1F5EE" w:color="auto" w:val="clear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가능</w:t>
            </w:r>
          </w:p>
        </w:tc>
      </w:tr>
      <w:tr>
        <w:tc>
          <w:tcPr>
            <w:tcW w:type="dxa" w:w="4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오퍼타입별로 객단가가 다를 것이다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오퍼타입별 평균 거래액</w:t>
            </w:r>
          </w:p>
        </w:tc>
        <w:tc>
          <w:tcPr>
            <w:tcW w:type="dxa" w:w="23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transcript.json</w:t>
            </w:r>
          </w:p>
        </w:tc>
        <w:tc>
          <w:tcPr>
            <w:tcW w:type="dxa" w:w="900"/>
            <w:shd w:fill="E1F5EE" w:color="auto" w:val="clear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가능 (신규)</w:t>
            </w:r>
          </w:p>
        </w:tc>
      </w:tr>
      <w:tr>
        <w:tc>
          <w:tcPr>
            <w:tcW w:type="dxa" w:w="4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7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리워드 허들이 낮으면 완료율이 높을 것이다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난이도 구간별 완료율(회귀계수)</w:t>
            </w:r>
          </w:p>
        </w:tc>
        <w:tc>
          <w:tcPr>
            <w:tcW w:type="dxa" w:w="235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portfolio.json + transcript.json</w:t>
            </w:r>
          </w:p>
        </w:tc>
        <w:tc>
          <w:tcPr>
            <w:tcW w:type="dxa" w:w="900"/>
            <w:shd w:fill="FAEEDA" w:color="auto" w:val="clear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가능(미실행)</w:t>
            </w:r>
          </w:p>
        </w:tc>
      </w:tr>
    </w:tbl>
    <w:p>
      <w:pPr>
        <w:pStyle w:val="Heading1"/>
        <w:spacing w:after="140" w:before="260"/>
      </w:pPr>
      <w:r>
        <w:t xml:space="preserve">측정 불가 단계 (빈칸)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600"/>
      </w:tblGrid>
      <w:tr>
        <w:trPr>
          <w:tblHeader/>
        </w:trPr>
        <w:tc>
          <w:tcPr>
            <w:tcW w:type="dxa" w:w="140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420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빈칸인 이유</w:t>
            </w:r>
          </w:p>
        </w:tc>
        <w:tc>
          <w:tcPr>
            <w:tcW w:type="dxa" w:w="3600"/>
            <w:shd w:fill="2E2019" w:color="auto" w:val="clear"/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측정하려면 필요한 데이터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Acquisition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가입 경로(광고/추천/오가닉) 정보 없음, became_member_on만 존재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유입 채널, UTM/캠페인 태그, 다운로드 소스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Referral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추천·초대·공유 관련 필드가 데이터셋에 전무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추천인 코드, 초대 발송/수락 로그, 소셜 공유 이벤트</w:t>
            </w:r>
          </w:p>
        </w:tc>
      </w:tr>
    </w:tbl>
    <w:p>
      <w:pPr>
        <w:pStyle w:val="Heading1"/>
        <w:spacing w:after="140" w:before="260"/>
      </w:pPr>
      <w:r>
        <w:t xml:space="preserve">참고</w:t>
      </w:r>
    </w:p>
    <w:p>
      <w:pPr>
        <w:spacing w:after="140"/>
      </w:pPr>
      <w:r>
        <w:t xml:space="preserve">Retention의 한계: Sure-thing 비율과 구매텀 단축률 모두 30일 관찰기간 안에서 잰 근사치입니다. 진짜 이탈(churn) 여부는 이 데이터로 볼 수 없습니다.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2026-09-09T07:51:28.740Z</dcterms:created>
  <dcterms:modified xsi:type="dcterms:W3CDTF">2026-09-09T07:51:28.740Z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