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180"/>
        <w:jc w:val="center"/>
        <w:outlineLvl w:val="1"/>
        <w:rPr>
          <w:rFonts w:ascii="Calibri Light" w:hAnsi="Calibri Light" w:eastAsia="Times New Roman" w:cs="Calibri Light"/>
          <w:b/>
          <w:b/>
          <w:bCs/>
          <w:color w:val="3C78D8"/>
          <w:u w:val="single"/>
          <w:lang w:eastAsia="en-AU"/>
        </w:rPr>
      </w:pPr>
      <w:r>
        <w:rPr/>
        <w:drawing>
          <wp:inline distT="0" distB="0" distL="0" distR="0">
            <wp:extent cx="2139950" cy="21399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139950" cy="2139950"/>
                    </a:xfrm>
                    <a:prstGeom prst="rect">
                      <a:avLst/>
                    </a:prstGeom>
                  </pic:spPr>
                </pic:pic>
              </a:graphicData>
            </a:graphic>
          </wp:inline>
        </w:drawing>
      </w:r>
    </w:p>
    <w:p>
      <w:pPr>
        <w:pStyle w:val="Normal"/>
        <w:numPr>
          <w:ilvl w:val="0"/>
          <w:numId w:val="0"/>
        </w:numPr>
        <w:shd w:val="clear" w:color="auto" w:fill="FFFFFF"/>
        <w:spacing w:lineRule="auto" w:line="240" w:before="0" w:after="180"/>
        <w:jc w:val="center"/>
        <w:outlineLvl w:val="1"/>
        <w:rPr>
          <w:rFonts w:ascii="Calibri Light" w:hAnsi="Calibri Light" w:eastAsia="Times New Roman" w:cs="Calibri Light"/>
          <w:b/>
          <w:b/>
          <w:bCs/>
          <w:color w:val="3C78D8"/>
          <w:u w:val="single"/>
          <w:lang w:eastAsia="en-AU"/>
        </w:rPr>
      </w:pPr>
      <w:r>
        <w:rPr>
          <w:rFonts w:eastAsia="Times New Roman" w:cs="Calibri Light" w:ascii="Calibri Light" w:hAnsi="Calibri Light"/>
          <w:b/>
          <w:bCs/>
          <w:color w:val="3C78D8"/>
          <w:u w:val="single"/>
          <w:lang w:eastAsia="en-AU"/>
        </w:rPr>
      </w:r>
    </w:p>
    <w:p>
      <w:pPr>
        <w:pStyle w:val="Normal"/>
        <w:numPr>
          <w:ilvl w:val="0"/>
          <w:numId w:val="0"/>
        </w:numPr>
        <w:shd w:val="clear" w:color="auto" w:fill="FFFFFF"/>
        <w:spacing w:lineRule="auto" w:line="240" w:before="0" w:after="180"/>
        <w:jc w:val="center"/>
        <w:outlineLvl w:val="1"/>
        <w:rPr>
          <w:rFonts w:ascii="Calibri Light" w:hAnsi="Calibri Light" w:eastAsia="Times New Roman" w:cs="Calibri Light" w:asciiTheme="majorHAnsi" w:cstheme="majorHAnsi" w:hAnsiTheme="majorHAnsi"/>
          <w:bCs/>
          <w:sz w:val="32"/>
          <w:lang w:eastAsia="en-AU"/>
        </w:rPr>
      </w:pPr>
      <w:r>
        <w:rPr>
          <w:rFonts w:eastAsia="Times New Roman" w:cs="Calibri Light" w:ascii="Calibri Light" w:hAnsi="Calibri Light" w:asciiTheme="majorHAnsi" w:cstheme="majorHAnsi" w:hAnsiTheme="majorHAnsi"/>
          <w:bCs/>
          <w:sz w:val="32"/>
          <w:lang w:eastAsia="en-AU"/>
        </w:rPr>
        <w:t>Veredictum</w:t>
      </w:r>
    </w:p>
    <w:p>
      <w:pPr>
        <w:pStyle w:val="Normal"/>
        <w:numPr>
          <w:ilvl w:val="0"/>
          <w:numId w:val="0"/>
        </w:numPr>
        <w:shd w:val="clear" w:color="auto" w:fill="FFFFFF"/>
        <w:spacing w:lineRule="auto" w:line="240" w:before="0" w:after="180"/>
        <w:jc w:val="center"/>
        <w:outlineLvl w:val="1"/>
        <w:rPr>
          <w:rFonts w:eastAsia="Times New Roman" w:cs="Calibri" w:cstheme="minorHAnsi"/>
          <w:bCs/>
          <w:u w:val="single"/>
          <w:lang w:eastAsia="en-AU"/>
        </w:rPr>
      </w:pPr>
      <w:r>
        <w:rPr>
          <w:rFonts w:eastAsia="Times New Roman" w:cs="Calibri" w:cstheme="minorHAnsi"/>
          <w:bCs/>
          <w:u w:val="single"/>
          <w:lang w:eastAsia="en-AU"/>
        </w:rPr>
      </w:r>
    </w:p>
    <w:p>
      <w:pPr>
        <w:pStyle w:val="Normal"/>
        <w:numPr>
          <w:ilvl w:val="0"/>
          <w:numId w:val="0"/>
        </w:numPr>
        <w:shd w:val="clear" w:color="auto" w:fill="FFFFFF"/>
        <w:spacing w:lineRule="auto" w:line="240" w:before="0" w:after="180"/>
        <w:jc w:val="center"/>
        <w:outlineLvl w:val="1"/>
        <w:rPr>
          <w:rFonts w:eastAsia="Times New Roman" w:cs="Calibri" w:cstheme="minorHAnsi"/>
          <w:bCs/>
          <w:u w:val="single"/>
          <w:lang w:eastAsia="en-AU"/>
        </w:rPr>
      </w:pPr>
      <w:r>
        <w:rPr>
          <w:rFonts w:eastAsia="Times New Roman" w:cs="Calibri" w:cstheme="minorHAnsi"/>
          <w:bCs/>
          <w:u w:val="single"/>
          <w:lang w:eastAsia="en-AU"/>
        </w:rPr>
        <w:t xml:space="preserve">VENTANA TOKEN SALE </w:t>
      </w:r>
    </w:p>
    <w:p>
      <w:pPr>
        <w:pStyle w:val="Normal"/>
        <w:numPr>
          <w:ilvl w:val="0"/>
          <w:numId w:val="0"/>
        </w:numPr>
        <w:shd w:val="clear" w:color="auto" w:fill="FFFFFF"/>
        <w:spacing w:lineRule="auto" w:line="240" w:before="0" w:after="180"/>
        <w:jc w:val="center"/>
        <w:outlineLvl w:val="1"/>
        <w:rPr>
          <w:rFonts w:eastAsia="Times New Roman" w:cs="Calibri" w:cstheme="minorHAnsi"/>
          <w:bCs/>
          <w:sz w:val="20"/>
          <w:szCs w:val="20"/>
          <w:lang w:eastAsia="en-AU"/>
        </w:rPr>
      </w:pPr>
      <w:r>
        <w:rPr>
          <w:rFonts w:eastAsia="Times New Roman" w:cs="Calibri" w:cstheme="minorHAnsi"/>
          <w:bCs/>
          <w:sz w:val="20"/>
          <w:szCs w:val="20"/>
          <w:lang w:eastAsia="en-AU"/>
        </w:rPr>
        <w:t>Cryptoeconomic Model V.10.4.2</w:t>
      </w:r>
    </w:p>
    <w:p>
      <w:pPr>
        <w:pStyle w:val="Normal"/>
        <w:numPr>
          <w:ilvl w:val="0"/>
          <w:numId w:val="0"/>
        </w:numPr>
        <w:shd w:val="clear" w:color="auto" w:fill="FFFFFF"/>
        <w:spacing w:lineRule="auto" w:line="240" w:before="0" w:after="180"/>
        <w:jc w:val="center"/>
        <w:outlineLvl w:val="1"/>
        <w:rPr>
          <w:rFonts w:eastAsia="Times New Roman" w:cs="Calibri" w:cstheme="minorHAnsi"/>
          <w:bCs/>
          <w:sz w:val="20"/>
          <w:szCs w:val="20"/>
          <w:lang w:eastAsia="en-AU"/>
        </w:rPr>
      </w:pPr>
      <w:r>
        <w:rPr>
          <w:rFonts w:eastAsia="Times New Roman" w:cs="Calibri" w:cstheme="minorHAnsi"/>
          <w:bCs/>
          <w:sz w:val="20"/>
          <w:szCs w:val="20"/>
          <w:lang w:eastAsia="en-AU"/>
        </w:rPr>
        <w:t>Last updated 20.7.17</w:t>
      </w:r>
    </w:p>
    <w:p>
      <w:pPr>
        <w:pStyle w:val="Normal"/>
        <w:numPr>
          <w:ilvl w:val="0"/>
          <w:numId w:val="0"/>
        </w:numPr>
        <w:shd w:val="clear" w:color="auto" w:fill="FFFFFF"/>
        <w:spacing w:lineRule="auto" w:line="240" w:before="0" w:after="180"/>
        <w:jc w:val="center"/>
        <w:outlineLvl w:val="1"/>
        <w:rPr>
          <w:rFonts w:eastAsia="Times New Roman" w:cs="Calibri" w:cstheme="minorHAnsi"/>
          <w:bCs/>
          <w:sz w:val="20"/>
          <w:szCs w:val="20"/>
          <w:lang w:eastAsia="en-AU"/>
        </w:rPr>
      </w:pPr>
      <w:r>
        <w:rPr>
          <w:rFonts w:eastAsia="Times New Roman" w:cs="Calibri" w:cstheme="minorHAnsi"/>
          <w:bCs/>
          <w:sz w:val="20"/>
          <w:szCs w:val="20"/>
          <w:lang w:eastAsia="en-AU"/>
        </w:rPr>
      </w:r>
    </w:p>
    <w:p>
      <w:pPr>
        <w:pStyle w:val="Normal"/>
        <w:numPr>
          <w:ilvl w:val="0"/>
          <w:numId w:val="0"/>
        </w:numPr>
        <w:shd w:val="clear" w:color="auto" w:fill="FFFFFF"/>
        <w:spacing w:lineRule="auto" w:line="240" w:before="0" w:after="180"/>
        <w:jc w:val="center"/>
        <w:outlineLvl w:val="1"/>
        <w:rPr>
          <w:rFonts w:eastAsia="Times New Roman" w:cs="Calibri" w:cstheme="minorHAnsi"/>
          <w:bCs/>
          <w:sz w:val="20"/>
          <w:szCs w:val="20"/>
          <w:lang w:eastAsia="en-AU"/>
        </w:rPr>
      </w:pPr>
      <w:r>
        <w:rPr>
          <w:rFonts w:eastAsia="Times New Roman" w:cs="Calibri" w:cstheme="minorHAnsi"/>
          <w:bCs/>
          <w:sz w:val="20"/>
          <w:szCs w:val="20"/>
          <w:lang w:eastAsia="en-AU"/>
        </w:rPr>
      </w:r>
    </w:p>
    <w:tbl>
      <w:tblPr>
        <w:tblStyle w:val="TableGrid"/>
        <w:tblW w:w="7080" w:type="dxa"/>
        <w:jc w:val="left"/>
        <w:tblInd w:w="1203" w:type="dxa"/>
        <w:tblCellMar>
          <w:top w:w="0" w:type="dxa"/>
          <w:left w:w="108" w:type="dxa"/>
          <w:bottom w:w="0" w:type="dxa"/>
          <w:right w:w="108" w:type="dxa"/>
        </w:tblCellMar>
        <w:tblLook w:val="04a0" w:noVBand="1" w:noHBand="0" w:lastColumn="0" w:firstColumn="1" w:lastRow="0" w:firstRow="1"/>
      </w:tblPr>
      <w:tblGrid>
        <w:gridCol w:w="7080"/>
      </w:tblGrid>
      <w:tr>
        <w:trPr/>
        <w:tc>
          <w:tcPr>
            <w:tcW w:w="7080" w:type="dxa"/>
            <w:tcBorders>
              <w:top w:val="nil"/>
              <w:left w:val="nil"/>
              <w:bottom w:val="nil"/>
              <w:right w:val="nil"/>
              <w:insideH w:val="nil"/>
              <w:insideV w:val="nil"/>
            </w:tcBorders>
            <w:shd w:fill="auto" w:val="clear"/>
          </w:tcPr>
          <w:p>
            <w:pPr>
              <w:pStyle w:val="Normal"/>
              <w:numPr>
                <w:ilvl w:val="0"/>
                <w:numId w:val="0"/>
              </w:numPr>
              <w:shd w:val="clear" w:color="auto" w:fill="FFFFFF"/>
              <w:spacing w:lineRule="auto" w:line="240" w:before="0" w:after="0"/>
              <w:jc w:val="center"/>
              <w:outlineLvl w:val="1"/>
              <w:rPr>
                <w:rFonts w:eastAsia="Times New Roman" w:cs="Calibri" w:cstheme="minorHAnsi"/>
                <w:b/>
                <w:b/>
                <w:bCs/>
                <w:sz w:val="20"/>
                <w:szCs w:val="20"/>
                <w:lang w:eastAsia="en-AU"/>
              </w:rPr>
            </w:pPr>
            <w:r>
              <w:rPr>
                <w:rFonts w:eastAsia="Times New Roman" w:cs="Calibri" w:cstheme="minorHAnsi"/>
                <w:b/>
                <w:bCs/>
                <w:sz w:val="20"/>
                <w:szCs w:val="20"/>
                <w:lang w:eastAsia="en-AU"/>
              </w:rPr>
              <w:t>DISCLAIMER</w:t>
            </w:r>
          </w:p>
          <w:p>
            <w:pPr>
              <w:pStyle w:val="Normal"/>
              <w:numPr>
                <w:ilvl w:val="0"/>
                <w:numId w:val="0"/>
              </w:numPr>
              <w:shd w:val="clear" w:color="auto" w:fill="FFFFFF"/>
              <w:spacing w:lineRule="auto" w:line="240" w:before="0" w:after="0"/>
              <w:jc w:val="center"/>
              <w:outlineLvl w:val="1"/>
              <w:rPr>
                <w:rFonts w:eastAsia="Times New Roman" w:cs="Calibri" w:cstheme="minorHAnsi"/>
                <w:b/>
                <w:b/>
                <w:bCs/>
                <w:sz w:val="20"/>
                <w:szCs w:val="20"/>
                <w:lang w:eastAsia="en-AU"/>
              </w:rPr>
            </w:pPr>
            <w:r>
              <w:rPr>
                <w:rFonts w:eastAsia="Times New Roman" w:cs="Calibri" w:cstheme="minorHAnsi"/>
                <w:b/>
                <w:bCs/>
                <w:sz w:val="20"/>
                <w:szCs w:val="20"/>
                <w:lang w:eastAsia="en-AU"/>
              </w:rPr>
            </w:r>
          </w:p>
          <w:p>
            <w:pPr>
              <w:pStyle w:val="Normal"/>
              <w:numPr>
                <w:ilvl w:val="0"/>
                <w:numId w:val="0"/>
              </w:numPr>
              <w:shd w:val="clear" w:color="auto" w:fill="FFFFFF"/>
              <w:spacing w:lineRule="auto" w:line="240" w:before="0" w:after="0"/>
              <w:ind w:left="28" w:hanging="0"/>
              <w:jc w:val="both"/>
              <w:outlineLvl w:val="1"/>
              <w:rPr>
                <w:rFonts w:eastAsia="Times New Roman" w:cs="Calibri" w:cstheme="minorHAnsi"/>
                <w:bCs/>
                <w:sz w:val="20"/>
                <w:szCs w:val="20"/>
                <w:lang w:eastAsia="en-AU"/>
              </w:rPr>
            </w:pPr>
            <w:r>
              <w:rPr>
                <w:rFonts w:eastAsia="Times New Roman" w:cs="Calibri" w:cstheme="minorHAnsi"/>
                <w:bCs/>
                <w:sz w:val="20"/>
                <w:szCs w:val="20"/>
                <w:lang w:eastAsia="en-AU"/>
              </w:rPr>
              <w:t xml:space="preserve">The enclosed cryptoeconomic model of the VENTANA token may be subject to change. Whilst significant changes are not anticipated, the estimates detailed below may vary as a direct result of the profile of our supporters and the regulatory changes that are beginning to be seen within our primary choice of jurisdiction, Singapore. As a result, this document is provided for information purposes only and should not be relied upon as a statement of fact.  Professional advice should always be sought when considering supporting Token Sales or Initial Coin Offerings. </w:t>
            </w:r>
          </w:p>
          <w:p>
            <w:pPr>
              <w:pStyle w:val="Normal"/>
              <w:numPr>
                <w:ilvl w:val="0"/>
                <w:numId w:val="0"/>
              </w:numPr>
              <w:shd w:val="clear" w:color="auto" w:fill="FFFFFF"/>
              <w:spacing w:lineRule="auto" w:line="240" w:before="0" w:after="180"/>
              <w:jc w:val="center"/>
              <w:outlineLvl w:val="1"/>
              <w:rPr>
                <w:rFonts w:eastAsia="Times New Roman" w:cs="Calibri" w:cstheme="minorHAnsi"/>
                <w:bCs/>
                <w:sz w:val="20"/>
                <w:szCs w:val="20"/>
                <w:lang w:eastAsia="en-AU"/>
              </w:rPr>
            </w:pPr>
            <w:r>
              <w:rPr>
                <w:rFonts w:eastAsia="Times New Roman" w:cs="Calibri" w:cstheme="minorHAnsi"/>
                <w:bCs/>
                <w:sz w:val="20"/>
                <w:szCs w:val="20"/>
                <w:lang w:eastAsia="en-AU"/>
              </w:rPr>
              <w:t>(The full model will be available for those funders confirming their expressions of interest for the pre-sale of VENTANA tokens)</w:t>
            </w:r>
          </w:p>
        </w:tc>
      </w:tr>
    </w:tbl>
    <w:p>
      <w:pPr>
        <w:pStyle w:val="Normal"/>
        <w:numPr>
          <w:ilvl w:val="0"/>
          <w:numId w:val="0"/>
        </w:numPr>
        <w:shd w:val="clear" w:color="auto" w:fill="FFFFFF"/>
        <w:spacing w:lineRule="auto" w:line="240" w:before="0" w:after="180"/>
        <w:jc w:val="center"/>
        <w:outlineLvl w:val="1"/>
        <w:rPr>
          <w:rFonts w:eastAsia="Times New Roman" w:cs="Calibri" w:cstheme="minorHAnsi"/>
          <w:bCs/>
          <w:sz w:val="20"/>
          <w:szCs w:val="20"/>
          <w:lang w:eastAsia="en-AU"/>
        </w:rPr>
      </w:pPr>
      <w:r>
        <w:rPr>
          <w:rFonts w:eastAsia="Times New Roman" w:cs="Calibri" w:cstheme="minorHAnsi"/>
          <w:bCs/>
          <w:sz w:val="20"/>
          <w:szCs w:val="20"/>
          <w:lang w:eastAsia="en-AU"/>
        </w:rPr>
      </w:r>
    </w:p>
    <w:tbl>
      <w:tblPr>
        <w:tblStyle w:val="TableGrid"/>
        <w:tblW w:w="6237" w:type="dxa"/>
        <w:jc w:val="center"/>
        <w:tblInd w:w="0" w:type="dxa"/>
        <w:tblCellMar>
          <w:top w:w="85" w:type="dxa"/>
          <w:left w:w="113" w:type="dxa"/>
          <w:bottom w:w="85" w:type="dxa"/>
          <w:right w:w="108" w:type="dxa"/>
        </w:tblCellMar>
        <w:tblLook w:val="04a0" w:noVBand="1" w:noHBand="0" w:lastColumn="0" w:firstColumn="1" w:lastRow="0" w:firstRow="1"/>
      </w:tblPr>
      <w:tblGrid>
        <w:gridCol w:w="4819"/>
        <w:gridCol w:w="1417"/>
      </w:tblGrid>
      <w:tr>
        <w:trPr/>
        <w:tc>
          <w:tcPr>
            <w:tcW w:w="6236" w:type="dxa"/>
            <w:gridSpan w:val="2"/>
            <w:tcBorders>
              <w:top w:val="nil"/>
              <w:left w:val="nil"/>
              <w:bottom w:val="nil"/>
              <w:right w:val="nil"/>
              <w:insideH w:val="nil"/>
              <w:insideV w:val="nil"/>
            </w:tcBorders>
            <w:shd w:fill="auto" w:val="clear"/>
          </w:tcPr>
          <w:p>
            <w:pPr>
              <w:pStyle w:val="Normal"/>
              <w:numPr>
                <w:ilvl w:val="0"/>
                <w:numId w:val="0"/>
              </w:numPr>
              <w:spacing w:lineRule="auto" w:line="240" w:before="0" w:after="0"/>
              <w:outlineLvl w:val="1"/>
              <w:rPr>
                <w:rFonts w:eastAsia="Times New Roman" w:cs="Calibri" w:cstheme="minorHAnsi"/>
                <w:b/>
                <w:b/>
                <w:bCs/>
                <w:szCs w:val="20"/>
                <w:lang w:eastAsia="en-AU"/>
              </w:rPr>
            </w:pPr>
            <w:r>
              <w:rPr>
                <w:rFonts w:eastAsia="Times New Roman" w:cs="Calibri" w:cstheme="minorHAnsi"/>
                <w:b/>
                <w:bCs/>
                <w:szCs w:val="20"/>
                <w:lang w:eastAsia="en-AU"/>
              </w:rPr>
              <w:t>Token Sale Summary</w:t>
            </w:r>
          </w:p>
        </w:tc>
      </w:tr>
      <w:tr>
        <w:trPr/>
        <w:tc>
          <w:tcPr>
            <w:tcW w:w="4819"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Cs w:val="20"/>
                <w:lang w:eastAsia="en-AU"/>
              </w:rPr>
            </w:pPr>
            <w:r>
              <w:rPr>
                <w:rFonts w:eastAsia="Times New Roman" w:cs="Calibri" w:cstheme="minorHAnsi"/>
                <w:bCs/>
                <w:szCs w:val="20"/>
                <w:lang w:eastAsia="en-AU"/>
              </w:rPr>
              <w:t>Minimum Target</w:t>
            </w:r>
          </w:p>
        </w:tc>
        <w:tc>
          <w:tcPr>
            <w:tcW w:w="141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108" w:type="dxa"/>
            </w:tcMar>
          </w:tcPr>
          <w:p>
            <w:pPr>
              <w:pStyle w:val="Normal"/>
              <w:numPr>
                <w:ilvl w:val="0"/>
                <w:numId w:val="0"/>
              </w:numPr>
              <w:spacing w:lineRule="auto" w:line="240" w:before="0" w:after="0"/>
              <w:jc w:val="right"/>
              <w:outlineLvl w:val="1"/>
              <w:rPr>
                <w:rFonts w:eastAsia="Times New Roman" w:cs="Calibri" w:cstheme="minorHAnsi"/>
                <w:bCs/>
                <w:szCs w:val="20"/>
                <w:lang w:eastAsia="en-AU"/>
              </w:rPr>
            </w:pPr>
            <w:r>
              <w:rPr>
                <w:rFonts w:eastAsia="Times New Roman" w:cs="Calibri" w:cstheme="minorHAnsi"/>
                <w:bCs/>
                <w:szCs w:val="20"/>
                <w:lang w:eastAsia="en-AU"/>
              </w:rPr>
              <w:t>$ 2.0m</w:t>
            </w:r>
          </w:p>
        </w:tc>
      </w:tr>
      <w:tr>
        <w:trPr/>
        <w:tc>
          <w:tcPr>
            <w:tcW w:w="4819"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Cs w:val="20"/>
                <w:lang w:eastAsia="en-AU"/>
              </w:rPr>
            </w:pPr>
            <w:r>
              <w:rPr>
                <w:rFonts w:eastAsia="Times New Roman" w:cs="Calibri" w:cstheme="minorHAnsi"/>
                <w:bCs/>
                <w:szCs w:val="20"/>
                <w:lang w:eastAsia="en-AU"/>
              </w:rPr>
              <w:t>Core Target</w:t>
            </w:r>
          </w:p>
        </w:tc>
        <w:tc>
          <w:tcPr>
            <w:tcW w:w="141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108" w:type="dxa"/>
            </w:tcMar>
          </w:tcPr>
          <w:p>
            <w:pPr>
              <w:pStyle w:val="Normal"/>
              <w:numPr>
                <w:ilvl w:val="0"/>
                <w:numId w:val="0"/>
              </w:numPr>
              <w:spacing w:lineRule="auto" w:line="240" w:before="0" w:after="0"/>
              <w:jc w:val="right"/>
              <w:outlineLvl w:val="1"/>
              <w:rPr>
                <w:rFonts w:eastAsia="Times New Roman" w:cs="Calibri" w:cstheme="minorHAnsi"/>
                <w:bCs/>
                <w:szCs w:val="20"/>
                <w:lang w:eastAsia="en-AU"/>
              </w:rPr>
            </w:pPr>
            <w:r>
              <w:rPr>
                <w:rFonts w:eastAsia="Times New Roman" w:cs="Calibri" w:cstheme="minorHAnsi"/>
                <w:bCs/>
                <w:szCs w:val="20"/>
                <w:lang w:eastAsia="en-AU"/>
              </w:rPr>
              <w:t>$ 7.5m</w:t>
            </w:r>
          </w:p>
        </w:tc>
      </w:tr>
      <w:tr>
        <w:trPr/>
        <w:tc>
          <w:tcPr>
            <w:tcW w:w="4819"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Cs w:val="20"/>
                <w:lang w:eastAsia="en-AU"/>
              </w:rPr>
            </w:pPr>
            <w:r>
              <w:rPr>
                <w:rFonts w:eastAsia="Times New Roman" w:cs="Calibri" w:cstheme="minorHAnsi"/>
                <w:bCs/>
                <w:szCs w:val="20"/>
                <w:lang w:eastAsia="en-AU"/>
              </w:rPr>
              <w:t>Stretch Target (Hard Cap)</w:t>
            </w:r>
          </w:p>
        </w:tc>
        <w:tc>
          <w:tcPr>
            <w:tcW w:w="141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108" w:type="dxa"/>
            </w:tcMar>
          </w:tcPr>
          <w:p>
            <w:pPr>
              <w:pStyle w:val="Normal"/>
              <w:numPr>
                <w:ilvl w:val="0"/>
                <w:numId w:val="0"/>
              </w:numPr>
              <w:spacing w:lineRule="auto" w:line="240" w:before="0" w:after="0"/>
              <w:jc w:val="right"/>
              <w:outlineLvl w:val="1"/>
              <w:rPr>
                <w:rFonts w:eastAsia="Times New Roman" w:cs="Calibri" w:cstheme="minorHAnsi"/>
                <w:bCs/>
                <w:szCs w:val="20"/>
                <w:lang w:eastAsia="en-AU"/>
              </w:rPr>
            </w:pPr>
            <w:r>
              <w:rPr>
                <w:rFonts w:eastAsia="Times New Roman" w:cs="Calibri" w:cstheme="minorHAnsi"/>
                <w:bCs/>
                <w:szCs w:val="20"/>
                <w:lang w:eastAsia="en-AU"/>
              </w:rPr>
              <w:t xml:space="preserve">$ 20.0m </w:t>
            </w:r>
          </w:p>
        </w:tc>
      </w:tr>
      <w:tr>
        <w:trPr/>
        <w:tc>
          <w:tcPr>
            <w:tcW w:w="4819"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Cs w:val="20"/>
                <w:lang w:eastAsia="en-AU"/>
              </w:rPr>
            </w:pPr>
            <w:r>
              <w:rPr>
                <w:rFonts w:eastAsia="Times New Roman" w:cs="Calibri" w:cstheme="minorHAnsi"/>
                <w:bCs/>
                <w:szCs w:val="20"/>
                <w:lang w:eastAsia="en-AU"/>
              </w:rPr>
              <w:t>Total Issuance (no more tokens will be issued)</w:t>
            </w:r>
          </w:p>
        </w:tc>
        <w:tc>
          <w:tcPr>
            <w:tcW w:w="141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108" w:type="dxa"/>
            </w:tcMar>
          </w:tcPr>
          <w:p>
            <w:pPr>
              <w:pStyle w:val="Normal"/>
              <w:numPr>
                <w:ilvl w:val="0"/>
                <w:numId w:val="0"/>
              </w:numPr>
              <w:spacing w:lineRule="auto" w:line="240" w:before="0" w:after="0"/>
              <w:jc w:val="right"/>
              <w:outlineLvl w:val="1"/>
              <w:rPr>
                <w:rFonts w:eastAsia="Times New Roman" w:cs="Calibri" w:cstheme="minorHAnsi"/>
                <w:bCs/>
                <w:szCs w:val="20"/>
                <w:lang w:eastAsia="en-AU"/>
              </w:rPr>
            </w:pPr>
            <w:r>
              <w:rPr>
                <w:rFonts w:eastAsia="Times New Roman" w:cs="Calibri" w:cstheme="minorHAnsi"/>
                <w:bCs/>
                <w:szCs w:val="20"/>
                <w:lang w:eastAsia="en-AU"/>
              </w:rPr>
              <w:t>300,000,000</w:t>
            </w:r>
          </w:p>
        </w:tc>
      </w:tr>
      <w:tr>
        <w:trPr/>
        <w:tc>
          <w:tcPr>
            <w:tcW w:w="4819"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Cs w:val="20"/>
                <w:lang w:eastAsia="en-AU"/>
              </w:rPr>
            </w:pPr>
            <w:r>
              <w:rPr>
                <w:rFonts w:eastAsia="Times New Roman" w:cs="Calibri" w:cstheme="minorHAnsi"/>
                <w:bCs/>
                <w:szCs w:val="20"/>
                <w:lang w:eastAsia="en-AU"/>
              </w:rPr>
              <w:t>Projected Sale Price (USD)</w:t>
            </w:r>
          </w:p>
        </w:tc>
        <w:tc>
          <w:tcPr>
            <w:tcW w:w="1417"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108" w:type="dxa"/>
            </w:tcMar>
          </w:tcPr>
          <w:p>
            <w:pPr>
              <w:pStyle w:val="Normal"/>
              <w:numPr>
                <w:ilvl w:val="0"/>
                <w:numId w:val="0"/>
              </w:numPr>
              <w:spacing w:lineRule="auto" w:line="240" w:before="0" w:after="0"/>
              <w:jc w:val="right"/>
              <w:outlineLvl w:val="1"/>
              <w:rPr>
                <w:rFonts w:eastAsia="Times New Roman" w:cs="Calibri" w:cstheme="minorHAnsi"/>
                <w:bCs/>
                <w:szCs w:val="20"/>
                <w:lang w:eastAsia="en-AU"/>
              </w:rPr>
            </w:pPr>
            <w:r>
              <w:rPr>
                <w:rFonts w:eastAsia="Times New Roman" w:cs="Calibri" w:cstheme="minorHAnsi"/>
                <w:bCs/>
                <w:szCs w:val="20"/>
                <w:lang w:eastAsia="en-AU"/>
              </w:rPr>
              <w:t>$ 0.35</w:t>
            </w:r>
          </w:p>
        </w:tc>
      </w:tr>
    </w:tbl>
    <w:p>
      <w:pPr>
        <w:pStyle w:val="Normal"/>
        <w:rPr>
          <w:rFonts w:eastAsia="Times New Roman" w:cs="Calibri" w:cstheme="minorHAnsi"/>
          <w:b/>
          <w:b/>
          <w:bCs/>
          <w:sz w:val="24"/>
          <w:szCs w:val="20"/>
          <w:lang w:eastAsia="en-AU"/>
        </w:rPr>
      </w:pPr>
      <w:r>
        <w:rPr>
          <w:rFonts w:eastAsia="Times New Roman" w:cs="Calibri" w:cstheme="minorHAnsi"/>
          <w:b/>
          <w:bCs/>
          <w:sz w:val="24"/>
          <w:szCs w:val="20"/>
          <w:lang w:eastAsia="en-AU"/>
        </w:rPr>
      </w:r>
      <w:r>
        <w:br w:type="page"/>
      </w:r>
    </w:p>
    <w:p>
      <w:pPr>
        <w:pStyle w:val="Normal"/>
        <w:rPr>
          <w:rFonts w:eastAsia="Times New Roman" w:cs="Calibri" w:cstheme="minorHAnsi"/>
          <w:b/>
          <w:b/>
          <w:bCs/>
          <w:szCs w:val="20"/>
          <w:lang w:eastAsia="en-AU"/>
        </w:rPr>
      </w:pPr>
      <w:r>
        <w:rPr>
          <w:rFonts w:eastAsia="Times New Roman" w:cs="Calibri" w:cstheme="minorHAnsi"/>
          <w:b/>
          <w:bCs/>
          <w:sz w:val="24"/>
          <w:szCs w:val="20"/>
          <w:lang w:eastAsia="en-AU"/>
        </w:rPr>
        <w:t>Utility of the Token</w:t>
      </w:r>
    </w:p>
    <w:p>
      <w:pPr>
        <w:pStyle w:val="Normal"/>
        <w:rPr>
          <w:rFonts w:eastAsia="Times New Roman" w:cs="Calibri" w:cstheme="minorHAnsi"/>
          <w:bCs/>
          <w:szCs w:val="20"/>
          <w:lang w:eastAsia="en-AU"/>
        </w:rPr>
      </w:pPr>
      <w:r>
        <w:rPr>
          <w:rFonts w:eastAsia="Times New Roman" w:cs="Calibri" w:cstheme="minorHAnsi"/>
          <w:bCs/>
          <w:sz w:val="20"/>
          <w:szCs w:val="20"/>
          <w:lang w:eastAsia="en-AU"/>
        </w:rPr>
        <w:t>VENTANA is an intrinsic part of the Veredictum anti-piracy and distribution platform and represents the incentivisation structure required to motivate our network to assist us in our pursuit of targeting the very drivers of film and video piracy and theft:</w:t>
      </w:r>
    </w:p>
    <w:p>
      <w:pPr>
        <w:pStyle w:val="ListParagraph"/>
        <w:numPr>
          <w:ilvl w:val="0"/>
          <w:numId w:val="2"/>
        </w:numPr>
        <w:rPr>
          <w:rFonts w:eastAsia="Times New Roman" w:cs="Calibri" w:cstheme="minorHAnsi"/>
          <w:bCs/>
          <w:szCs w:val="20"/>
          <w:lang w:eastAsia="en-AU"/>
        </w:rPr>
      </w:pPr>
      <w:r>
        <w:rPr>
          <w:rFonts w:eastAsia="Times New Roman" w:cs="Calibri" w:cstheme="minorHAnsi"/>
          <w:bCs/>
          <w:sz w:val="20"/>
          <w:szCs w:val="20"/>
          <w:lang w:eastAsia="en-AU"/>
        </w:rPr>
        <w:t xml:space="preserve">Providing access to content, when a user wants, on a device that they want and at a price point that is fair. </w:t>
      </w:r>
    </w:p>
    <w:p>
      <w:pPr>
        <w:pStyle w:val="ListParagraph"/>
        <w:numPr>
          <w:ilvl w:val="0"/>
          <w:numId w:val="2"/>
        </w:numPr>
        <w:rPr>
          <w:rFonts w:eastAsia="Times New Roman" w:cs="Calibri" w:cstheme="minorHAnsi"/>
          <w:bCs/>
          <w:szCs w:val="20"/>
          <w:lang w:eastAsia="en-AU"/>
        </w:rPr>
      </w:pPr>
      <w:r>
        <w:rPr>
          <w:rFonts w:eastAsia="Times New Roman" w:cs="Calibri" w:cstheme="minorHAnsi"/>
          <w:bCs/>
          <w:sz w:val="20"/>
          <w:szCs w:val="20"/>
          <w:lang w:eastAsia="en-AU"/>
        </w:rPr>
        <w:t xml:space="preserve">The implementation of enhanced deterrents. </w:t>
      </w:r>
    </w:p>
    <w:p>
      <w:pPr>
        <w:pStyle w:val="Normal"/>
        <w:rPr>
          <w:rFonts w:eastAsia="Times New Roman" w:cs="Calibri" w:cstheme="minorHAnsi"/>
          <w:bCs/>
          <w:szCs w:val="20"/>
          <w:lang w:eastAsia="en-AU"/>
        </w:rPr>
      </w:pPr>
      <w:r>
        <w:rPr>
          <w:rFonts w:eastAsia="Times New Roman" w:cs="Calibri" w:cstheme="minorHAnsi"/>
          <w:bCs/>
          <w:sz w:val="20"/>
          <w:szCs w:val="20"/>
          <w:lang w:eastAsia="en-AU"/>
        </w:rPr>
        <w:t xml:space="preserve">Whilst there is an emotional component to creative professionals providing assistance in the pursuit of reducing piracy, we need to appropriately economically incentivize the community that works with us to provide search and detection services together with peer-to-peer distribution services. This incentivisation is designed to provide the competitive economic benefit in excess of the costs of providing the infrastructure to support the platform – primarily electricity, bandwidth and hardware depreciation. Traditional routes to incentivization would not work within the current traditional banking and credit card systems, where minimum credit card fees of around $0.30c - $0.35c are typically administered. </w:t>
      </w:r>
    </w:p>
    <w:p>
      <w:pPr>
        <w:pStyle w:val="Normal"/>
        <w:rPr>
          <w:rFonts w:eastAsia="Times New Roman" w:cs="Calibri" w:cstheme="minorHAnsi"/>
          <w:bCs/>
          <w:sz w:val="20"/>
          <w:szCs w:val="20"/>
          <w:lang w:eastAsia="en-AU"/>
        </w:rPr>
      </w:pPr>
      <w:r>
        <w:rPr>
          <w:rFonts w:eastAsia="Times New Roman" w:cs="Calibri" w:cstheme="minorHAnsi"/>
          <w:bCs/>
          <w:sz w:val="20"/>
          <w:szCs w:val="20"/>
          <w:lang w:eastAsia="en-AU"/>
        </w:rPr>
      </w:r>
    </w:p>
    <w:p>
      <w:pPr>
        <w:pStyle w:val="Normal"/>
        <w:rPr>
          <w:rFonts w:eastAsia="Times New Roman" w:cs="Calibri" w:cstheme="minorHAnsi"/>
          <w:b/>
          <w:b/>
          <w:bCs/>
          <w:sz w:val="24"/>
          <w:lang w:eastAsia="en-AU"/>
        </w:rPr>
      </w:pPr>
      <w:r>
        <w:rPr>
          <w:rFonts w:eastAsia="Times New Roman" w:cs="Calibri" w:cstheme="minorHAnsi"/>
          <w:b/>
          <w:bCs/>
          <w:sz w:val="24"/>
          <w:lang w:eastAsia="en-AU"/>
        </w:rPr>
        <w:t>Projected Tokens in Circulation</w:t>
      </w:r>
    </w:p>
    <w:p>
      <w:pPr>
        <w:pStyle w:val="Normal"/>
        <w:numPr>
          <w:ilvl w:val="0"/>
          <w:numId w:val="0"/>
        </w:numPr>
        <w:spacing w:before="0" w:after="0"/>
        <w:outlineLvl w:val="1"/>
        <w:rPr>
          <w:rFonts w:eastAsia="Times New Roman" w:cs="Calibri" w:cstheme="minorHAnsi"/>
          <w:bCs/>
          <w:lang w:eastAsia="en-AU"/>
        </w:rPr>
      </w:pPr>
      <w:r>
        <w:rPr>
          <w:rFonts w:eastAsia="Times New Roman" w:cs="Calibri" w:cstheme="minorHAnsi"/>
          <w:bCs/>
          <w:sz w:val="20"/>
          <w:szCs w:val="20"/>
          <w:lang w:eastAsia="en-AU"/>
        </w:rPr>
        <w:t>We are very mindful of the need to maintain a known and controlled supply of VENTANA so that supporters can be aware of the likely variations in supply and adjust their strategies accordingly.</w:t>
      </w:r>
    </w:p>
    <w:p>
      <w:pPr>
        <w:pStyle w:val="Normal"/>
        <w:numPr>
          <w:ilvl w:val="0"/>
          <w:numId w:val="0"/>
        </w:numPr>
        <w:spacing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r>
    </w:p>
    <w:p>
      <w:pPr>
        <w:pStyle w:val="Normal"/>
        <w:numPr>
          <w:ilvl w:val="0"/>
          <w:numId w:val="0"/>
        </w:numPr>
        <w:spacing w:before="0" w:after="0"/>
        <w:outlineLvl w:val="1"/>
        <w:rPr>
          <w:rFonts w:eastAsia="Times New Roman" w:cs="Calibri" w:cstheme="minorHAnsi"/>
          <w:bCs/>
          <w:lang w:eastAsia="en-AU"/>
        </w:rPr>
      </w:pPr>
      <w:r>
        <w:rPr>
          <w:rFonts w:eastAsia="Times New Roman" w:cs="Calibri" w:cstheme="minorHAnsi"/>
          <w:bCs/>
          <w:sz w:val="20"/>
          <w:szCs w:val="20"/>
          <w:lang w:eastAsia="en-AU"/>
        </w:rPr>
        <w:t xml:space="preserve">The enclosed table is taken from our spreadsheet model which is available for those who indicate Expressions of Interest in supporting the pre-sale of VENTANA.   </w:t>
      </w:r>
    </w:p>
    <w:p>
      <w:pPr>
        <w:pStyle w:val="Normal"/>
        <w:numPr>
          <w:ilvl w:val="0"/>
          <w:numId w:val="0"/>
        </w:numPr>
        <w:spacing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r>
    </w:p>
    <w:p>
      <w:pPr>
        <w:pStyle w:val="Normal"/>
        <w:numPr>
          <w:ilvl w:val="0"/>
          <w:numId w:val="0"/>
        </w:numPr>
        <w:spacing w:before="0" w:after="0"/>
        <w:outlineLvl w:val="1"/>
        <w:rPr>
          <w:rFonts w:eastAsia="Times New Roman" w:cs="Calibri" w:cstheme="minorHAnsi"/>
          <w:bCs/>
          <w:lang w:eastAsia="en-AU"/>
        </w:rPr>
      </w:pPr>
      <w:r>
        <w:rPr>
          <w:rFonts w:eastAsia="Times New Roman" w:cs="Calibri" w:cstheme="minorHAnsi"/>
          <w:bCs/>
          <w:sz w:val="20"/>
          <w:szCs w:val="20"/>
          <w:lang w:eastAsia="en-AU"/>
        </w:rPr>
        <w:t xml:space="preserve">Whilst ever effort has been made to project the estimated tokens in circulation based upon the release of tokens from escrow and pre-determined levels, and that represents the at-worst positions (these at-worst positions exclude the release of tokens under the Strategic Growth Fund). Potential supporters of the VENTANA Token Sale should undertake their own due diligence.  </w:t>
      </w:r>
    </w:p>
    <w:p>
      <w:pPr>
        <w:pStyle w:val="Normal"/>
        <w:numPr>
          <w:ilvl w:val="0"/>
          <w:numId w:val="0"/>
        </w:numPr>
        <w:spacing w:before="0" w:after="0"/>
        <w:outlineLvl w:val="1"/>
        <w:rPr>
          <w:rFonts w:eastAsia="Times New Roman" w:cs="Calibri" w:cstheme="minorHAnsi"/>
          <w:b/>
          <w:b/>
          <w:bCs/>
          <w:lang w:eastAsia="en-AU"/>
        </w:rPr>
      </w:pPr>
      <w:r>
        <w:rPr>
          <w:rFonts w:eastAsia="Times New Roman" w:cs="Calibri" w:cstheme="minorHAnsi"/>
          <w:b/>
          <w:bCs/>
          <w:sz w:val="20"/>
          <w:szCs w:val="20"/>
          <w:lang w:eastAsia="en-AU"/>
        </w:rPr>
        <w:t xml:space="preserve"> </w:t>
      </w:r>
    </w:p>
    <w:tbl>
      <w:tblPr>
        <w:tblStyle w:val="TableGrid"/>
        <w:tblW w:w="9135" w:type="dxa"/>
        <w:jc w:val="left"/>
        <w:tblInd w:w="113" w:type="dxa"/>
        <w:tblCellMar>
          <w:top w:w="85" w:type="dxa"/>
          <w:left w:w="113" w:type="dxa"/>
          <w:bottom w:w="85" w:type="dxa"/>
          <w:right w:w="108" w:type="dxa"/>
        </w:tblCellMar>
        <w:tblLook w:val="04a0" w:noVBand="1" w:noHBand="0" w:lastColumn="0" w:firstColumn="1" w:lastRow="0" w:firstRow="1"/>
      </w:tblPr>
      <w:tblGrid>
        <w:gridCol w:w="2115"/>
        <w:gridCol w:w="705"/>
        <w:gridCol w:w="720"/>
        <w:gridCol w:w="720"/>
        <w:gridCol w:w="780"/>
        <w:gridCol w:w="765"/>
        <w:gridCol w:w="705"/>
        <w:gridCol w:w="720"/>
        <w:gridCol w:w="720"/>
        <w:gridCol w:w="1185"/>
      </w:tblGrid>
      <w:tr>
        <w:trPr/>
        <w:tc>
          <w:tcPr>
            <w:tcW w:w="2115" w:type="dxa"/>
            <w:tcBorders>
              <w:top w:val="nil"/>
              <w:left w:val="nil"/>
            </w:tcBorders>
            <w:shd w:fill="auto" w:val="clear"/>
          </w:tcPr>
          <w:p>
            <w:pPr>
              <w:pStyle w:val="Normal"/>
              <w:spacing w:lineRule="auto" w:line="240" w:before="0" w:after="0"/>
              <w:rPr>
                <w:rFonts w:cs="Calibri" w:cstheme="minorHAnsi"/>
                <w:sz w:val="20"/>
                <w:szCs w:val="20"/>
              </w:rPr>
            </w:pPr>
            <w:r>
              <w:rPr>
                <w:rFonts w:cs="Calibri" w:cstheme="minorHAnsi"/>
                <w:sz w:val="20"/>
                <w:szCs w:val="20"/>
              </w:rPr>
            </w:r>
          </w:p>
        </w:tc>
        <w:tc>
          <w:tcPr>
            <w:tcW w:w="705" w:type="dxa"/>
            <w:tcBorders/>
            <w:shd w:fill="auto" w:val="clear"/>
            <w:tcMar>
              <w:left w:w="108" w:type="dxa"/>
            </w:tcMar>
          </w:tcPr>
          <w:p>
            <w:pPr>
              <w:pStyle w:val="Normal"/>
              <w:spacing w:lineRule="auto" w:line="240" w:before="0" w:after="0"/>
              <w:jc w:val="center"/>
              <w:rPr>
                <w:rFonts w:cs="Calibri" w:cstheme="minorHAnsi"/>
              </w:rPr>
            </w:pPr>
            <w:r>
              <w:rPr>
                <w:rFonts w:cs="Calibri" w:cstheme="minorHAnsi"/>
                <w:sz w:val="20"/>
                <w:szCs w:val="20"/>
              </w:rPr>
              <w:t>2017</w:t>
            </w:r>
          </w:p>
        </w:tc>
        <w:tc>
          <w:tcPr>
            <w:tcW w:w="720" w:type="dxa"/>
            <w:tcBorders/>
            <w:shd w:fill="auto" w:val="clear"/>
            <w:tcMar>
              <w:left w:w="108" w:type="dxa"/>
            </w:tcMar>
          </w:tcPr>
          <w:p>
            <w:pPr>
              <w:pStyle w:val="Normal"/>
              <w:spacing w:lineRule="auto" w:line="240" w:before="0" w:after="0"/>
              <w:jc w:val="center"/>
              <w:rPr>
                <w:rFonts w:cs="Calibri" w:cstheme="minorHAnsi"/>
              </w:rPr>
            </w:pPr>
            <w:r>
              <w:rPr>
                <w:rFonts w:cs="Calibri" w:cstheme="minorHAnsi"/>
                <w:sz w:val="20"/>
                <w:szCs w:val="20"/>
              </w:rPr>
              <w:t>2018</w:t>
            </w:r>
          </w:p>
        </w:tc>
        <w:tc>
          <w:tcPr>
            <w:tcW w:w="720" w:type="dxa"/>
            <w:tcBorders/>
            <w:shd w:fill="auto" w:val="clear"/>
            <w:tcMar>
              <w:left w:w="108" w:type="dxa"/>
            </w:tcMar>
          </w:tcPr>
          <w:p>
            <w:pPr>
              <w:pStyle w:val="Normal"/>
              <w:spacing w:lineRule="auto" w:line="240" w:before="0" w:after="0"/>
              <w:jc w:val="center"/>
              <w:rPr>
                <w:rFonts w:cs="Calibri" w:cstheme="minorHAnsi"/>
              </w:rPr>
            </w:pPr>
            <w:r>
              <w:rPr>
                <w:rFonts w:cs="Calibri" w:cstheme="minorHAnsi"/>
                <w:sz w:val="20"/>
                <w:szCs w:val="20"/>
              </w:rPr>
              <w:t>2019</w:t>
            </w:r>
          </w:p>
        </w:tc>
        <w:tc>
          <w:tcPr>
            <w:tcW w:w="780" w:type="dxa"/>
            <w:tcBorders/>
            <w:shd w:fill="auto" w:val="clear"/>
            <w:tcMar>
              <w:left w:w="108" w:type="dxa"/>
            </w:tcMar>
          </w:tcPr>
          <w:p>
            <w:pPr>
              <w:pStyle w:val="Normal"/>
              <w:spacing w:lineRule="auto" w:line="240" w:before="0" w:after="0"/>
              <w:jc w:val="center"/>
              <w:rPr>
                <w:rFonts w:cs="Calibri" w:cstheme="minorHAnsi"/>
              </w:rPr>
            </w:pPr>
            <w:r>
              <w:rPr>
                <w:rFonts w:cs="Calibri" w:cstheme="minorHAnsi"/>
                <w:sz w:val="20"/>
                <w:szCs w:val="20"/>
              </w:rPr>
              <w:t>2020*</w:t>
            </w:r>
          </w:p>
        </w:tc>
        <w:tc>
          <w:tcPr>
            <w:tcW w:w="765" w:type="dxa"/>
            <w:tcBorders/>
            <w:shd w:fill="auto" w:val="clear"/>
            <w:tcMar>
              <w:left w:w="108" w:type="dxa"/>
            </w:tcMar>
          </w:tcPr>
          <w:p>
            <w:pPr>
              <w:pStyle w:val="Normal"/>
              <w:spacing w:lineRule="auto" w:line="240" w:before="0" w:after="0"/>
              <w:jc w:val="center"/>
              <w:rPr>
                <w:rFonts w:cs="Calibri" w:cstheme="minorHAnsi"/>
              </w:rPr>
            </w:pPr>
            <w:r>
              <w:rPr>
                <w:rFonts w:cs="Calibri" w:cstheme="minorHAnsi"/>
                <w:sz w:val="20"/>
                <w:szCs w:val="20"/>
              </w:rPr>
              <w:t>2021</w:t>
            </w:r>
          </w:p>
        </w:tc>
        <w:tc>
          <w:tcPr>
            <w:tcW w:w="705" w:type="dxa"/>
            <w:tcBorders/>
            <w:shd w:fill="auto" w:val="clear"/>
            <w:tcMar>
              <w:left w:w="108" w:type="dxa"/>
            </w:tcMar>
          </w:tcPr>
          <w:p>
            <w:pPr>
              <w:pStyle w:val="Normal"/>
              <w:spacing w:lineRule="auto" w:line="240" w:before="0" w:after="0"/>
              <w:jc w:val="center"/>
              <w:rPr>
                <w:rFonts w:cs="Calibri" w:cstheme="minorHAnsi"/>
              </w:rPr>
            </w:pPr>
            <w:r>
              <w:rPr>
                <w:rFonts w:cs="Calibri" w:cstheme="minorHAnsi"/>
                <w:sz w:val="20"/>
                <w:szCs w:val="20"/>
              </w:rPr>
              <w:t>2022</w:t>
            </w:r>
          </w:p>
        </w:tc>
        <w:tc>
          <w:tcPr>
            <w:tcW w:w="720" w:type="dxa"/>
            <w:tcBorders/>
            <w:shd w:fill="auto" w:val="clear"/>
            <w:tcMar>
              <w:left w:w="108" w:type="dxa"/>
            </w:tcMar>
          </w:tcPr>
          <w:p>
            <w:pPr>
              <w:pStyle w:val="Normal"/>
              <w:spacing w:lineRule="auto" w:line="240" w:before="0" w:after="0"/>
              <w:jc w:val="center"/>
              <w:rPr>
                <w:rFonts w:cs="Calibri" w:cstheme="minorHAnsi"/>
              </w:rPr>
            </w:pPr>
            <w:r>
              <w:rPr>
                <w:rFonts w:cs="Calibri" w:cstheme="minorHAnsi"/>
                <w:sz w:val="20"/>
                <w:szCs w:val="20"/>
              </w:rPr>
              <w:t>2023</w:t>
            </w:r>
          </w:p>
        </w:tc>
        <w:tc>
          <w:tcPr>
            <w:tcW w:w="720" w:type="dxa"/>
            <w:tcBorders/>
            <w:shd w:fill="auto" w:val="clear"/>
            <w:tcMar>
              <w:left w:w="108" w:type="dxa"/>
            </w:tcMar>
          </w:tcPr>
          <w:p>
            <w:pPr>
              <w:pStyle w:val="Normal"/>
              <w:spacing w:lineRule="auto" w:line="240" w:before="0" w:after="0"/>
              <w:jc w:val="center"/>
              <w:rPr>
                <w:rFonts w:cs="Calibri" w:cstheme="minorHAnsi"/>
              </w:rPr>
            </w:pPr>
            <w:r>
              <w:rPr>
                <w:rFonts w:cs="Calibri" w:cstheme="minorHAnsi"/>
                <w:sz w:val="20"/>
                <w:szCs w:val="20"/>
              </w:rPr>
              <w:t>2024</w:t>
            </w:r>
          </w:p>
        </w:tc>
        <w:tc>
          <w:tcPr>
            <w:tcW w:w="1185" w:type="dxa"/>
            <w:tcBorders/>
            <w:shd w:fill="auto" w:val="clear"/>
            <w:tcMar>
              <w:left w:w="108" w:type="dxa"/>
            </w:tcMar>
          </w:tcPr>
          <w:p>
            <w:pPr>
              <w:pStyle w:val="Normal"/>
              <w:spacing w:lineRule="auto" w:line="240" w:before="0" w:after="0"/>
              <w:jc w:val="center"/>
              <w:rPr>
                <w:rFonts w:cs="Calibri" w:cstheme="minorHAnsi"/>
              </w:rPr>
            </w:pPr>
            <w:r>
              <w:rPr>
                <w:rFonts w:cs="Calibri" w:cstheme="minorHAnsi"/>
                <w:sz w:val="20"/>
                <w:szCs w:val="20"/>
              </w:rPr>
              <w:t>2025</w:t>
            </w:r>
          </w:p>
        </w:tc>
      </w:tr>
      <w:tr>
        <w:trPr/>
        <w:tc>
          <w:tcPr>
            <w:tcW w:w="2115" w:type="dxa"/>
            <w:tcBorders/>
            <w:shd w:fill="auto" w:val="clear"/>
            <w:tcMar>
              <w:left w:w="108" w:type="dxa"/>
            </w:tcMar>
          </w:tcPr>
          <w:p>
            <w:pPr>
              <w:pStyle w:val="Normal"/>
              <w:spacing w:lineRule="auto" w:line="240" w:before="0" w:after="0"/>
              <w:rPr>
                <w:rFonts w:cs="Calibri" w:cstheme="minorHAnsi"/>
              </w:rPr>
            </w:pPr>
            <w:r>
              <w:rPr>
                <w:rFonts w:cs="Calibri" w:cstheme="minorHAnsi"/>
                <w:sz w:val="20"/>
                <w:szCs w:val="20"/>
              </w:rPr>
              <w:t xml:space="preserve">Estimated Tokens in Circulation (m) </w:t>
            </w:r>
          </w:p>
        </w:tc>
        <w:tc>
          <w:tcPr>
            <w:tcW w:w="705" w:type="dxa"/>
            <w:tcBorders/>
            <w:shd w:fill="auto" w:val="clear"/>
            <w:tcMar>
              <w:left w:w="108" w:type="dxa"/>
            </w:tcMar>
          </w:tcPr>
          <w:p>
            <w:pPr>
              <w:pStyle w:val="Normal"/>
              <w:spacing w:lineRule="auto" w:line="240" w:before="0" w:after="0"/>
              <w:jc w:val="center"/>
              <w:rPr>
                <w:rFonts w:cs="Calibri" w:cstheme="minorHAnsi"/>
              </w:rPr>
            </w:pPr>
            <w:r>
              <w:rPr>
                <w:rFonts w:cs="Calibri" w:cstheme="minorHAnsi"/>
                <w:sz w:val="20"/>
                <w:szCs w:val="20"/>
              </w:rPr>
              <w:t>116.9</w:t>
            </w:r>
          </w:p>
        </w:tc>
        <w:tc>
          <w:tcPr>
            <w:tcW w:w="720" w:type="dxa"/>
            <w:tcBorders/>
            <w:shd w:fill="auto" w:val="clear"/>
            <w:tcMar>
              <w:left w:w="108" w:type="dxa"/>
            </w:tcMar>
          </w:tcPr>
          <w:p>
            <w:pPr>
              <w:pStyle w:val="Normal"/>
              <w:spacing w:lineRule="auto" w:line="240" w:before="0" w:after="0"/>
              <w:jc w:val="center"/>
              <w:rPr>
                <w:rFonts w:cs="Calibri" w:cstheme="minorHAnsi"/>
              </w:rPr>
            </w:pPr>
            <w:r>
              <w:rPr>
                <w:rFonts w:cs="Calibri" w:cstheme="minorHAnsi"/>
                <w:sz w:val="20"/>
                <w:szCs w:val="20"/>
              </w:rPr>
              <w:t>136.9</w:t>
            </w:r>
          </w:p>
        </w:tc>
        <w:tc>
          <w:tcPr>
            <w:tcW w:w="720" w:type="dxa"/>
            <w:tcBorders/>
            <w:shd w:fill="auto" w:val="clear"/>
            <w:tcMar>
              <w:left w:w="108" w:type="dxa"/>
            </w:tcMar>
          </w:tcPr>
          <w:p>
            <w:pPr>
              <w:pStyle w:val="Normal"/>
              <w:spacing w:lineRule="auto" w:line="240" w:before="0" w:after="0"/>
              <w:jc w:val="center"/>
              <w:rPr>
                <w:rFonts w:cs="Calibri" w:cstheme="minorHAnsi"/>
              </w:rPr>
            </w:pPr>
            <w:r>
              <w:rPr>
                <w:rFonts w:cs="Calibri" w:cstheme="minorHAnsi"/>
                <w:sz w:val="20"/>
                <w:szCs w:val="20"/>
              </w:rPr>
              <w:t>149.7</w:t>
            </w:r>
          </w:p>
        </w:tc>
        <w:tc>
          <w:tcPr>
            <w:tcW w:w="780" w:type="dxa"/>
            <w:tcBorders/>
            <w:shd w:fill="auto" w:val="clear"/>
            <w:tcMar>
              <w:left w:w="108" w:type="dxa"/>
            </w:tcMar>
          </w:tcPr>
          <w:p>
            <w:pPr>
              <w:pStyle w:val="Normal"/>
              <w:spacing w:lineRule="auto" w:line="240" w:before="0" w:after="0"/>
              <w:jc w:val="center"/>
              <w:rPr>
                <w:rFonts w:cs="Calibri" w:cstheme="minorHAnsi"/>
              </w:rPr>
            </w:pPr>
            <w:r>
              <w:rPr>
                <w:rFonts w:cs="Calibri" w:cstheme="minorHAnsi"/>
                <w:sz w:val="20"/>
                <w:szCs w:val="20"/>
              </w:rPr>
              <w:t>191.8</w:t>
            </w:r>
          </w:p>
        </w:tc>
        <w:tc>
          <w:tcPr>
            <w:tcW w:w="765" w:type="dxa"/>
            <w:tcBorders/>
            <w:shd w:fill="auto" w:val="clear"/>
            <w:tcMar>
              <w:left w:w="108" w:type="dxa"/>
            </w:tcMar>
          </w:tcPr>
          <w:p>
            <w:pPr>
              <w:pStyle w:val="Normal"/>
              <w:spacing w:lineRule="auto" w:line="240" w:before="0" w:after="0"/>
              <w:jc w:val="center"/>
              <w:rPr>
                <w:rFonts w:cs="Calibri" w:cstheme="minorHAnsi"/>
              </w:rPr>
            </w:pPr>
            <w:r>
              <w:rPr>
                <w:rFonts w:cs="Calibri" w:cstheme="minorHAnsi"/>
                <w:sz w:val="20"/>
                <w:szCs w:val="20"/>
              </w:rPr>
              <w:t>199.9</w:t>
            </w:r>
          </w:p>
        </w:tc>
        <w:tc>
          <w:tcPr>
            <w:tcW w:w="705" w:type="dxa"/>
            <w:tcBorders/>
            <w:shd w:fill="auto" w:val="clear"/>
            <w:tcMar>
              <w:left w:w="108" w:type="dxa"/>
            </w:tcMar>
          </w:tcPr>
          <w:p>
            <w:pPr>
              <w:pStyle w:val="Normal"/>
              <w:spacing w:lineRule="auto" w:line="240" w:before="0" w:after="0"/>
              <w:jc w:val="center"/>
              <w:rPr>
                <w:rFonts w:cs="Calibri" w:cstheme="minorHAnsi"/>
              </w:rPr>
            </w:pPr>
            <w:r>
              <w:rPr>
                <w:rFonts w:cs="Calibri" w:cstheme="minorHAnsi"/>
                <w:sz w:val="20"/>
                <w:szCs w:val="20"/>
              </w:rPr>
              <w:t>206.6</w:t>
            </w:r>
          </w:p>
        </w:tc>
        <w:tc>
          <w:tcPr>
            <w:tcW w:w="720" w:type="dxa"/>
            <w:tcBorders/>
            <w:shd w:fill="auto" w:val="clear"/>
            <w:tcMar>
              <w:left w:w="108" w:type="dxa"/>
            </w:tcMar>
          </w:tcPr>
          <w:p>
            <w:pPr>
              <w:pStyle w:val="Normal"/>
              <w:spacing w:lineRule="auto" w:line="240" w:before="0" w:after="0"/>
              <w:jc w:val="center"/>
              <w:rPr>
                <w:rFonts w:cs="Calibri" w:cstheme="minorHAnsi"/>
              </w:rPr>
            </w:pPr>
            <w:r>
              <w:rPr>
                <w:rFonts w:cs="Calibri" w:cstheme="minorHAnsi"/>
                <w:sz w:val="20"/>
                <w:szCs w:val="20"/>
              </w:rPr>
              <w:t>211.8</w:t>
            </w:r>
          </w:p>
        </w:tc>
        <w:tc>
          <w:tcPr>
            <w:tcW w:w="720" w:type="dxa"/>
            <w:tcBorders/>
            <w:shd w:fill="auto" w:val="clear"/>
            <w:tcMar>
              <w:left w:w="108" w:type="dxa"/>
            </w:tcMar>
          </w:tcPr>
          <w:p>
            <w:pPr>
              <w:pStyle w:val="Normal"/>
              <w:spacing w:lineRule="auto" w:line="240" w:before="0" w:after="0"/>
              <w:jc w:val="center"/>
              <w:rPr>
                <w:rFonts w:cs="Calibri" w:cstheme="minorHAnsi"/>
              </w:rPr>
            </w:pPr>
            <w:r>
              <w:rPr>
                <w:rFonts w:cs="Calibri" w:cstheme="minorHAnsi"/>
                <w:sz w:val="20"/>
                <w:szCs w:val="20"/>
              </w:rPr>
              <w:t>215.9</w:t>
            </w:r>
          </w:p>
        </w:tc>
        <w:tc>
          <w:tcPr>
            <w:tcW w:w="1185" w:type="dxa"/>
            <w:tcBorders/>
            <w:shd w:fill="auto" w:val="clear"/>
            <w:tcMar>
              <w:left w:w="108" w:type="dxa"/>
            </w:tcMar>
          </w:tcPr>
          <w:p>
            <w:pPr>
              <w:pStyle w:val="Normal"/>
              <w:spacing w:lineRule="auto" w:line="240" w:before="0" w:after="0"/>
              <w:jc w:val="center"/>
              <w:rPr>
                <w:rFonts w:cs="Calibri" w:cstheme="minorHAnsi"/>
              </w:rPr>
            </w:pPr>
            <w:r>
              <w:rPr>
                <w:rFonts w:cs="Calibri" w:cstheme="minorHAnsi"/>
                <w:sz w:val="20"/>
                <w:szCs w:val="20"/>
              </w:rPr>
              <w:t>219.3</w:t>
            </w:r>
          </w:p>
        </w:tc>
      </w:tr>
    </w:tbl>
    <w:p>
      <w:pPr>
        <w:pStyle w:val="Normal"/>
        <w:rPr>
          <w:rFonts w:cs="Calibri" w:cstheme="minorHAnsi"/>
          <w:sz w:val="20"/>
          <w:szCs w:val="20"/>
        </w:rPr>
      </w:pPr>
      <w:r>
        <w:rPr>
          <w:rFonts w:cs="Calibri" w:cstheme="minorHAnsi"/>
          <w:sz w:val="20"/>
          <w:szCs w:val="20"/>
        </w:rPr>
      </w:r>
    </w:p>
    <w:p>
      <w:pPr>
        <w:pStyle w:val="Normal"/>
        <w:rPr>
          <w:sz w:val="20"/>
          <w:szCs w:val="20"/>
        </w:rPr>
      </w:pPr>
      <w:r>
        <w:rPr>
          <w:rFonts w:cs="Calibri" w:cstheme="minorHAnsi"/>
          <w:sz w:val="20"/>
          <w:szCs w:val="20"/>
        </w:rPr>
        <w:t xml:space="preserve">*This abnormal rise takes into account the maximum potential release of founders and seed investors tokens </w:t>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Normal"/>
        <w:tabs>
          <w:tab w:val="left" w:pos="5191" w:leader="none"/>
        </w:tabs>
        <w:rPr/>
      </w:pPr>
      <w:r>
        <w:rPr/>
        <w:tab/>
      </w:r>
    </w:p>
    <w:tbl>
      <w:tblPr>
        <w:tblStyle w:val="TableGrid"/>
        <w:tblW w:w="14170" w:type="dxa"/>
        <w:jc w:val="left"/>
        <w:tblInd w:w="0" w:type="dxa"/>
        <w:tblCellMar>
          <w:top w:w="85" w:type="dxa"/>
          <w:left w:w="108" w:type="dxa"/>
          <w:bottom w:w="85" w:type="dxa"/>
          <w:right w:w="108" w:type="dxa"/>
        </w:tblCellMar>
        <w:tblLook w:val="04a0" w:noVBand="1" w:noHBand="0" w:lastColumn="0" w:firstColumn="1" w:lastRow="0" w:firstRow="1"/>
      </w:tblPr>
      <w:tblGrid>
        <w:gridCol w:w="3851"/>
        <w:gridCol w:w="21"/>
        <w:gridCol w:w="1202"/>
        <w:gridCol w:w="24"/>
        <w:gridCol w:w="1133"/>
        <w:gridCol w:w="7938"/>
      </w:tblGrid>
      <w:tr>
        <w:trPr/>
        <w:tc>
          <w:tcPr>
            <w:tcW w:w="14169" w:type="dxa"/>
            <w:gridSpan w:val="6"/>
            <w:tcBorders/>
            <w:shd w:fill="auto" w:val="clear"/>
            <w:tcMar>
              <w:left w:w="108" w:type="dxa"/>
            </w:tcMar>
          </w:tcPr>
          <w:p>
            <w:pPr>
              <w:pStyle w:val="Normal"/>
              <w:numPr>
                <w:ilvl w:val="0"/>
                <w:numId w:val="0"/>
              </w:numPr>
              <w:spacing w:lineRule="auto" w:line="240" w:before="0" w:after="0"/>
              <w:outlineLvl w:val="1"/>
              <w:rPr>
                <w:rFonts w:eastAsia="Times New Roman" w:cs="Calibri" w:cstheme="minorHAnsi"/>
                <w:b/>
                <w:b/>
                <w:bCs/>
                <w:sz w:val="24"/>
                <w:szCs w:val="20"/>
                <w:lang w:eastAsia="en-AU"/>
              </w:rPr>
            </w:pPr>
            <w:r>
              <w:rPr>
                <w:rFonts w:eastAsia="Times New Roman" w:cs="Calibri" w:cstheme="minorHAnsi"/>
                <w:b/>
                <w:bCs/>
                <w:sz w:val="24"/>
                <w:szCs w:val="20"/>
                <w:lang w:eastAsia="en-AU"/>
              </w:rPr>
              <w:t>ALLOCATION OF TOKENS</w:t>
            </w:r>
          </w:p>
          <w:p>
            <w:pPr>
              <w:pStyle w:val="Normal"/>
              <w:numPr>
                <w:ilvl w:val="0"/>
                <w:numId w:val="0"/>
              </w:numPr>
              <w:spacing w:lineRule="auto" w:line="240" w:before="0" w:after="0"/>
              <w:outlineLvl w:val="1"/>
              <w:rPr>
                <w:rFonts w:eastAsia="Times New Roman" w:cs="Calibri" w:cstheme="minorHAnsi"/>
                <w:bCs/>
                <w:lang w:eastAsia="en-AU"/>
              </w:rPr>
            </w:pPr>
            <w:r>
              <w:rPr>
                <w:rFonts w:eastAsia="Times New Roman" w:cs="Calibri" w:cstheme="minorHAnsi"/>
                <w:bCs/>
                <w:sz w:val="24"/>
                <w:szCs w:val="20"/>
                <w:lang w:eastAsia="en-AU"/>
              </w:rPr>
              <w:t>For sale to wholesale and professional fund supporters, recognised syndicates, value added clients and general supporters.</w:t>
            </w:r>
          </w:p>
        </w:tc>
      </w:tr>
      <w:tr>
        <w:trPr/>
        <w:tc>
          <w:tcPr>
            <w:tcW w:w="3851" w:type="dxa"/>
            <w:tcBorders/>
            <w:shd w:fill="auto" w:val="clear"/>
            <w:tcMar>
              <w:left w:w="108" w:type="dxa"/>
            </w:tcMar>
            <w:vAlign w:val="center"/>
          </w:tcPr>
          <w:p>
            <w:pPr>
              <w:pStyle w:val="Normal"/>
              <w:numPr>
                <w:ilvl w:val="0"/>
                <w:numId w:val="0"/>
              </w:numPr>
              <w:spacing w:lineRule="auto" w:line="240" w:before="0" w:after="0"/>
              <w:outlineLvl w:val="1"/>
              <w:rPr/>
            </w:pPr>
            <w:r>
              <w:rPr>
                <w:rFonts w:eastAsia="Times New Roman" w:cs="Calibri" w:cstheme="minorHAnsi"/>
                <w:b/>
                <w:bCs/>
                <w:sz w:val="20"/>
                <w:szCs w:val="20"/>
                <w:lang w:eastAsia="en-AU"/>
              </w:rPr>
              <w:t xml:space="preserve">Pre-sale Funders – please complete the expressions of interest form in </w:t>
            </w:r>
            <w:hyperlink r:id="rId3">
              <w:r>
                <w:rPr>
                  <w:rStyle w:val="InternetLink"/>
                  <w:rFonts w:eastAsia="Times New Roman" w:cs="Calibri" w:cstheme="minorHAnsi"/>
                  <w:sz w:val="20"/>
                  <w:szCs w:val="20"/>
                  <w:lang w:eastAsia="en-AU"/>
                </w:rPr>
                <w:t>the Token Sale website</w:t>
              </w:r>
            </w:hyperlink>
            <w:r>
              <w:rPr>
                <w:rFonts w:eastAsia="Times New Roman" w:cs="Calibri" w:cstheme="minorHAnsi"/>
                <w:b/>
                <w:bCs/>
                <w:sz w:val="20"/>
                <w:szCs w:val="20"/>
                <w:lang w:eastAsia="en-AU"/>
              </w:rPr>
              <w:t xml:space="preserve"> </w:t>
            </w:r>
          </w:p>
        </w:tc>
        <w:tc>
          <w:tcPr>
            <w:tcW w:w="1223" w:type="dxa"/>
            <w:gridSpan w:val="2"/>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Token Allocation</w:t>
            </w:r>
          </w:p>
        </w:tc>
        <w:tc>
          <w:tcPr>
            <w:tcW w:w="1157" w:type="dxa"/>
            <w:gridSpan w:val="2"/>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Percentage</w:t>
            </w:r>
          </w:p>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Of Total Tokens (300m)</w:t>
            </w:r>
          </w:p>
        </w:tc>
        <w:tc>
          <w:tcPr>
            <w:tcW w:w="7938" w:type="dxa"/>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Comments</w:t>
            </w:r>
          </w:p>
        </w:tc>
      </w:tr>
      <w:tr>
        <w:trPr/>
        <w:tc>
          <w:tcPr>
            <w:tcW w:w="3851" w:type="dxa"/>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Wholesale Funders – lead supporter/funder</w:t>
            </w:r>
          </w:p>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(Nil US or Singaporean citizens*)</w:t>
            </w:r>
          </w:p>
        </w:tc>
        <w:tc>
          <w:tcPr>
            <w:tcW w:w="1223" w:type="dxa"/>
            <w:gridSpan w:val="2"/>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11.4m</w:t>
            </w:r>
          </w:p>
        </w:tc>
        <w:tc>
          <w:tcPr>
            <w:tcW w:w="1157" w:type="dxa"/>
            <w:gridSpan w:val="2"/>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3.8%</w:t>
            </w:r>
          </w:p>
        </w:tc>
        <w:tc>
          <w:tcPr>
            <w:tcW w:w="7938" w:type="dxa"/>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 xml:space="preserve">Target $3m of funds, 25% discount on token price. </w:t>
            </w:r>
          </w:p>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Preference given to smart or strategic funders.</w:t>
            </w:r>
          </w:p>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KYC/AML required for balances equal to or over $10k USD.</w:t>
            </w:r>
          </w:p>
        </w:tc>
      </w:tr>
      <w:tr>
        <w:trPr/>
        <w:tc>
          <w:tcPr>
            <w:tcW w:w="3851" w:type="dxa"/>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Wholesale Funders – book builders and syndications - (nil US or SGP citizens*)</w:t>
            </w:r>
          </w:p>
        </w:tc>
        <w:tc>
          <w:tcPr>
            <w:tcW w:w="1223" w:type="dxa"/>
            <w:gridSpan w:val="2"/>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34.8m</w:t>
            </w:r>
          </w:p>
        </w:tc>
        <w:tc>
          <w:tcPr>
            <w:tcW w:w="1157" w:type="dxa"/>
            <w:gridSpan w:val="2"/>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11.6%</w:t>
            </w:r>
          </w:p>
        </w:tc>
        <w:tc>
          <w:tcPr>
            <w:tcW w:w="7938" w:type="dxa"/>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 xml:space="preserve">Target $9.8m of funds, 15%-20% discount on token price. </w:t>
            </w:r>
          </w:p>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 xml:space="preserve">Preference given to smart or strategic funders. </w:t>
            </w:r>
          </w:p>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KYC/AML required for balances equal to or over $10k USD.</w:t>
            </w:r>
          </w:p>
        </w:tc>
      </w:tr>
      <w:tr>
        <w:trPr/>
        <w:tc>
          <w:tcPr>
            <w:tcW w:w="3851" w:type="dxa"/>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Film and Video Professionals –target users of the platform – (nil US or SGP citizens*)</w:t>
            </w:r>
          </w:p>
        </w:tc>
        <w:tc>
          <w:tcPr>
            <w:tcW w:w="1223" w:type="dxa"/>
            <w:gridSpan w:val="2"/>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11.5m</w:t>
            </w:r>
          </w:p>
        </w:tc>
        <w:tc>
          <w:tcPr>
            <w:tcW w:w="1157" w:type="dxa"/>
            <w:gridSpan w:val="2"/>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3.83%</w:t>
            </w:r>
          </w:p>
        </w:tc>
        <w:tc>
          <w:tcPr>
            <w:tcW w:w="7938" w:type="dxa"/>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Target $3.6m funding, 10% discount on price of tokens available for sale allocated to bona fide film and video professionals.</w:t>
            </w:r>
          </w:p>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 xml:space="preserve">Film and video credentials required to be identified – e.g. YouTube or IMDB. </w:t>
            </w:r>
          </w:p>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KYC/AML required for balances equal to or over $10k USD.</w:t>
            </w:r>
          </w:p>
        </w:tc>
      </w:tr>
      <w:tr>
        <w:trPr/>
        <w:tc>
          <w:tcPr>
            <w:tcW w:w="3851" w:type="dxa"/>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Nodes (nil US or SGP citizens*)</w:t>
            </w:r>
          </w:p>
        </w:tc>
        <w:tc>
          <w:tcPr>
            <w:tcW w:w="1223" w:type="dxa"/>
            <w:gridSpan w:val="2"/>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11.5m</w:t>
            </w:r>
          </w:p>
        </w:tc>
        <w:tc>
          <w:tcPr>
            <w:tcW w:w="1157" w:type="dxa"/>
            <w:gridSpan w:val="2"/>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3.83%</w:t>
            </w:r>
          </w:p>
        </w:tc>
        <w:tc>
          <w:tcPr>
            <w:tcW w:w="7938" w:type="dxa"/>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 xml:space="preserve">Target $3.6m funding, 10% discount on price of tokens available for sale allocated to bona fide requests to register as nodes. </w:t>
            </w:r>
          </w:p>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Preference given to smart or strategic funders.</w:t>
            </w:r>
          </w:p>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KYC/AML required for balances equal to or over $10k USD.</w:t>
            </w:r>
          </w:p>
        </w:tc>
      </w:tr>
      <w:tr>
        <w:trPr/>
        <w:tc>
          <w:tcPr>
            <w:tcW w:w="14169" w:type="dxa"/>
            <w:gridSpan w:val="6"/>
            <w:tcBorders>
              <w:left w:val="nil"/>
              <w:right w:val="nil"/>
              <w:insideV w:val="nil"/>
            </w:tcBorders>
            <w:shd w:fill="auto" w:val="clear"/>
            <w:vAlign w:val="center"/>
          </w:tcPr>
          <w:p>
            <w:pPr>
              <w:pStyle w:val="Normal"/>
              <w:numPr>
                <w:ilvl w:val="0"/>
                <w:numId w:val="0"/>
              </w:numPr>
              <w:spacing w:lineRule="auto" w:line="240" w:before="0" w:after="0"/>
              <w:outlineLvl w:val="1"/>
              <w:rPr>
                <w:rFonts w:eastAsia="Times New Roman" w:cs="Calibri" w:cstheme="minorHAnsi"/>
                <w:b/>
                <w:b/>
                <w:bCs/>
                <w:sz w:val="20"/>
                <w:szCs w:val="20"/>
                <w:lang w:eastAsia="en-AU"/>
              </w:rPr>
            </w:pPr>
            <w:r>
              <w:rPr>
                <w:rFonts w:eastAsia="Times New Roman" w:cs="Calibri" w:cstheme="minorHAnsi"/>
                <w:b/>
                <w:bCs/>
                <w:sz w:val="20"/>
                <w:szCs w:val="20"/>
                <w:lang w:eastAsia="en-AU"/>
              </w:rPr>
            </w:r>
          </w:p>
        </w:tc>
      </w:tr>
      <w:tr>
        <w:trPr/>
        <w:tc>
          <w:tcPr>
            <w:tcW w:w="14169" w:type="dxa"/>
            <w:gridSpan w:val="6"/>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
                <w:b/>
                <w:bCs/>
                <w:sz w:val="20"/>
                <w:szCs w:val="20"/>
                <w:lang w:eastAsia="en-AU"/>
              </w:rPr>
            </w:pPr>
            <w:r>
              <w:rPr>
                <w:rFonts w:eastAsia="Times New Roman" w:cs="Calibri" w:cstheme="minorHAnsi"/>
                <w:b/>
                <w:bCs/>
                <w:sz w:val="20"/>
                <w:szCs w:val="20"/>
                <w:lang w:eastAsia="en-AU"/>
              </w:rPr>
              <w:t>General Market Allocation</w:t>
            </w:r>
          </w:p>
        </w:tc>
      </w:tr>
      <w:tr>
        <w:trPr/>
        <w:tc>
          <w:tcPr>
            <w:tcW w:w="3851" w:type="dxa"/>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General Release of tokens</w:t>
            </w:r>
          </w:p>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(nil US or SGP citizens*)</w:t>
            </w:r>
          </w:p>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r>
          </w:p>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 xml:space="preserve">*SGP citizens who are professional investors, subject to formal legal advice, may be acceptable </w:t>
            </w:r>
          </w:p>
        </w:tc>
        <w:tc>
          <w:tcPr>
            <w:tcW w:w="1223" w:type="dxa"/>
            <w:gridSpan w:val="2"/>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TBD</w:t>
            </w:r>
          </w:p>
        </w:tc>
        <w:tc>
          <w:tcPr>
            <w:tcW w:w="1157" w:type="dxa"/>
            <w:gridSpan w:val="2"/>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r>
          </w:p>
        </w:tc>
        <w:tc>
          <w:tcPr>
            <w:tcW w:w="7938" w:type="dxa"/>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szCs w:val="20"/>
                <w:lang w:eastAsia="en-AU"/>
              </w:rPr>
            </w:pPr>
            <w:r>
              <w:rPr>
                <w:rFonts w:eastAsia="Times New Roman" w:cs="Calibri" w:cstheme="minorHAnsi"/>
                <w:bCs/>
                <w:sz w:val="20"/>
                <w:szCs w:val="20"/>
                <w:lang w:eastAsia="en-AU"/>
              </w:rPr>
              <w:t>Our initial preference is to have the support of our potential film and TV related clients and those that want to help us with the infrastructure to help us test and implement our platform. There may be a limited release to the general market, to ensure we have sufficient float to be seen to enable VENTANA to be traded effectively on an ongoing basis in the cryptocurrency markets after launch without being beholden to strategic financial risk from inappropriate large volume token holders.  The decision relating to ANY allocation to the general market remains with Veredictum.io KYC/AML required for balances equal to or over $10k USD.</w:t>
            </w:r>
          </w:p>
        </w:tc>
      </w:tr>
      <w:tr>
        <w:trPr/>
        <w:tc>
          <w:tcPr>
            <w:tcW w:w="14169" w:type="dxa"/>
            <w:gridSpan w:val="6"/>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4"/>
                <w:szCs w:val="20"/>
                <w:lang w:eastAsia="en-AU"/>
              </w:rPr>
            </w:pPr>
            <w:r>
              <w:rPr>
                <w:rFonts w:eastAsia="Times New Roman" w:cs="Calibri" w:cstheme="minorHAnsi"/>
                <w:b/>
                <w:bCs/>
                <w:sz w:val="24"/>
                <w:szCs w:val="20"/>
                <w:lang w:eastAsia="en-AU"/>
              </w:rPr>
              <w:t>ALLOCATION OF TOKENS</w:t>
            </w:r>
            <w:r>
              <w:rPr>
                <w:rFonts w:eastAsia="Times New Roman" w:cs="Calibri" w:cstheme="minorHAnsi"/>
                <w:bCs/>
                <w:sz w:val="24"/>
                <w:szCs w:val="20"/>
                <w:lang w:eastAsia="en-AU"/>
              </w:rPr>
              <w:t xml:space="preserve"> </w:t>
            </w:r>
          </w:p>
          <w:p>
            <w:pPr>
              <w:pStyle w:val="Normal"/>
              <w:numPr>
                <w:ilvl w:val="0"/>
                <w:numId w:val="0"/>
              </w:numPr>
              <w:spacing w:lineRule="auto" w:line="240" w:before="0" w:after="0"/>
              <w:outlineLvl w:val="1"/>
              <w:rPr>
                <w:rFonts w:eastAsia="Times New Roman" w:cs="Calibri" w:cstheme="minorHAnsi"/>
                <w:bCs/>
                <w:lang w:eastAsia="en-AU"/>
              </w:rPr>
            </w:pPr>
            <w:r>
              <w:rPr>
                <w:rFonts w:eastAsia="Times New Roman" w:cs="Calibri" w:cstheme="minorHAnsi"/>
                <w:bCs/>
                <w:sz w:val="24"/>
                <w:szCs w:val="20"/>
                <w:lang w:eastAsia="en-AU"/>
              </w:rPr>
              <w:t>Internal and Infrastructural requirements</w:t>
            </w:r>
          </w:p>
        </w:tc>
      </w:tr>
      <w:tr>
        <w:trPr/>
        <w:tc>
          <w:tcPr>
            <w:tcW w:w="3872" w:type="dxa"/>
            <w:gridSpan w:val="2"/>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lang w:eastAsia="en-AU"/>
              </w:rPr>
            </w:pPr>
            <w:r>
              <w:rPr>
                <w:rFonts w:eastAsia="Times New Roman" w:cs="Calibri" w:cstheme="minorHAnsi"/>
                <w:bCs/>
                <w:sz w:val="20"/>
                <w:lang w:eastAsia="en-AU"/>
              </w:rPr>
              <w:t xml:space="preserve">Incentive Pool – For Decentralized Search &amp; Detection and Distribution – minimum release over 10 years  </w:t>
            </w:r>
          </w:p>
          <w:p>
            <w:pPr>
              <w:pStyle w:val="Normal"/>
              <w:numPr>
                <w:ilvl w:val="0"/>
                <w:numId w:val="0"/>
              </w:numPr>
              <w:spacing w:lineRule="auto" w:line="240" w:before="0" w:after="0"/>
              <w:outlineLvl w:val="1"/>
              <w:rPr>
                <w:rFonts w:eastAsia="Times New Roman" w:cs="Calibri" w:cstheme="minorHAnsi"/>
                <w:bCs/>
                <w:sz w:val="20"/>
                <w:lang w:eastAsia="en-AU"/>
              </w:rPr>
            </w:pPr>
            <w:r>
              <w:rPr>
                <w:rFonts w:eastAsia="Times New Roman" w:cs="Calibri" w:cstheme="minorHAnsi"/>
                <w:bCs/>
                <w:sz w:val="20"/>
                <w:lang w:eastAsia="en-AU"/>
              </w:rPr>
            </w:r>
          </w:p>
        </w:tc>
        <w:tc>
          <w:tcPr>
            <w:tcW w:w="1226" w:type="dxa"/>
            <w:gridSpan w:val="2"/>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lang w:eastAsia="en-AU"/>
              </w:rPr>
            </w:pPr>
            <w:r>
              <w:rPr>
                <w:rFonts w:eastAsia="Times New Roman" w:cs="Calibri" w:cstheme="minorHAnsi"/>
                <w:bCs/>
                <w:sz w:val="20"/>
                <w:lang w:eastAsia="en-AU"/>
              </w:rPr>
              <w:t>100m</w:t>
            </w:r>
          </w:p>
        </w:tc>
        <w:tc>
          <w:tcPr>
            <w:tcW w:w="1133" w:type="dxa"/>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lang w:eastAsia="en-AU"/>
              </w:rPr>
            </w:pPr>
            <w:r>
              <w:rPr>
                <w:rFonts w:eastAsia="Times New Roman" w:cs="Calibri" w:cstheme="minorHAnsi"/>
                <w:bCs/>
                <w:sz w:val="20"/>
                <w:lang w:eastAsia="en-AU"/>
              </w:rPr>
              <w:t>33.33%</w:t>
            </w:r>
          </w:p>
        </w:tc>
        <w:tc>
          <w:tcPr>
            <w:tcW w:w="7938" w:type="dxa"/>
            <w:tcBorders/>
            <w:shd w:fill="auto" w:val="clear"/>
            <w:tcMar>
              <w:left w:w="108" w:type="dxa"/>
            </w:tcMar>
            <w:vAlign w:val="center"/>
          </w:tcPr>
          <w:p>
            <w:pPr>
              <w:pStyle w:val="ListParagraph"/>
              <w:numPr>
                <w:ilvl w:val="0"/>
                <w:numId w:val="1"/>
              </w:numPr>
              <w:spacing w:lineRule="auto" w:line="240" w:before="0" w:after="0"/>
              <w:ind w:left="463" w:hanging="360"/>
              <w:contextualSpacing/>
              <w:outlineLvl w:val="1"/>
              <w:rPr>
                <w:rFonts w:eastAsia="Times New Roman" w:cs="Calibri" w:cstheme="minorHAnsi"/>
                <w:bCs/>
                <w:sz w:val="20"/>
                <w:lang w:eastAsia="en-AU"/>
              </w:rPr>
            </w:pPr>
            <w:r>
              <w:rPr>
                <w:rFonts w:eastAsia="Times New Roman" w:cs="Calibri" w:cstheme="minorHAnsi"/>
                <w:bCs/>
                <w:sz w:val="20"/>
                <w:lang w:eastAsia="en-AU"/>
              </w:rPr>
              <w:t>Incentive Tokens will be issued but held in 3</w:t>
            </w:r>
            <w:r>
              <w:rPr>
                <w:rFonts w:eastAsia="Times New Roman" w:cs="Calibri" w:cstheme="minorHAnsi"/>
                <w:bCs/>
                <w:sz w:val="20"/>
                <w:vertAlign w:val="superscript"/>
                <w:lang w:eastAsia="en-AU"/>
              </w:rPr>
              <w:t>rd</w:t>
            </w:r>
            <w:r>
              <w:rPr>
                <w:rFonts w:eastAsia="Times New Roman" w:cs="Calibri" w:cstheme="minorHAnsi"/>
                <w:bCs/>
                <w:sz w:val="20"/>
                <w:lang w:eastAsia="en-AU"/>
              </w:rPr>
              <w:t xml:space="preserve"> party escrow, with a pre-programmed reducing rate of annual release. These tokens will be used to incentivize nodes especially in the early stages of testing. The global costs of electricity vary globally and we may need to incentivize certain locations more than others to ensure the global infrastructure is in place for the effective maintenance and optimization of search and detection services.</w:t>
            </w:r>
          </w:p>
          <w:p>
            <w:pPr>
              <w:pStyle w:val="ListParagraph"/>
              <w:numPr>
                <w:ilvl w:val="0"/>
                <w:numId w:val="1"/>
              </w:numPr>
              <w:spacing w:lineRule="auto" w:line="240" w:before="0" w:after="0"/>
              <w:ind w:left="463" w:hanging="360"/>
              <w:contextualSpacing/>
              <w:outlineLvl w:val="1"/>
              <w:rPr>
                <w:rFonts w:eastAsia="Times New Roman" w:cs="Calibri" w:cstheme="minorHAnsi"/>
                <w:bCs/>
                <w:sz w:val="20"/>
                <w:lang w:eastAsia="en-AU"/>
              </w:rPr>
            </w:pPr>
            <w:r>
              <w:rPr>
                <w:rFonts w:eastAsia="Times New Roman" w:cs="Calibri" w:cstheme="minorHAnsi"/>
                <w:bCs/>
                <w:sz w:val="20"/>
                <w:lang w:eastAsia="en-AU"/>
              </w:rPr>
              <w:t>First year release - 20% of incentive pool (20m tokens)</w:t>
            </w:r>
          </w:p>
          <w:p>
            <w:pPr>
              <w:pStyle w:val="ListParagraph"/>
              <w:numPr>
                <w:ilvl w:val="0"/>
                <w:numId w:val="1"/>
              </w:numPr>
              <w:spacing w:lineRule="auto" w:line="240" w:before="0" w:after="0"/>
              <w:ind w:left="463" w:hanging="360"/>
              <w:contextualSpacing/>
              <w:outlineLvl w:val="1"/>
              <w:rPr>
                <w:rFonts w:eastAsia="Times New Roman" w:cs="Calibri" w:cstheme="minorHAnsi"/>
                <w:bCs/>
                <w:sz w:val="20"/>
                <w:lang w:eastAsia="en-AU"/>
              </w:rPr>
            </w:pPr>
            <w:r>
              <w:rPr>
                <w:rFonts w:eastAsia="Times New Roman" w:cs="Calibri" w:cstheme="minorHAnsi"/>
                <w:bCs/>
                <w:sz w:val="20"/>
                <w:lang w:eastAsia="en-AU"/>
              </w:rPr>
              <w:t xml:space="preserve">Annual release of tokens reduces by 20% p.a.  from the incentive pool </w:t>
            </w:r>
          </w:p>
          <w:p>
            <w:pPr>
              <w:pStyle w:val="ListParagraph"/>
              <w:numPr>
                <w:ilvl w:val="0"/>
                <w:numId w:val="1"/>
              </w:numPr>
              <w:spacing w:lineRule="auto" w:line="240" w:before="0" w:after="0"/>
              <w:ind w:left="463" w:hanging="360"/>
              <w:contextualSpacing/>
              <w:outlineLvl w:val="1"/>
              <w:rPr>
                <w:rFonts w:eastAsia="Times New Roman" w:cs="Calibri" w:cstheme="minorHAnsi"/>
                <w:bCs/>
                <w:sz w:val="20"/>
                <w:lang w:eastAsia="en-AU"/>
              </w:rPr>
            </w:pPr>
            <w:r>
              <w:rPr>
                <w:rFonts w:eastAsia="Times New Roman" w:cs="Calibri" w:cstheme="minorHAnsi"/>
                <w:bCs/>
                <w:sz w:val="20"/>
                <w:lang w:eastAsia="en-AU"/>
              </w:rPr>
              <w:t xml:space="preserve">Incentive Pool tokens released but unused at the expiration of </w:t>
            </w:r>
            <w:r>
              <w:rPr>
                <w:rFonts w:eastAsia="Times New Roman" w:cs="Calibri" w:cstheme="minorHAnsi"/>
                <w:b/>
                <w:bCs/>
                <w:sz w:val="20"/>
                <w:u w:val="single"/>
                <w:lang w:eastAsia="en-AU"/>
              </w:rPr>
              <w:t>two years</w:t>
            </w:r>
            <w:r>
              <w:rPr>
                <w:rFonts w:eastAsia="Times New Roman" w:cs="Calibri" w:cstheme="minorHAnsi"/>
                <w:bCs/>
                <w:sz w:val="20"/>
                <w:lang w:eastAsia="en-AU"/>
              </w:rPr>
              <w:t xml:space="preserve"> will be burned.</w:t>
            </w:r>
          </w:p>
        </w:tc>
      </w:tr>
      <w:tr>
        <w:trPr/>
        <w:tc>
          <w:tcPr>
            <w:tcW w:w="3872" w:type="dxa"/>
            <w:gridSpan w:val="2"/>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lang w:eastAsia="en-AU"/>
              </w:rPr>
            </w:pPr>
            <w:r>
              <w:rPr>
                <w:rFonts w:eastAsia="Times New Roman" w:cs="Calibri" w:cstheme="minorHAnsi"/>
                <w:bCs/>
                <w:sz w:val="20"/>
                <w:lang w:eastAsia="en-AU"/>
              </w:rPr>
              <w:t>Internal Pool</w:t>
            </w:r>
          </w:p>
        </w:tc>
        <w:tc>
          <w:tcPr>
            <w:tcW w:w="1226" w:type="dxa"/>
            <w:gridSpan w:val="2"/>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lang w:eastAsia="en-AU"/>
              </w:rPr>
            </w:pPr>
            <w:r>
              <w:rPr>
                <w:rFonts w:eastAsia="Times New Roman" w:cs="Calibri" w:cstheme="minorHAnsi"/>
                <w:bCs/>
                <w:sz w:val="20"/>
                <w:lang w:eastAsia="en-AU"/>
              </w:rPr>
              <w:t>55m</w:t>
            </w:r>
          </w:p>
        </w:tc>
        <w:tc>
          <w:tcPr>
            <w:tcW w:w="1133" w:type="dxa"/>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lang w:eastAsia="en-AU"/>
              </w:rPr>
            </w:pPr>
            <w:r>
              <w:rPr>
                <w:rFonts w:eastAsia="Times New Roman" w:cs="Calibri" w:cstheme="minorHAnsi"/>
                <w:bCs/>
                <w:sz w:val="20"/>
                <w:lang w:eastAsia="en-AU"/>
              </w:rPr>
              <w:t>18.33%</w:t>
            </w:r>
          </w:p>
        </w:tc>
        <w:tc>
          <w:tcPr>
            <w:tcW w:w="7938" w:type="dxa"/>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lang w:eastAsia="en-AU"/>
              </w:rPr>
            </w:pPr>
            <w:r>
              <w:rPr>
                <w:rFonts w:eastAsia="Times New Roman" w:cs="Calibri" w:cstheme="minorHAnsi"/>
                <w:bCs/>
                <w:sz w:val="20"/>
                <w:lang w:eastAsia="en-AU"/>
              </w:rPr>
              <w:t>Terms of Escrow/vesting</w:t>
            </w:r>
          </w:p>
        </w:tc>
      </w:tr>
      <w:tr>
        <w:trPr/>
        <w:tc>
          <w:tcPr>
            <w:tcW w:w="3872" w:type="dxa"/>
            <w:gridSpan w:val="2"/>
            <w:tcBorders/>
            <w:shd w:fill="auto" w:val="clear"/>
            <w:tcMar>
              <w:left w:w="108" w:type="dxa"/>
            </w:tcMar>
            <w:vAlign w:val="center"/>
          </w:tcPr>
          <w:p>
            <w:pPr>
              <w:pStyle w:val="Normal"/>
              <w:numPr>
                <w:ilvl w:val="0"/>
                <w:numId w:val="0"/>
              </w:numPr>
              <w:spacing w:lineRule="auto" w:line="240" w:before="0" w:after="0"/>
              <w:jc w:val="right"/>
              <w:outlineLvl w:val="1"/>
              <w:rPr>
                <w:rFonts w:eastAsia="Times New Roman" w:cs="Calibri" w:cstheme="minorHAnsi"/>
                <w:bCs/>
                <w:sz w:val="20"/>
                <w:lang w:eastAsia="en-AU"/>
              </w:rPr>
            </w:pPr>
            <w:r>
              <w:rPr>
                <w:rFonts w:eastAsia="Times New Roman" w:cs="Calibri" w:cstheme="minorHAnsi"/>
                <w:bCs/>
                <w:sz w:val="20"/>
                <w:lang w:eastAsia="en-AU"/>
              </w:rPr>
              <w:t xml:space="preserve">10% Founders &amp; Seed Investors </w:t>
            </w:r>
          </w:p>
          <w:p>
            <w:pPr>
              <w:pStyle w:val="Normal"/>
              <w:numPr>
                <w:ilvl w:val="0"/>
                <w:numId w:val="0"/>
              </w:numPr>
              <w:spacing w:lineRule="auto" w:line="240" w:before="0" w:after="0"/>
              <w:jc w:val="right"/>
              <w:outlineLvl w:val="1"/>
              <w:rPr>
                <w:rFonts w:eastAsia="Times New Roman" w:cs="Calibri" w:cstheme="minorHAnsi"/>
                <w:bCs/>
                <w:sz w:val="20"/>
                <w:lang w:eastAsia="en-AU"/>
              </w:rPr>
            </w:pPr>
            <w:r>
              <w:rPr>
                <w:rFonts w:eastAsia="Times New Roman" w:cs="Calibri" w:cstheme="minorHAnsi"/>
                <w:bCs/>
                <w:sz w:val="20"/>
                <w:lang w:eastAsia="en-AU"/>
              </w:rPr>
              <w:t>3.33% Futur</w:t>
            </w:r>
            <w:bookmarkStart w:id="0" w:name="_GoBack"/>
            <w:bookmarkEnd w:id="0"/>
            <w:r>
              <w:rPr>
                <w:rFonts w:eastAsia="Times New Roman" w:cs="Calibri" w:cstheme="minorHAnsi"/>
                <w:bCs/>
                <w:sz w:val="20"/>
                <w:lang w:eastAsia="en-AU"/>
              </w:rPr>
              <w:t>e C-level Team Members</w:t>
            </w:r>
          </w:p>
          <w:p>
            <w:pPr>
              <w:pStyle w:val="Normal"/>
              <w:numPr>
                <w:ilvl w:val="0"/>
                <w:numId w:val="0"/>
              </w:numPr>
              <w:spacing w:lineRule="auto" w:line="240" w:before="0" w:after="0"/>
              <w:jc w:val="right"/>
              <w:outlineLvl w:val="1"/>
              <w:rPr>
                <w:rFonts w:eastAsia="Times New Roman" w:cs="Calibri" w:cstheme="minorHAnsi"/>
                <w:bCs/>
                <w:sz w:val="20"/>
                <w:lang w:eastAsia="en-AU"/>
              </w:rPr>
            </w:pPr>
            <w:r>
              <w:rPr>
                <w:rFonts w:eastAsia="Times New Roman" w:cs="Calibri" w:cstheme="minorHAnsi"/>
                <w:bCs/>
                <w:sz w:val="20"/>
                <w:lang w:eastAsia="en-AU"/>
              </w:rPr>
              <w:t xml:space="preserve">3.33% Developers and Employees </w:t>
            </w:r>
          </w:p>
          <w:p>
            <w:pPr>
              <w:pStyle w:val="Normal"/>
              <w:numPr>
                <w:ilvl w:val="0"/>
                <w:numId w:val="0"/>
              </w:numPr>
              <w:spacing w:lineRule="auto" w:line="240" w:before="0" w:after="0"/>
              <w:jc w:val="right"/>
              <w:outlineLvl w:val="1"/>
              <w:rPr>
                <w:rFonts w:eastAsia="Times New Roman" w:cs="Calibri" w:cstheme="minorHAnsi"/>
                <w:bCs/>
                <w:sz w:val="20"/>
                <w:lang w:eastAsia="en-AU"/>
              </w:rPr>
            </w:pPr>
            <w:r>
              <w:rPr>
                <w:rFonts w:eastAsia="Times New Roman" w:cs="Calibri" w:cstheme="minorHAnsi"/>
                <w:bCs/>
                <w:sz w:val="20"/>
                <w:lang w:eastAsia="en-AU"/>
              </w:rPr>
              <w:t>1.67% Advisor pool</w:t>
            </w:r>
          </w:p>
        </w:tc>
        <w:tc>
          <w:tcPr>
            <w:tcW w:w="1226" w:type="dxa"/>
            <w:gridSpan w:val="2"/>
            <w:tcBorders/>
            <w:shd w:fill="auto" w:val="clear"/>
            <w:tcMar>
              <w:left w:w="108" w:type="dxa"/>
            </w:tcMar>
            <w:vAlign w:val="center"/>
          </w:tcPr>
          <w:p>
            <w:pPr>
              <w:pStyle w:val="Normal"/>
              <w:numPr>
                <w:ilvl w:val="0"/>
                <w:numId w:val="0"/>
              </w:numPr>
              <w:spacing w:lineRule="auto" w:line="240" w:before="0" w:after="0"/>
              <w:jc w:val="right"/>
              <w:outlineLvl w:val="1"/>
              <w:rPr>
                <w:rFonts w:eastAsia="Times New Roman" w:cs="Calibri" w:cstheme="minorHAnsi"/>
                <w:bCs/>
                <w:sz w:val="20"/>
                <w:lang w:eastAsia="en-AU"/>
              </w:rPr>
            </w:pPr>
            <w:r>
              <w:rPr>
                <w:rFonts w:eastAsia="Times New Roman" w:cs="Calibri" w:cstheme="minorHAnsi"/>
                <w:bCs/>
                <w:sz w:val="20"/>
                <w:lang w:eastAsia="en-AU"/>
              </w:rPr>
              <w:t>30m</w:t>
            </w:r>
          </w:p>
          <w:p>
            <w:pPr>
              <w:pStyle w:val="Normal"/>
              <w:numPr>
                <w:ilvl w:val="0"/>
                <w:numId w:val="0"/>
              </w:numPr>
              <w:spacing w:lineRule="auto" w:line="240" w:before="0" w:after="0"/>
              <w:jc w:val="right"/>
              <w:outlineLvl w:val="1"/>
              <w:rPr>
                <w:rFonts w:eastAsia="Times New Roman" w:cs="Calibri" w:cstheme="minorHAnsi"/>
                <w:bCs/>
                <w:sz w:val="20"/>
                <w:lang w:eastAsia="en-AU"/>
              </w:rPr>
            </w:pPr>
            <w:r>
              <w:rPr>
                <w:rFonts w:eastAsia="Times New Roman" w:cs="Calibri" w:cstheme="minorHAnsi"/>
                <w:bCs/>
                <w:sz w:val="20"/>
                <w:lang w:eastAsia="en-AU"/>
              </w:rPr>
              <w:t>10m</w:t>
            </w:r>
          </w:p>
          <w:p>
            <w:pPr>
              <w:pStyle w:val="Normal"/>
              <w:numPr>
                <w:ilvl w:val="0"/>
                <w:numId w:val="0"/>
              </w:numPr>
              <w:spacing w:lineRule="auto" w:line="240" w:before="0" w:after="0"/>
              <w:jc w:val="right"/>
              <w:outlineLvl w:val="1"/>
              <w:rPr>
                <w:rFonts w:eastAsia="Times New Roman" w:cs="Calibri" w:cstheme="minorHAnsi"/>
                <w:bCs/>
                <w:sz w:val="20"/>
                <w:lang w:eastAsia="en-AU"/>
              </w:rPr>
            </w:pPr>
            <w:r>
              <w:rPr>
                <w:rFonts w:eastAsia="Times New Roman" w:cs="Calibri" w:cstheme="minorHAnsi"/>
                <w:bCs/>
                <w:sz w:val="20"/>
                <w:lang w:eastAsia="en-AU"/>
              </w:rPr>
              <w:t>10m</w:t>
            </w:r>
          </w:p>
          <w:p>
            <w:pPr>
              <w:pStyle w:val="Normal"/>
              <w:numPr>
                <w:ilvl w:val="0"/>
                <w:numId w:val="0"/>
              </w:numPr>
              <w:spacing w:lineRule="auto" w:line="240" w:before="0" w:after="0"/>
              <w:jc w:val="right"/>
              <w:outlineLvl w:val="1"/>
              <w:rPr>
                <w:rFonts w:eastAsia="Times New Roman" w:cs="Calibri" w:cstheme="minorHAnsi"/>
                <w:bCs/>
                <w:sz w:val="20"/>
                <w:lang w:eastAsia="en-AU"/>
              </w:rPr>
            </w:pPr>
            <w:r>
              <w:rPr>
                <w:rFonts w:eastAsia="Times New Roman" w:cs="Calibri" w:cstheme="minorHAnsi"/>
                <w:bCs/>
                <w:sz w:val="20"/>
                <w:lang w:eastAsia="en-AU"/>
              </w:rPr>
              <w:t>5m</w:t>
            </w:r>
          </w:p>
        </w:tc>
        <w:tc>
          <w:tcPr>
            <w:tcW w:w="1133" w:type="dxa"/>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lang w:eastAsia="en-AU"/>
              </w:rPr>
            </w:pPr>
            <w:r>
              <w:rPr>
                <w:rFonts w:eastAsia="Times New Roman" w:cs="Calibri" w:cstheme="minorHAnsi"/>
                <w:bCs/>
                <w:sz w:val="20"/>
                <w:lang w:eastAsia="en-AU"/>
              </w:rPr>
            </w:r>
          </w:p>
        </w:tc>
        <w:tc>
          <w:tcPr>
            <w:tcW w:w="7938" w:type="dxa"/>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lang w:eastAsia="en-AU"/>
              </w:rPr>
            </w:pPr>
            <w:r>
              <w:rPr>
                <w:rFonts w:eastAsia="Times New Roman" w:cs="Calibri" w:cstheme="minorHAnsi"/>
                <w:bCs/>
                <w:sz w:val="20"/>
                <w:lang w:eastAsia="en-AU"/>
              </w:rPr>
              <w:t>20% released day 1, remainder held for 3 years in escrow with vesting</w:t>
            </w:r>
          </w:p>
          <w:p>
            <w:pPr>
              <w:pStyle w:val="Normal"/>
              <w:numPr>
                <w:ilvl w:val="0"/>
                <w:numId w:val="0"/>
              </w:numPr>
              <w:spacing w:lineRule="auto" w:line="240" w:before="0" w:after="0"/>
              <w:outlineLvl w:val="1"/>
              <w:rPr>
                <w:rFonts w:eastAsia="Times New Roman" w:cs="Calibri" w:cstheme="minorHAnsi"/>
                <w:bCs/>
                <w:sz w:val="20"/>
                <w:lang w:eastAsia="en-AU"/>
              </w:rPr>
            </w:pPr>
            <w:r>
              <w:rPr>
                <w:rFonts w:eastAsia="Times New Roman" w:cs="Calibri" w:cstheme="minorHAnsi"/>
                <w:bCs/>
                <w:sz w:val="20"/>
                <w:lang w:eastAsia="en-AU"/>
              </w:rPr>
              <w:t>20% released day 1, remainder held for 3 years in escrow with vesting &amp; 6 months cliff</w:t>
            </w:r>
          </w:p>
          <w:p>
            <w:pPr>
              <w:pStyle w:val="Normal"/>
              <w:numPr>
                <w:ilvl w:val="0"/>
                <w:numId w:val="0"/>
              </w:numPr>
              <w:spacing w:lineRule="auto" w:line="240" w:before="0" w:after="0"/>
              <w:outlineLvl w:val="1"/>
              <w:rPr>
                <w:rFonts w:eastAsia="Times New Roman" w:cs="Calibri" w:cstheme="minorHAnsi"/>
                <w:bCs/>
                <w:sz w:val="20"/>
                <w:lang w:eastAsia="en-AU"/>
              </w:rPr>
            </w:pPr>
            <w:r>
              <w:rPr>
                <w:rFonts w:eastAsia="Times New Roman" w:cs="Calibri" w:cstheme="minorHAnsi"/>
                <w:bCs/>
                <w:sz w:val="20"/>
                <w:lang w:eastAsia="en-AU"/>
              </w:rPr>
              <w:t>20% released day 1, remainder held for 3 years in escrow with vesting &amp; 6 months cliff</w:t>
            </w:r>
          </w:p>
          <w:p>
            <w:pPr>
              <w:pStyle w:val="Normal"/>
              <w:numPr>
                <w:ilvl w:val="0"/>
                <w:numId w:val="0"/>
              </w:numPr>
              <w:spacing w:lineRule="auto" w:line="240" w:before="0" w:after="0"/>
              <w:outlineLvl w:val="1"/>
              <w:rPr>
                <w:rFonts w:eastAsia="Times New Roman" w:cs="Calibri" w:cstheme="minorHAnsi"/>
                <w:bCs/>
                <w:sz w:val="20"/>
                <w:lang w:eastAsia="en-AU"/>
              </w:rPr>
            </w:pPr>
            <w:r>
              <w:rPr>
                <w:rFonts w:eastAsia="Times New Roman" w:cs="Calibri" w:cstheme="minorHAnsi"/>
                <w:bCs/>
                <w:sz w:val="20"/>
                <w:lang w:eastAsia="en-AU"/>
              </w:rPr>
              <w:t>20% released day 1, remainder held for 1 year in escrow with vesting</w:t>
            </w:r>
          </w:p>
        </w:tc>
      </w:tr>
      <w:tr>
        <w:trPr/>
        <w:tc>
          <w:tcPr>
            <w:tcW w:w="3872" w:type="dxa"/>
            <w:gridSpan w:val="2"/>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lang w:eastAsia="en-AU"/>
              </w:rPr>
            </w:pPr>
            <w:r>
              <w:rPr>
                <w:rFonts w:eastAsia="Times New Roman" w:cs="Calibri" w:cstheme="minorHAnsi"/>
                <w:bCs/>
                <w:sz w:val="20"/>
                <w:lang w:eastAsia="en-AU"/>
              </w:rPr>
              <w:t>Operational Pool</w:t>
            </w:r>
          </w:p>
        </w:tc>
        <w:tc>
          <w:tcPr>
            <w:tcW w:w="1226" w:type="dxa"/>
            <w:gridSpan w:val="2"/>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lang w:eastAsia="en-AU"/>
              </w:rPr>
            </w:pPr>
            <w:r>
              <w:rPr>
                <w:rFonts w:eastAsia="Times New Roman" w:cs="Calibri" w:cstheme="minorHAnsi"/>
                <w:bCs/>
                <w:sz w:val="20"/>
                <w:lang w:eastAsia="en-AU"/>
              </w:rPr>
              <w:t>30m</w:t>
            </w:r>
          </w:p>
        </w:tc>
        <w:tc>
          <w:tcPr>
            <w:tcW w:w="1133" w:type="dxa"/>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lang w:eastAsia="en-AU"/>
              </w:rPr>
            </w:pPr>
            <w:r>
              <w:rPr>
                <w:rFonts w:eastAsia="Times New Roman" w:cs="Calibri" w:cstheme="minorHAnsi"/>
                <w:bCs/>
                <w:sz w:val="20"/>
                <w:lang w:eastAsia="en-AU"/>
              </w:rPr>
              <w:t>10%</w:t>
            </w:r>
          </w:p>
        </w:tc>
        <w:tc>
          <w:tcPr>
            <w:tcW w:w="7938" w:type="dxa"/>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lang w:eastAsia="en-AU"/>
              </w:rPr>
            </w:pPr>
            <w:r>
              <w:rPr>
                <w:rFonts w:eastAsia="Times New Roman" w:cs="Calibri" w:cstheme="minorHAnsi"/>
                <w:bCs/>
                <w:sz w:val="20"/>
                <w:lang w:eastAsia="en-AU"/>
              </w:rPr>
            </w:r>
          </w:p>
        </w:tc>
      </w:tr>
      <w:tr>
        <w:trPr/>
        <w:tc>
          <w:tcPr>
            <w:tcW w:w="3872" w:type="dxa"/>
            <w:gridSpan w:val="2"/>
            <w:tcBorders/>
            <w:shd w:fill="auto" w:val="clear"/>
            <w:tcMar>
              <w:left w:w="108" w:type="dxa"/>
            </w:tcMar>
            <w:vAlign w:val="center"/>
          </w:tcPr>
          <w:p>
            <w:pPr>
              <w:pStyle w:val="Normal"/>
              <w:numPr>
                <w:ilvl w:val="0"/>
                <w:numId w:val="0"/>
              </w:numPr>
              <w:spacing w:lineRule="auto" w:line="240" w:before="0" w:after="0"/>
              <w:jc w:val="right"/>
              <w:outlineLvl w:val="1"/>
              <w:rPr>
                <w:rFonts w:eastAsia="Times New Roman" w:cs="Calibri" w:cstheme="minorHAnsi"/>
                <w:bCs/>
                <w:sz w:val="20"/>
                <w:lang w:eastAsia="en-AU"/>
              </w:rPr>
            </w:pPr>
            <w:r>
              <w:rPr>
                <w:rFonts w:eastAsia="Times New Roman" w:cs="Calibri" w:cstheme="minorHAnsi"/>
                <w:bCs/>
                <w:sz w:val="20"/>
                <w:lang w:eastAsia="en-AU"/>
              </w:rPr>
              <w:t>3.33% Security and Bug Bounty pool</w:t>
            </w:r>
          </w:p>
          <w:p>
            <w:pPr>
              <w:pStyle w:val="Normal"/>
              <w:numPr>
                <w:ilvl w:val="0"/>
                <w:numId w:val="0"/>
              </w:numPr>
              <w:spacing w:lineRule="auto" w:line="240" w:before="0" w:after="0"/>
              <w:jc w:val="right"/>
              <w:outlineLvl w:val="1"/>
              <w:rPr>
                <w:rFonts w:eastAsia="Times New Roman" w:cs="Calibri" w:cstheme="minorHAnsi"/>
                <w:bCs/>
                <w:sz w:val="20"/>
                <w:lang w:eastAsia="en-AU"/>
              </w:rPr>
            </w:pPr>
            <w:r>
              <w:rPr>
                <w:rFonts w:eastAsia="Times New Roman" w:cs="Calibri" w:cstheme="minorHAnsi"/>
                <w:bCs/>
                <w:sz w:val="20"/>
                <w:lang w:eastAsia="en-AU"/>
              </w:rPr>
              <w:t>3.33% Marketing pool</w:t>
            </w:r>
          </w:p>
          <w:p>
            <w:pPr>
              <w:pStyle w:val="Normal"/>
              <w:numPr>
                <w:ilvl w:val="0"/>
                <w:numId w:val="0"/>
              </w:numPr>
              <w:spacing w:lineRule="auto" w:line="240" w:before="0" w:after="0"/>
              <w:jc w:val="right"/>
              <w:outlineLvl w:val="1"/>
              <w:rPr>
                <w:rFonts w:eastAsia="Times New Roman" w:cs="Calibri" w:cstheme="minorHAnsi"/>
                <w:bCs/>
                <w:sz w:val="20"/>
                <w:lang w:eastAsia="en-AU"/>
              </w:rPr>
            </w:pPr>
            <w:r>
              <w:rPr>
                <w:rFonts w:eastAsia="Times New Roman" w:cs="Calibri" w:cstheme="minorHAnsi"/>
                <w:bCs/>
                <w:sz w:val="20"/>
                <w:lang w:eastAsia="en-AU"/>
              </w:rPr>
              <w:t>3.33% Treasury &amp; Reserves pool</w:t>
            </w:r>
          </w:p>
        </w:tc>
        <w:tc>
          <w:tcPr>
            <w:tcW w:w="1226" w:type="dxa"/>
            <w:gridSpan w:val="2"/>
            <w:tcBorders/>
            <w:shd w:fill="auto" w:val="clear"/>
            <w:tcMar>
              <w:left w:w="108" w:type="dxa"/>
            </w:tcMar>
            <w:vAlign w:val="center"/>
          </w:tcPr>
          <w:p>
            <w:pPr>
              <w:pStyle w:val="Normal"/>
              <w:numPr>
                <w:ilvl w:val="0"/>
                <w:numId w:val="0"/>
              </w:numPr>
              <w:spacing w:lineRule="auto" w:line="240" w:before="0" w:after="0"/>
              <w:jc w:val="right"/>
              <w:outlineLvl w:val="1"/>
              <w:rPr>
                <w:rFonts w:eastAsia="Times New Roman" w:cs="Calibri" w:cstheme="minorHAnsi"/>
                <w:bCs/>
                <w:sz w:val="20"/>
                <w:lang w:eastAsia="en-AU"/>
              </w:rPr>
            </w:pPr>
            <w:r>
              <w:rPr>
                <w:rFonts w:eastAsia="Times New Roman" w:cs="Calibri" w:cstheme="minorHAnsi"/>
                <w:bCs/>
                <w:sz w:val="20"/>
                <w:lang w:eastAsia="en-AU"/>
              </w:rPr>
              <w:t>10m</w:t>
            </w:r>
          </w:p>
          <w:p>
            <w:pPr>
              <w:pStyle w:val="Normal"/>
              <w:numPr>
                <w:ilvl w:val="0"/>
                <w:numId w:val="0"/>
              </w:numPr>
              <w:spacing w:lineRule="auto" w:line="240" w:before="0" w:after="0"/>
              <w:jc w:val="right"/>
              <w:outlineLvl w:val="1"/>
              <w:rPr>
                <w:rFonts w:eastAsia="Times New Roman" w:cs="Calibri" w:cstheme="minorHAnsi"/>
                <w:bCs/>
                <w:sz w:val="20"/>
                <w:lang w:eastAsia="en-AU"/>
              </w:rPr>
            </w:pPr>
            <w:r>
              <w:rPr>
                <w:rFonts w:eastAsia="Times New Roman" w:cs="Calibri" w:cstheme="minorHAnsi"/>
                <w:bCs/>
                <w:sz w:val="20"/>
                <w:lang w:eastAsia="en-AU"/>
              </w:rPr>
              <w:t>10m</w:t>
            </w:r>
          </w:p>
          <w:p>
            <w:pPr>
              <w:pStyle w:val="Normal"/>
              <w:numPr>
                <w:ilvl w:val="0"/>
                <w:numId w:val="0"/>
              </w:numPr>
              <w:spacing w:lineRule="auto" w:line="240" w:before="0" w:after="0"/>
              <w:jc w:val="right"/>
              <w:outlineLvl w:val="1"/>
              <w:rPr>
                <w:rFonts w:eastAsia="Times New Roman" w:cs="Calibri" w:cstheme="minorHAnsi"/>
                <w:bCs/>
                <w:sz w:val="20"/>
                <w:lang w:eastAsia="en-AU"/>
              </w:rPr>
            </w:pPr>
            <w:r>
              <w:rPr>
                <w:rFonts w:eastAsia="Times New Roman" w:cs="Calibri" w:cstheme="minorHAnsi"/>
                <w:bCs/>
                <w:sz w:val="20"/>
                <w:lang w:eastAsia="en-AU"/>
              </w:rPr>
              <w:t>10m</w:t>
            </w:r>
          </w:p>
        </w:tc>
        <w:tc>
          <w:tcPr>
            <w:tcW w:w="1133" w:type="dxa"/>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lang w:eastAsia="en-AU"/>
              </w:rPr>
            </w:pPr>
            <w:r>
              <w:rPr>
                <w:rFonts w:eastAsia="Times New Roman" w:cs="Calibri" w:cstheme="minorHAnsi"/>
                <w:bCs/>
                <w:sz w:val="20"/>
                <w:lang w:eastAsia="en-AU"/>
              </w:rPr>
            </w:r>
          </w:p>
        </w:tc>
        <w:tc>
          <w:tcPr>
            <w:tcW w:w="7938" w:type="dxa"/>
            <w:tcBorders/>
            <w:shd w:fill="auto" w:val="clear"/>
            <w:tcMar>
              <w:left w:w="108" w:type="dxa"/>
            </w:tcMar>
            <w:vAlign w:val="center"/>
          </w:tcPr>
          <w:p>
            <w:pPr>
              <w:pStyle w:val="ListParagraph"/>
              <w:numPr>
                <w:ilvl w:val="0"/>
                <w:numId w:val="3"/>
              </w:numPr>
              <w:spacing w:lineRule="auto" w:line="240" w:before="0" w:after="0"/>
              <w:ind w:left="459" w:hanging="360"/>
              <w:contextualSpacing/>
              <w:outlineLvl w:val="1"/>
              <w:rPr>
                <w:rFonts w:eastAsia="Times New Roman" w:cs="Calibri" w:cstheme="minorHAnsi"/>
                <w:bCs/>
                <w:sz w:val="20"/>
                <w:lang w:eastAsia="en-AU"/>
              </w:rPr>
            </w:pPr>
            <w:r>
              <w:rPr>
                <w:rFonts w:eastAsia="Times New Roman" w:cs="Calibri" w:cstheme="minorHAnsi"/>
                <w:bCs/>
                <w:sz w:val="20"/>
                <w:lang w:eastAsia="en-AU"/>
              </w:rPr>
              <w:t xml:space="preserve">Performance-based security and audit costs </w:t>
            </w:r>
          </w:p>
          <w:p>
            <w:pPr>
              <w:pStyle w:val="ListParagraph"/>
              <w:numPr>
                <w:ilvl w:val="0"/>
                <w:numId w:val="3"/>
              </w:numPr>
              <w:spacing w:lineRule="auto" w:line="240" w:before="0" w:after="0"/>
              <w:ind w:left="459" w:hanging="360"/>
              <w:contextualSpacing/>
              <w:outlineLvl w:val="1"/>
              <w:rPr>
                <w:rFonts w:eastAsia="Times New Roman" w:cs="Calibri" w:cstheme="minorHAnsi"/>
                <w:bCs/>
                <w:sz w:val="20"/>
                <w:lang w:eastAsia="en-AU"/>
              </w:rPr>
            </w:pPr>
            <w:r>
              <w:rPr>
                <w:rFonts w:eastAsia="Times New Roman" w:cs="Calibri" w:cstheme="minorHAnsi"/>
                <w:bCs/>
                <w:sz w:val="20"/>
                <w:lang w:eastAsia="en-AU"/>
              </w:rPr>
              <w:t>Incentivise new clients and nodes to join the platform</w:t>
            </w:r>
          </w:p>
          <w:p>
            <w:pPr>
              <w:pStyle w:val="ListParagraph"/>
              <w:numPr>
                <w:ilvl w:val="0"/>
                <w:numId w:val="3"/>
              </w:numPr>
              <w:spacing w:lineRule="auto" w:line="240" w:before="0" w:after="0"/>
              <w:ind w:left="459" w:hanging="360"/>
              <w:contextualSpacing/>
              <w:outlineLvl w:val="1"/>
              <w:rPr>
                <w:rFonts w:eastAsia="Times New Roman" w:cs="Calibri" w:cstheme="minorHAnsi"/>
                <w:bCs/>
                <w:sz w:val="20"/>
                <w:lang w:eastAsia="en-AU"/>
              </w:rPr>
            </w:pPr>
            <w:r>
              <w:rPr>
                <w:rFonts w:eastAsia="Times New Roman" w:cs="Calibri" w:cstheme="minorHAnsi"/>
                <w:bCs/>
                <w:sz w:val="20"/>
                <w:lang w:eastAsia="en-AU"/>
              </w:rPr>
              <w:t>Ensure sufficient backup reserves are in place to maintain price stability – especially given BTC &amp; ETH volatility and their associated effects on the “altcoin” market</w:t>
            </w:r>
          </w:p>
        </w:tc>
      </w:tr>
      <w:tr>
        <w:trPr/>
        <w:tc>
          <w:tcPr>
            <w:tcW w:w="3872" w:type="dxa"/>
            <w:gridSpan w:val="2"/>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lang w:eastAsia="en-AU"/>
              </w:rPr>
            </w:pPr>
            <w:r>
              <w:rPr>
                <w:rFonts w:eastAsia="Times New Roman" w:cs="Calibri" w:cstheme="minorHAnsi"/>
                <w:bCs/>
                <w:sz w:val="20"/>
                <w:lang w:eastAsia="en-AU"/>
              </w:rPr>
              <w:t>Veredictum Strategic Growth Fund</w:t>
            </w:r>
          </w:p>
        </w:tc>
        <w:tc>
          <w:tcPr>
            <w:tcW w:w="1226" w:type="dxa"/>
            <w:gridSpan w:val="2"/>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lang w:eastAsia="en-AU"/>
              </w:rPr>
            </w:pPr>
            <w:r>
              <w:rPr>
                <w:rFonts w:eastAsia="Times New Roman" w:cs="Calibri" w:cstheme="minorHAnsi"/>
                <w:bCs/>
                <w:sz w:val="20"/>
                <w:lang w:eastAsia="en-AU"/>
              </w:rPr>
              <w:t>57m</w:t>
            </w:r>
          </w:p>
        </w:tc>
        <w:tc>
          <w:tcPr>
            <w:tcW w:w="1133" w:type="dxa"/>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lang w:eastAsia="en-AU"/>
              </w:rPr>
            </w:pPr>
            <w:r>
              <w:rPr>
                <w:rFonts w:eastAsia="Times New Roman" w:cs="Calibri" w:cstheme="minorHAnsi"/>
                <w:bCs/>
                <w:sz w:val="20"/>
                <w:lang w:eastAsia="en-AU"/>
              </w:rPr>
              <w:t>19%</w:t>
            </w:r>
          </w:p>
        </w:tc>
        <w:tc>
          <w:tcPr>
            <w:tcW w:w="7938" w:type="dxa"/>
            <w:tcBorders/>
            <w:shd w:fill="auto" w:val="clear"/>
            <w:tcMar>
              <w:left w:w="108" w:type="dxa"/>
            </w:tcMar>
            <w:vAlign w:val="center"/>
          </w:tcPr>
          <w:p>
            <w:pPr>
              <w:pStyle w:val="Normal"/>
              <w:numPr>
                <w:ilvl w:val="0"/>
                <w:numId w:val="0"/>
              </w:numPr>
              <w:spacing w:lineRule="auto" w:line="240" w:before="0" w:after="0"/>
              <w:outlineLvl w:val="1"/>
              <w:rPr>
                <w:rFonts w:eastAsia="Times New Roman" w:cs="Calibri" w:cstheme="minorHAnsi"/>
                <w:bCs/>
                <w:sz w:val="20"/>
                <w:lang w:eastAsia="en-AU"/>
              </w:rPr>
            </w:pPr>
            <w:r>
              <w:rPr>
                <w:rFonts w:eastAsia="Times New Roman" w:cs="Calibri" w:cstheme="minorHAnsi"/>
                <w:bCs/>
                <w:sz w:val="20"/>
                <w:lang w:eastAsia="en-AU"/>
              </w:rPr>
              <w:t>Estimated balance of tokens unsold at the initial Token Sale Launch with a hard cap of $20m. Tokens will be issued but held in 3</w:t>
            </w:r>
            <w:r>
              <w:rPr>
                <w:rFonts w:eastAsia="Times New Roman" w:cs="Calibri" w:cstheme="minorHAnsi"/>
                <w:bCs/>
                <w:sz w:val="20"/>
                <w:vertAlign w:val="superscript"/>
                <w:lang w:eastAsia="en-AU"/>
              </w:rPr>
              <w:t>rd</w:t>
            </w:r>
            <w:r>
              <w:rPr>
                <w:rFonts w:eastAsia="Times New Roman" w:cs="Calibri" w:cstheme="minorHAnsi"/>
                <w:bCs/>
                <w:sz w:val="20"/>
                <w:lang w:eastAsia="en-AU"/>
              </w:rPr>
              <w:t xml:space="preserve"> party escrow to fund future acquisition &amp; growth opportunities – e.g. technology, technology partners or significant investment in target companies that represent core added value &amp; represent core drivers to solving film and video theft. 30 days’ notice will be given to existing VENTANA holders prior to withdrawal, and discounts </w:t>
            </w:r>
            <w:r>
              <w:rPr>
                <w:rFonts w:eastAsia="Times New Roman" w:cs="Calibri" w:cstheme="minorHAnsi"/>
                <w:bCs/>
                <w:i/>
                <w:sz w:val="20"/>
                <w:lang w:eastAsia="en-AU"/>
              </w:rPr>
              <w:t>may</w:t>
            </w:r>
            <w:r>
              <w:rPr>
                <w:rFonts w:eastAsia="Times New Roman" w:cs="Calibri" w:cstheme="minorHAnsi"/>
                <w:bCs/>
                <w:sz w:val="20"/>
                <w:lang w:eastAsia="en-AU"/>
              </w:rPr>
              <w:t xml:space="preserve"> be offered to existing holders. (Future consideration is being given to establishing a governance structure based around “trusted master nodes” having input on acquisition opportunities.)</w:t>
            </w:r>
          </w:p>
        </w:tc>
      </w:tr>
    </w:tbl>
    <w:p>
      <w:pPr>
        <w:pStyle w:val="Normal"/>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pacing w:lineRule="auto" w:line="259"/>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a2dc7"/>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AU" w:eastAsia="en-US" w:bidi="ar-SA"/>
    </w:rPr>
  </w:style>
  <w:style w:type="paragraph" w:styleId="Heading2">
    <w:name w:val="Heading 2"/>
    <w:basedOn w:val="Normal"/>
    <w:link w:val="Heading2Char"/>
    <w:uiPriority w:val="9"/>
    <w:qFormat/>
    <w:rsid w:val="00a522b5"/>
    <w:pPr>
      <w:spacing w:lineRule="auto" w:line="240" w:beforeAutospacing="1" w:afterAutospacing="1"/>
      <w:outlineLvl w:val="1"/>
    </w:pPr>
    <w:rPr>
      <w:rFonts w:ascii="Times New Roman" w:hAnsi="Times New Roman" w:eastAsia="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5308b5"/>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a522b5"/>
    <w:rPr>
      <w:rFonts w:ascii="Times New Roman" w:hAnsi="Times New Roman" w:eastAsia="Times New Roman" w:cs="Times New Roman"/>
      <w:b/>
      <w:bCs/>
      <w:sz w:val="36"/>
      <w:szCs w:val="36"/>
      <w:lang w:eastAsia="en-AU"/>
    </w:rPr>
  </w:style>
  <w:style w:type="character" w:styleId="Strong">
    <w:name w:val="Strong"/>
    <w:basedOn w:val="DefaultParagraphFont"/>
    <w:uiPriority w:val="22"/>
    <w:qFormat/>
    <w:rsid w:val="00a522b5"/>
    <w:rPr>
      <w:b/>
      <w:bCs/>
    </w:rPr>
  </w:style>
  <w:style w:type="character" w:styleId="Appleconvertedspace" w:customStyle="1">
    <w:name w:val="apple-converted-space"/>
    <w:basedOn w:val="DefaultParagraphFont"/>
    <w:qFormat/>
    <w:rsid w:val="00a522b5"/>
    <w:rPr/>
  </w:style>
  <w:style w:type="character" w:styleId="InternetLink">
    <w:name w:val="Internet Link"/>
    <w:basedOn w:val="DefaultParagraphFont"/>
    <w:uiPriority w:val="99"/>
    <w:unhideWhenUsed/>
    <w:rsid w:val="00a522b5"/>
    <w:rPr>
      <w:color w:val="0000FF"/>
      <w:u w:val="single"/>
    </w:rPr>
  </w:style>
  <w:style w:type="character" w:styleId="Heading3Char" w:customStyle="1">
    <w:name w:val="Heading 3 Char"/>
    <w:basedOn w:val="DefaultParagraphFont"/>
    <w:link w:val="Heading3"/>
    <w:uiPriority w:val="9"/>
    <w:semiHidden/>
    <w:qFormat/>
    <w:rsid w:val="005308b5"/>
    <w:rPr>
      <w:rFonts w:ascii="Calibri Light" w:hAnsi="Calibri Light" w:eastAsia="" w:cs="" w:asciiTheme="majorHAnsi" w:cstheme="majorBidi" w:eastAsiaTheme="majorEastAsia" w:hAnsiTheme="majorHAnsi"/>
      <w:color w:val="1F3763" w:themeColor="accent1" w:themeShade="7f"/>
      <w:sz w:val="24"/>
      <w:szCs w:val="24"/>
    </w:rPr>
  </w:style>
  <w:style w:type="character" w:styleId="Annotationreference">
    <w:name w:val="annotation reference"/>
    <w:basedOn w:val="DefaultParagraphFont"/>
    <w:uiPriority w:val="99"/>
    <w:semiHidden/>
    <w:unhideWhenUsed/>
    <w:qFormat/>
    <w:rsid w:val="00940cff"/>
    <w:rPr>
      <w:sz w:val="16"/>
      <w:szCs w:val="16"/>
    </w:rPr>
  </w:style>
  <w:style w:type="character" w:styleId="CommentTextChar" w:customStyle="1">
    <w:name w:val="Comment Text Char"/>
    <w:basedOn w:val="DefaultParagraphFont"/>
    <w:link w:val="CommentText"/>
    <w:uiPriority w:val="99"/>
    <w:semiHidden/>
    <w:qFormat/>
    <w:rsid w:val="00940cff"/>
    <w:rPr>
      <w:sz w:val="20"/>
      <w:szCs w:val="20"/>
    </w:rPr>
  </w:style>
  <w:style w:type="character" w:styleId="CommentSubjectChar" w:customStyle="1">
    <w:name w:val="Comment Subject Char"/>
    <w:basedOn w:val="CommentTextChar"/>
    <w:link w:val="CommentSubject"/>
    <w:uiPriority w:val="99"/>
    <w:semiHidden/>
    <w:qFormat/>
    <w:rsid w:val="00940cff"/>
    <w:rPr>
      <w:b/>
      <w:bCs/>
      <w:sz w:val="20"/>
      <w:szCs w:val="20"/>
    </w:rPr>
  </w:style>
  <w:style w:type="character" w:styleId="BalloonTextChar" w:customStyle="1">
    <w:name w:val="Balloon Text Char"/>
    <w:basedOn w:val="DefaultParagraphFont"/>
    <w:link w:val="BalloonText"/>
    <w:uiPriority w:val="99"/>
    <w:semiHidden/>
    <w:qFormat/>
    <w:rsid w:val="00940cff"/>
    <w:rPr>
      <w:rFonts w:ascii="Segoe UI" w:hAnsi="Segoe UI" w:cs="Segoe UI"/>
      <w:sz w:val="18"/>
      <w:szCs w:val="18"/>
    </w:rPr>
  </w:style>
  <w:style w:type="character" w:styleId="HeaderChar" w:customStyle="1">
    <w:name w:val="Header Char"/>
    <w:basedOn w:val="DefaultParagraphFont"/>
    <w:link w:val="Header"/>
    <w:uiPriority w:val="99"/>
    <w:qFormat/>
    <w:rsid w:val="007d127b"/>
    <w:rPr/>
  </w:style>
  <w:style w:type="character" w:styleId="FooterChar" w:customStyle="1">
    <w:name w:val="Footer Char"/>
    <w:basedOn w:val="DefaultParagraphFont"/>
    <w:link w:val="Footer"/>
    <w:uiPriority w:val="99"/>
    <w:qFormat/>
    <w:rsid w:val="007d127b"/>
    <w:rPr/>
  </w:style>
  <w:style w:type="character" w:styleId="UnresolvedMention">
    <w:name w:val="Unresolved Mention"/>
    <w:basedOn w:val="DefaultParagraphFont"/>
    <w:uiPriority w:val="99"/>
    <w:semiHidden/>
    <w:unhideWhenUsed/>
    <w:qFormat/>
    <w:rsid w:val="00dd4a33"/>
    <w:rPr>
      <w:color w:val="808080"/>
      <w:shd w:fill="E6E6E6" w:val="clear"/>
    </w:rPr>
  </w:style>
  <w:style w:type="character" w:styleId="ListLabel1">
    <w:name w:val="ListLabel 1"/>
    <w:qFormat/>
    <w:rPr>
      <w:sz w:val="20"/>
    </w:rPr>
  </w:style>
  <w:style w:type="character" w:styleId="ListLabel2">
    <w:name w:val="ListLabel 2"/>
    <w:qFormat/>
    <w:rPr>
      <w:rFonts w:cs="Courier New"/>
    </w:rPr>
  </w:style>
  <w:style w:type="character" w:styleId="ListLabel3">
    <w:name w:val="ListLabel 3"/>
    <w:qFormat/>
    <w:rPr>
      <w:rFonts w:eastAsia="Times New Roman" w:cs="Calibri Light"/>
    </w:rPr>
  </w:style>
  <w:style w:type="character" w:styleId="ListLabel4">
    <w:name w:val="ListLabel 4"/>
    <w:qFormat/>
    <w:rPr>
      <w:rFonts w:eastAsia="Calibri" w: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a522b5"/>
    <w:pPr>
      <w:spacing w:lineRule="auto" w:line="240" w:beforeAutospacing="1" w:afterAutospacing="1"/>
    </w:pPr>
    <w:rPr>
      <w:rFonts w:ascii="Times New Roman" w:hAnsi="Times New Roman" w:eastAsia="Times New Roman" w:cs="Times New Roman"/>
      <w:sz w:val="24"/>
      <w:szCs w:val="24"/>
      <w:lang w:eastAsia="en-AU"/>
    </w:rPr>
  </w:style>
  <w:style w:type="paragraph" w:styleId="ListParagraph">
    <w:name w:val="List Paragraph"/>
    <w:basedOn w:val="Normal"/>
    <w:uiPriority w:val="34"/>
    <w:qFormat/>
    <w:rsid w:val="00ff1e99"/>
    <w:pPr>
      <w:spacing w:before="0" w:after="160"/>
      <w:ind w:left="720" w:hanging="0"/>
      <w:contextualSpacing/>
    </w:pPr>
    <w:rPr/>
  </w:style>
  <w:style w:type="paragraph" w:styleId="Annotationtext">
    <w:name w:val="annotation text"/>
    <w:basedOn w:val="Normal"/>
    <w:link w:val="CommentTextChar"/>
    <w:uiPriority w:val="99"/>
    <w:semiHidden/>
    <w:unhideWhenUsed/>
    <w:qFormat/>
    <w:rsid w:val="00940cff"/>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940cff"/>
    <w:pPr/>
    <w:rPr>
      <w:b/>
      <w:bCs/>
    </w:rPr>
  </w:style>
  <w:style w:type="paragraph" w:styleId="BalloonText">
    <w:name w:val="Balloon Text"/>
    <w:basedOn w:val="Normal"/>
    <w:link w:val="BalloonTextChar"/>
    <w:uiPriority w:val="99"/>
    <w:semiHidden/>
    <w:unhideWhenUsed/>
    <w:qFormat/>
    <w:rsid w:val="00940cff"/>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7d127b"/>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d127b"/>
    <w:pPr>
      <w:tabs>
        <w:tab w:val="center" w:pos="4513" w:leader="none"/>
        <w:tab w:val="right" w:pos="9026" w:leader="none"/>
      </w:tabs>
      <w:spacing w:lineRule="auto" w:line="240" w:before="0" w:after="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067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okensale.veredictum.io/"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2053</TotalTime>
  <Application>LibreOffice/5.0.3.2$Linux_X86_64 LibreOffice_project/00m0$Build-2</Application>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2017-07-20T08:45:00Z</dcterms:created>
  <dc:creator>Tim Lea</dc:creator>
  <dc:language>en-AU</dc:language>
  <cp:lastModifiedBy>Darryl </cp:lastModifiedBy>
  <cp:lastPrinted>2017-07-27T08:32:16Z</cp:lastPrinted>
  <dcterms:modified xsi:type="dcterms:W3CDTF">2017-07-28T19:02:13Z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