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Rockwood index as a predictor of patient safety events and readmissions.</w:t>
      </w:r>
    </w:p>
    <w:p>
      <w:pPr>
        <w:pStyle w:val="Author"/>
        <w:rPr/>
      </w:pPr>
      <w:r>
        <w:rPr/>
        <w:t xml:space="preserve">Alex Bokov </w:t>
      </w:r>
      <w:r>
        <w:rPr>
          <w:vertAlign w:val="superscript"/>
        </w:rPr>
        <w:t>1,✉</w:t>
      </w:r>
      <w:r>
        <w:rPr/>
        <w:t xml:space="preserve">, Sara Espinoza </w:t>
      </w:r>
      <w:r>
        <w:rPr>
          <w:vertAlign w:val="superscript"/>
        </w:rPr>
        <w:t>1</w:t>
      </w:r>
      <w:r>
        <w:rPr/>
        <w:t xml:space="preserve">, Chandana Tripathy </w:t>
      </w:r>
      <w:r>
        <w:rPr>
          <w:vertAlign w:val="superscript"/>
        </w:rPr>
        <w:t>1</w:t>
      </w:r>
      <w:r>
        <w:rPr/>
        <w:t xml:space="preserve">, …, …, …, and Kathleen R. Stevens </w:t>
      </w:r>
      <w:r>
        <w:rPr>
          <w:vertAlign w:val="superscript"/>
        </w:rPr>
        <w:t>1</w:t>
      </w:r>
    </w:p>
    <w:p>
      <w:pPr>
        <w:pStyle w:val="Date"/>
        <w:rPr/>
      </w:pPr>
      <w:r>
        <w:rPr/>
        <w:t>2020-08-26</w:t>
      </w:r>
    </w:p>
    <w:p>
      <w:pPr>
        <w:pStyle w:val="Abstract"/>
        <w:rPr/>
      </w:pPr>
      <w:r>
        <w:rPr/>
        <w:t>We have found that the electronic frailty index (EFI), a risk score developed using the Rockwood deficit-accumulation framework, is a strong predictor of ED visits, 30-day readmissions, healthcare-associated non-procedural trauma, cardiac complications, adverse drug events, venous thromboembolism, fluid management complications, as well as patient safety events in general and severe patient safety events.</w:t>
      </w:r>
    </w:p>
    <w:p>
      <w:pPr>
        <w:pStyle w:val="Heading1"/>
        <w:rPr/>
      </w:pPr>
      <w:r>
        <w:rPr/>
        <w:t>Introduction</w:t>
      </w:r>
    </w:p>
    <w:p>
      <w:pPr>
        <w:pStyle w:val="FirstParagraph"/>
        <w:rPr/>
      </w:pPr>
      <w:r>
        <w:rPr/>
        <w:t xml:space="preserve">Frailty is the lifelong erosion of stress resistance and accumulation of impairments across multiple physiological systems. Among older community dwelling adults 32% have been classified as pre-frail and 24% have been classified as frail (Hoover </w:t>
      </w:r>
      <w:r>
        <w:rPr>
          <w:i/>
        </w:rPr>
        <w:t>et al.</w:t>
      </w:r>
      <w:r>
        <w:rPr/>
        <w:t xml:space="preserve">, 2013). Frailty predicts disability, injurious falls, and mortality (Pajewski </w:t>
      </w:r>
      <w:r>
        <w:rPr>
          <w:i/>
        </w:rPr>
        <w:t>et al.</w:t>
      </w:r>
      <w:r>
        <w:rPr/>
        <w:t xml:space="preserve">, 2019), emergency room visits and hospitalizations (Fried </w:t>
      </w:r>
      <w:r>
        <w:rPr>
          <w:i/>
        </w:rPr>
        <w:t>et al.</w:t>
      </w:r>
      <w:r>
        <w:rPr/>
        <w:t xml:space="preserve">, 2001), and long-term care admissions (Rockwood, 2005; Rockwood </w:t>
      </w:r>
      <w:r>
        <w:rPr>
          <w:i/>
        </w:rPr>
        <w:t>et al.</w:t>
      </w:r>
      <w:r>
        <w:rPr/>
        <w:t xml:space="preserve">, 2006; Pajewski </w:t>
      </w:r>
      <w:r>
        <w:rPr>
          <w:i/>
        </w:rPr>
        <w:t>et al.</w:t>
      </w:r>
      <w:r>
        <w:rPr/>
        <w:t xml:space="preserve">, 2019). The Fried phenotype (Fried </w:t>
      </w:r>
      <w:r>
        <w:rPr>
          <w:i/>
        </w:rPr>
        <w:t>et al.</w:t>
      </w:r>
      <w:r>
        <w:rPr/>
        <w:t xml:space="preserve">, 2001) and Rockwood deficit accumulation index (Mitnitski, Mogilner and Rockwood, 2001; Rockwood and Mitnitski, 2007), are the most commonly used methods for operationalizing frailty. There is reasonable convergence between these two approaches (Malmstrom, Miller and Morley, 2014; Li </w:t>
      </w:r>
      <w:r>
        <w:rPr>
          <w:i/>
        </w:rPr>
        <w:t>et al.</w:t>
      </w:r>
      <w:r>
        <w:rPr/>
        <w:t xml:space="preserve">, 2015) but the deficit accumulation approach does not require individual questionnaires nor physical assessments yet offers similar (Malmstrom, Miller and Morley, 2014) or possibly better (Kulminski </w:t>
      </w:r>
      <w:r>
        <w:rPr>
          <w:i/>
        </w:rPr>
        <w:t>et al.</w:t>
      </w:r>
      <w:r>
        <w:rPr/>
        <w:t>, 2008) predictive accuracy.</w:t>
      </w:r>
    </w:p>
    <w:p>
      <w:pPr>
        <w:pStyle w:val="Bnote2self"/>
        <w:rPr/>
      </w:pPr>
      <w:r>
        <w:rPr/>
        <w:t>Possible points left to cover:’</w:t>
      </w:r>
    </w:p>
    <w:p>
      <w:pPr>
        <w:pStyle w:val="Compact"/>
        <w:numPr>
          <w:ilvl w:val="0"/>
          <w:numId w:val="2"/>
        </w:numPr>
        <w:rPr/>
      </w:pPr>
      <w:r>
        <w:rPr/>
        <w:t>frailty measures as an emerging best practice?</w:t>
      </w:r>
    </w:p>
    <w:p>
      <w:pPr>
        <w:pStyle w:val="Compact"/>
        <w:numPr>
          <w:ilvl w:val="0"/>
          <w:numId w:val="2"/>
        </w:numPr>
        <w:rPr/>
      </w:pPr>
      <w:r>
        <w:rPr/>
        <w:t>Do we have any remarks about how quality improvement relates to implementation science?</w:t>
      </w:r>
    </w:p>
    <w:p>
      <w:pPr>
        <w:pStyle w:val="Compact"/>
        <w:numPr>
          <w:ilvl w:val="0"/>
          <w:numId w:val="2"/>
        </w:numPr>
        <w:rPr/>
      </w:pPr>
      <w:r>
        <w:rPr/>
        <w:t>outcomes important for improving quality and reducing costs</w:t>
      </w:r>
    </w:p>
    <w:p>
      <w:pPr>
        <w:pStyle w:val="Compact"/>
        <w:numPr>
          <w:ilvl w:val="0"/>
          <w:numId w:val="2"/>
        </w:numPr>
        <w:rPr/>
      </w:pPr>
      <w:r>
        <w:rPr/>
        <w:t>how care could be improved with better modeling of these outcomes</w:t>
      </w:r>
    </w:p>
    <w:p>
      <w:pPr>
        <w:pStyle w:val="Compact"/>
        <w:numPr>
          <w:ilvl w:val="0"/>
          <w:numId w:val="2"/>
        </w:numPr>
        <w:rPr/>
      </w:pPr>
      <w:r>
        <w:rPr/>
        <w:t>information about our site</w:t>
      </w:r>
      <w:bookmarkStart w:id="0" w:name="introduction"/>
      <w:bookmarkEnd w:id="0"/>
    </w:p>
    <w:p>
      <w:pPr>
        <w:pStyle w:val="Heading1"/>
        <w:rPr/>
      </w:pPr>
      <w:r>
        <w:rPr/>
        <w:t>Methods</w:t>
      </w:r>
    </w:p>
    <w:p>
      <w:pPr>
        <w:pStyle w:val="Heading2"/>
        <w:rPr/>
      </w:pPr>
      <w:r>
        <w:rPr/>
        <w:t>Population</w:t>
      </w:r>
    </w:p>
    <w:p>
      <w:pPr>
        <w:pStyle w:val="Bnote2self"/>
        <w:rPr/>
      </w:pPr>
      <w:r>
        <w:rPr/>
        <w:t>Yes, I realize at the moment this is identical to the corresponding section in the aging paper. The phrasing will naturally diverge from the aging paper over subsequent edits. For now I left it all here because these facts are relevant to this paper as well and I didn’t want to lose any of them.</w:t>
      </w:r>
    </w:p>
    <w:p>
      <w:pPr>
        <w:pStyle w:val="TextBody"/>
        <w:rPr/>
      </w:pPr>
      <w:r>
        <w:rPr/>
        <w:t xml:space="preserve">A random 1% sample (N=14,844) was drawn from the deidentified patient records of a large academic health center and its teaching hospital partner. Visits during which patient age was less than 18 years old were excluded and then patients who had fewer than three visits in the remaining data were excluded. To avoid bias, for each patient an index visit date was chosen and only data recorded on or after that date was used in analysis. To avoid distorted results in patients with sparse visit histories, those who had fewer than two visit-dates after index visit assignment were removed from the sample as were patients whose EFI was never higher than 0. Finally, the patients were randomly assigned to a development cohort (N=2,497 patients, 52,372 visit-days) or a testing cohort </w:t>
      </w:r>
      <w:r>
        <w:rPr>
          <w:rStyle w:val="Note2self"/>
        </w:rPr>
        <w:t>(N=3,220 patients, 56,320 visit-days)</w:t>
      </w:r>
      <w:r>
        <w:rPr/>
        <w:t xml:space="preserve">. Sensitivity analysis was done to see the effect of leaving in data from all visits by adult patients and the overall direction of EFI’s effect was the same but </w:t>
      </w:r>
      <w:r>
        <w:rPr>
          <w:rStyle w:val="Note2self"/>
        </w:rPr>
        <w:t>[the performance improvement relative to patient age was inflated]</w:t>
      </w:r>
      <w:r>
        <w:rPr/>
        <w:t>. All decisions about data processing and statistical analysis were made using only the development cohort and blinded to the testing cohort. For publication, the same analysis scripts were run on the testing cohort and used to create all results reported here (the development version of each table and figure is available in the supplemental materials). The baseline characteristics of the testing cohort are shown in Table 1.</w:t>
      </w:r>
    </w:p>
    <w:p>
      <w:pPr>
        <w:pStyle w:val="Normal"/>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0pt;height:1.45pt;mso-position-vertical:top">
                <w10:wrap type="none"/>
                <v:fill o:detectmouseclick="t" type="solid" color2="black"/>
                <v:stroke color="black" joinstyle="round" endcap="flat"/>
              </v:rect>
            </w:pict>
          </mc:Fallback>
        </mc:AlternateContent>
      </w:r>
    </w:p>
    <w:p>
      <w:pPr>
        <w:pStyle w:val="FirstParagraph"/>
        <w:rPr/>
      </w:pPr>
      <w:r>
        <w:rPr/>
        <w:t>[1] "</w:t>
      </w:r>
    </w:p>
    <w:p>
      <w:pPr>
        <w:pStyle w:val="TextBody"/>
        <w:rPr/>
      </w:pPr>
      <w:r>
        <w:rPr/>
      </w:r>
    </w:p>
    <w:p>
      <w:pPr>
        <w:pStyle w:val="TextBody"/>
        <w:rPr/>
      </w:pPr>
      <w:r>
        <w:rPr/>
      </w:r>
    </w:p>
    <w:p>
      <w:pPr>
        <w:pStyle w:val="TextBody"/>
        <w:rPr/>
      </w:pPr>
      <w:r>
        <w:rPr/>
      </w:r>
    </w:p>
    <w:p>
      <w:pPr>
        <w:pStyle w:val="TextBody"/>
        <w:rPr/>
      </w:pPr>
      <w:r>
        <w:rPr/>
      </w:r>
    </w:p>
    <w:p>
      <w:pPr>
        <w:pStyle w:val="TextBody"/>
        <w:rPr/>
      </w:pPr>
      <w:r>
        <w:rPr/>
        <w:t>Nonfrail, &lt; 0.1(N=1876)</w:t>
      </w:r>
    </w:p>
    <w:p>
      <w:pPr>
        <w:pStyle w:val="TextBody"/>
        <w:rPr/>
      </w:pPr>
      <w:r>
        <w:rPr/>
      </w:r>
    </w:p>
    <w:p>
      <w:pPr>
        <w:pStyle w:val="TextBody"/>
        <w:rPr/>
      </w:pPr>
      <w:r>
        <w:rPr/>
        <w:t>Prefrail, 0.1 - 0.19(N=398)</w:t>
      </w:r>
    </w:p>
    <w:p>
      <w:pPr>
        <w:pStyle w:val="TextBody"/>
        <w:rPr/>
      </w:pPr>
      <w:r>
        <w:rPr/>
      </w:r>
    </w:p>
    <w:p>
      <w:pPr>
        <w:pStyle w:val="TextBody"/>
        <w:rPr/>
      </w:pPr>
      <w:r>
        <w:rPr/>
        <w:t>Frail, &gt; 0.2(N=223)</w:t>
      </w:r>
    </w:p>
    <w:p>
      <w:pPr>
        <w:pStyle w:val="TextBody"/>
        <w:rPr/>
      </w:pPr>
      <w:r>
        <w:rPr/>
      </w:r>
    </w:p>
    <w:p>
      <w:pPr>
        <w:pStyle w:val="TextBody"/>
        <w:rPr/>
      </w:pPr>
      <w:r>
        <w:rPr/>
        <w:t>Overall(N=2497)</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Sex</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f</w:t>
      </w:r>
    </w:p>
    <w:p>
      <w:pPr>
        <w:pStyle w:val="TextBody"/>
        <w:rPr/>
      </w:pPr>
      <w:r>
        <w:rPr/>
      </w:r>
    </w:p>
    <w:p>
      <w:pPr>
        <w:pStyle w:val="TextBody"/>
        <w:rPr/>
      </w:pPr>
      <w:r>
        <w:rPr/>
        <w:t>1116 (59.5%)</w:t>
      </w:r>
    </w:p>
    <w:p>
      <w:pPr>
        <w:pStyle w:val="TextBody"/>
        <w:rPr/>
      </w:pPr>
      <w:r>
        <w:rPr/>
      </w:r>
    </w:p>
    <w:p>
      <w:pPr>
        <w:pStyle w:val="TextBody"/>
        <w:rPr/>
      </w:pPr>
      <w:r>
        <w:rPr/>
        <w:t>209 (52.5%)</w:t>
      </w:r>
    </w:p>
    <w:p>
      <w:pPr>
        <w:pStyle w:val="TextBody"/>
        <w:rPr/>
      </w:pPr>
      <w:r>
        <w:rPr/>
      </w:r>
    </w:p>
    <w:p>
      <w:pPr>
        <w:pStyle w:val="TextBody"/>
        <w:rPr/>
      </w:pPr>
      <w:r>
        <w:rPr/>
        <w:t>125 (56.1%)</w:t>
      </w:r>
    </w:p>
    <w:p>
      <w:pPr>
        <w:pStyle w:val="TextBody"/>
        <w:rPr/>
      </w:pPr>
      <w:r>
        <w:rPr/>
      </w:r>
    </w:p>
    <w:p>
      <w:pPr>
        <w:pStyle w:val="TextBody"/>
        <w:rPr/>
      </w:pPr>
      <w:r>
        <w:rPr/>
        <w:t>1450 (58.1%)</w:t>
      </w:r>
    </w:p>
    <w:p>
      <w:pPr>
        <w:pStyle w:val="TextBody"/>
        <w:rPr/>
      </w:pPr>
      <w:r>
        <w:rPr/>
      </w:r>
    </w:p>
    <w:p>
      <w:pPr>
        <w:pStyle w:val="TextBody"/>
        <w:rPr/>
      </w:pPr>
      <w:r>
        <w:rPr/>
      </w:r>
    </w:p>
    <w:p>
      <w:pPr>
        <w:pStyle w:val="TextBody"/>
        <w:rPr/>
      </w:pPr>
      <w:r>
        <w:rPr/>
      </w:r>
    </w:p>
    <w:p>
      <w:pPr>
        <w:pStyle w:val="TextBody"/>
        <w:rPr/>
      </w:pPr>
      <w:r>
        <w:rPr/>
        <w:t>m</w:t>
      </w:r>
    </w:p>
    <w:p>
      <w:pPr>
        <w:pStyle w:val="TextBody"/>
        <w:rPr/>
      </w:pPr>
      <w:r>
        <w:rPr/>
      </w:r>
    </w:p>
    <w:p>
      <w:pPr>
        <w:pStyle w:val="TextBody"/>
        <w:rPr/>
      </w:pPr>
      <w:r>
        <w:rPr/>
        <w:t>759 (40.5%)</w:t>
      </w:r>
    </w:p>
    <w:p>
      <w:pPr>
        <w:pStyle w:val="TextBody"/>
        <w:rPr/>
      </w:pPr>
      <w:r>
        <w:rPr/>
      </w:r>
    </w:p>
    <w:p>
      <w:pPr>
        <w:pStyle w:val="TextBody"/>
        <w:rPr/>
      </w:pPr>
      <w:r>
        <w:rPr/>
        <w:t>189 (47.5%)</w:t>
      </w:r>
    </w:p>
    <w:p>
      <w:pPr>
        <w:pStyle w:val="TextBody"/>
        <w:rPr/>
      </w:pPr>
      <w:r>
        <w:rPr/>
      </w:r>
    </w:p>
    <w:p>
      <w:pPr>
        <w:pStyle w:val="TextBody"/>
        <w:rPr/>
      </w:pPr>
      <w:r>
        <w:rPr/>
        <w:t>98 (43.9%)</w:t>
      </w:r>
    </w:p>
    <w:p>
      <w:pPr>
        <w:pStyle w:val="TextBody"/>
        <w:rPr/>
      </w:pPr>
      <w:r>
        <w:rPr/>
      </w:r>
    </w:p>
    <w:p>
      <w:pPr>
        <w:pStyle w:val="TextBody"/>
        <w:rPr/>
      </w:pPr>
      <w:r>
        <w:rPr/>
        <w:t>1046 (41.9%)</w:t>
      </w:r>
    </w:p>
    <w:p>
      <w:pPr>
        <w:pStyle w:val="TextBody"/>
        <w:rPr/>
      </w:pPr>
      <w:r>
        <w:rPr/>
      </w:r>
    </w:p>
    <w:p>
      <w:pPr>
        <w:pStyle w:val="TextBody"/>
        <w:rPr/>
      </w:pPr>
      <w:r>
        <w:rPr/>
      </w:r>
    </w:p>
    <w:p>
      <w:pPr>
        <w:pStyle w:val="TextBody"/>
        <w:rPr/>
      </w:pPr>
      <w:r>
        <w:rPr/>
      </w:r>
    </w:p>
    <w:p>
      <w:pPr>
        <w:pStyle w:val="TextBody"/>
        <w:rPr/>
      </w:pPr>
      <w:r>
        <w:rPr/>
        <w:t>u</w:t>
      </w:r>
    </w:p>
    <w:p>
      <w:pPr>
        <w:pStyle w:val="TextBody"/>
        <w:rPr/>
      </w:pPr>
      <w:r>
        <w:rPr/>
      </w:r>
    </w:p>
    <w:p>
      <w:pPr>
        <w:pStyle w:val="TextBody"/>
        <w:rPr/>
      </w:pPr>
      <w:r>
        <w:rPr/>
        <w:t>1 (0.1%)</w:t>
      </w:r>
    </w:p>
    <w:p>
      <w:pPr>
        <w:pStyle w:val="TextBody"/>
        <w:rPr/>
      </w:pPr>
      <w:r>
        <w:rPr/>
      </w:r>
    </w:p>
    <w:p>
      <w:pPr>
        <w:pStyle w:val="TextBody"/>
        <w:rPr/>
      </w:pPr>
      <w:r>
        <w:rPr/>
        <w:t>0 (0%)</w:t>
      </w:r>
    </w:p>
    <w:p>
      <w:pPr>
        <w:pStyle w:val="TextBody"/>
        <w:rPr/>
      </w:pPr>
      <w:r>
        <w:rPr/>
      </w:r>
    </w:p>
    <w:p>
      <w:pPr>
        <w:pStyle w:val="TextBody"/>
        <w:rPr/>
      </w:pPr>
      <w:r>
        <w:rPr/>
        <w:t>0 (0%)</w:t>
      </w:r>
    </w:p>
    <w:p>
      <w:pPr>
        <w:pStyle w:val="TextBody"/>
        <w:rPr/>
      </w:pPr>
      <w:r>
        <w:rPr/>
      </w:r>
    </w:p>
    <w:p>
      <w:pPr>
        <w:pStyle w:val="TextBody"/>
        <w:rPr/>
      </w:pPr>
      <w:r>
        <w:rPr/>
        <w:t>1 (0.0%)</w:t>
      </w:r>
    </w:p>
    <w:p>
      <w:pPr>
        <w:pStyle w:val="TextBody"/>
        <w:rPr/>
      </w:pPr>
      <w:r>
        <w:rPr/>
      </w:r>
    </w:p>
    <w:p>
      <w:pPr>
        <w:pStyle w:val="TextBody"/>
        <w:rPr/>
      </w:pPr>
      <w:r>
        <w:rPr/>
      </w:r>
    </w:p>
    <w:p>
      <w:pPr>
        <w:pStyle w:val="TextBody"/>
        <w:rPr/>
      </w:pPr>
      <w:r>
        <w:rPr/>
      </w:r>
    </w:p>
    <w:p>
      <w:pPr>
        <w:pStyle w:val="TextBody"/>
        <w:rPr/>
      </w:pPr>
      <w:r>
        <w:rPr/>
        <w:t>Race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Asian</w:t>
      </w:r>
    </w:p>
    <w:p>
      <w:pPr>
        <w:pStyle w:val="TextBody"/>
        <w:rPr/>
      </w:pPr>
      <w:r>
        <w:rPr/>
      </w:r>
    </w:p>
    <w:p>
      <w:pPr>
        <w:pStyle w:val="TextBody"/>
        <w:rPr/>
      </w:pPr>
      <w:r>
        <w:rPr/>
        <w:t>37 (2.0%)</w:t>
      </w:r>
    </w:p>
    <w:p>
      <w:pPr>
        <w:pStyle w:val="TextBody"/>
        <w:rPr/>
      </w:pPr>
      <w:r>
        <w:rPr/>
      </w:r>
    </w:p>
    <w:p>
      <w:pPr>
        <w:pStyle w:val="TextBody"/>
        <w:rPr/>
      </w:pPr>
      <w:r>
        <w:rPr/>
        <w:t>11 (2.8%)</w:t>
      </w:r>
    </w:p>
    <w:p>
      <w:pPr>
        <w:pStyle w:val="TextBody"/>
        <w:rPr/>
      </w:pPr>
      <w:r>
        <w:rPr/>
      </w:r>
    </w:p>
    <w:p>
      <w:pPr>
        <w:pStyle w:val="TextBody"/>
        <w:rPr/>
      </w:pPr>
      <w:r>
        <w:rPr/>
        <w:t>5 (2.2%)</w:t>
      </w:r>
    </w:p>
    <w:p>
      <w:pPr>
        <w:pStyle w:val="TextBody"/>
        <w:rPr/>
      </w:pPr>
      <w:r>
        <w:rPr/>
      </w:r>
    </w:p>
    <w:p>
      <w:pPr>
        <w:pStyle w:val="TextBody"/>
        <w:rPr/>
      </w:pPr>
      <w:r>
        <w:rPr/>
        <w:t>53 (2.1%)</w:t>
      </w:r>
    </w:p>
    <w:p>
      <w:pPr>
        <w:pStyle w:val="TextBody"/>
        <w:rPr/>
      </w:pPr>
      <w:r>
        <w:rPr/>
      </w:r>
    </w:p>
    <w:p>
      <w:pPr>
        <w:pStyle w:val="TextBody"/>
        <w:rPr/>
      </w:pPr>
      <w:r>
        <w:rPr/>
      </w:r>
    </w:p>
    <w:p>
      <w:pPr>
        <w:pStyle w:val="TextBody"/>
        <w:rPr/>
      </w:pPr>
      <w:r>
        <w:rPr/>
      </w:r>
    </w:p>
    <w:p>
      <w:pPr>
        <w:pStyle w:val="TextBody"/>
        <w:rPr/>
      </w:pPr>
      <w:r>
        <w:rPr/>
        <w:t>Black</w:t>
      </w:r>
    </w:p>
    <w:p>
      <w:pPr>
        <w:pStyle w:val="TextBody"/>
        <w:rPr/>
      </w:pPr>
      <w:r>
        <w:rPr/>
      </w:r>
    </w:p>
    <w:p>
      <w:pPr>
        <w:pStyle w:val="TextBody"/>
        <w:rPr/>
      </w:pPr>
      <w:r>
        <w:rPr/>
        <w:t>140 (7.5%)</w:t>
      </w:r>
    </w:p>
    <w:p>
      <w:pPr>
        <w:pStyle w:val="TextBody"/>
        <w:rPr/>
      </w:pPr>
      <w:r>
        <w:rPr/>
      </w:r>
    </w:p>
    <w:p>
      <w:pPr>
        <w:pStyle w:val="TextBody"/>
        <w:rPr/>
      </w:pPr>
      <w:r>
        <w:rPr/>
        <w:t>27 (6.8%)</w:t>
      </w:r>
    </w:p>
    <w:p>
      <w:pPr>
        <w:pStyle w:val="TextBody"/>
        <w:rPr/>
      </w:pPr>
      <w:r>
        <w:rPr/>
      </w:r>
    </w:p>
    <w:p>
      <w:pPr>
        <w:pStyle w:val="TextBody"/>
        <w:rPr/>
      </w:pPr>
      <w:r>
        <w:rPr/>
        <w:t>11 (4.9%)</w:t>
      </w:r>
    </w:p>
    <w:p>
      <w:pPr>
        <w:pStyle w:val="TextBody"/>
        <w:rPr/>
      </w:pPr>
      <w:r>
        <w:rPr/>
      </w:r>
    </w:p>
    <w:p>
      <w:pPr>
        <w:pStyle w:val="TextBody"/>
        <w:rPr/>
      </w:pPr>
      <w:r>
        <w:rPr/>
        <w:t>178 (7.1%)</w:t>
      </w:r>
    </w:p>
    <w:p>
      <w:pPr>
        <w:pStyle w:val="TextBody"/>
        <w:rPr/>
      </w:pPr>
      <w:r>
        <w:rPr/>
      </w:r>
    </w:p>
    <w:p>
      <w:pPr>
        <w:pStyle w:val="TextBody"/>
        <w:rPr/>
      </w:pPr>
      <w:r>
        <w:rPr/>
      </w:r>
    </w:p>
    <w:p>
      <w:pPr>
        <w:pStyle w:val="TextBody"/>
        <w:rPr/>
      </w:pPr>
      <w:r>
        <w:rPr/>
      </w:r>
    </w:p>
    <w:p>
      <w:pPr>
        <w:pStyle w:val="TextBody"/>
        <w:rPr/>
      </w:pPr>
      <w:r>
        <w:rPr/>
        <w:t>Other</w:t>
      </w:r>
    </w:p>
    <w:p>
      <w:pPr>
        <w:pStyle w:val="TextBody"/>
        <w:rPr/>
      </w:pPr>
      <w:r>
        <w:rPr/>
      </w:r>
    </w:p>
    <w:p>
      <w:pPr>
        <w:pStyle w:val="TextBody"/>
        <w:rPr/>
      </w:pPr>
      <w:r>
        <w:rPr/>
        <w:t>135 (7.2%)</w:t>
      </w:r>
    </w:p>
    <w:p>
      <w:pPr>
        <w:pStyle w:val="TextBody"/>
        <w:rPr/>
      </w:pPr>
      <w:r>
        <w:rPr/>
      </w:r>
    </w:p>
    <w:p>
      <w:pPr>
        <w:pStyle w:val="TextBody"/>
        <w:rPr/>
      </w:pPr>
      <w:r>
        <w:rPr/>
        <w:t>10 (2.5%)</w:t>
      </w:r>
    </w:p>
    <w:p>
      <w:pPr>
        <w:pStyle w:val="TextBody"/>
        <w:rPr/>
      </w:pPr>
      <w:r>
        <w:rPr/>
      </w:r>
    </w:p>
    <w:p>
      <w:pPr>
        <w:pStyle w:val="TextBody"/>
        <w:rPr/>
      </w:pPr>
      <w:r>
        <w:rPr/>
        <w:t>7 (3.1%)</w:t>
      </w:r>
    </w:p>
    <w:p>
      <w:pPr>
        <w:pStyle w:val="TextBody"/>
        <w:rPr/>
      </w:pPr>
      <w:r>
        <w:rPr/>
      </w:r>
    </w:p>
    <w:p>
      <w:pPr>
        <w:pStyle w:val="TextBody"/>
        <w:rPr/>
      </w:pPr>
      <w:r>
        <w:rPr/>
        <w:t>152 (6.1%)</w:t>
      </w:r>
    </w:p>
    <w:p>
      <w:pPr>
        <w:pStyle w:val="TextBody"/>
        <w:rPr/>
      </w:pPr>
      <w:r>
        <w:rPr/>
      </w:r>
    </w:p>
    <w:p>
      <w:pPr>
        <w:pStyle w:val="TextBody"/>
        <w:rPr/>
      </w:pPr>
      <w:r>
        <w:rPr/>
      </w:r>
    </w:p>
    <w:p>
      <w:pPr>
        <w:pStyle w:val="TextBody"/>
        <w:rPr/>
      </w:pPr>
      <w:r>
        <w:rPr/>
      </w:r>
    </w:p>
    <w:p>
      <w:pPr>
        <w:pStyle w:val="TextBody"/>
        <w:rPr/>
      </w:pPr>
      <w:r>
        <w:rPr/>
        <w:t>Unknown</w:t>
      </w:r>
    </w:p>
    <w:p>
      <w:pPr>
        <w:pStyle w:val="TextBody"/>
        <w:rPr/>
      </w:pPr>
      <w:r>
        <w:rPr/>
      </w:r>
    </w:p>
    <w:p>
      <w:pPr>
        <w:pStyle w:val="TextBody"/>
        <w:rPr/>
      </w:pPr>
      <w:r>
        <w:rPr/>
        <w:t>134 (7.1%)</w:t>
      </w:r>
    </w:p>
    <w:p>
      <w:pPr>
        <w:pStyle w:val="TextBody"/>
        <w:rPr/>
      </w:pPr>
      <w:r>
        <w:rPr/>
      </w:r>
    </w:p>
    <w:p>
      <w:pPr>
        <w:pStyle w:val="TextBody"/>
        <w:rPr/>
      </w:pPr>
      <w:r>
        <w:rPr/>
        <w:t>13 (3.3%)</w:t>
      </w:r>
    </w:p>
    <w:p>
      <w:pPr>
        <w:pStyle w:val="TextBody"/>
        <w:rPr/>
      </w:pPr>
      <w:r>
        <w:rPr/>
      </w:r>
    </w:p>
    <w:p>
      <w:pPr>
        <w:pStyle w:val="TextBody"/>
        <w:rPr/>
      </w:pPr>
      <w:r>
        <w:rPr/>
        <w:t>2 (0.9%)</w:t>
      </w:r>
    </w:p>
    <w:p>
      <w:pPr>
        <w:pStyle w:val="TextBody"/>
        <w:rPr/>
      </w:pPr>
      <w:r>
        <w:rPr/>
      </w:r>
    </w:p>
    <w:p>
      <w:pPr>
        <w:pStyle w:val="TextBody"/>
        <w:rPr/>
      </w:pPr>
      <w:r>
        <w:rPr/>
        <w:t>149 (6.0%)</w:t>
      </w:r>
    </w:p>
    <w:p>
      <w:pPr>
        <w:pStyle w:val="TextBody"/>
        <w:rPr/>
      </w:pPr>
      <w:r>
        <w:rPr/>
      </w:r>
    </w:p>
    <w:p>
      <w:pPr>
        <w:pStyle w:val="TextBody"/>
        <w:rPr/>
      </w:pPr>
      <w:r>
        <w:rPr/>
      </w:r>
    </w:p>
    <w:p>
      <w:pPr>
        <w:pStyle w:val="TextBody"/>
        <w:rPr/>
      </w:pPr>
      <w:r>
        <w:rPr/>
      </w:r>
    </w:p>
    <w:p>
      <w:pPr>
        <w:pStyle w:val="TextBody"/>
        <w:rPr/>
      </w:pPr>
      <w:r>
        <w:rPr/>
        <w:t>White</w:t>
      </w:r>
    </w:p>
    <w:p>
      <w:pPr>
        <w:pStyle w:val="TextBody"/>
        <w:rPr/>
      </w:pPr>
      <w:r>
        <w:rPr/>
      </w:r>
    </w:p>
    <w:p>
      <w:pPr>
        <w:pStyle w:val="TextBody"/>
        <w:rPr/>
      </w:pPr>
      <w:r>
        <w:rPr/>
        <w:t>1425 (76.0%)</w:t>
      </w:r>
    </w:p>
    <w:p>
      <w:pPr>
        <w:pStyle w:val="TextBody"/>
        <w:rPr/>
      </w:pPr>
      <w:r>
        <w:rPr/>
      </w:r>
    </w:p>
    <w:p>
      <w:pPr>
        <w:pStyle w:val="TextBody"/>
        <w:rPr/>
      </w:pPr>
      <w:r>
        <w:rPr/>
        <w:t>337 (84.7%)</w:t>
      </w:r>
    </w:p>
    <w:p>
      <w:pPr>
        <w:pStyle w:val="TextBody"/>
        <w:rPr/>
      </w:pPr>
      <w:r>
        <w:rPr/>
      </w:r>
    </w:p>
    <w:p>
      <w:pPr>
        <w:pStyle w:val="TextBody"/>
        <w:rPr/>
      </w:pPr>
      <w:r>
        <w:rPr/>
        <w:t>198 (88.8%)</w:t>
      </w:r>
    </w:p>
    <w:p>
      <w:pPr>
        <w:pStyle w:val="TextBody"/>
        <w:rPr/>
      </w:pPr>
      <w:r>
        <w:rPr/>
      </w:r>
    </w:p>
    <w:p>
      <w:pPr>
        <w:pStyle w:val="TextBody"/>
        <w:rPr/>
      </w:pPr>
      <w:r>
        <w:rPr/>
        <w:t>1960 (78.5%)</w:t>
      </w:r>
    </w:p>
    <w:p>
      <w:pPr>
        <w:pStyle w:val="TextBody"/>
        <w:rPr/>
      </w:pPr>
      <w:r>
        <w:rPr/>
      </w:r>
    </w:p>
    <w:p>
      <w:pPr>
        <w:pStyle w:val="TextBody"/>
        <w:rPr/>
      </w:pPr>
      <w:r>
        <w:rPr/>
      </w:r>
    </w:p>
    <w:p>
      <w:pPr>
        <w:pStyle w:val="TextBody"/>
        <w:rPr/>
      </w:pPr>
      <w:r>
        <w:rPr/>
      </w:r>
    </w:p>
    <w:p>
      <w:pPr>
        <w:pStyle w:val="TextBody"/>
        <w:rPr/>
      </w:pPr>
      <w:r>
        <w:rPr/>
        <w:t>Missing</w:t>
      </w:r>
    </w:p>
    <w:p>
      <w:pPr>
        <w:pStyle w:val="TextBody"/>
        <w:rPr/>
      </w:pPr>
      <w:r>
        <w:rPr/>
      </w:r>
    </w:p>
    <w:p>
      <w:pPr>
        <w:pStyle w:val="TextBody"/>
        <w:rPr/>
      </w:pPr>
      <w:r>
        <w:rPr/>
        <w:t>5 (0.3%)</w:t>
      </w:r>
    </w:p>
    <w:p>
      <w:pPr>
        <w:pStyle w:val="TextBody"/>
        <w:rPr/>
      </w:pPr>
      <w:r>
        <w:rPr/>
      </w:r>
    </w:p>
    <w:p>
      <w:pPr>
        <w:pStyle w:val="TextBody"/>
        <w:rPr/>
      </w:pPr>
      <w:r>
        <w:rPr/>
        <w:t>0 (0%)</w:t>
      </w:r>
    </w:p>
    <w:p>
      <w:pPr>
        <w:pStyle w:val="TextBody"/>
        <w:rPr/>
      </w:pPr>
      <w:r>
        <w:rPr/>
      </w:r>
    </w:p>
    <w:p>
      <w:pPr>
        <w:pStyle w:val="TextBody"/>
        <w:rPr/>
      </w:pPr>
      <w:r>
        <w:rPr/>
        <w:t>0 (0%)</w:t>
      </w:r>
    </w:p>
    <w:p>
      <w:pPr>
        <w:pStyle w:val="TextBody"/>
        <w:rPr/>
      </w:pPr>
      <w:r>
        <w:rPr/>
      </w:r>
    </w:p>
    <w:p>
      <w:pPr>
        <w:pStyle w:val="TextBody"/>
        <w:rPr/>
      </w:pPr>
      <w:r>
        <w:rPr/>
        <w:t>5 (0.2%)</w:t>
      </w:r>
    </w:p>
    <w:p>
      <w:pPr>
        <w:pStyle w:val="TextBody"/>
        <w:rPr/>
      </w:pPr>
      <w:r>
        <w:rPr/>
      </w:r>
    </w:p>
    <w:p>
      <w:pPr>
        <w:pStyle w:val="TextBody"/>
        <w:rPr/>
      </w:pPr>
      <w:r>
        <w:rPr/>
      </w:r>
    </w:p>
    <w:p>
      <w:pPr>
        <w:pStyle w:val="TextBody"/>
        <w:rPr/>
      </w:pPr>
      <w:r>
        <w:rPr/>
      </w:r>
    </w:p>
    <w:p>
      <w:pPr>
        <w:pStyle w:val="TextBody"/>
        <w:rPr/>
      </w:pPr>
      <w:r>
        <w:rPr/>
        <w:t>Emergency Department</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Yes</w:t>
      </w:r>
    </w:p>
    <w:p>
      <w:pPr>
        <w:pStyle w:val="TextBody"/>
        <w:rPr/>
      </w:pPr>
      <w:r>
        <w:rPr/>
      </w:r>
    </w:p>
    <w:p>
      <w:pPr>
        <w:pStyle w:val="TextBody"/>
        <w:rPr/>
      </w:pPr>
      <w:r>
        <w:rPr/>
        <w:t>339 (18.1%)</w:t>
      </w:r>
    </w:p>
    <w:p>
      <w:pPr>
        <w:pStyle w:val="TextBody"/>
        <w:rPr/>
      </w:pPr>
      <w:r>
        <w:rPr/>
      </w:r>
    </w:p>
    <w:p>
      <w:pPr>
        <w:pStyle w:val="TextBody"/>
        <w:rPr/>
      </w:pPr>
      <w:r>
        <w:rPr/>
        <w:t>91 (22.9%)</w:t>
      </w:r>
    </w:p>
    <w:p>
      <w:pPr>
        <w:pStyle w:val="TextBody"/>
        <w:rPr/>
      </w:pPr>
      <w:r>
        <w:rPr/>
      </w:r>
    </w:p>
    <w:p>
      <w:pPr>
        <w:pStyle w:val="TextBody"/>
        <w:rPr/>
      </w:pPr>
      <w:r>
        <w:rPr/>
        <w:t>77 (34.5%)</w:t>
      </w:r>
    </w:p>
    <w:p>
      <w:pPr>
        <w:pStyle w:val="TextBody"/>
        <w:rPr/>
      </w:pPr>
      <w:r>
        <w:rPr/>
      </w:r>
    </w:p>
    <w:p>
      <w:pPr>
        <w:pStyle w:val="TextBody"/>
        <w:rPr/>
      </w:pPr>
      <w:r>
        <w:rPr/>
        <w:t>507 (20.3%)</w:t>
      </w:r>
    </w:p>
    <w:p>
      <w:pPr>
        <w:pStyle w:val="TextBody"/>
        <w:rPr/>
      </w:pPr>
      <w:r>
        <w:rPr/>
      </w:r>
    </w:p>
    <w:p>
      <w:pPr>
        <w:pStyle w:val="TextBody"/>
        <w:rPr/>
      </w:pPr>
      <w:r>
        <w:rPr/>
      </w:r>
    </w:p>
    <w:p>
      <w:pPr>
        <w:pStyle w:val="TextBody"/>
        <w:rPr/>
      </w:pPr>
      <w:r>
        <w:rPr/>
      </w:r>
    </w:p>
    <w:p>
      <w:pPr>
        <w:pStyle w:val="TextBody"/>
        <w:rPr/>
      </w:pPr>
      <w:r>
        <w:rPr/>
        <w:t>No</w:t>
      </w:r>
    </w:p>
    <w:p>
      <w:pPr>
        <w:pStyle w:val="TextBody"/>
        <w:rPr/>
      </w:pPr>
      <w:r>
        <w:rPr/>
      </w:r>
    </w:p>
    <w:p>
      <w:pPr>
        <w:pStyle w:val="TextBody"/>
        <w:rPr/>
      </w:pPr>
      <w:r>
        <w:rPr/>
        <w:t>1537 (81.9%)</w:t>
      </w:r>
    </w:p>
    <w:p>
      <w:pPr>
        <w:pStyle w:val="TextBody"/>
        <w:rPr/>
      </w:pPr>
      <w:r>
        <w:rPr/>
      </w:r>
    </w:p>
    <w:p>
      <w:pPr>
        <w:pStyle w:val="TextBody"/>
        <w:rPr/>
      </w:pPr>
      <w:r>
        <w:rPr/>
        <w:t>307 (77.1%)</w:t>
      </w:r>
    </w:p>
    <w:p>
      <w:pPr>
        <w:pStyle w:val="TextBody"/>
        <w:rPr/>
      </w:pPr>
      <w:r>
        <w:rPr/>
      </w:r>
    </w:p>
    <w:p>
      <w:pPr>
        <w:pStyle w:val="TextBody"/>
        <w:rPr/>
      </w:pPr>
      <w:r>
        <w:rPr/>
        <w:t>146 (65.5%)</w:t>
      </w:r>
    </w:p>
    <w:p>
      <w:pPr>
        <w:pStyle w:val="TextBody"/>
        <w:rPr/>
      </w:pPr>
      <w:r>
        <w:rPr/>
      </w:r>
    </w:p>
    <w:p>
      <w:pPr>
        <w:pStyle w:val="TextBody"/>
        <w:rPr/>
      </w:pPr>
      <w:r>
        <w:rPr/>
        <w:t>1990 (79.7%)</w:t>
      </w:r>
    </w:p>
    <w:p>
      <w:pPr>
        <w:pStyle w:val="TextBody"/>
        <w:rPr/>
      </w:pPr>
      <w:r>
        <w:rPr/>
      </w:r>
    </w:p>
    <w:p>
      <w:pPr>
        <w:pStyle w:val="TextBody"/>
        <w:rPr/>
      </w:pPr>
      <w:r>
        <w:rPr/>
      </w:r>
    </w:p>
    <w:p>
      <w:pPr>
        <w:pStyle w:val="TextBody"/>
        <w:rPr/>
      </w:pPr>
      <w:r>
        <w:rPr/>
      </w:r>
    </w:p>
    <w:p>
      <w:pPr>
        <w:pStyle w:val="TextBody"/>
        <w:rPr/>
      </w:pPr>
      <w:r>
        <w:rPr/>
        <w:t>Readmission Within 30 Days of a Previous Discharge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Yes</w:t>
      </w:r>
    </w:p>
    <w:p>
      <w:pPr>
        <w:pStyle w:val="TextBody"/>
        <w:rPr/>
      </w:pPr>
      <w:r>
        <w:rPr/>
      </w:r>
    </w:p>
    <w:p>
      <w:pPr>
        <w:pStyle w:val="TextBody"/>
        <w:rPr/>
      </w:pPr>
      <w:r>
        <w:rPr/>
        <w:t>45 (2.4%)</w:t>
      </w:r>
    </w:p>
    <w:p>
      <w:pPr>
        <w:pStyle w:val="TextBody"/>
        <w:rPr/>
      </w:pPr>
      <w:r>
        <w:rPr/>
      </w:r>
    </w:p>
    <w:p>
      <w:pPr>
        <w:pStyle w:val="TextBody"/>
        <w:rPr/>
      </w:pPr>
      <w:r>
        <w:rPr/>
        <w:t>6 (1.5%)</w:t>
      </w:r>
    </w:p>
    <w:p>
      <w:pPr>
        <w:pStyle w:val="TextBody"/>
        <w:rPr/>
      </w:pPr>
      <w:r>
        <w:rPr/>
      </w:r>
    </w:p>
    <w:p>
      <w:pPr>
        <w:pStyle w:val="TextBody"/>
        <w:rPr/>
      </w:pPr>
      <w:r>
        <w:rPr/>
        <w:t>31 (13.9%)</w:t>
      </w:r>
    </w:p>
    <w:p>
      <w:pPr>
        <w:pStyle w:val="TextBody"/>
        <w:rPr/>
      </w:pPr>
      <w:r>
        <w:rPr/>
      </w:r>
    </w:p>
    <w:p>
      <w:pPr>
        <w:pStyle w:val="TextBody"/>
        <w:rPr/>
      </w:pPr>
      <w:r>
        <w:rPr/>
        <w:t>82 (3.3%)</w:t>
      </w:r>
    </w:p>
    <w:p>
      <w:pPr>
        <w:pStyle w:val="TextBody"/>
        <w:rPr/>
      </w:pPr>
      <w:r>
        <w:rPr/>
      </w:r>
    </w:p>
    <w:p>
      <w:pPr>
        <w:pStyle w:val="TextBody"/>
        <w:rPr/>
      </w:pPr>
      <w:r>
        <w:rPr/>
      </w:r>
    </w:p>
    <w:p>
      <w:pPr>
        <w:pStyle w:val="TextBody"/>
        <w:rPr/>
      </w:pPr>
      <w:r>
        <w:rPr/>
      </w:r>
    </w:p>
    <w:p>
      <w:pPr>
        <w:pStyle w:val="TextBody"/>
        <w:rPr/>
      </w:pPr>
      <w:r>
        <w:rPr/>
        <w:t>No</w:t>
      </w:r>
    </w:p>
    <w:p>
      <w:pPr>
        <w:pStyle w:val="TextBody"/>
        <w:rPr/>
      </w:pPr>
      <w:r>
        <w:rPr/>
      </w:r>
    </w:p>
    <w:p>
      <w:pPr>
        <w:pStyle w:val="TextBody"/>
        <w:rPr/>
      </w:pPr>
      <w:r>
        <w:rPr/>
        <w:t>1831 (97.6%)</w:t>
      </w:r>
    </w:p>
    <w:p>
      <w:pPr>
        <w:pStyle w:val="TextBody"/>
        <w:rPr/>
      </w:pPr>
      <w:r>
        <w:rPr/>
      </w:r>
    </w:p>
    <w:p>
      <w:pPr>
        <w:pStyle w:val="TextBody"/>
        <w:rPr/>
      </w:pPr>
      <w:r>
        <w:rPr/>
        <w:t>392 (98.5%)</w:t>
      </w:r>
    </w:p>
    <w:p>
      <w:pPr>
        <w:pStyle w:val="TextBody"/>
        <w:rPr/>
      </w:pPr>
      <w:r>
        <w:rPr/>
      </w:r>
    </w:p>
    <w:p>
      <w:pPr>
        <w:pStyle w:val="TextBody"/>
        <w:rPr/>
      </w:pPr>
      <w:r>
        <w:rPr/>
        <w:t>192 (86.1%)</w:t>
      </w:r>
    </w:p>
    <w:p>
      <w:pPr>
        <w:pStyle w:val="TextBody"/>
        <w:rPr/>
      </w:pPr>
      <w:r>
        <w:rPr/>
      </w:r>
    </w:p>
    <w:p>
      <w:pPr>
        <w:pStyle w:val="TextBody"/>
        <w:rPr/>
      </w:pPr>
      <w:r>
        <w:rPr/>
        <w:t>2415 (96.7%)</w:t>
      </w:r>
    </w:p>
    <w:p>
      <w:pPr>
        <w:pStyle w:val="TextBody"/>
        <w:rPr/>
      </w:pPr>
      <w:r>
        <w:rPr/>
      </w:r>
    </w:p>
    <w:p>
      <w:pPr>
        <w:pStyle w:val="TextBody"/>
        <w:rPr/>
      </w:pPr>
      <w:r>
        <w:rPr/>
      </w:r>
    </w:p>
    <w:p>
      <w:pPr>
        <w:pStyle w:val="TextBody"/>
        <w:rPr/>
      </w:pPr>
      <w:r>
        <w:rPr/>
      </w:r>
    </w:p>
    <w:p>
      <w:pPr>
        <w:pStyle w:val="TextBody"/>
        <w:rPr/>
      </w:pPr>
      <w:r>
        <w:rPr/>
        <w:t>Hospital Acquired Trauma</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Yes</w:t>
      </w:r>
    </w:p>
    <w:p>
      <w:pPr>
        <w:pStyle w:val="TextBody"/>
        <w:rPr/>
      </w:pPr>
      <w:r>
        <w:rPr/>
      </w:r>
    </w:p>
    <w:p>
      <w:pPr>
        <w:pStyle w:val="TextBody"/>
        <w:rPr/>
      </w:pPr>
      <w:r>
        <w:rPr/>
        <w:t>72 (3.8%)</w:t>
      </w:r>
    </w:p>
    <w:p>
      <w:pPr>
        <w:pStyle w:val="TextBody"/>
        <w:rPr/>
      </w:pPr>
      <w:r>
        <w:rPr/>
      </w:r>
    </w:p>
    <w:p>
      <w:pPr>
        <w:pStyle w:val="TextBody"/>
        <w:rPr/>
      </w:pPr>
      <w:r>
        <w:rPr/>
        <w:t>31 (7.8%)</w:t>
      </w:r>
    </w:p>
    <w:p>
      <w:pPr>
        <w:pStyle w:val="TextBody"/>
        <w:rPr/>
      </w:pPr>
      <w:r>
        <w:rPr/>
      </w:r>
    </w:p>
    <w:p>
      <w:pPr>
        <w:pStyle w:val="TextBody"/>
        <w:rPr/>
      </w:pPr>
      <w:r>
        <w:rPr/>
        <w:t>42 (18.8%)</w:t>
      </w:r>
    </w:p>
    <w:p>
      <w:pPr>
        <w:pStyle w:val="TextBody"/>
        <w:rPr/>
      </w:pPr>
      <w:r>
        <w:rPr/>
      </w:r>
    </w:p>
    <w:p>
      <w:pPr>
        <w:pStyle w:val="TextBody"/>
        <w:rPr/>
      </w:pPr>
      <w:r>
        <w:rPr/>
        <w:t>145 (5.8%)</w:t>
      </w:r>
    </w:p>
    <w:p>
      <w:pPr>
        <w:pStyle w:val="TextBody"/>
        <w:rPr/>
      </w:pPr>
      <w:r>
        <w:rPr/>
      </w:r>
    </w:p>
    <w:p>
      <w:pPr>
        <w:pStyle w:val="TextBody"/>
        <w:rPr/>
      </w:pPr>
      <w:r>
        <w:rPr/>
      </w:r>
    </w:p>
    <w:p>
      <w:pPr>
        <w:pStyle w:val="TextBody"/>
        <w:rPr/>
      </w:pPr>
      <w:r>
        <w:rPr/>
      </w:r>
    </w:p>
    <w:p>
      <w:pPr>
        <w:pStyle w:val="TextBody"/>
        <w:rPr/>
      </w:pPr>
      <w:r>
        <w:rPr/>
        <w:t>No</w:t>
      </w:r>
    </w:p>
    <w:p>
      <w:pPr>
        <w:pStyle w:val="TextBody"/>
        <w:rPr/>
      </w:pPr>
      <w:r>
        <w:rPr/>
      </w:r>
    </w:p>
    <w:p>
      <w:pPr>
        <w:pStyle w:val="TextBody"/>
        <w:rPr/>
      </w:pPr>
      <w:r>
        <w:rPr/>
        <w:t>1804 (96.2%)</w:t>
      </w:r>
    </w:p>
    <w:p>
      <w:pPr>
        <w:pStyle w:val="TextBody"/>
        <w:rPr/>
      </w:pPr>
      <w:r>
        <w:rPr/>
      </w:r>
    </w:p>
    <w:p>
      <w:pPr>
        <w:pStyle w:val="TextBody"/>
        <w:rPr/>
      </w:pPr>
      <w:r>
        <w:rPr/>
        <w:t>367 (92.2%)</w:t>
      </w:r>
    </w:p>
    <w:p>
      <w:pPr>
        <w:pStyle w:val="TextBody"/>
        <w:rPr/>
      </w:pPr>
      <w:r>
        <w:rPr/>
      </w:r>
    </w:p>
    <w:p>
      <w:pPr>
        <w:pStyle w:val="TextBody"/>
        <w:rPr/>
      </w:pPr>
      <w:r>
        <w:rPr/>
        <w:t>181 (81.2%)</w:t>
      </w:r>
    </w:p>
    <w:p>
      <w:pPr>
        <w:pStyle w:val="TextBody"/>
        <w:rPr/>
      </w:pPr>
      <w:r>
        <w:rPr/>
      </w:r>
    </w:p>
    <w:p>
      <w:pPr>
        <w:pStyle w:val="TextBody"/>
        <w:rPr/>
      </w:pPr>
      <w:r>
        <w:rPr/>
        <w:t>2352 (94.2%)</w:t>
      </w:r>
    </w:p>
    <w:p>
      <w:pPr>
        <w:pStyle w:val="TextBody"/>
        <w:rPr/>
      </w:pPr>
      <w:r>
        <w:rPr/>
      </w:r>
    </w:p>
    <w:p>
      <w:pPr>
        <w:pStyle w:val="TextBody"/>
        <w:rPr/>
      </w:pPr>
      <w:r>
        <w:rPr/>
      </w:r>
    </w:p>
    <w:p>
      <w:pPr>
        <w:pStyle w:val="TextBody"/>
        <w:rPr/>
      </w:pPr>
      <w:r>
        <w:rPr/>
      </w:r>
    </w:p>
    <w:p>
      <w:pPr>
        <w:pStyle w:val="TextBody"/>
        <w:rPr/>
      </w:pPr>
      <w:r>
        <w:rPr/>
        <w:t>Cardiac Complications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Yes</w:t>
      </w:r>
    </w:p>
    <w:p>
      <w:pPr>
        <w:pStyle w:val="TextBody"/>
        <w:rPr/>
      </w:pPr>
      <w:r>
        <w:rPr/>
      </w:r>
    </w:p>
    <w:p>
      <w:pPr>
        <w:pStyle w:val="TextBody"/>
        <w:rPr/>
      </w:pPr>
      <w:r>
        <w:rPr/>
        <w:t>50 (2.7%)</w:t>
      </w:r>
    </w:p>
    <w:p>
      <w:pPr>
        <w:pStyle w:val="TextBody"/>
        <w:rPr/>
      </w:pPr>
      <w:r>
        <w:rPr/>
      </w:r>
    </w:p>
    <w:p>
      <w:pPr>
        <w:pStyle w:val="TextBody"/>
        <w:rPr/>
      </w:pPr>
      <w:r>
        <w:rPr/>
        <w:t>17 (4.3%)</w:t>
      </w:r>
    </w:p>
    <w:p>
      <w:pPr>
        <w:pStyle w:val="TextBody"/>
        <w:rPr/>
      </w:pPr>
      <w:r>
        <w:rPr/>
      </w:r>
    </w:p>
    <w:p>
      <w:pPr>
        <w:pStyle w:val="TextBody"/>
        <w:rPr/>
      </w:pPr>
      <w:r>
        <w:rPr/>
        <w:t>41 (18.4%)</w:t>
      </w:r>
    </w:p>
    <w:p>
      <w:pPr>
        <w:pStyle w:val="TextBody"/>
        <w:rPr/>
      </w:pPr>
      <w:r>
        <w:rPr/>
      </w:r>
    </w:p>
    <w:p>
      <w:pPr>
        <w:pStyle w:val="TextBody"/>
        <w:rPr/>
      </w:pPr>
      <w:r>
        <w:rPr/>
        <w:t>108 (4.3%)</w:t>
      </w:r>
    </w:p>
    <w:p>
      <w:pPr>
        <w:pStyle w:val="TextBody"/>
        <w:rPr/>
      </w:pPr>
      <w:r>
        <w:rPr/>
      </w:r>
    </w:p>
    <w:p>
      <w:pPr>
        <w:pStyle w:val="TextBody"/>
        <w:rPr/>
      </w:pPr>
      <w:r>
        <w:rPr/>
      </w:r>
    </w:p>
    <w:p>
      <w:pPr>
        <w:pStyle w:val="TextBody"/>
        <w:rPr/>
      </w:pPr>
      <w:r>
        <w:rPr/>
      </w:r>
    </w:p>
    <w:p>
      <w:pPr>
        <w:pStyle w:val="TextBody"/>
        <w:rPr/>
      </w:pPr>
      <w:r>
        <w:rPr/>
        <w:t>No</w:t>
      </w:r>
    </w:p>
    <w:p>
      <w:pPr>
        <w:pStyle w:val="TextBody"/>
        <w:rPr/>
      </w:pPr>
      <w:r>
        <w:rPr/>
      </w:r>
    </w:p>
    <w:p>
      <w:pPr>
        <w:pStyle w:val="TextBody"/>
        <w:rPr/>
      </w:pPr>
      <w:r>
        <w:rPr/>
        <w:t>1826 (97.3%)</w:t>
      </w:r>
    </w:p>
    <w:p>
      <w:pPr>
        <w:pStyle w:val="TextBody"/>
        <w:rPr/>
      </w:pPr>
      <w:r>
        <w:rPr/>
      </w:r>
    </w:p>
    <w:p>
      <w:pPr>
        <w:pStyle w:val="TextBody"/>
        <w:rPr/>
      </w:pPr>
      <w:r>
        <w:rPr/>
        <w:t>381 (95.7%)</w:t>
      </w:r>
    </w:p>
    <w:p>
      <w:pPr>
        <w:pStyle w:val="TextBody"/>
        <w:rPr/>
      </w:pPr>
      <w:r>
        <w:rPr/>
      </w:r>
    </w:p>
    <w:p>
      <w:pPr>
        <w:pStyle w:val="TextBody"/>
        <w:rPr/>
      </w:pPr>
      <w:r>
        <w:rPr/>
        <w:t>182 (81.6%)</w:t>
      </w:r>
    </w:p>
    <w:p>
      <w:pPr>
        <w:pStyle w:val="TextBody"/>
        <w:rPr/>
      </w:pPr>
      <w:r>
        <w:rPr/>
      </w:r>
    </w:p>
    <w:p>
      <w:pPr>
        <w:pStyle w:val="TextBody"/>
        <w:rPr/>
      </w:pPr>
      <w:r>
        <w:rPr/>
        <w:t>2389 (95.7%)</w:t>
      </w:r>
    </w:p>
    <w:p>
      <w:pPr>
        <w:pStyle w:val="TextBody"/>
        <w:rPr/>
      </w:pPr>
      <w:r>
        <w:rPr/>
      </w:r>
    </w:p>
    <w:p>
      <w:pPr>
        <w:pStyle w:val="TextBody"/>
        <w:rPr/>
      </w:pPr>
      <w:r>
        <w:rPr/>
      </w:r>
    </w:p>
    <w:p>
      <w:pPr>
        <w:pStyle w:val="TextBody"/>
        <w:rPr/>
      </w:pPr>
      <w:r>
        <w:rPr/>
      </w:r>
    </w:p>
    <w:p>
      <w:pPr>
        <w:pStyle w:val="TextBody"/>
        <w:rPr/>
      </w:pPr>
      <w:r>
        <w:rPr/>
        <w:t>Drug Adverse Event</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Yes</w:t>
      </w:r>
    </w:p>
    <w:p>
      <w:pPr>
        <w:pStyle w:val="TextBody"/>
        <w:rPr/>
      </w:pPr>
      <w:r>
        <w:rPr/>
      </w:r>
    </w:p>
    <w:p>
      <w:pPr>
        <w:pStyle w:val="TextBody"/>
        <w:rPr/>
      </w:pPr>
      <w:r>
        <w:rPr/>
        <w:t>6 (0.3%)</w:t>
      </w:r>
    </w:p>
    <w:p>
      <w:pPr>
        <w:pStyle w:val="TextBody"/>
        <w:rPr/>
      </w:pPr>
      <w:r>
        <w:rPr/>
      </w:r>
    </w:p>
    <w:p>
      <w:pPr>
        <w:pStyle w:val="TextBody"/>
        <w:rPr/>
      </w:pPr>
      <w:r>
        <w:rPr/>
        <w:t>8 (2.0%)</w:t>
      </w:r>
    </w:p>
    <w:p>
      <w:pPr>
        <w:pStyle w:val="TextBody"/>
        <w:rPr/>
      </w:pPr>
      <w:r>
        <w:rPr/>
      </w:r>
    </w:p>
    <w:p>
      <w:pPr>
        <w:pStyle w:val="TextBody"/>
        <w:rPr/>
      </w:pPr>
      <w:r>
        <w:rPr/>
        <w:t>15 (6.7%)</w:t>
      </w:r>
    </w:p>
    <w:p>
      <w:pPr>
        <w:pStyle w:val="TextBody"/>
        <w:rPr/>
      </w:pPr>
      <w:r>
        <w:rPr/>
      </w:r>
    </w:p>
    <w:p>
      <w:pPr>
        <w:pStyle w:val="TextBody"/>
        <w:rPr/>
      </w:pPr>
      <w:r>
        <w:rPr/>
        <w:t>29 (1.2%)</w:t>
      </w:r>
    </w:p>
    <w:p>
      <w:pPr>
        <w:pStyle w:val="TextBody"/>
        <w:rPr/>
      </w:pPr>
      <w:r>
        <w:rPr/>
      </w:r>
    </w:p>
    <w:p>
      <w:pPr>
        <w:pStyle w:val="TextBody"/>
        <w:rPr/>
      </w:pPr>
      <w:r>
        <w:rPr/>
      </w:r>
    </w:p>
    <w:p>
      <w:pPr>
        <w:pStyle w:val="TextBody"/>
        <w:rPr/>
      </w:pPr>
      <w:r>
        <w:rPr/>
      </w:r>
    </w:p>
    <w:p>
      <w:pPr>
        <w:pStyle w:val="TextBody"/>
        <w:rPr/>
      </w:pPr>
      <w:r>
        <w:rPr/>
        <w:t>No</w:t>
      </w:r>
    </w:p>
    <w:p>
      <w:pPr>
        <w:pStyle w:val="TextBody"/>
        <w:rPr/>
      </w:pPr>
      <w:r>
        <w:rPr/>
      </w:r>
    </w:p>
    <w:p>
      <w:pPr>
        <w:pStyle w:val="TextBody"/>
        <w:rPr/>
      </w:pPr>
      <w:r>
        <w:rPr/>
        <w:t>1870 (99.7%)</w:t>
      </w:r>
    </w:p>
    <w:p>
      <w:pPr>
        <w:pStyle w:val="TextBody"/>
        <w:rPr/>
      </w:pPr>
      <w:r>
        <w:rPr/>
      </w:r>
    </w:p>
    <w:p>
      <w:pPr>
        <w:pStyle w:val="TextBody"/>
        <w:rPr/>
      </w:pPr>
      <w:r>
        <w:rPr/>
        <w:t>390 (98.0%)</w:t>
      </w:r>
    </w:p>
    <w:p>
      <w:pPr>
        <w:pStyle w:val="TextBody"/>
        <w:rPr/>
      </w:pPr>
      <w:r>
        <w:rPr/>
      </w:r>
    </w:p>
    <w:p>
      <w:pPr>
        <w:pStyle w:val="TextBody"/>
        <w:rPr/>
      </w:pPr>
      <w:r>
        <w:rPr/>
        <w:t>208 (93.3%)</w:t>
      </w:r>
    </w:p>
    <w:p>
      <w:pPr>
        <w:pStyle w:val="TextBody"/>
        <w:rPr/>
      </w:pPr>
      <w:r>
        <w:rPr/>
      </w:r>
    </w:p>
    <w:p>
      <w:pPr>
        <w:pStyle w:val="TextBody"/>
        <w:rPr/>
      </w:pPr>
      <w:r>
        <w:rPr/>
        <w:t>2468 (98.8%)</w:t>
      </w:r>
    </w:p>
    <w:p>
      <w:pPr>
        <w:pStyle w:val="TextBody"/>
        <w:rPr/>
      </w:pPr>
      <w:r>
        <w:rPr/>
      </w:r>
    </w:p>
    <w:p>
      <w:pPr>
        <w:pStyle w:val="TextBody"/>
        <w:rPr/>
      </w:pPr>
      <w:r>
        <w:rPr/>
      </w:r>
    </w:p>
    <w:p>
      <w:pPr>
        <w:pStyle w:val="TextBody"/>
        <w:rPr/>
      </w:pPr>
      <w:r>
        <w:rPr/>
      </w:r>
    </w:p>
    <w:p>
      <w:pPr>
        <w:pStyle w:val="TextBody"/>
        <w:rPr/>
      </w:pPr>
      <w:r>
        <w:rPr/>
        <w:t>Venous Thromboembolism</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Yes</w:t>
      </w:r>
    </w:p>
    <w:p>
      <w:pPr>
        <w:pStyle w:val="TextBody"/>
        <w:rPr/>
      </w:pPr>
      <w:r>
        <w:rPr/>
      </w:r>
    </w:p>
    <w:p>
      <w:pPr>
        <w:pStyle w:val="TextBody"/>
        <w:rPr/>
      </w:pPr>
      <w:r>
        <w:rPr/>
        <w:t>3 (0.2%)</w:t>
      </w:r>
    </w:p>
    <w:p>
      <w:pPr>
        <w:pStyle w:val="TextBody"/>
        <w:rPr/>
      </w:pPr>
      <w:r>
        <w:rPr/>
      </w:r>
    </w:p>
    <w:p>
      <w:pPr>
        <w:pStyle w:val="TextBody"/>
        <w:rPr/>
      </w:pPr>
      <w:r>
        <w:rPr/>
        <w:t>8 (2.0%)</w:t>
      </w:r>
    </w:p>
    <w:p>
      <w:pPr>
        <w:pStyle w:val="TextBody"/>
        <w:rPr/>
      </w:pPr>
      <w:r>
        <w:rPr/>
      </w:r>
    </w:p>
    <w:p>
      <w:pPr>
        <w:pStyle w:val="TextBody"/>
        <w:rPr/>
      </w:pPr>
      <w:r>
        <w:rPr/>
        <w:t>9 (4.0%)</w:t>
      </w:r>
    </w:p>
    <w:p>
      <w:pPr>
        <w:pStyle w:val="TextBody"/>
        <w:rPr/>
      </w:pPr>
      <w:r>
        <w:rPr/>
      </w:r>
    </w:p>
    <w:p>
      <w:pPr>
        <w:pStyle w:val="TextBody"/>
        <w:rPr/>
      </w:pPr>
      <w:r>
        <w:rPr/>
        <w:t>20 (0.8%)</w:t>
      </w:r>
    </w:p>
    <w:p>
      <w:pPr>
        <w:pStyle w:val="TextBody"/>
        <w:rPr/>
      </w:pPr>
      <w:r>
        <w:rPr/>
      </w:r>
    </w:p>
    <w:p>
      <w:pPr>
        <w:pStyle w:val="TextBody"/>
        <w:rPr/>
      </w:pPr>
      <w:r>
        <w:rPr/>
      </w:r>
    </w:p>
    <w:p>
      <w:pPr>
        <w:pStyle w:val="TextBody"/>
        <w:rPr/>
      </w:pPr>
      <w:r>
        <w:rPr/>
      </w:r>
    </w:p>
    <w:p>
      <w:pPr>
        <w:pStyle w:val="TextBody"/>
        <w:rPr/>
      </w:pPr>
      <w:r>
        <w:rPr/>
        <w:t>No</w:t>
      </w:r>
    </w:p>
    <w:p>
      <w:pPr>
        <w:pStyle w:val="TextBody"/>
        <w:rPr/>
      </w:pPr>
      <w:r>
        <w:rPr/>
      </w:r>
    </w:p>
    <w:p>
      <w:pPr>
        <w:pStyle w:val="TextBody"/>
        <w:rPr/>
      </w:pPr>
      <w:r>
        <w:rPr/>
        <w:t>1873 (99.8%)</w:t>
      </w:r>
    </w:p>
    <w:p>
      <w:pPr>
        <w:pStyle w:val="TextBody"/>
        <w:rPr/>
      </w:pPr>
      <w:r>
        <w:rPr/>
      </w:r>
    </w:p>
    <w:p>
      <w:pPr>
        <w:pStyle w:val="TextBody"/>
        <w:rPr/>
      </w:pPr>
      <w:r>
        <w:rPr/>
        <w:t>390 (98.0%)</w:t>
      </w:r>
    </w:p>
    <w:p>
      <w:pPr>
        <w:pStyle w:val="TextBody"/>
        <w:rPr/>
      </w:pPr>
      <w:r>
        <w:rPr/>
      </w:r>
    </w:p>
    <w:p>
      <w:pPr>
        <w:pStyle w:val="TextBody"/>
        <w:rPr/>
      </w:pPr>
      <w:r>
        <w:rPr/>
        <w:t>214 (96.0%)</w:t>
      </w:r>
    </w:p>
    <w:p>
      <w:pPr>
        <w:pStyle w:val="TextBody"/>
        <w:rPr/>
      </w:pPr>
      <w:r>
        <w:rPr/>
      </w:r>
    </w:p>
    <w:p>
      <w:pPr>
        <w:pStyle w:val="TextBody"/>
        <w:rPr/>
      </w:pPr>
      <w:r>
        <w:rPr/>
        <w:t>2477 (99.2%)</w:t>
      </w:r>
    </w:p>
    <w:p>
      <w:pPr>
        <w:pStyle w:val="TextBody"/>
        <w:rPr/>
      </w:pPr>
      <w:r>
        <w:rPr/>
      </w:r>
    </w:p>
    <w:p>
      <w:pPr>
        <w:pStyle w:val="TextBody"/>
        <w:rPr/>
      </w:pPr>
      <w:r>
        <w:rPr/>
      </w:r>
    </w:p>
    <w:p>
      <w:pPr>
        <w:pStyle w:val="TextBody"/>
        <w:rPr/>
      </w:pPr>
      <w:r>
        <w:rPr/>
      </w:r>
    </w:p>
    <w:p>
      <w:pPr>
        <w:pStyle w:val="TextBody"/>
        <w:rPr/>
      </w:pPr>
      <w:r>
        <w:rPr/>
        <w:t>Fluid Management Events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Yes</w:t>
      </w:r>
    </w:p>
    <w:p>
      <w:pPr>
        <w:pStyle w:val="TextBody"/>
        <w:rPr/>
      </w:pPr>
      <w:r>
        <w:rPr/>
      </w:r>
    </w:p>
    <w:p>
      <w:pPr>
        <w:pStyle w:val="TextBody"/>
        <w:rPr/>
      </w:pPr>
      <w:r>
        <w:rPr/>
        <w:t>9 (0.5%)</w:t>
      </w:r>
    </w:p>
    <w:p>
      <w:pPr>
        <w:pStyle w:val="TextBody"/>
        <w:rPr/>
      </w:pPr>
      <w:r>
        <w:rPr/>
      </w:r>
    </w:p>
    <w:p>
      <w:pPr>
        <w:pStyle w:val="TextBody"/>
        <w:rPr/>
      </w:pPr>
      <w:r>
        <w:rPr/>
        <w:t>4 (1.0%)</w:t>
      </w:r>
    </w:p>
    <w:p>
      <w:pPr>
        <w:pStyle w:val="TextBody"/>
        <w:rPr/>
      </w:pPr>
      <w:r>
        <w:rPr/>
      </w:r>
    </w:p>
    <w:p>
      <w:pPr>
        <w:pStyle w:val="TextBody"/>
        <w:rPr/>
      </w:pPr>
      <w:r>
        <w:rPr/>
        <w:t>12 (5.4%)</w:t>
      </w:r>
    </w:p>
    <w:p>
      <w:pPr>
        <w:pStyle w:val="TextBody"/>
        <w:rPr/>
      </w:pPr>
      <w:r>
        <w:rPr/>
      </w:r>
    </w:p>
    <w:p>
      <w:pPr>
        <w:pStyle w:val="TextBody"/>
        <w:rPr/>
      </w:pPr>
      <w:r>
        <w:rPr/>
        <w:t>25 (1.0%)</w:t>
      </w:r>
    </w:p>
    <w:p>
      <w:pPr>
        <w:pStyle w:val="TextBody"/>
        <w:rPr/>
      </w:pPr>
      <w:r>
        <w:rPr/>
      </w:r>
    </w:p>
    <w:p>
      <w:pPr>
        <w:pStyle w:val="TextBody"/>
        <w:rPr/>
      </w:pPr>
      <w:r>
        <w:rPr/>
      </w:r>
    </w:p>
    <w:p>
      <w:pPr>
        <w:pStyle w:val="TextBody"/>
        <w:rPr/>
      </w:pPr>
      <w:r>
        <w:rPr/>
      </w:r>
    </w:p>
    <w:p>
      <w:pPr>
        <w:pStyle w:val="TextBody"/>
        <w:rPr/>
      </w:pPr>
      <w:r>
        <w:rPr/>
        <w:t>No</w:t>
      </w:r>
    </w:p>
    <w:p>
      <w:pPr>
        <w:pStyle w:val="TextBody"/>
        <w:rPr/>
      </w:pPr>
      <w:r>
        <w:rPr/>
      </w:r>
    </w:p>
    <w:p>
      <w:pPr>
        <w:pStyle w:val="TextBody"/>
        <w:rPr/>
      </w:pPr>
      <w:r>
        <w:rPr/>
        <w:t>1867 (99.5%)</w:t>
      </w:r>
    </w:p>
    <w:p>
      <w:pPr>
        <w:pStyle w:val="TextBody"/>
        <w:rPr/>
      </w:pPr>
      <w:r>
        <w:rPr/>
      </w:r>
    </w:p>
    <w:p>
      <w:pPr>
        <w:pStyle w:val="TextBody"/>
        <w:rPr/>
      </w:pPr>
      <w:r>
        <w:rPr/>
        <w:t>394 (99.0%)</w:t>
      </w:r>
    </w:p>
    <w:p>
      <w:pPr>
        <w:pStyle w:val="TextBody"/>
        <w:rPr/>
      </w:pPr>
      <w:r>
        <w:rPr/>
      </w:r>
    </w:p>
    <w:p>
      <w:pPr>
        <w:pStyle w:val="TextBody"/>
        <w:rPr/>
      </w:pPr>
      <w:r>
        <w:rPr/>
        <w:t>211 (94.6%)</w:t>
      </w:r>
    </w:p>
    <w:p>
      <w:pPr>
        <w:pStyle w:val="TextBody"/>
        <w:rPr/>
      </w:pPr>
      <w:r>
        <w:rPr/>
      </w:r>
    </w:p>
    <w:p>
      <w:pPr>
        <w:pStyle w:val="TextBody"/>
        <w:rPr/>
      </w:pPr>
      <w:r>
        <w:rPr/>
        <w:t>2472 (99.0%)</w:t>
      </w:r>
    </w:p>
    <w:p>
      <w:pPr>
        <w:pStyle w:val="TextBody"/>
        <w:rPr/>
      </w:pPr>
      <w:r>
        <w:rPr/>
      </w:r>
    </w:p>
    <w:p>
      <w:pPr>
        <w:pStyle w:val="TextBody"/>
        <w:rPr/>
      </w:pPr>
      <w:r>
        <w:rPr/>
      </w:r>
    </w:p>
    <w:p>
      <w:pPr>
        <w:pStyle w:val="TextBody"/>
        <w:rPr/>
      </w:pPr>
      <w:r>
        <w:rPr/>
      </w:r>
    </w:p>
    <w:p>
      <w:pPr>
        <w:pStyle w:val="TextBody"/>
        <w:rPr/>
      </w:pPr>
      <w:r>
        <w:rPr/>
        <w:t>CNS Complications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Yes</w:t>
      </w:r>
    </w:p>
    <w:p>
      <w:pPr>
        <w:pStyle w:val="TextBody"/>
        <w:rPr/>
      </w:pPr>
      <w:r>
        <w:rPr/>
      </w:r>
    </w:p>
    <w:p>
      <w:pPr>
        <w:pStyle w:val="TextBody"/>
        <w:rPr/>
      </w:pPr>
      <w:r>
        <w:rPr/>
        <w:t>14 (0.7%)</w:t>
      </w:r>
    </w:p>
    <w:p>
      <w:pPr>
        <w:pStyle w:val="TextBody"/>
        <w:rPr/>
      </w:pPr>
      <w:r>
        <w:rPr/>
      </w:r>
    </w:p>
    <w:p>
      <w:pPr>
        <w:pStyle w:val="TextBody"/>
        <w:rPr/>
      </w:pPr>
      <w:r>
        <w:rPr/>
        <w:t>3 (0.8%)</w:t>
      </w:r>
    </w:p>
    <w:p>
      <w:pPr>
        <w:pStyle w:val="TextBody"/>
        <w:rPr/>
      </w:pPr>
      <w:r>
        <w:rPr/>
      </w:r>
    </w:p>
    <w:p>
      <w:pPr>
        <w:pStyle w:val="TextBody"/>
        <w:rPr/>
      </w:pPr>
      <w:r>
        <w:rPr/>
        <w:t>8 (3.6%)</w:t>
      </w:r>
    </w:p>
    <w:p>
      <w:pPr>
        <w:pStyle w:val="TextBody"/>
        <w:rPr/>
      </w:pPr>
      <w:r>
        <w:rPr/>
      </w:r>
    </w:p>
    <w:p>
      <w:pPr>
        <w:pStyle w:val="TextBody"/>
        <w:rPr/>
      </w:pPr>
      <w:r>
        <w:rPr/>
        <w:t>25 (1.0%)</w:t>
      </w:r>
    </w:p>
    <w:p>
      <w:pPr>
        <w:pStyle w:val="TextBody"/>
        <w:rPr/>
      </w:pPr>
      <w:r>
        <w:rPr/>
      </w:r>
    </w:p>
    <w:p>
      <w:pPr>
        <w:pStyle w:val="TextBody"/>
        <w:rPr/>
      </w:pPr>
      <w:r>
        <w:rPr/>
      </w:r>
    </w:p>
    <w:p>
      <w:pPr>
        <w:pStyle w:val="TextBody"/>
        <w:rPr/>
      </w:pPr>
      <w:r>
        <w:rPr/>
      </w:r>
    </w:p>
    <w:p>
      <w:pPr>
        <w:pStyle w:val="TextBody"/>
        <w:rPr/>
      </w:pPr>
      <w:r>
        <w:rPr/>
        <w:t>No</w:t>
      </w:r>
    </w:p>
    <w:p>
      <w:pPr>
        <w:pStyle w:val="TextBody"/>
        <w:rPr/>
      </w:pPr>
      <w:r>
        <w:rPr/>
      </w:r>
    </w:p>
    <w:p>
      <w:pPr>
        <w:pStyle w:val="TextBody"/>
        <w:rPr/>
      </w:pPr>
      <w:r>
        <w:rPr/>
        <w:t>1862 (99.3%)</w:t>
      </w:r>
    </w:p>
    <w:p>
      <w:pPr>
        <w:pStyle w:val="TextBody"/>
        <w:rPr/>
      </w:pPr>
      <w:r>
        <w:rPr/>
      </w:r>
    </w:p>
    <w:p>
      <w:pPr>
        <w:pStyle w:val="TextBody"/>
        <w:rPr/>
      </w:pPr>
      <w:r>
        <w:rPr/>
        <w:t>395 (99.2%)</w:t>
      </w:r>
    </w:p>
    <w:p>
      <w:pPr>
        <w:pStyle w:val="TextBody"/>
        <w:rPr/>
      </w:pPr>
      <w:r>
        <w:rPr/>
      </w:r>
    </w:p>
    <w:p>
      <w:pPr>
        <w:pStyle w:val="TextBody"/>
        <w:rPr/>
      </w:pPr>
      <w:r>
        <w:rPr/>
        <w:t>215 (96.4%)</w:t>
      </w:r>
    </w:p>
    <w:p>
      <w:pPr>
        <w:pStyle w:val="TextBody"/>
        <w:rPr/>
      </w:pPr>
      <w:r>
        <w:rPr/>
      </w:r>
    </w:p>
    <w:p>
      <w:pPr>
        <w:pStyle w:val="TextBody"/>
        <w:rPr/>
      </w:pPr>
      <w:r>
        <w:rPr/>
        <w:t>2472 (99.0%)</w:t>
      </w:r>
    </w:p>
    <w:p>
      <w:pPr>
        <w:pStyle w:val="TextBody"/>
        <w:rPr/>
      </w:pPr>
      <w:r>
        <w:rPr/>
      </w:r>
    </w:p>
    <w:p>
      <w:pPr>
        <w:pStyle w:val="TextBody"/>
        <w:rPr/>
      </w:pPr>
      <w:r>
        <w:rPr/>
      </w:r>
    </w:p>
    <w:p>
      <w:pPr>
        <w:pStyle w:val="TextBody"/>
        <w:rPr/>
      </w:pPr>
      <w:r>
        <w:rPr/>
      </w:r>
    </w:p>
    <w:p>
      <w:pPr>
        <w:pStyle w:val="TextBody"/>
        <w:rPr/>
      </w:pPr>
      <w:r>
        <w:rPr/>
        <w:t>GI Complications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Yes</w:t>
      </w:r>
    </w:p>
    <w:p>
      <w:pPr>
        <w:pStyle w:val="TextBody"/>
        <w:rPr/>
      </w:pPr>
      <w:r>
        <w:rPr/>
      </w:r>
    </w:p>
    <w:p>
      <w:pPr>
        <w:pStyle w:val="TextBody"/>
        <w:rPr/>
      </w:pPr>
      <w:r>
        <w:rPr/>
        <w:t>5 (0.3%)</w:t>
      </w:r>
    </w:p>
    <w:p>
      <w:pPr>
        <w:pStyle w:val="TextBody"/>
        <w:rPr/>
      </w:pPr>
      <w:r>
        <w:rPr/>
      </w:r>
    </w:p>
    <w:p>
      <w:pPr>
        <w:pStyle w:val="TextBody"/>
        <w:rPr/>
      </w:pPr>
      <w:r>
        <w:rPr/>
        <w:t>6 (1.5%)</w:t>
      </w:r>
    </w:p>
    <w:p>
      <w:pPr>
        <w:pStyle w:val="TextBody"/>
        <w:rPr/>
      </w:pPr>
      <w:r>
        <w:rPr/>
      </w:r>
    </w:p>
    <w:p>
      <w:pPr>
        <w:pStyle w:val="TextBody"/>
        <w:rPr/>
      </w:pPr>
      <w:r>
        <w:rPr/>
        <w:t>7 (3.1%)</w:t>
      </w:r>
    </w:p>
    <w:p>
      <w:pPr>
        <w:pStyle w:val="TextBody"/>
        <w:rPr/>
      </w:pPr>
      <w:r>
        <w:rPr/>
      </w:r>
    </w:p>
    <w:p>
      <w:pPr>
        <w:pStyle w:val="TextBody"/>
        <w:rPr/>
      </w:pPr>
      <w:r>
        <w:rPr/>
        <w:t>18 (0.7%)</w:t>
      </w:r>
    </w:p>
    <w:p>
      <w:pPr>
        <w:pStyle w:val="TextBody"/>
        <w:rPr/>
      </w:pPr>
      <w:r>
        <w:rPr/>
      </w:r>
    </w:p>
    <w:p>
      <w:pPr>
        <w:pStyle w:val="TextBody"/>
        <w:rPr/>
      </w:pPr>
      <w:r>
        <w:rPr/>
      </w:r>
    </w:p>
    <w:p>
      <w:pPr>
        <w:pStyle w:val="TextBody"/>
        <w:rPr/>
      </w:pPr>
      <w:r>
        <w:rPr/>
      </w:r>
    </w:p>
    <w:p>
      <w:pPr>
        <w:pStyle w:val="TextBody"/>
        <w:rPr/>
      </w:pPr>
      <w:r>
        <w:rPr/>
        <w:t>No</w:t>
      </w:r>
    </w:p>
    <w:p>
      <w:pPr>
        <w:pStyle w:val="TextBody"/>
        <w:rPr/>
      </w:pPr>
      <w:r>
        <w:rPr/>
      </w:r>
    </w:p>
    <w:p>
      <w:pPr>
        <w:pStyle w:val="TextBody"/>
        <w:rPr/>
      </w:pPr>
      <w:r>
        <w:rPr/>
        <w:t>1871 (99.7%)</w:t>
      </w:r>
    </w:p>
    <w:p>
      <w:pPr>
        <w:pStyle w:val="TextBody"/>
        <w:rPr/>
      </w:pPr>
      <w:r>
        <w:rPr/>
      </w:r>
    </w:p>
    <w:p>
      <w:pPr>
        <w:pStyle w:val="TextBody"/>
        <w:rPr/>
      </w:pPr>
      <w:r>
        <w:rPr/>
        <w:t>392 (98.5%)</w:t>
      </w:r>
    </w:p>
    <w:p>
      <w:pPr>
        <w:pStyle w:val="TextBody"/>
        <w:rPr/>
      </w:pPr>
      <w:r>
        <w:rPr/>
      </w:r>
    </w:p>
    <w:p>
      <w:pPr>
        <w:pStyle w:val="TextBody"/>
        <w:rPr/>
      </w:pPr>
      <w:r>
        <w:rPr/>
        <w:t>216 (96.9%)</w:t>
      </w:r>
    </w:p>
    <w:p>
      <w:pPr>
        <w:pStyle w:val="TextBody"/>
        <w:rPr/>
      </w:pPr>
      <w:r>
        <w:rPr/>
      </w:r>
    </w:p>
    <w:p>
      <w:pPr>
        <w:pStyle w:val="TextBody"/>
        <w:rPr/>
      </w:pPr>
      <w:r>
        <w:rPr/>
        <w:t>2479 (99.3%)</w:t>
      </w:r>
    </w:p>
    <w:p>
      <w:pPr>
        <w:pStyle w:val="TextBody"/>
        <w:rPr/>
      </w:pPr>
      <w:r>
        <w:rPr/>
      </w:r>
    </w:p>
    <w:p>
      <w:pPr>
        <w:pStyle w:val="TextBody"/>
        <w:rPr/>
      </w:pPr>
      <w:r>
        <w:rPr/>
      </w:r>
    </w:p>
    <w:p>
      <w:pPr>
        <w:pStyle w:val="TextBody"/>
        <w:rPr/>
      </w:pPr>
      <w:r>
        <w:rPr/>
      </w:r>
    </w:p>
    <w:p>
      <w:pPr>
        <w:pStyle w:val="TextBody"/>
        <w:rPr/>
      </w:pPr>
      <w:r>
        <w:rPr/>
        <w:t>Any Patient Safety Event</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Yes</w:t>
      </w:r>
    </w:p>
    <w:p>
      <w:pPr>
        <w:pStyle w:val="TextBody"/>
        <w:rPr/>
      </w:pPr>
      <w:r>
        <w:rPr/>
      </w:r>
    </w:p>
    <w:p>
      <w:pPr>
        <w:pStyle w:val="TextBody"/>
        <w:rPr/>
      </w:pPr>
      <w:r>
        <w:rPr/>
        <w:t>191 (10.2%)</w:t>
      </w:r>
    </w:p>
    <w:p>
      <w:pPr>
        <w:pStyle w:val="TextBody"/>
        <w:rPr/>
      </w:pPr>
      <w:r>
        <w:rPr/>
      </w:r>
    </w:p>
    <w:p>
      <w:pPr>
        <w:pStyle w:val="TextBody"/>
        <w:rPr/>
      </w:pPr>
      <w:r>
        <w:rPr/>
        <w:t>99 (24.9%)</w:t>
      </w:r>
    </w:p>
    <w:p>
      <w:pPr>
        <w:pStyle w:val="TextBody"/>
        <w:rPr/>
      </w:pPr>
      <w:r>
        <w:rPr/>
      </w:r>
    </w:p>
    <w:p>
      <w:pPr>
        <w:pStyle w:val="TextBody"/>
        <w:rPr/>
      </w:pPr>
      <w:r>
        <w:rPr/>
        <w:t>114 (51.1%)</w:t>
      </w:r>
    </w:p>
    <w:p>
      <w:pPr>
        <w:pStyle w:val="TextBody"/>
        <w:rPr/>
      </w:pPr>
      <w:r>
        <w:rPr/>
      </w:r>
    </w:p>
    <w:p>
      <w:pPr>
        <w:pStyle w:val="TextBody"/>
        <w:rPr/>
      </w:pPr>
      <w:r>
        <w:rPr/>
        <w:t>404 (16.2%)</w:t>
      </w:r>
    </w:p>
    <w:p>
      <w:pPr>
        <w:pStyle w:val="TextBody"/>
        <w:rPr/>
      </w:pPr>
      <w:r>
        <w:rPr/>
      </w:r>
    </w:p>
    <w:p>
      <w:pPr>
        <w:pStyle w:val="TextBody"/>
        <w:rPr/>
      </w:pPr>
      <w:r>
        <w:rPr/>
      </w:r>
    </w:p>
    <w:p>
      <w:pPr>
        <w:pStyle w:val="TextBody"/>
        <w:rPr/>
      </w:pPr>
      <w:r>
        <w:rPr/>
      </w:r>
    </w:p>
    <w:p>
      <w:pPr>
        <w:pStyle w:val="TextBody"/>
        <w:rPr/>
      </w:pPr>
      <w:r>
        <w:rPr/>
        <w:t>No</w:t>
      </w:r>
    </w:p>
    <w:p>
      <w:pPr>
        <w:pStyle w:val="TextBody"/>
        <w:rPr/>
      </w:pPr>
      <w:r>
        <w:rPr/>
      </w:r>
    </w:p>
    <w:p>
      <w:pPr>
        <w:pStyle w:val="TextBody"/>
        <w:rPr/>
      </w:pPr>
      <w:r>
        <w:rPr/>
        <w:t>1685 (89.8%)</w:t>
      </w:r>
    </w:p>
    <w:p>
      <w:pPr>
        <w:pStyle w:val="TextBody"/>
        <w:rPr/>
      </w:pPr>
      <w:r>
        <w:rPr/>
      </w:r>
    </w:p>
    <w:p>
      <w:pPr>
        <w:pStyle w:val="TextBody"/>
        <w:rPr/>
      </w:pPr>
      <w:r>
        <w:rPr/>
        <w:t>299 (75.1%)</w:t>
      </w:r>
    </w:p>
    <w:p>
      <w:pPr>
        <w:pStyle w:val="TextBody"/>
        <w:rPr/>
      </w:pPr>
      <w:r>
        <w:rPr/>
      </w:r>
    </w:p>
    <w:p>
      <w:pPr>
        <w:pStyle w:val="TextBody"/>
        <w:rPr/>
      </w:pPr>
      <w:r>
        <w:rPr/>
        <w:t>109 (48.9%)</w:t>
      </w:r>
    </w:p>
    <w:p>
      <w:pPr>
        <w:pStyle w:val="TextBody"/>
        <w:rPr/>
      </w:pPr>
      <w:r>
        <w:rPr/>
      </w:r>
    </w:p>
    <w:p>
      <w:pPr>
        <w:pStyle w:val="TextBody"/>
        <w:rPr/>
      </w:pPr>
      <w:r>
        <w:rPr/>
        <w:t>2093 (83.8%)</w:t>
      </w:r>
    </w:p>
    <w:p>
      <w:pPr>
        <w:pStyle w:val="TextBody"/>
        <w:rPr/>
      </w:pPr>
      <w:r>
        <w:rPr/>
      </w:r>
    </w:p>
    <w:p>
      <w:pPr>
        <w:pStyle w:val="TextBody"/>
        <w:rPr/>
      </w:pPr>
      <w:r>
        <w:rPr/>
      </w:r>
    </w:p>
    <w:p>
      <w:pPr>
        <w:pStyle w:val="TextBody"/>
        <w:rPr/>
      </w:pPr>
      <w:r>
        <w:rPr/>
      </w:r>
    </w:p>
    <w:p>
      <w:pPr>
        <w:pStyle w:val="TextBody"/>
        <w:rPr/>
      </w:pPr>
      <w:r>
        <w:rPr/>
        <w:t>Severe Patient Safety Event</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Yes</w:t>
      </w:r>
    </w:p>
    <w:p>
      <w:pPr>
        <w:pStyle w:val="TextBody"/>
        <w:rPr/>
      </w:pPr>
      <w:r>
        <w:rPr/>
      </w:r>
    </w:p>
    <w:p>
      <w:pPr>
        <w:pStyle w:val="TextBody"/>
        <w:rPr/>
      </w:pPr>
      <w:r>
        <w:rPr/>
        <w:t>18 (1.0%)</w:t>
      </w:r>
    </w:p>
    <w:p>
      <w:pPr>
        <w:pStyle w:val="TextBody"/>
        <w:rPr/>
      </w:pPr>
      <w:r>
        <w:rPr/>
      </w:r>
    </w:p>
    <w:p>
      <w:pPr>
        <w:pStyle w:val="TextBody"/>
        <w:rPr/>
      </w:pPr>
      <w:r>
        <w:rPr/>
        <w:t>5 (1.3%)</w:t>
      </w:r>
    </w:p>
    <w:p>
      <w:pPr>
        <w:pStyle w:val="TextBody"/>
        <w:rPr/>
      </w:pPr>
      <w:r>
        <w:rPr/>
      </w:r>
    </w:p>
    <w:p>
      <w:pPr>
        <w:pStyle w:val="TextBody"/>
        <w:rPr/>
      </w:pPr>
      <w:r>
        <w:rPr/>
        <w:t>12 (5.4%)</w:t>
      </w:r>
    </w:p>
    <w:p>
      <w:pPr>
        <w:pStyle w:val="TextBody"/>
        <w:rPr/>
      </w:pPr>
      <w:r>
        <w:rPr/>
      </w:r>
    </w:p>
    <w:p>
      <w:pPr>
        <w:pStyle w:val="TextBody"/>
        <w:rPr/>
      </w:pPr>
      <w:r>
        <w:rPr/>
        <w:t>35 (1.4%)</w:t>
      </w:r>
    </w:p>
    <w:p>
      <w:pPr>
        <w:pStyle w:val="TextBody"/>
        <w:rPr/>
      </w:pPr>
      <w:r>
        <w:rPr/>
      </w:r>
    </w:p>
    <w:p>
      <w:pPr>
        <w:pStyle w:val="TextBody"/>
        <w:rPr/>
      </w:pPr>
      <w:r>
        <w:rPr/>
      </w:r>
    </w:p>
    <w:p>
      <w:pPr>
        <w:pStyle w:val="TextBody"/>
        <w:rPr/>
      </w:pPr>
      <w:r>
        <w:rPr/>
      </w:r>
    </w:p>
    <w:p>
      <w:pPr>
        <w:pStyle w:val="TextBody"/>
        <w:rPr/>
      </w:pPr>
      <w:r>
        <w:rPr/>
        <w:t>No</w:t>
      </w:r>
    </w:p>
    <w:p>
      <w:pPr>
        <w:pStyle w:val="TextBody"/>
        <w:rPr/>
      </w:pPr>
      <w:r>
        <w:rPr/>
      </w:r>
    </w:p>
    <w:p>
      <w:pPr>
        <w:pStyle w:val="TextBody"/>
        <w:rPr/>
      </w:pPr>
      <w:r>
        <w:rPr/>
        <w:t>1858 (99.0%)</w:t>
      </w:r>
    </w:p>
    <w:p>
      <w:pPr>
        <w:pStyle w:val="TextBody"/>
        <w:rPr/>
      </w:pPr>
      <w:r>
        <w:rPr/>
      </w:r>
    </w:p>
    <w:p>
      <w:pPr>
        <w:pStyle w:val="TextBody"/>
        <w:rPr/>
      </w:pPr>
      <w:r>
        <w:rPr/>
        <w:t>393 (98.7%)</w:t>
      </w:r>
    </w:p>
    <w:p>
      <w:pPr>
        <w:pStyle w:val="TextBody"/>
        <w:rPr/>
      </w:pPr>
      <w:r>
        <w:rPr/>
      </w:r>
    </w:p>
    <w:p>
      <w:pPr>
        <w:pStyle w:val="TextBody"/>
        <w:rPr/>
      </w:pPr>
      <w:r>
        <w:rPr/>
        <w:t>211 (94.6%)</w:t>
      </w:r>
    </w:p>
    <w:p>
      <w:pPr>
        <w:pStyle w:val="TextBody"/>
        <w:rPr/>
      </w:pPr>
      <w:r>
        <w:rPr/>
      </w:r>
    </w:p>
    <w:p>
      <w:pPr>
        <w:pStyle w:val="TextBody"/>
        <w:rPr/>
      </w:pPr>
      <w:r>
        <w:rPr/>
        <w:t>2462 (98.6%)</w:t>
      </w:r>
    </w:p>
    <w:p>
      <w:pPr>
        <w:pStyle w:val="TextBody"/>
        <w:rPr/>
      </w:pPr>
      <w:r>
        <w:rPr/>
      </w:r>
    </w:p>
    <w:p>
      <w:pPr>
        <w:pStyle w:val="TextBody"/>
        <w:rPr/>
      </w:pPr>
      <w:r>
        <w:rPr/>
      </w:r>
    </w:p>
    <w:p>
      <w:pPr>
        <w:pStyle w:val="TextBody"/>
        <w:rPr/>
      </w:pPr>
      <w:r>
        <w:rPr/>
      </w:r>
    </w:p>
    <w:p>
      <w:pPr>
        <w:pStyle w:val="TextBody"/>
        <w:rPr/>
      </w:pPr>
      <w:r>
        <w:rPr/>
        <w:t>Patient age (years)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Mean (SD)</w:t>
      </w:r>
    </w:p>
    <w:p>
      <w:pPr>
        <w:pStyle w:val="TextBody"/>
        <w:rPr/>
      </w:pPr>
      <w:r>
        <w:rPr/>
      </w:r>
    </w:p>
    <w:p>
      <w:pPr>
        <w:pStyle w:val="TextBody"/>
        <w:rPr/>
      </w:pPr>
      <w:r>
        <w:rPr/>
        <w:t>51.0 (18.1)</w:t>
      </w:r>
    </w:p>
    <w:p>
      <w:pPr>
        <w:pStyle w:val="TextBody"/>
        <w:rPr/>
      </w:pPr>
      <w:r>
        <w:rPr/>
      </w:r>
    </w:p>
    <w:p>
      <w:pPr>
        <w:pStyle w:val="TextBody"/>
        <w:rPr/>
      </w:pPr>
      <w:r>
        <w:rPr/>
        <w:t>51.2 (16.0)</w:t>
      </w:r>
    </w:p>
    <w:p>
      <w:pPr>
        <w:pStyle w:val="TextBody"/>
        <w:rPr/>
      </w:pPr>
      <w:r>
        <w:rPr/>
      </w:r>
    </w:p>
    <w:p>
      <w:pPr>
        <w:pStyle w:val="TextBody"/>
        <w:rPr/>
      </w:pPr>
      <w:r>
        <w:rPr/>
        <w:t>56.2 (16.3)</w:t>
      </w:r>
    </w:p>
    <w:p>
      <w:pPr>
        <w:pStyle w:val="TextBody"/>
        <w:rPr/>
      </w:pPr>
      <w:r>
        <w:rPr/>
      </w:r>
    </w:p>
    <w:p>
      <w:pPr>
        <w:pStyle w:val="TextBody"/>
        <w:rPr/>
      </w:pPr>
      <w:r>
        <w:rPr/>
        <w:t>51.5 (17.7)</w:t>
      </w:r>
    </w:p>
    <w:p>
      <w:pPr>
        <w:pStyle w:val="TextBody"/>
        <w:rPr/>
      </w:pPr>
      <w:r>
        <w:rPr/>
      </w:r>
    </w:p>
    <w:p>
      <w:pPr>
        <w:pStyle w:val="TextBody"/>
        <w:rPr/>
      </w:pPr>
      <w:r>
        <w:rPr/>
      </w:r>
    </w:p>
    <w:p>
      <w:pPr>
        <w:pStyle w:val="TextBody"/>
        <w:rPr/>
      </w:pPr>
      <w:r>
        <w:rPr/>
      </w:r>
    </w:p>
    <w:p>
      <w:pPr>
        <w:pStyle w:val="TextBody"/>
        <w:rPr/>
      </w:pPr>
      <w:r>
        <w:rPr/>
        <w:t>Median [Min, Max]</w:t>
      </w:r>
    </w:p>
    <w:p>
      <w:pPr>
        <w:pStyle w:val="TextBody"/>
        <w:rPr/>
      </w:pPr>
      <w:r>
        <w:rPr/>
      </w:r>
    </w:p>
    <w:p>
      <w:pPr>
        <w:pStyle w:val="TextBody"/>
        <w:rPr/>
      </w:pPr>
      <w:r>
        <w:rPr/>
        <w:t>48.6 [18.3, 88.5]</w:t>
      </w:r>
    </w:p>
    <w:p>
      <w:pPr>
        <w:pStyle w:val="TextBody"/>
        <w:rPr/>
      </w:pPr>
      <w:r>
        <w:rPr/>
      </w:r>
    </w:p>
    <w:p>
      <w:pPr>
        <w:pStyle w:val="TextBody"/>
        <w:rPr/>
      </w:pPr>
      <w:r>
        <w:rPr/>
        <w:t>51.4 [18.4, 87.7]</w:t>
      </w:r>
    </w:p>
    <w:p>
      <w:pPr>
        <w:pStyle w:val="TextBody"/>
        <w:rPr/>
      </w:pPr>
      <w:r>
        <w:rPr/>
      </w:r>
    </w:p>
    <w:p>
      <w:pPr>
        <w:pStyle w:val="TextBody"/>
        <w:rPr/>
      </w:pPr>
      <w:r>
        <w:rPr/>
        <w:t>58.6 [21.4, 87.8]</w:t>
      </w:r>
    </w:p>
    <w:p>
      <w:pPr>
        <w:pStyle w:val="TextBody"/>
        <w:rPr/>
      </w:pPr>
      <w:r>
        <w:rPr/>
      </w:r>
    </w:p>
    <w:p>
      <w:pPr>
        <w:pStyle w:val="TextBody"/>
        <w:rPr/>
      </w:pPr>
      <w:r>
        <w:rPr/>
        <w:t>50.3 [18.3, 88.5]</w:t>
      </w:r>
    </w:p>
    <w:p>
      <w:pPr>
        <w:pStyle w:val="TextBody"/>
        <w:rPr/>
      </w:pPr>
      <w:r>
        <w:rPr/>
      </w:r>
    </w:p>
    <w:p>
      <w:pPr>
        <w:pStyle w:val="TextBody"/>
        <w:rPr/>
      </w:pPr>
      <w:r>
        <w:rPr/>
      </w:r>
    </w:p>
    <w:p>
      <w:pPr>
        <w:pStyle w:val="TextBody"/>
        <w:rPr/>
      </w:pPr>
      <w:r>
        <w:rPr/>
      </w:r>
    </w:p>
    <w:p>
      <w:pPr>
        <w:pStyle w:val="TextBody"/>
        <w:rPr/>
      </w:pPr>
      <w:r>
        <w:rPr/>
        <w:t>Frailty</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Mean (SD)</w:t>
      </w:r>
    </w:p>
    <w:p>
      <w:pPr>
        <w:pStyle w:val="TextBody"/>
        <w:rPr/>
      </w:pPr>
      <w:r>
        <w:rPr/>
      </w:r>
    </w:p>
    <w:p>
      <w:pPr>
        <w:pStyle w:val="TextBody"/>
        <w:rPr/>
      </w:pPr>
      <w:r>
        <w:rPr/>
        <w:t>0.0194 (0.0275)</w:t>
      </w:r>
    </w:p>
    <w:p>
      <w:pPr>
        <w:pStyle w:val="TextBody"/>
        <w:rPr/>
      </w:pPr>
      <w:r>
        <w:rPr/>
      </w:r>
    </w:p>
    <w:p>
      <w:pPr>
        <w:pStyle w:val="TextBody"/>
        <w:rPr/>
      </w:pPr>
      <w:r>
        <w:rPr/>
        <w:t>0.140 (0.0298)</w:t>
      </w:r>
    </w:p>
    <w:p>
      <w:pPr>
        <w:pStyle w:val="TextBody"/>
        <w:rPr/>
      </w:pPr>
      <w:r>
        <w:rPr/>
      </w:r>
    </w:p>
    <w:p>
      <w:pPr>
        <w:pStyle w:val="TextBody"/>
        <w:rPr/>
      </w:pPr>
      <w:r>
        <w:rPr/>
        <w:t>0.286 (0.0704)</w:t>
      </w:r>
    </w:p>
    <w:p>
      <w:pPr>
        <w:pStyle w:val="TextBody"/>
        <w:rPr/>
      </w:pPr>
      <w:r>
        <w:rPr/>
      </w:r>
    </w:p>
    <w:p>
      <w:pPr>
        <w:pStyle w:val="TextBody"/>
        <w:rPr/>
      </w:pPr>
      <w:r>
        <w:rPr/>
        <w:t>0.0623 (0.0891)</w:t>
      </w:r>
    </w:p>
    <w:p>
      <w:pPr>
        <w:pStyle w:val="TextBody"/>
        <w:rPr/>
      </w:pPr>
      <w:r>
        <w:rPr/>
      </w:r>
    </w:p>
    <w:p>
      <w:pPr>
        <w:pStyle w:val="TextBody"/>
        <w:rPr/>
      </w:pPr>
      <w:r>
        <w:rPr/>
      </w:r>
    </w:p>
    <w:p>
      <w:pPr>
        <w:pStyle w:val="TextBody"/>
        <w:rPr/>
      </w:pPr>
      <w:r>
        <w:rPr/>
      </w:r>
    </w:p>
    <w:p>
      <w:pPr>
        <w:pStyle w:val="TextBody"/>
        <w:rPr/>
      </w:pPr>
      <w:r>
        <w:rPr/>
        <w:t>Median [Min, Max]</w:t>
      </w:r>
    </w:p>
    <w:p>
      <w:pPr>
        <w:pStyle w:val="TextBody"/>
        <w:rPr/>
      </w:pPr>
      <w:r>
        <w:rPr/>
      </w:r>
    </w:p>
    <w:p>
      <w:pPr>
        <w:pStyle w:val="TextBody"/>
        <w:rPr/>
      </w:pPr>
      <w:r>
        <w:rPr/>
        <w:t>0 [0, 0.0833]</w:t>
      </w:r>
    </w:p>
    <w:p>
      <w:pPr>
        <w:pStyle w:val="TextBody"/>
        <w:rPr/>
      </w:pPr>
      <w:r>
        <w:rPr/>
      </w:r>
    </w:p>
    <w:p>
      <w:pPr>
        <w:pStyle w:val="TextBody"/>
        <w:rPr/>
      </w:pPr>
      <w:r>
        <w:rPr/>
        <w:t>0.146 [0.104, 0.188]</w:t>
      </w:r>
    </w:p>
    <w:p>
      <w:pPr>
        <w:pStyle w:val="TextBody"/>
        <w:rPr/>
      </w:pPr>
      <w:r>
        <w:rPr/>
      </w:r>
    </w:p>
    <w:p>
      <w:pPr>
        <w:pStyle w:val="TextBody"/>
        <w:rPr/>
      </w:pPr>
      <w:r>
        <w:rPr/>
        <w:t>0.271 [0.208, 0.563]</w:t>
      </w:r>
    </w:p>
    <w:p>
      <w:pPr>
        <w:pStyle w:val="TextBody"/>
        <w:rPr/>
      </w:pPr>
      <w:r>
        <w:rPr/>
      </w:r>
    </w:p>
    <w:p>
      <w:pPr>
        <w:pStyle w:val="TextBody"/>
        <w:rPr/>
      </w:pPr>
      <w:r>
        <w:rPr/>
        <w:t>0.0208 [0, 0.563]</w:t>
      </w:r>
    </w:p>
    <w:p>
      <w:pPr>
        <w:pStyle w:val="TextBody"/>
        <w:rPr/>
      </w:pPr>
      <w:r>
        <w:rPr/>
      </w:r>
    </w:p>
    <w:p>
      <w:pPr>
        <w:pStyle w:val="TextBody"/>
        <w:rPr/>
      </w:pPr>
      <w:r>
        <w:rPr/>
      </w:r>
    </w:p>
    <w:p>
      <w:pPr>
        <w:pStyle w:val="TextBody"/>
        <w:rPr/>
      </w:pPr>
      <w:r>
        <w:rPr/>
      </w:r>
    </w:p>
    <w:p>
      <w:pPr>
        <w:pStyle w:val="TextBody"/>
        <w:rPr/>
      </w:pPr>
      <w:r>
        <w:rPr/>
        <w:t>Number of Visits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Mean (SD)</w:t>
      </w:r>
    </w:p>
    <w:p>
      <w:pPr>
        <w:pStyle w:val="TextBody"/>
        <w:rPr/>
      </w:pPr>
      <w:r>
        <w:rPr/>
      </w:r>
    </w:p>
    <w:p>
      <w:pPr>
        <w:pStyle w:val="TextBody"/>
        <w:rPr/>
      </w:pPr>
      <w:r>
        <w:rPr/>
        <w:t>14.5 (34.4)</w:t>
      </w:r>
    </w:p>
    <w:p>
      <w:pPr>
        <w:pStyle w:val="TextBody"/>
        <w:rPr/>
      </w:pPr>
      <w:r>
        <w:rPr/>
      </w:r>
    </w:p>
    <w:p>
      <w:pPr>
        <w:pStyle w:val="TextBody"/>
        <w:rPr/>
      </w:pPr>
      <w:r>
        <w:rPr/>
        <w:t>26.3 (36.5)</w:t>
      </w:r>
    </w:p>
    <w:p>
      <w:pPr>
        <w:pStyle w:val="TextBody"/>
        <w:rPr/>
      </w:pPr>
      <w:r>
        <w:rPr/>
      </w:r>
    </w:p>
    <w:p>
      <w:pPr>
        <w:pStyle w:val="TextBody"/>
        <w:rPr/>
      </w:pPr>
      <w:r>
        <w:rPr/>
        <w:t>66.1 (119)</w:t>
      </w:r>
    </w:p>
    <w:p>
      <w:pPr>
        <w:pStyle w:val="TextBody"/>
        <w:rPr/>
      </w:pPr>
      <w:r>
        <w:rPr/>
      </w:r>
    </w:p>
    <w:p>
      <w:pPr>
        <w:pStyle w:val="TextBody"/>
        <w:rPr/>
      </w:pPr>
      <w:r>
        <w:rPr/>
        <w:t>21.0 (50.8)</w:t>
      </w:r>
    </w:p>
    <w:p>
      <w:pPr>
        <w:pStyle w:val="TextBody"/>
        <w:rPr/>
      </w:pPr>
      <w:r>
        <w:rPr/>
      </w:r>
    </w:p>
    <w:p>
      <w:pPr>
        <w:pStyle w:val="TextBody"/>
        <w:rPr/>
      </w:pPr>
      <w:r>
        <w:rPr/>
      </w:r>
    </w:p>
    <w:p>
      <w:pPr>
        <w:pStyle w:val="TextBody"/>
        <w:rPr/>
      </w:pPr>
      <w:r>
        <w:rPr/>
      </w:r>
    </w:p>
    <w:p>
      <w:pPr>
        <w:pStyle w:val="TextBody"/>
        <w:rPr/>
      </w:pPr>
      <w:r>
        <w:rPr/>
        <w:t>Median [Min, Max]</w:t>
      </w:r>
    </w:p>
    <w:p>
      <w:pPr>
        <w:pStyle w:val="TextBody"/>
        <w:rPr/>
      </w:pPr>
      <w:r>
        <w:rPr/>
      </w:r>
    </w:p>
    <w:p>
      <w:pPr>
        <w:pStyle w:val="TextBody"/>
        <w:rPr/>
      </w:pPr>
      <w:r>
        <w:rPr/>
        <w:t>7.00 [2.00, 1170]</w:t>
      </w:r>
    </w:p>
    <w:p>
      <w:pPr>
        <w:pStyle w:val="TextBody"/>
        <w:rPr/>
      </w:pPr>
      <w:r>
        <w:rPr/>
      </w:r>
    </w:p>
    <w:p>
      <w:pPr>
        <w:pStyle w:val="TextBody"/>
        <w:rPr/>
      </w:pPr>
      <w:r>
        <w:rPr/>
        <w:t>13.0 [2.00, 318]</w:t>
      </w:r>
    </w:p>
    <w:p>
      <w:pPr>
        <w:pStyle w:val="TextBody"/>
        <w:rPr/>
      </w:pPr>
      <w:r>
        <w:rPr/>
      </w:r>
    </w:p>
    <w:p>
      <w:pPr>
        <w:pStyle w:val="TextBody"/>
        <w:rPr/>
      </w:pPr>
      <w:r>
        <w:rPr/>
        <w:t>31.0 [2.00, 1180]</w:t>
      </w:r>
    </w:p>
    <w:p>
      <w:pPr>
        <w:pStyle w:val="TextBody"/>
        <w:rPr/>
      </w:pPr>
      <w:r>
        <w:rPr/>
      </w:r>
    </w:p>
    <w:p>
      <w:pPr>
        <w:pStyle w:val="TextBody"/>
        <w:rPr/>
      </w:pPr>
      <w:r>
        <w:rPr/>
        <w:t>8.00 [2.00, 1180]</w:t>
      </w:r>
    </w:p>
    <w:p>
      <w:pPr>
        <w:pStyle w:val="TextBody"/>
        <w:rPr/>
      </w:pPr>
      <w:r>
        <w:rPr/>
      </w:r>
    </w:p>
    <w:p>
      <w:pPr>
        <w:pStyle w:val="TextBody"/>
        <w:rPr/>
      </w:pPr>
      <w:r>
        <w:rPr/>
      </w:r>
    </w:p>
    <w:p>
      <w:pPr>
        <w:pStyle w:val="TextBody"/>
        <w:rPr/>
      </w:pPr>
      <w:r>
        <w:rPr/>
      </w:r>
    </w:p>
    <w:p>
      <w:pPr>
        <w:pStyle w:val="TextBody"/>
        <w:rPr/>
      </w:pPr>
      <w:r>
        <w:rPr/>
        <w:t>Length of Stay</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Mean (SD)</w:t>
      </w:r>
    </w:p>
    <w:p>
      <w:pPr>
        <w:pStyle w:val="TextBody"/>
        <w:rPr/>
      </w:pPr>
      <w:r>
        <w:rPr/>
      </w:r>
    </w:p>
    <w:p>
      <w:pPr>
        <w:pStyle w:val="TextBody"/>
        <w:rPr/>
      </w:pPr>
      <w:r>
        <w:rPr/>
        <w:t>4.89 (3.91)</w:t>
      </w:r>
    </w:p>
    <w:p>
      <w:pPr>
        <w:pStyle w:val="TextBody"/>
        <w:rPr/>
      </w:pPr>
      <w:r>
        <w:rPr/>
      </w:r>
    </w:p>
    <w:p>
      <w:pPr>
        <w:pStyle w:val="TextBody"/>
        <w:rPr/>
      </w:pPr>
      <w:r>
        <w:rPr/>
        <w:t>3.47 (2.09)</w:t>
      </w:r>
    </w:p>
    <w:p>
      <w:pPr>
        <w:pStyle w:val="TextBody"/>
        <w:rPr/>
      </w:pPr>
      <w:r>
        <w:rPr/>
      </w:r>
    </w:p>
    <w:p>
      <w:pPr>
        <w:pStyle w:val="TextBody"/>
        <w:rPr/>
      </w:pPr>
      <w:r>
        <w:rPr/>
        <w:t>4.47 (3.17)</w:t>
      </w:r>
    </w:p>
    <w:p>
      <w:pPr>
        <w:pStyle w:val="TextBody"/>
        <w:rPr/>
      </w:pPr>
      <w:r>
        <w:rPr/>
      </w:r>
    </w:p>
    <w:p>
      <w:pPr>
        <w:pStyle w:val="TextBody"/>
        <w:rPr/>
      </w:pPr>
      <w:r>
        <w:rPr/>
        <w:t>4.59 (3.56)</w:t>
      </w:r>
    </w:p>
    <w:p>
      <w:pPr>
        <w:pStyle w:val="TextBody"/>
        <w:rPr/>
      </w:pPr>
      <w:r>
        <w:rPr/>
      </w:r>
    </w:p>
    <w:p>
      <w:pPr>
        <w:pStyle w:val="TextBody"/>
        <w:rPr/>
      </w:pPr>
      <w:r>
        <w:rPr/>
      </w:r>
    </w:p>
    <w:p>
      <w:pPr>
        <w:pStyle w:val="TextBody"/>
        <w:rPr/>
      </w:pPr>
      <w:r>
        <w:rPr/>
      </w:r>
    </w:p>
    <w:p>
      <w:pPr>
        <w:pStyle w:val="TextBody"/>
        <w:rPr/>
      </w:pPr>
      <w:r>
        <w:rPr/>
        <w:t>Median [Min, Max]</w:t>
      </w:r>
    </w:p>
    <w:p>
      <w:pPr>
        <w:pStyle w:val="TextBody"/>
        <w:rPr/>
      </w:pPr>
      <w:r>
        <w:rPr/>
      </w:r>
    </w:p>
    <w:p>
      <w:pPr>
        <w:pStyle w:val="TextBody"/>
        <w:rPr/>
      </w:pPr>
      <w:r>
        <w:rPr/>
        <w:t>3.75 [1.00, 31.0]</w:t>
      </w:r>
    </w:p>
    <w:p>
      <w:pPr>
        <w:pStyle w:val="TextBody"/>
        <w:rPr/>
      </w:pPr>
      <w:r>
        <w:rPr/>
      </w:r>
    </w:p>
    <w:p>
      <w:pPr>
        <w:pStyle w:val="TextBody"/>
        <w:rPr/>
      </w:pPr>
      <w:r>
        <w:rPr/>
        <w:t>3.00 [1.00, 11.0]</w:t>
      </w:r>
    </w:p>
    <w:p>
      <w:pPr>
        <w:pStyle w:val="TextBody"/>
        <w:rPr/>
      </w:pPr>
      <w:r>
        <w:rPr/>
      </w:r>
    </w:p>
    <w:p>
      <w:pPr>
        <w:pStyle w:val="TextBody"/>
        <w:rPr/>
      </w:pPr>
      <w:r>
        <w:rPr/>
        <w:t>4.00 [1.00, 21.0]</w:t>
      </w:r>
    </w:p>
    <w:p>
      <w:pPr>
        <w:pStyle w:val="TextBody"/>
        <w:rPr/>
      </w:pPr>
      <w:r>
        <w:rPr/>
      </w:r>
    </w:p>
    <w:p>
      <w:pPr>
        <w:pStyle w:val="TextBody"/>
        <w:rPr/>
      </w:pPr>
      <w:r>
        <w:rPr/>
        <w:t>3.50 [1.00, 31.0]</w:t>
      </w:r>
    </w:p>
    <w:p>
      <w:pPr>
        <w:pStyle w:val="TextBody"/>
        <w:rPr/>
      </w:pPr>
      <w:r>
        <w:rPr/>
      </w:r>
    </w:p>
    <w:p>
      <w:pPr>
        <w:pStyle w:val="TextBody"/>
        <w:rPr/>
      </w:pPr>
      <w:r>
        <w:rPr/>
      </w:r>
    </w:p>
    <w:p>
      <w:pPr>
        <w:pStyle w:val="TextBody"/>
        <w:rPr/>
      </w:pPr>
      <w:r>
        <w:rPr/>
      </w:r>
    </w:p>
    <w:p>
      <w:pPr>
        <w:pStyle w:val="TextBody"/>
        <w:rPr/>
      </w:pPr>
      <w:r>
        <w:rPr/>
        <w:t>Missing</w:t>
      </w:r>
    </w:p>
    <w:p>
      <w:pPr>
        <w:pStyle w:val="TextBody"/>
        <w:rPr/>
      </w:pPr>
      <w:r>
        <w:rPr/>
      </w:r>
    </w:p>
    <w:p>
      <w:pPr>
        <w:pStyle w:val="TextBody"/>
        <w:rPr/>
      </w:pPr>
      <w:r>
        <w:rPr/>
        <w:t>1670 (89.0%)</w:t>
      </w:r>
    </w:p>
    <w:p>
      <w:pPr>
        <w:pStyle w:val="TextBody"/>
        <w:rPr/>
      </w:pPr>
      <w:r>
        <w:rPr/>
      </w:r>
    </w:p>
    <w:p>
      <w:pPr>
        <w:pStyle w:val="TextBody"/>
        <w:rPr/>
      </w:pPr>
      <w:r>
        <w:rPr/>
        <w:t>354 (88.9%)</w:t>
      </w:r>
    </w:p>
    <w:p>
      <w:pPr>
        <w:pStyle w:val="TextBody"/>
        <w:rPr/>
      </w:pPr>
      <w:r>
        <w:rPr/>
      </w:r>
    </w:p>
    <w:p>
      <w:pPr>
        <w:pStyle w:val="TextBody"/>
        <w:rPr/>
      </w:pPr>
      <w:r>
        <w:rPr/>
        <w:t>135 (60.5%)</w:t>
      </w:r>
    </w:p>
    <w:p>
      <w:pPr>
        <w:pStyle w:val="TextBody"/>
        <w:rPr/>
      </w:pPr>
      <w:r>
        <w:rPr/>
      </w:r>
    </w:p>
    <w:p>
      <w:pPr>
        <w:pStyle w:val="TextBody"/>
        <w:rPr/>
      </w:pPr>
      <w:r>
        <w:rPr/>
        <w:t>2159 (86.5%)</w:t>
      </w:r>
    </w:p>
    <w:p>
      <w:pPr>
        <w:pStyle w:val="TextBody"/>
        <w:rPr/>
      </w:pPr>
      <w:r>
        <w:rPr/>
      </w:r>
    </w:p>
    <w:p>
      <w:pPr>
        <w:pStyle w:val="TextBody"/>
        <w:rPr/>
      </w:pPr>
      <w:r>
        <w:rPr/>
      </w:r>
    </w:p>
    <w:p>
      <w:pPr>
        <w:pStyle w:val="TextBody"/>
        <w:rPr/>
      </w:pPr>
      <w:r>
        <w:rPr/>
      </w:r>
    </w:p>
    <w:p>
      <w:pPr>
        <w:pStyle w:val="TextBody"/>
        <w:rPr/>
      </w:pPr>
      <w:r>
        <w:rPr/>
        <w:t>"</w:t>
      </w:r>
    </w:p>
    <w:p>
      <w:pPr>
        <w:pStyle w:val="TextBody"/>
        <w:rPr/>
      </w:pPr>
      <w:r>
        <w:rPr/>
        <w:t>Table: Table 1: Cohort demographics</w:t>
      </w:r>
      <w:bookmarkStart w:id="1" w:name="population"/>
      <w:bookmarkEnd w:id="1"/>
    </w:p>
    <w:p>
      <w:pPr>
        <w:pStyle w:val="Heading2"/>
        <w:rPr/>
      </w:pPr>
      <w:r>
        <w:rPr/>
        <w:t>Electronic Frailty Index</w:t>
      </w:r>
    </w:p>
    <w:p>
      <w:pPr>
        <w:pStyle w:val="FirstParagraph"/>
        <w:rPr/>
      </w:pPr>
      <w:r>
        <w:rPr/>
        <w:t xml:space="preserve">Clegg </w:t>
      </w:r>
      <w:r>
        <w:rPr>
          <w:i/>
        </w:rPr>
        <w:t>et al.</w:t>
      </w:r>
      <w:r>
        <w:rPr/>
        <w:t xml:space="preserve"> (2016) developed an electronic frailty index (EFI) for UK health systems following the methodology of Mitnitsky, Rockwood, et al. (Mitnitski, Mogilner and Rockwood, 2001; Searle </w:t>
      </w:r>
      <w:r>
        <w:rPr>
          <w:i/>
        </w:rPr>
        <w:t>et al.</w:t>
      </w:r>
      <w:r>
        <w:rPr/>
        <w:t>, 2008; Song, Mitnitski and Rockwood, 2010).</w:t>
      </w:r>
    </w:p>
    <w:p>
      <w:pPr>
        <w:pStyle w:val="Bnote2self"/>
        <w:rPr/>
      </w:pPr>
      <w:r>
        <w:rPr/>
        <w:t>Points that were omitted or briefly covered in aging paper and might be appropriate here (probably more diplomatically phrased though):</w:t>
      </w:r>
    </w:p>
    <w:p>
      <w:pPr>
        <w:pStyle w:val="Compact"/>
        <w:numPr>
          <w:ilvl w:val="0"/>
          <w:numId w:val="3"/>
        </w:numPr>
        <w:rPr/>
      </w:pPr>
      <w:r>
        <w:rPr/>
        <w:t xml:space="preserve">EFI has been used in the UK for several years (Clegg </w:t>
      </w:r>
      <w:r>
        <w:rPr>
          <w:i/>
        </w:rPr>
        <w:t>et al.</w:t>
      </w:r>
      <w:r>
        <w:rPr/>
        <w:t xml:space="preserve">, 2016), and has only recently been adapted to a US EHR system (Pajewski </w:t>
      </w:r>
      <w:r>
        <w:rPr>
          <w:i/>
        </w:rPr>
        <w:t>et al.</w:t>
      </w:r>
      <w:r>
        <w:rPr/>
        <w:t>, 2019).</w:t>
      </w:r>
    </w:p>
    <w:p>
      <w:pPr>
        <w:pStyle w:val="Compact"/>
        <w:numPr>
          <w:ilvl w:val="0"/>
          <w:numId w:val="3"/>
        </w:numPr>
        <w:rPr/>
      </w:pPr>
      <w:r>
        <w:rPr/>
        <w:t>Our version has fewer EHR-specific dependencies</w:t>
      </w:r>
    </w:p>
    <w:p>
      <w:pPr>
        <w:pStyle w:val="Compact"/>
        <w:numPr>
          <w:ilvl w:val="0"/>
          <w:numId w:val="3"/>
        </w:numPr>
        <w:rPr/>
      </w:pPr>
      <w:r>
        <w:rPr/>
        <w:t>Ours is easier to maintain because it uses value-flags instead of manually curated threshold values</w:t>
      </w:r>
    </w:p>
    <w:p>
      <w:pPr>
        <w:pStyle w:val="Compact"/>
        <w:numPr>
          <w:ilvl w:val="0"/>
          <w:numId w:val="3"/>
        </w:numPr>
        <w:rPr/>
      </w:pPr>
      <w:r>
        <w:rPr/>
        <w:t>Our EFI is longitudinal, compare our results to those of Stow, Matthews and Hanratty (2018)</w:t>
      </w:r>
    </w:p>
    <w:p>
      <w:pPr>
        <w:pStyle w:val="Compact"/>
        <w:numPr>
          <w:ilvl w:val="0"/>
          <w:numId w:val="3"/>
        </w:numPr>
        <w:rPr/>
      </w:pPr>
      <w:r>
        <w:rPr/>
        <w:t>The importance of a “non-greedy” software license: not only lower costs but also greater transparency and makes it easier for stakeholders to contribute improvements.</w:t>
      </w:r>
      <w:bookmarkStart w:id="2" w:name="electronic-frailty-index"/>
      <w:bookmarkEnd w:id="2"/>
    </w:p>
    <w:p>
      <w:pPr>
        <w:pStyle w:val="Heading2"/>
        <w:rPr/>
      </w:pPr>
      <w:r>
        <w:rPr/>
        <w:t>Outcomes</w:t>
      </w:r>
    </w:p>
    <w:p>
      <w:pPr>
        <w:pStyle w:val="FirstParagraph"/>
        <w:rPr/>
      </w:pPr>
      <w:r>
        <w:rPr/>
        <w:t xml:space="preserve">The primary outcomes we predicted with EFI were ED visits, readmission within 30 days of a prior discharge from an inpatient stay, non-procedural hospital trauma, cardiac complications, adverse drug events, venous thromboembolisms, fluid management events, CNS complications, and GI complications. All outcomes except ED visits and readmissions were defined as visits during which at least one of the ICD10 codes from the corresponding groups published by Southern </w:t>
      </w:r>
      <w:r>
        <w:rPr>
          <w:i/>
        </w:rPr>
        <w:t>et al.</w:t>
      </w:r>
      <w:r>
        <w:rPr/>
        <w:t xml:space="preserve"> (2017) were recorded. Of the other 10 PSIs defined by Southern </w:t>
      </w:r>
      <w:r>
        <w:rPr>
          <w:i/>
        </w:rPr>
        <w:t>et al.</w:t>
      </w:r>
      <w:r>
        <w:rPr/>
        <w:t xml:space="preserve"> (2017), 2 were excluded because pregnancies were outside the scope of our protocol and the remaining 8 had prevalences too low to reliably analyze in this sample size. However, all the diagnoses from Southern </w:t>
      </w:r>
      <w:r>
        <w:rPr>
          <w:i/>
        </w:rPr>
        <w:t>et al.</w:t>
      </w:r>
      <w:r>
        <w:rPr/>
        <w:t xml:space="preserve"> (2017) except maternal and infant complications contributed to the ‘any patient safety event’ outcome. A subset of these were aggregated into the ‘severe patient safety’ event defined as “proximally threatening to life or to major vital organs” (Southern </w:t>
      </w:r>
      <w:r>
        <w:rPr>
          <w:i/>
        </w:rPr>
        <w:t>et al.</w:t>
      </w:r>
      <w:r>
        <w:rPr/>
        <w:t>, 2017).</w:t>
      </w:r>
      <w:bookmarkStart w:id="3" w:name="outcomes"/>
      <w:bookmarkEnd w:id="3"/>
    </w:p>
    <w:p>
      <w:pPr>
        <w:pStyle w:val="Heading2"/>
        <w:rPr/>
      </w:pPr>
      <w:r>
        <w:rPr/>
        <w:t>Statistical Analysis</w:t>
      </w:r>
    </w:p>
    <w:p>
      <w:pPr>
        <w:pStyle w:val="FirstParagraph"/>
        <w:rPr/>
      </w:pPr>
      <w:r>
        <w:rPr/>
        <w:t>For each outcome of interest, we used a Cox proportional hazard model to estimate the risk of the first occurrences of the outcome after the patients’ respective index visits using EFI as a time-varying predictor. For each outcome we compared the predictive performance of EFI to that patient age at visit.</w:t>
      </w:r>
      <w:bookmarkStart w:id="4" w:name="methods"/>
      <w:bookmarkStart w:id="5" w:name="statistical-analysis"/>
      <w:bookmarkEnd w:id="4"/>
      <w:bookmarkEnd w:id="5"/>
    </w:p>
    <w:p>
      <w:pPr>
        <w:pStyle w:val="Heading1"/>
        <w:rPr/>
      </w:pPr>
      <w:r>
        <w:rPr/>
        <w:t>Results</w:t>
      </w:r>
    </w:p>
    <w:p>
      <w:pPr>
        <w:pStyle w:val="FirstParagraph"/>
        <w:rPr/>
      </w:pPr>
      <w:r>
        <w:rPr/>
        <w:t>Table 2 shows the results of Cox proportional hazard models for each of the responses, with EFI as the predictor. For each 0.1 increase in EFI, we found at least a doubling of risk: 1.8-fold for emergency department, 3-fold for readmission within 30 days of a previous discharge, 2.2-fold for hospital acquired trauma, 2.8-fold for cardiac complications, 2.6-fold for drug adverse event, 2.8-fold for venous thromboembolism, 3-fold for fluid management events, 2-fold for cns complications, 2.8-fold for gi complications, 2.4-fold for any patient safety event, and 2.4-fold for severe patient safety event. Furthermore, the probability of delayed discharge increased and thus longer stays were observed in patients with an EFI &gt; 0.19. The p-values shown have been adjusted for multiple comparisons (twelve outcomes reported in this study) using the Holm (1979) method and remain significant.</w:t>
      </w:r>
    </w:p>
    <w:p>
      <w:pPr>
        <w:pStyle w:val="TextBody"/>
        <w:rPr/>
      </w:pPr>
      <w:r>
        <w:rPr/>
        <w:t xml:space="preserve">Older patients trend toward frailty and one might ask whether EFI merely reflect patient age. To test this we compared the predictive accuracy of the EFI to that of patient age. For each outcome, we fit an additional Cox proportional hazard model using age at visit as the predictor instead of EFI. We found that EFI predicts all outcomes better than patient age. Models using both patient age and EFI offered no significant improvement over EFI alone </w:t>
      </w:r>
      <w:r>
        <w:rPr>
          <w:rStyle w:val="Note2self"/>
        </w:rPr>
        <w:t>[not shown?]</w:t>
      </w:r>
      <w:r>
        <w:rPr/>
        <w:t>.</w:t>
      </w:r>
    </w:p>
    <w:p>
      <w:pPr>
        <w:pStyle w:val="Normal"/>
        <w:rPr/>
      </w:pPr>
      <w:r>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0pt;height:1.45pt;mso-position-vertical:top">
                <w10:wrap type="none"/>
                <v:fill o:detectmouseclick="t" type="solid" color2="black"/>
                <v:stroke color="black" joinstyle="round" endcap="flat"/>
              </v:rect>
            </w:pict>
          </mc:Fallback>
        </mc:AlternateContent>
      </w:r>
    </w:p>
    <w:p>
      <w:pPr>
        <w:pStyle w:val="TableCaption"/>
        <w:rPr/>
      </w:pPr>
      <w:r>
        <w:rPr/>
        <w:t>Table 2: Cox-proportional hazards with EFI as a predictor</w:t>
      </w:r>
    </w:p>
    <w:tbl>
      <w:tblPr>
        <w:tblStyle w:val="Table"/>
        <w:tblW w:w="5000" w:type="pct"/>
        <w:jc w:val="left"/>
        <w:tblInd w:w="0" w:type="dxa"/>
        <w:tblBorders>
          <w:bottom w:val="single" w:sz="6" w:space="0" w:color="000000"/>
          <w:insideH w:val="single" w:sz="6" w:space="0" w:color="000000"/>
        </w:tblBorders>
        <w:tblCellMar>
          <w:top w:w="0" w:type="dxa"/>
          <w:left w:w="108" w:type="dxa"/>
          <w:bottom w:w="0" w:type="dxa"/>
          <w:right w:w="108" w:type="dxa"/>
        </w:tblCellMar>
        <w:tblLook w:noVBand="0" w:noHBand="0" w:firstColumn="0" w:lastRow="0" w:lastColumn="0" w:firstRow="1"/>
      </w:tblPr>
      <w:tblGrid>
        <w:gridCol w:w="2799"/>
        <w:gridCol w:w="2012"/>
        <w:gridCol w:w="2013"/>
        <w:gridCol w:w="787"/>
        <w:gridCol w:w="700"/>
        <w:gridCol w:w="1048"/>
      </w:tblGrid>
      <w:tr>
        <w:trPr>
          <w:cnfStyle w:firstRow="1"/>
        </w:trPr>
        <w:tc>
          <w:tcPr>
            <w:tcW w:w="2799" w:type="dxa"/>
            <w:tcBorders>
              <w:bottom w:val="single" w:sz="6" w:space="0" w:color="000000"/>
              <w:insideH w:val="single" w:sz="6" w:space="0" w:color="000000"/>
            </w:tcBorders>
            <w:shd w:fill="auto" w:val="clear"/>
            <w:vAlign w:val="bottom"/>
          </w:tcPr>
          <w:p>
            <w:pPr>
              <w:pStyle w:val="Compact"/>
              <w:spacing w:before="36" w:after="36"/>
              <w:jc w:val="right"/>
              <w:rPr/>
            </w:pPr>
            <w:r>
              <w:rPr/>
              <w:t>Outcome</w:t>
            </w:r>
          </w:p>
        </w:tc>
        <w:tc>
          <w:tcPr>
            <w:tcW w:w="2012" w:type="dxa"/>
            <w:tcBorders>
              <w:bottom w:val="single" w:sz="6" w:space="0" w:color="000000"/>
              <w:insideH w:val="single" w:sz="6" w:space="0" w:color="000000"/>
            </w:tcBorders>
            <w:shd w:fill="auto" w:val="clear"/>
            <w:vAlign w:val="bottom"/>
          </w:tcPr>
          <w:p>
            <w:pPr>
              <w:pStyle w:val="Compact"/>
              <w:spacing w:before="36" w:after="36"/>
              <w:jc w:val="right"/>
              <w:rPr/>
            </w:pPr>
            <w:r>
              <w:rPr/>
              <w:t>β^ (95% CI)</w:t>
            </w:r>
          </w:p>
        </w:tc>
        <w:tc>
          <w:tcPr>
            <w:tcW w:w="2013" w:type="dxa"/>
            <w:tcBorders>
              <w:bottom w:val="single" w:sz="6" w:space="0" w:color="000000"/>
              <w:insideH w:val="single" w:sz="6" w:space="0" w:color="000000"/>
            </w:tcBorders>
            <w:shd w:fill="auto" w:val="clear"/>
            <w:vAlign w:val="bottom"/>
          </w:tcPr>
          <w:p>
            <w:pPr>
              <w:pStyle w:val="Compact"/>
              <w:spacing w:before="36" w:after="36"/>
              <w:jc w:val="right"/>
              <w:rPr/>
            </w:pPr>
            <w:r>
              <w:rPr/>
              <w:t>fold-change (95% CI)</w:t>
            </w:r>
          </w:p>
        </w:tc>
        <w:tc>
          <w:tcPr>
            <w:tcW w:w="787" w:type="dxa"/>
            <w:tcBorders>
              <w:bottom w:val="single" w:sz="6" w:space="0" w:color="000000"/>
              <w:insideH w:val="single" w:sz="6" w:space="0" w:color="000000"/>
            </w:tcBorders>
            <w:shd w:fill="auto" w:val="clear"/>
            <w:vAlign w:val="bottom"/>
          </w:tcPr>
          <w:p>
            <w:pPr>
              <w:pStyle w:val="Compact"/>
              <w:spacing w:before="36" w:after="36"/>
              <w:jc w:val="right"/>
              <w:rPr/>
            </w:pPr>
            <w:r>
              <w:rPr/>
              <w:t>SE</w:t>
            </w:r>
          </w:p>
        </w:tc>
        <w:tc>
          <w:tcPr>
            <w:tcW w:w="700" w:type="dxa"/>
            <w:tcBorders>
              <w:bottom w:val="single" w:sz="6" w:space="0" w:color="000000"/>
              <w:insideH w:val="single" w:sz="6" w:space="0" w:color="000000"/>
            </w:tcBorders>
            <w:shd w:fill="auto" w:val="clear"/>
            <w:vAlign w:val="bottom"/>
          </w:tcPr>
          <w:p>
            <w:pPr>
              <w:pStyle w:val="Compact"/>
              <w:spacing w:before="36" w:after="36"/>
              <w:jc w:val="right"/>
              <w:rPr/>
            </w:pPr>
            <w:r>
              <w:rPr/>
              <w:t>Z</w:t>
            </w:r>
          </w:p>
        </w:tc>
        <w:tc>
          <w:tcPr>
            <w:tcW w:w="1048" w:type="dxa"/>
            <w:tcBorders>
              <w:bottom w:val="single" w:sz="6" w:space="0" w:color="000000"/>
              <w:insideH w:val="single" w:sz="6" w:space="0" w:color="000000"/>
            </w:tcBorders>
            <w:shd w:fill="auto" w:val="clear"/>
            <w:vAlign w:val="bottom"/>
          </w:tcPr>
          <w:p>
            <w:pPr>
              <w:pStyle w:val="Compact"/>
              <w:spacing w:before="36" w:after="36"/>
              <w:jc w:val="right"/>
              <w:rPr/>
            </w:pPr>
            <w:r>
              <w:rPr/>
              <w:t>P</w:t>
            </w:r>
          </w:p>
        </w:tc>
      </w:tr>
      <w:tr>
        <w:trPr/>
        <w:tc>
          <w:tcPr>
            <w:tcW w:w="2799" w:type="dxa"/>
            <w:tcBorders/>
            <w:shd w:fill="auto" w:val="clear"/>
          </w:tcPr>
          <w:p>
            <w:pPr>
              <w:pStyle w:val="Compact"/>
              <w:spacing w:before="36" w:after="36"/>
              <w:jc w:val="right"/>
              <w:rPr/>
            </w:pPr>
            <w:r>
              <w:rPr/>
              <w:t>Emergency Department</w:t>
            </w:r>
          </w:p>
        </w:tc>
        <w:tc>
          <w:tcPr>
            <w:tcW w:w="2012" w:type="dxa"/>
            <w:tcBorders/>
            <w:shd w:fill="auto" w:val="clear"/>
          </w:tcPr>
          <w:p>
            <w:pPr>
              <w:pStyle w:val="Compact"/>
              <w:spacing w:before="36" w:after="36"/>
              <w:jc w:val="right"/>
              <w:rPr/>
            </w:pPr>
            <w:r>
              <w:rPr/>
              <w:t>0.59 (0.51, 0.66)</w:t>
            </w:r>
          </w:p>
        </w:tc>
        <w:tc>
          <w:tcPr>
            <w:tcW w:w="2013" w:type="dxa"/>
            <w:tcBorders/>
            <w:shd w:fill="auto" w:val="clear"/>
          </w:tcPr>
          <w:p>
            <w:pPr>
              <w:pStyle w:val="Compact"/>
              <w:spacing w:before="36" w:after="36"/>
              <w:jc w:val="right"/>
              <w:rPr/>
            </w:pPr>
            <w:r>
              <w:rPr/>
              <w:t>1.80 (1.67, 1.93)</w:t>
            </w:r>
          </w:p>
        </w:tc>
        <w:tc>
          <w:tcPr>
            <w:tcW w:w="787" w:type="dxa"/>
            <w:tcBorders/>
            <w:shd w:fill="auto" w:val="clear"/>
          </w:tcPr>
          <w:p>
            <w:pPr>
              <w:pStyle w:val="Compact"/>
              <w:spacing w:before="36" w:after="36"/>
              <w:jc w:val="right"/>
              <w:rPr/>
            </w:pPr>
            <w:r>
              <w:rPr/>
              <w:t>0.0373</w:t>
            </w:r>
          </w:p>
        </w:tc>
        <w:tc>
          <w:tcPr>
            <w:tcW w:w="700" w:type="dxa"/>
            <w:tcBorders/>
            <w:shd w:fill="auto" w:val="clear"/>
          </w:tcPr>
          <w:p>
            <w:pPr>
              <w:pStyle w:val="Compact"/>
              <w:spacing w:before="36" w:after="36"/>
              <w:jc w:val="right"/>
              <w:rPr/>
            </w:pPr>
            <w:r>
              <w:rPr/>
              <w:t>15.7</w:t>
            </w:r>
          </w:p>
        </w:tc>
        <w:tc>
          <w:tcPr>
            <w:tcW w:w="1048" w:type="dxa"/>
            <w:tcBorders/>
            <w:shd w:fill="auto" w:val="clear"/>
          </w:tcPr>
          <w:p>
            <w:pPr>
              <w:pStyle w:val="Compact"/>
              <w:spacing w:before="36" w:after="36"/>
              <w:jc w:val="right"/>
              <w:rPr/>
            </w:pPr>
            <w:r>
              <w:rPr/>
              <w:t>1.54e-54</w:t>
            </w:r>
          </w:p>
        </w:tc>
      </w:tr>
      <w:tr>
        <w:trPr/>
        <w:tc>
          <w:tcPr>
            <w:tcW w:w="2799" w:type="dxa"/>
            <w:tcBorders/>
            <w:shd w:fill="auto" w:val="clear"/>
          </w:tcPr>
          <w:p>
            <w:pPr>
              <w:pStyle w:val="Compact"/>
              <w:spacing w:before="36" w:after="36"/>
              <w:jc w:val="right"/>
              <w:rPr/>
            </w:pPr>
            <w:r>
              <w:rPr/>
              <w:t>Readmission Within 30 Days of a Previous Discharge</w:t>
            </w:r>
          </w:p>
        </w:tc>
        <w:tc>
          <w:tcPr>
            <w:tcW w:w="2012" w:type="dxa"/>
            <w:tcBorders/>
            <w:shd w:fill="auto" w:val="clear"/>
          </w:tcPr>
          <w:p>
            <w:pPr>
              <w:pStyle w:val="Compact"/>
              <w:spacing w:before="36" w:after="36"/>
              <w:jc w:val="right"/>
              <w:rPr/>
            </w:pPr>
            <w:r>
              <w:rPr/>
              <w:t>1.08 (0.94, 1.22)</w:t>
            </w:r>
          </w:p>
        </w:tc>
        <w:tc>
          <w:tcPr>
            <w:tcW w:w="2013" w:type="dxa"/>
            <w:tcBorders/>
            <w:shd w:fill="auto" w:val="clear"/>
          </w:tcPr>
          <w:p>
            <w:pPr>
              <w:pStyle w:val="Compact"/>
              <w:spacing w:before="36" w:after="36"/>
              <w:jc w:val="right"/>
              <w:rPr/>
            </w:pPr>
            <w:r>
              <w:rPr/>
              <w:t>2.95 (2.56, 3.40)</w:t>
            </w:r>
          </w:p>
        </w:tc>
        <w:tc>
          <w:tcPr>
            <w:tcW w:w="787" w:type="dxa"/>
            <w:tcBorders/>
            <w:shd w:fill="auto" w:val="clear"/>
          </w:tcPr>
          <w:p>
            <w:pPr>
              <w:pStyle w:val="Compact"/>
              <w:spacing w:before="36" w:after="36"/>
              <w:jc w:val="right"/>
              <w:rPr/>
            </w:pPr>
            <w:r>
              <w:rPr/>
              <w:t>0.0725</w:t>
            </w:r>
          </w:p>
        </w:tc>
        <w:tc>
          <w:tcPr>
            <w:tcW w:w="700" w:type="dxa"/>
            <w:tcBorders/>
            <w:shd w:fill="auto" w:val="clear"/>
          </w:tcPr>
          <w:p>
            <w:pPr>
              <w:pStyle w:val="Compact"/>
              <w:spacing w:before="36" w:after="36"/>
              <w:jc w:val="right"/>
              <w:rPr/>
            </w:pPr>
            <w:r>
              <w:rPr/>
              <w:t>14.9</w:t>
            </w:r>
          </w:p>
        </w:tc>
        <w:tc>
          <w:tcPr>
            <w:tcW w:w="1048" w:type="dxa"/>
            <w:tcBorders/>
            <w:shd w:fill="auto" w:val="clear"/>
          </w:tcPr>
          <w:p>
            <w:pPr>
              <w:pStyle w:val="Compact"/>
              <w:spacing w:before="36" w:after="36"/>
              <w:jc w:val="right"/>
              <w:rPr/>
            </w:pPr>
            <w:r>
              <w:rPr/>
              <w:t>2.26e-49</w:t>
            </w:r>
          </w:p>
        </w:tc>
      </w:tr>
      <w:tr>
        <w:trPr/>
        <w:tc>
          <w:tcPr>
            <w:tcW w:w="2799" w:type="dxa"/>
            <w:tcBorders/>
            <w:shd w:fill="auto" w:val="clear"/>
          </w:tcPr>
          <w:p>
            <w:pPr>
              <w:pStyle w:val="Compact"/>
              <w:spacing w:before="36" w:after="36"/>
              <w:jc w:val="right"/>
              <w:rPr/>
            </w:pPr>
            <w:r>
              <w:rPr/>
              <w:t>Hospital Acquired Trauma</w:t>
            </w:r>
          </w:p>
        </w:tc>
        <w:tc>
          <w:tcPr>
            <w:tcW w:w="2012" w:type="dxa"/>
            <w:tcBorders/>
            <w:shd w:fill="auto" w:val="clear"/>
          </w:tcPr>
          <w:p>
            <w:pPr>
              <w:pStyle w:val="Compact"/>
              <w:spacing w:before="36" w:after="36"/>
              <w:jc w:val="right"/>
              <w:rPr/>
            </w:pPr>
            <w:r>
              <w:rPr/>
              <w:t>0.77 (0.65, 0.88)</w:t>
            </w:r>
          </w:p>
        </w:tc>
        <w:tc>
          <w:tcPr>
            <w:tcW w:w="2013" w:type="dxa"/>
            <w:tcBorders/>
            <w:shd w:fill="auto" w:val="clear"/>
          </w:tcPr>
          <w:p>
            <w:pPr>
              <w:pStyle w:val="Compact"/>
              <w:spacing w:before="36" w:after="36"/>
              <w:jc w:val="right"/>
              <w:rPr/>
            </w:pPr>
            <w:r>
              <w:rPr/>
              <w:t>2.15 (1.92, 2.42)</w:t>
            </w:r>
          </w:p>
        </w:tc>
        <w:tc>
          <w:tcPr>
            <w:tcW w:w="787" w:type="dxa"/>
            <w:tcBorders/>
            <w:shd w:fill="auto" w:val="clear"/>
          </w:tcPr>
          <w:p>
            <w:pPr>
              <w:pStyle w:val="Compact"/>
              <w:spacing w:before="36" w:after="36"/>
              <w:jc w:val="right"/>
              <w:rPr/>
            </w:pPr>
            <w:r>
              <w:rPr/>
              <w:t>0.0596</w:t>
            </w:r>
          </w:p>
        </w:tc>
        <w:tc>
          <w:tcPr>
            <w:tcW w:w="700" w:type="dxa"/>
            <w:tcBorders/>
            <w:shd w:fill="auto" w:val="clear"/>
          </w:tcPr>
          <w:p>
            <w:pPr>
              <w:pStyle w:val="Compact"/>
              <w:spacing w:before="36" w:after="36"/>
              <w:jc w:val="right"/>
              <w:rPr/>
            </w:pPr>
            <w:r>
              <w:rPr/>
              <w:t>12.9</w:t>
            </w:r>
          </w:p>
        </w:tc>
        <w:tc>
          <w:tcPr>
            <w:tcW w:w="1048" w:type="dxa"/>
            <w:tcBorders/>
            <w:shd w:fill="auto" w:val="clear"/>
          </w:tcPr>
          <w:p>
            <w:pPr>
              <w:pStyle w:val="Compact"/>
              <w:spacing w:before="36" w:after="36"/>
              <w:jc w:val="right"/>
              <w:rPr/>
            </w:pPr>
            <w:r>
              <w:rPr/>
              <w:t>5.08e-37</w:t>
            </w:r>
          </w:p>
        </w:tc>
      </w:tr>
      <w:tr>
        <w:trPr/>
        <w:tc>
          <w:tcPr>
            <w:tcW w:w="2799" w:type="dxa"/>
            <w:tcBorders/>
            <w:shd w:fill="auto" w:val="clear"/>
          </w:tcPr>
          <w:p>
            <w:pPr>
              <w:pStyle w:val="Compact"/>
              <w:spacing w:before="36" w:after="36"/>
              <w:jc w:val="right"/>
              <w:rPr/>
            </w:pPr>
            <w:r>
              <w:rPr/>
              <w:t>Cardiac Complications</w:t>
            </w:r>
          </w:p>
        </w:tc>
        <w:tc>
          <w:tcPr>
            <w:tcW w:w="2012" w:type="dxa"/>
            <w:tcBorders/>
            <w:shd w:fill="auto" w:val="clear"/>
          </w:tcPr>
          <w:p>
            <w:pPr>
              <w:pStyle w:val="Compact"/>
              <w:spacing w:before="36" w:after="36"/>
              <w:jc w:val="right"/>
              <w:rPr/>
            </w:pPr>
            <w:r>
              <w:rPr/>
              <w:t>1.01 (0.89, 1.14)</w:t>
            </w:r>
          </w:p>
        </w:tc>
        <w:tc>
          <w:tcPr>
            <w:tcW w:w="2013" w:type="dxa"/>
            <w:tcBorders/>
            <w:shd w:fill="auto" w:val="clear"/>
          </w:tcPr>
          <w:p>
            <w:pPr>
              <w:pStyle w:val="Compact"/>
              <w:spacing w:before="36" w:after="36"/>
              <w:jc w:val="right"/>
              <w:rPr/>
            </w:pPr>
            <w:r>
              <w:rPr/>
              <w:t>2.75 (2.43, 3.13)</w:t>
            </w:r>
          </w:p>
        </w:tc>
        <w:tc>
          <w:tcPr>
            <w:tcW w:w="787" w:type="dxa"/>
            <w:tcBorders/>
            <w:shd w:fill="auto" w:val="clear"/>
          </w:tcPr>
          <w:p>
            <w:pPr>
              <w:pStyle w:val="Compact"/>
              <w:spacing w:before="36" w:after="36"/>
              <w:jc w:val="right"/>
              <w:rPr/>
            </w:pPr>
            <w:r>
              <w:rPr/>
              <w:t>0.0649</w:t>
            </w:r>
          </w:p>
        </w:tc>
        <w:tc>
          <w:tcPr>
            <w:tcW w:w="700" w:type="dxa"/>
            <w:tcBorders/>
            <w:shd w:fill="auto" w:val="clear"/>
          </w:tcPr>
          <w:p>
            <w:pPr>
              <w:pStyle w:val="Compact"/>
              <w:spacing w:before="36" w:after="36"/>
              <w:jc w:val="right"/>
              <w:rPr/>
            </w:pPr>
            <w:r>
              <w:rPr/>
              <w:t>15.6</w:t>
            </w:r>
          </w:p>
        </w:tc>
        <w:tc>
          <w:tcPr>
            <w:tcW w:w="1048" w:type="dxa"/>
            <w:tcBorders/>
            <w:shd w:fill="auto" w:val="clear"/>
          </w:tcPr>
          <w:p>
            <w:pPr>
              <w:pStyle w:val="Compact"/>
              <w:spacing w:before="36" w:after="36"/>
              <w:jc w:val="right"/>
              <w:rPr/>
            </w:pPr>
            <w:r>
              <w:rPr/>
              <w:t>6.76e-54</w:t>
            </w:r>
          </w:p>
        </w:tc>
      </w:tr>
      <w:tr>
        <w:trPr/>
        <w:tc>
          <w:tcPr>
            <w:tcW w:w="2799" w:type="dxa"/>
            <w:tcBorders/>
            <w:shd w:fill="auto" w:val="clear"/>
          </w:tcPr>
          <w:p>
            <w:pPr>
              <w:pStyle w:val="Compact"/>
              <w:spacing w:before="36" w:after="36"/>
              <w:jc w:val="right"/>
              <w:rPr/>
            </w:pPr>
            <w:r>
              <w:rPr/>
              <w:t>Drug Adverse Event</w:t>
            </w:r>
          </w:p>
        </w:tc>
        <w:tc>
          <w:tcPr>
            <w:tcW w:w="2012" w:type="dxa"/>
            <w:tcBorders/>
            <w:shd w:fill="auto" w:val="clear"/>
          </w:tcPr>
          <w:p>
            <w:pPr>
              <w:pStyle w:val="Compact"/>
              <w:spacing w:before="36" w:after="36"/>
              <w:jc w:val="right"/>
              <w:rPr/>
            </w:pPr>
            <w:r>
              <w:rPr/>
              <w:t>0.95 (0.72, 1.18)</w:t>
            </w:r>
          </w:p>
        </w:tc>
        <w:tc>
          <w:tcPr>
            <w:tcW w:w="2013" w:type="dxa"/>
            <w:tcBorders/>
            <w:shd w:fill="auto" w:val="clear"/>
          </w:tcPr>
          <w:p>
            <w:pPr>
              <w:pStyle w:val="Compact"/>
              <w:spacing w:before="36" w:after="36"/>
              <w:jc w:val="right"/>
              <w:rPr/>
            </w:pPr>
            <w:r>
              <w:rPr/>
              <w:t>2.58 (2.06, 3.24)</w:t>
            </w:r>
          </w:p>
        </w:tc>
        <w:tc>
          <w:tcPr>
            <w:tcW w:w="787" w:type="dxa"/>
            <w:tcBorders/>
            <w:shd w:fill="auto" w:val="clear"/>
          </w:tcPr>
          <w:p>
            <w:pPr>
              <w:pStyle w:val="Compact"/>
              <w:spacing w:before="36" w:after="36"/>
              <w:jc w:val="right"/>
              <w:rPr/>
            </w:pPr>
            <w:r>
              <w:rPr/>
              <w:t>0.116</w:t>
            </w:r>
          </w:p>
        </w:tc>
        <w:tc>
          <w:tcPr>
            <w:tcW w:w="700" w:type="dxa"/>
            <w:tcBorders/>
            <w:shd w:fill="auto" w:val="clear"/>
          </w:tcPr>
          <w:p>
            <w:pPr>
              <w:pStyle w:val="Compact"/>
              <w:spacing w:before="36" w:after="36"/>
              <w:jc w:val="right"/>
              <w:rPr/>
            </w:pPr>
            <w:r>
              <w:rPr/>
              <w:t>8.18</w:t>
            </w:r>
          </w:p>
        </w:tc>
        <w:tc>
          <w:tcPr>
            <w:tcW w:w="1048" w:type="dxa"/>
            <w:tcBorders/>
            <w:shd w:fill="auto" w:val="clear"/>
          </w:tcPr>
          <w:p>
            <w:pPr>
              <w:pStyle w:val="Compact"/>
              <w:spacing w:before="36" w:after="36"/>
              <w:jc w:val="right"/>
              <w:rPr/>
            </w:pPr>
            <w:r>
              <w:rPr/>
              <w:t>1.69e-15</w:t>
            </w:r>
          </w:p>
        </w:tc>
      </w:tr>
      <w:tr>
        <w:trPr/>
        <w:tc>
          <w:tcPr>
            <w:tcW w:w="2799" w:type="dxa"/>
            <w:tcBorders/>
            <w:shd w:fill="auto" w:val="clear"/>
          </w:tcPr>
          <w:p>
            <w:pPr>
              <w:pStyle w:val="Compact"/>
              <w:spacing w:before="36" w:after="36"/>
              <w:jc w:val="right"/>
              <w:rPr/>
            </w:pPr>
            <w:r>
              <w:rPr/>
              <w:t>Venous Thromboembolism</w:t>
            </w:r>
          </w:p>
        </w:tc>
        <w:tc>
          <w:tcPr>
            <w:tcW w:w="2012" w:type="dxa"/>
            <w:tcBorders/>
            <w:shd w:fill="auto" w:val="clear"/>
          </w:tcPr>
          <w:p>
            <w:pPr>
              <w:pStyle w:val="Compact"/>
              <w:spacing w:before="36" w:after="36"/>
              <w:jc w:val="right"/>
              <w:rPr/>
            </w:pPr>
            <w:r>
              <w:rPr/>
              <w:t>1.03 (0.76, 1.31)</w:t>
            </w:r>
          </w:p>
        </w:tc>
        <w:tc>
          <w:tcPr>
            <w:tcW w:w="2013" w:type="dxa"/>
            <w:tcBorders/>
            <w:shd w:fill="auto" w:val="clear"/>
          </w:tcPr>
          <w:p>
            <w:pPr>
              <w:pStyle w:val="Compact"/>
              <w:spacing w:before="36" w:after="36"/>
              <w:jc w:val="right"/>
              <w:rPr/>
            </w:pPr>
            <w:r>
              <w:rPr/>
              <w:t>2.81 (2.14, 3.69)</w:t>
            </w:r>
          </w:p>
        </w:tc>
        <w:tc>
          <w:tcPr>
            <w:tcW w:w="787" w:type="dxa"/>
            <w:tcBorders/>
            <w:shd w:fill="auto" w:val="clear"/>
          </w:tcPr>
          <w:p>
            <w:pPr>
              <w:pStyle w:val="Compact"/>
              <w:spacing w:before="36" w:after="36"/>
              <w:jc w:val="right"/>
              <w:rPr/>
            </w:pPr>
            <w:r>
              <w:rPr/>
              <w:t>0.139</w:t>
            </w:r>
          </w:p>
        </w:tc>
        <w:tc>
          <w:tcPr>
            <w:tcW w:w="700" w:type="dxa"/>
            <w:tcBorders/>
            <w:shd w:fill="auto" w:val="clear"/>
          </w:tcPr>
          <w:p>
            <w:pPr>
              <w:pStyle w:val="Compact"/>
              <w:spacing w:before="36" w:after="36"/>
              <w:jc w:val="right"/>
              <w:rPr/>
            </w:pPr>
            <w:r>
              <w:rPr/>
              <w:t>7.46</w:t>
            </w:r>
          </w:p>
        </w:tc>
        <w:tc>
          <w:tcPr>
            <w:tcW w:w="1048" w:type="dxa"/>
            <w:tcBorders/>
            <w:shd w:fill="auto" w:val="clear"/>
          </w:tcPr>
          <w:p>
            <w:pPr>
              <w:pStyle w:val="Compact"/>
              <w:spacing w:before="36" w:after="36"/>
              <w:jc w:val="right"/>
              <w:rPr/>
            </w:pPr>
            <w:r>
              <w:rPr/>
              <w:t>2.59e-13</w:t>
            </w:r>
          </w:p>
        </w:tc>
      </w:tr>
      <w:tr>
        <w:trPr/>
        <w:tc>
          <w:tcPr>
            <w:tcW w:w="2799" w:type="dxa"/>
            <w:tcBorders/>
            <w:shd w:fill="auto" w:val="clear"/>
          </w:tcPr>
          <w:p>
            <w:pPr>
              <w:pStyle w:val="Compact"/>
              <w:spacing w:before="36" w:after="36"/>
              <w:jc w:val="right"/>
              <w:rPr/>
            </w:pPr>
            <w:r>
              <w:rPr/>
              <w:t>Fluid Management Events</w:t>
            </w:r>
          </w:p>
        </w:tc>
        <w:tc>
          <w:tcPr>
            <w:tcW w:w="2012" w:type="dxa"/>
            <w:tcBorders/>
            <w:shd w:fill="auto" w:val="clear"/>
          </w:tcPr>
          <w:p>
            <w:pPr>
              <w:pStyle w:val="Compact"/>
              <w:spacing w:before="36" w:after="36"/>
              <w:jc w:val="right"/>
              <w:rPr/>
            </w:pPr>
            <w:r>
              <w:rPr/>
              <w:t>1.08 (0.84, 1.33)</w:t>
            </w:r>
          </w:p>
        </w:tc>
        <w:tc>
          <w:tcPr>
            <w:tcW w:w="2013" w:type="dxa"/>
            <w:tcBorders/>
            <w:shd w:fill="auto" w:val="clear"/>
          </w:tcPr>
          <w:p>
            <w:pPr>
              <w:pStyle w:val="Compact"/>
              <w:spacing w:before="36" w:after="36"/>
              <w:jc w:val="right"/>
              <w:rPr/>
            </w:pPr>
            <w:r>
              <w:rPr/>
              <w:t>2.95 (2.31, 3.78)</w:t>
            </w:r>
          </w:p>
        </w:tc>
        <w:tc>
          <w:tcPr>
            <w:tcW w:w="787" w:type="dxa"/>
            <w:tcBorders/>
            <w:shd w:fill="auto" w:val="clear"/>
          </w:tcPr>
          <w:p>
            <w:pPr>
              <w:pStyle w:val="Compact"/>
              <w:spacing w:before="36" w:after="36"/>
              <w:jc w:val="right"/>
              <w:rPr/>
            </w:pPr>
            <w:r>
              <w:rPr/>
              <w:t>0.126</w:t>
            </w:r>
          </w:p>
        </w:tc>
        <w:tc>
          <w:tcPr>
            <w:tcW w:w="700" w:type="dxa"/>
            <w:tcBorders/>
            <w:shd w:fill="auto" w:val="clear"/>
          </w:tcPr>
          <w:p>
            <w:pPr>
              <w:pStyle w:val="Compact"/>
              <w:spacing w:before="36" w:after="36"/>
              <w:jc w:val="right"/>
              <w:rPr/>
            </w:pPr>
            <w:r>
              <w:rPr/>
              <w:t>8.63</w:t>
            </w:r>
          </w:p>
        </w:tc>
        <w:tc>
          <w:tcPr>
            <w:tcW w:w="1048" w:type="dxa"/>
            <w:tcBorders/>
            <w:shd w:fill="auto" w:val="clear"/>
          </w:tcPr>
          <w:p>
            <w:pPr>
              <w:pStyle w:val="Compact"/>
              <w:spacing w:before="36" w:after="36"/>
              <w:jc w:val="right"/>
              <w:rPr/>
            </w:pPr>
            <w:r>
              <w:rPr/>
              <w:t>4.48e-17</w:t>
            </w:r>
          </w:p>
        </w:tc>
      </w:tr>
      <w:tr>
        <w:trPr/>
        <w:tc>
          <w:tcPr>
            <w:tcW w:w="2799" w:type="dxa"/>
            <w:tcBorders/>
            <w:shd w:fill="auto" w:val="clear"/>
          </w:tcPr>
          <w:p>
            <w:pPr>
              <w:pStyle w:val="Compact"/>
              <w:spacing w:before="36" w:after="36"/>
              <w:jc w:val="right"/>
              <w:rPr/>
            </w:pPr>
            <w:r>
              <w:rPr/>
              <w:t>CNS Complications</w:t>
            </w:r>
          </w:p>
        </w:tc>
        <w:tc>
          <w:tcPr>
            <w:tcW w:w="2012" w:type="dxa"/>
            <w:tcBorders/>
            <w:shd w:fill="auto" w:val="clear"/>
          </w:tcPr>
          <w:p>
            <w:pPr>
              <w:pStyle w:val="Compact"/>
              <w:spacing w:before="36" w:after="36"/>
              <w:jc w:val="right"/>
              <w:rPr/>
            </w:pPr>
            <w:r>
              <w:rPr/>
              <w:t>0.71 (0.42, 1.01)</w:t>
            </w:r>
          </w:p>
        </w:tc>
        <w:tc>
          <w:tcPr>
            <w:tcW w:w="2013" w:type="dxa"/>
            <w:tcBorders/>
            <w:shd w:fill="auto" w:val="clear"/>
          </w:tcPr>
          <w:p>
            <w:pPr>
              <w:pStyle w:val="Compact"/>
              <w:spacing w:before="36" w:after="36"/>
              <w:jc w:val="right"/>
              <w:rPr/>
            </w:pPr>
            <w:r>
              <w:rPr/>
              <w:t>2.04 (1.52, 2.74)</w:t>
            </w:r>
          </w:p>
        </w:tc>
        <w:tc>
          <w:tcPr>
            <w:tcW w:w="787" w:type="dxa"/>
            <w:tcBorders/>
            <w:shd w:fill="auto" w:val="clear"/>
          </w:tcPr>
          <w:p>
            <w:pPr>
              <w:pStyle w:val="Compact"/>
              <w:spacing w:before="36" w:after="36"/>
              <w:jc w:val="right"/>
              <w:rPr/>
            </w:pPr>
            <w:r>
              <w:rPr/>
              <w:t>0.15</w:t>
            </w:r>
          </w:p>
        </w:tc>
        <w:tc>
          <w:tcPr>
            <w:tcW w:w="700" w:type="dxa"/>
            <w:tcBorders/>
            <w:shd w:fill="auto" w:val="clear"/>
          </w:tcPr>
          <w:p>
            <w:pPr>
              <w:pStyle w:val="Compact"/>
              <w:spacing w:before="36" w:after="36"/>
              <w:jc w:val="right"/>
              <w:rPr/>
            </w:pPr>
            <w:r>
              <w:rPr/>
              <w:t>4.75</w:t>
            </w:r>
          </w:p>
        </w:tc>
        <w:tc>
          <w:tcPr>
            <w:tcW w:w="1048" w:type="dxa"/>
            <w:tcBorders/>
            <w:shd w:fill="auto" w:val="clear"/>
          </w:tcPr>
          <w:p>
            <w:pPr>
              <w:pStyle w:val="Compact"/>
              <w:spacing w:before="36" w:after="36"/>
              <w:jc w:val="right"/>
              <w:rPr/>
            </w:pPr>
            <w:r>
              <w:rPr/>
              <w:t>2.06e-06</w:t>
            </w:r>
          </w:p>
        </w:tc>
      </w:tr>
      <w:tr>
        <w:trPr/>
        <w:tc>
          <w:tcPr>
            <w:tcW w:w="2799" w:type="dxa"/>
            <w:tcBorders/>
            <w:shd w:fill="auto" w:val="clear"/>
          </w:tcPr>
          <w:p>
            <w:pPr>
              <w:pStyle w:val="Compact"/>
              <w:spacing w:before="36" w:after="36"/>
              <w:jc w:val="right"/>
              <w:rPr/>
            </w:pPr>
            <w:r>
              <w:rPr/>
              <w:t>GI Complications</w:t>
            </w:r>
          </w:p>
        </w:tc>
        <w:tc>
          <w:tcPr>
            <w:tcW w:w="2012" w:type="dxa"/>
            <w:tcBorders/>
            <w:shd w:fill="auto" w:val="clear"/>
          </w:tcPr>
          <w:p>
            <w:pPr>
              <w:pStyle w:val="Compact"/>
              <w:spacing w:before="36" w:after="36"/>
              <w:jc w:val="right"/>
              <w:rPr/>
            </w:pPr>
            <w:r>
              <w:rPr/>
              <w:t>1.01 (0.71, 1.31)</w:t>
            </w:r>
          </w:p>
        </w:tc>
        <w:tc>
          <w:tcPr>
            <w:tcW w:w="2013" w:type="dxa"/>
            <w:tcBorders/>
            <w:shd w:fill="auto" w:val="clear"/>
          </w:tcPr>
          <w:p>
            <w:pPr>
              <w:pStyle w:val="Compact"/>
              <w:spacing w:before="36" w:after="36"/>
              <w:jc w:val="right"/>
              <w:rPr/>
            </w:pPr>
            <w:r>
              <w:rPr/>
              <w:t>2.75 (2.04, 3.70)</w:t>
            </w:r>
          </w:p>
        </w:tc>
        <w:tc>
          <w:tcPr>
            <w:tcW w:w="787" w:type="dxa"/>
            <w:tcBorders/>
            <w:shd w:fill="auto" w:val="clear"/>
          </w:tcPr>
          <w:p>
            <w:pPr>
              <w:pStyle w:val="Compact"/>
              <w:spacing w:before="36" w:after="36"/>
              <w:jc w:val="right"/>
              <w:rPr/>
            </w:pPr>
            <w:r>
              <w:rPr/>
              <w:t>0.152</w:t>
            </w:r>
          </w:p>
        </w:tc>
        <w:tc>
          <w:tcPr>
            <w:tcW w:w="700" w:type="dxa"/>
            <w:tcBorders/>
            <w:shd w:fill="auto" w:val="clear"/>
          </w:tcPr>
          <w:p>
            <w:pPr>
              <w:pStyle w:val="Compact"/>
              <w:spacing w:before="36" w:after="36"/>
              <w:jc w:val="right"/>
              <w:rPr/>
            </w:pPr>
            <w:r>
              <w:rPr/>
              <w:t>6.67</w:t>
            </w:r>
          </w:p>
        </w:tc>
        <w:tc>
          <w:tcPr>
            <w:tcW w:w="1048" w:type="dxa"/>
            <w:tcBorders/>
            <w:shd w:fill="auto" w:val="clear"/>
          </w:tcPr>
          <w:p>
            <w:pPr>
              <w:pStyle w:val="Compact"/>
              <w:spacing w:before="36" w:after="36"/>
              <w:jc w:val="right"/>
              <w:rPr/>
            </w:pPr>
            <w:r>
              <w:rPr/>
              <w:t>5.21e-11</w:t>
            </w:r>
          </w:p>
        </w:tc>
      </w:tr>
      <w:tr>
        <w:trPr/>
        <w:tc>
          <w:tcPr>
            <w:tcW w:w="2799" w:type="dxa"/>
            <w:tcBorders/>
            <w:shd w:fill="auto" w:val="clear"/>
          </w:tcPr>
          <w:p>
            <w:pPr>
              <w:pStyle w:val="Compact"/>
              <w:spacing w:before="36" w:after="36"/>
              <w:jc w:val="right"/>
              <w:rPr/>
            </w:pPr>
            <w:r>
              <w:rPr/>
              <w:t>Any Patient Safety Event</w:t>
            </w:r>
          </w:p>
        </w:tc>
        <w:tc>
          <w:tcPr>
            <w:tcW w:w="2012" w:type="dxa"/>
            <w:tcBorders/>
            <w:shd w:fill="auto" w:val="clear"/>
          </w:tcPr>
          <w:p>
            <w:pPr>
              <w:pStyle w:val="Compact"/>
              <w:spacing w:before="36" w:after="36"/>
              <w:jc w:val="right"/>
              <w:rPr/>
            </w:pPr>
            <w:r>
              <w:rPr/>
              <w:t>0.87 (0.80, 0.94)</w:t>
            </w:r>
          </w:p>
        </w:tc>
        <w:tc>
          <w:tcPr>
            <w:tcW w:w="2013" w:type="dxa"/>
            <w:tcBorders/>
            <w:shd w:fill="auto" w:val="clear"/>
          </w:tcPr>
          <w:p>
            <w:pPr>
              <w:pStyle w:val="Compact"/>
              <w:spacing w:before="36" w:after="36"/>
              <w:jc w:val="right"/>
              <w:rPr/>
            </w:pPr>
            <w:r>
              <w:rPr/>
              <w:t>2.38 (2.22, 2.56)</w:t>
            </w:r>
          </w:p>
        </w:tc>
        <w:tc>
          <w:tcPr>
            <w:tcW w:w="787" w:type="dxa"/>
            <w:tcBorders/>
            <w:shd w:fill="auto" w:val="clear"/>
          </w:tcPr>
          <w:p>
            <w:pPr>
              <w:pStyle w:val="Compact"/>
              <w:spacing w:before="36" w:after="36"/>
              <w:jc w:val="right"/>
              <w:rPr/>
            </w:pPr>
            <w:r>
              <w:rPr/>
              <w:t>0.0368</w:t>
            </w:r>
          </w:p>
        </w:tc>
        <w:tc>
          <w:tcPr>
            <w:tcW w:w="700" w:type="dxa"/>
            <w:tcBorders/>
            <w:shd w:fill="auto" w:val="clear"/>
          </w:tcPr>
          <w:p>
            <w:pPr>
              <w:pStyle w:val="Compact"/>
              <w:spacing w:before="36" w:after="36"/>
              <w:jc w:val="right"/>
              <w:rPr/>
            </w:pPr>
            <w:r>
              <w:rPr/>
              <w:t>23.6</w:t>
            </w:r>
          </w:p>
        </w:tc>
        <w:tc>
          <w:tcPr>
            <w:tcW w:w="1048" w:type="dxa"/>
            <w:tcBorders/>
            <w:shd w:fill="auto" w:val="clear"/>
          </w:tcPr>
          <w:p>
            <w:pPr>
              <w:pStyle w:val="Compact"/>
              <w:spacing w:before="36" w:after="36"/>
              <w:jc w:val="right"/>
              <w:rPr/>
            </w:pPr>
            <w:r>
              <w:rPr/>
              <w:t>6.85e-122</w:t>
            </w:r>
          </w:p>
        </w:tc>
      </w:tr>
      <w:tr>
        <w:trPr/>
        <w:tc>
          <w:tcPr>
            <w:tcW w:w="2799" w:type="dxa"/>
            <w:tcBorders/>
            <w:shd w:fill="auto" w:val="clear"/>
          </w:tcPr>
          <w:p>
            <w:pPr>
              <w:pStyle w:val="Compact"/>
              <w:spacing w:before="36" w:after="36"/>
              <w:jc w:val="right"/>
              <w:rPr/>
            </w:pPr>
            <w:r>
              <w:rPr/>
              <w:t>Severe Patient Safety Event</w:t>
            </w:r>
          </w:p>
        </w:tc>
        <w:tc>
          <w:tcPr>
            <w:tcW w:w="2012" w:type="dxa"/>
            <w:tcBorders/>
            <w:shd w:fill="auto" w:val="clear"/>
          </w:tcPr>
          <w:p>
            <w:pPr>
              <w:pStyle w:val="Compact"/>
              <w:spacing w:before="36" w:after="36"/>
              <w:jc w:val="right"/>
              <w:rPr/>
            </w:pPr>
            <w:r>
              <w:rPr/>
              <w:t>0.88 (0.65, 1.11)</w:t>
            </w:r>
          </w:p>
        </w:tc>
        <w:tc>
          <w:tcPr>
            <w:tcW w:w="2013" w:type="dxa"/>
            <w:tcBorders/>
            <w:shd w:fill="auto" w:val="clear"/>
          </w:tcPr>
          <w:p>
            <w:pPr>
              <w:pStyle w:val="Compact"/>
              <w:spacing w:before="36" w:after="36"/>
              <w:jc w:val="right"/>
              <w:rPr/>
            </w:pPr>
            <w:r>
              <w:rPr/>
              <w:t>2.40 (1.91, 3.02)</w:t>
            </w:r>
          </w:p>
        </w:tc>
        <w:tc>
          <w:tcPr>
            <w:tcW w:w="787" w:type="dxa"/>
            <w:tcBorders/>
            <w:shd w:fill="auto" w:val="clear"/>
          </w:tcPr>
          <w:p>
            <w:pPr>
              <w:pStyle w:val="Compact"/>
              <w:spacing w:before="36" w:after="36"/>
              <w:jc w:val="right"/>
              <w:rPr/>
            </w:pPr>
            <w:r>
              <w:rPr/>
              <w:t>0.117</w:t>
            </w:r>
          </w:p>
        </w:tc>
        <w:tc>
          <w:tcPr>
            <w:tcW w:w="700" w:type="dxa"/>
            <w:tcBorders/>
            <w:shd w:fill="auto" w:val="clear"/>
          </w:tcPr>
          <w:p>
            <w:pPr>
              <w:pStyle w:val="Compact"/>
              <w:spacing w:before="36" w:after="36"/>
              <w:jc w:val="right"/>
              <w:rPr/>
            </w:pPr>
            <w:r>
              <w:rPr/>
              <w:t>7.51</w:t>
            </w:r>
          </w:p>
        </w:tc>
        <w:tc>
          <w:tcPr>
            <w:tcW w:w="1048" w:type="dxa"/>
            <w:tcBorders/>
            <w:shd w:fill="auto" w:val="clear"/>
          </w:tcPr>
          <w:p>
            <w:pPr>
              <w:pStyle w:val="Compact"/>
              <w:spacing w:before="36" w:after="36"/>
              <w:jc w:val="right"/>
              <w:rPr/>
            </w:pPr>
            <w:r>
              <w:rPr/>
              <w:t>2.39e-13</w:t>
            </w:r>
          </w:p>
        </w:tc>
      </w:tr>
      <w:tr>
        <w:trPr/>
        <w:tc>
          <w:tcPr>
            <w:tcW w:w="2799" w:type="dxa"/>
            <w:tcBorders/>
            <w:shd w:fill="auto" w:val="clear"/>
          </w:tcPr>
          <w:p>
            <w:pPr>
              <w:pStyle w:val="Compact"/>
              <w:spacing w:before="36" w:after="36"/>
              <w:jc w:val="right"/>
              <w:rPr/>
            </w:pPr>
            <w:r>
              <w:rPr/>
              <w:t>Length of Stay</w:t>
            </w:r>
          </w:p>
        </w:tc>
        <w:tc>
          <w:tcPr>
            <w:tcW w:w="2012" w:type="dxa"/>
            <w:tcBorders/>
            <w:shd w:fill="auto" w:val="clear"/>
          </w:tcPr>
          <w:p>
            <w:pPr>
              <w:pStyle w:val="Compact"/>
              <w:spacing w:before="36" w:after="36"/>
              <w:jc w:val="right"/>
              <w:rPr/>
            </w:pPr>
            <w:r>
              <w:rPr/>
              <w:t>-0.25 (-0.31, -0.19)</w:t>
            </w:r>
          </w:p>
        </w:tc>
        <w:tc>
          <w:tcPr>
            <w:tcW w:w="2013" w:type="dxa"/>
            <w:tcBorders/>
            <w:shd w:fill="auto" w:val="clear"/>
          </w:tcPr>
          <w:p>
            <w:pPr>
              <w:pStyle w:val="Compact"/>
              <w:spacing w:before="36" w:after="36"/>
              <w:jc w:val="right"/>
              <w:rPr/>
            </w:pPr>
            <w:r>
              <w:rPr/>
              <w:t>0.78 (0.73, 0.83)</w:t>
            </w:r>
          </w:p>
        </w:tc>
        <w:tc>
          <w:tcPr>
            <w:tcW w:w="787" w:type="dxa"/>
            <w:tcBorders/>
            <w:shd w:fill="auto" w:val="clear"/>
          </w:tcPr>
          <w:p>
            <w:pPr>
              <w:pStyle w:val="Compact"/>
              <w:spacing w:before="36" w:after="36"/>
              <w:jc w:val="right"/>
              <w:rPr/>
            </w:pPr>
            <w:r>
              <w:rPr/>
              <w:t>0.0321</w:t>
            </w:r>
          </w:p>
        </w:tc>
        <w:tc>
          <w:tcPr>
            <w:tcW w:w="700" w:type="dxa"/>
            <w:tcBorders/>
            <w:shd w:fill="auto" w:val="clear"/>
          </w:tcPr>
          <w:p>
            <w:pPr>
              <w:pStyle w:val="Compact"/>
              <w:spacing w:before="36" w:after="36"/>
              <w:jc w:val="right"/>
              <w:rPr/>
            </w:pPr>
            <w:r>
              <w:rPr/>
              <w:t>-7.73</w:t>
            </w:r>
          </w:p>
        </w:tc>
        <w:tc>
          <w:tcPr>
            <w:tcW w:w="1048" w:type="dxa"/>
            <w:tcBorders/>
            <w:shd w:fill="auto" w:val="clear"/>
          </w:tcPr>
          <w:p>
            <w:pPr>
              <w:pStyle w:val="Compact"/>
              <w:spacing w:before="36" w:after="36"/>
              <w:jc w:val="right"/>
              <w:rPr/>
            </w:pPr>
            <w:r>
              <w:rPr/>
              <w:t>5.23e-14</w:t>
            </w:r>
          </w:p>
        </w:tc>
      </w:tr>
    </w:tbl>
    <w:p>
      <w:pPr>
        <w:pStyle w:val="TableCaption"/>
        <w:rPr/>
      </w:pPr>
      <w:r>
        <w:rPr/>
        <w:t>Table 3: Comparing EFI and age as predictors</w:t>
      </w:r>
    </w:p>
    <w:tbl>
      <w:tblPr>
        <w:tblStyle w:val="Table"/>
        <w:tblW w:w="4950" w:type="pct"/>
        <w:jc w:val="left"/>
        <w:tblInd w:w="0" w:type="dxa"/>
        <w:tblBorders>
          <w:bottom w:val="single" w:sz="6" w:space="0" w:color="000000"/>
          <w:insideH w:val="single" w:sz="6" w:space="0" w:color="000000"/>
        </w:tblBorders>
        <w:tblCellMar>
          <w:top w:w="0" w:type="dxa"/>
          <w:left w:w="108" w:type="dxa"/>
          <w:bottom w:w="0" w:type="dxa"/>
          <w:right w:w="108" w:type="dxa"/>
        </w:tblCellMar>
        <w:tblLook w:noVBand="0" w:noHBand="0" w:firstColumn="0" w:lastRow="0" w:lastColumn="0" w:firstRow="1"/>
      </w:tblPr>
      <w:tblGrid>
        <w:gridCol w:w="3488"/>
        <w:gridCol w:w="1526"/>
        <w:gridCol w:w="1526"/>
        <w:gridCol w:w="1854"/>
        <w:gridCol w:w="872"/>
      </w:tblGrid>
      <w:tr>
        <w:trPr>
          <w:cnfStyle w:firstRow="1"/>
        </w:trPr>
        <w:tc>
          <w:tcPr>
            <w:tcW w:w="3488" w:type="dxa"/>
            <w:tcBorders>
              <w:bottom w:val="single" w:sz="6" w:space="0" w:color="000000"/>
              <w:insideH w:val="single" w:sz="6" w:space="0" w:color="000000"/>
            </w:tcBorders>
            <w:shd w:fill="auto" w:val="clear"/>
            <w:vAlign w:val="bottom"/>
          </w:tcPr>
          <w:p>
            <w:pPr>
              <w:pStyle w:val="Compact"/>
              <w:spacing w:before="36" w:after="36"/>
              <w:jc w:val="right"/>
              <w:rPr/>
            </w:pPr>
            <w:r>
              <w:rPr/>
              <w:t>Outcome</w:t>
            </w:r>
          </w:p>
        </w:tc>
        <w:tc>
          <w:tcPr>
            <w:tcW w:w="1526" w:type="dxa"/>
            <w:tcBorders>
              <w:bottom w:val="single" w:sz="6" w:space="0" w:color="000000"/>
              <w:insideH w:val="single" w:sz="6" w:space="0" w:color="000000"/>
            </w:tcBorders>
            <w:shd w:fill="auto" w:val="clear"/>
            <w:vAlign w:val="bottom"/>
          </w:tcPr>
          <w:p>
            <w:pPr>
              <w:pStyle w:val="Compact"/>
              <w:spacing w:before="36" w:after="36"/>
              <w:jc w:val="right"/>
              <w:rPr/>
            </w:pPr>
            <w:r>
              <w:rPr/>
              <w:t>Predictor</w:t>
            </w:r>
          </w:p>
        </w:tc>
        <w:tc>
          <w:tcPr>
            <w:tcW w:w="1526" w:type="dxa"/>
            <w:tcBorders>
              <w:bottom w:val="single" w:sz="6" w:space="0" w:color="000000"/>
              <w:insideH w:val="single" w:sz="6" w:space="0" w:color="000000"/>
            </w:tcBorders>
            <w:shd w:fill="auto" w:val="clear"/>
            <w:vAlign w:val="bottom"/>
          </w:tcPr>
          <w:p>
            <w:pPr>
              <w:pStyle w:val="Compact"/>
              <w:spacing w:before="36" w:after="36"/>
              <w:jc w:val="right"/>
              <w:rPr/>
            </w:pPr>
            <w:r>
              <w:rPr/>
              <w:t>Concordance</w:t>
            </w:r>
          </w:p>
        </w:tc>
        <w:tc>
          <w:tcPr>
            <w:tcW w:w="1854" w:type="dxa"/>
            <w:tcBorders>
              <w:bottom w:val="single" w:sz="6" w:space="0" w:color="000000"/>
              <w:insideH w:val="single" w:sz="6" w:space="0" w:color="000000"/>
            </w:tcBorders>
            <w:shd w:fill="auto" w:val="clear"/>
            <w:vAlign w:val="bottom"/>
          </w:tcPr>
          <w:p>
            <w:pPr>
              <w:pStyle w:val="Compact"/>
              <w:spacing w:before="36" w:after="36"/>
              <w:jc w:val="right"/>
              <w:rPr/>
            </w:pPr>
            <w:r>
              <w:rPr/>
              <w:t>Log Likelihood</w:t>
            </w:r>
          </w:p>
        </w:tc>
        <w:tc>
          <w:tcPr>
            <w:tcW w:w="872" w:type="dxa"/>
            <w:tcBorders>
              <w:bottom w:val="single" w:sz="6" w:space="0" w:color="000000"/>
              <w:insideH w:val="single" w:sz="6" w:space="0" w:color="000000"/>
            </w:tcBorders>
            <w:shd w:fill="auto" w:val="clear"/>
            <w:vAlign w:val="bottom"/>
          </w:tcPr>
          <w:p>
            <w:pPr>
              <w:pStyle w:val="Compact"/>
              <w:spacing w:before="36" w:after="36"/>
              <w:jc w:val="right"/>
              <w:rPr/>
            </w:pPr>
            <w:r>
              <w:rPr/>
              <w:t>AIC</w:t>
            </w:r>
          </w:p>
        </w:tc>
      </w:tr>
      <w:tr>
        <w:trPr/>
        <w:tc>
          <w:tcPr>
            <w:tcW w:w="3488" w:type="dxa"/>
            <w:tcBorders/>
            <w:shd w:fill="auto" w:val="clear"/>
          </w:tcPr>
          <w:p>
            <w:pPr>
              <w:pStyle w:val="Compact"/>
              <w:spacing w:before="36" w:after="36"/>
              <w:jc w:val="right"/>
              <w:rPr/>
            </w:pPr>
            <w:r>
              <w:rPr/>
              <w:t>Emergency Department</w:t>
            </w:r>
          </w:p>
        </w:tc>
        <w:tc>
          <w:tcPr>
            <w:tcW w:w="1526" w:type="dxa"/>
            <w:tcBorders/>
            <w:shd w:fill="auto" w:val="clear"/>
          </w:tcPr>
          <w:p>
            <w:pPr>
              <w:pStyle w:val="Compact"/>
              <w:spacing w:before="36" w:after="36"/>
              <w:jc w:val="right"/>
              <w:rPr/>
            </w:pPr>
            <w:r>
              <w:rPr/>
              <w:t>Frailty</w:t>
            </w:r>
          </w:p>
        </w:tc>
        <w:tc>
          <w:tcPr>
            <w:tcW w:w="1526" w:type="dxa"/>
            <w:tcBorders/>
            <w:shd w:fill="auto" w:val="clear"/>
          </w:tcPr>
          <w:p>
            <w:pPr>
              <w:pStyle w:val="Compact"/>
              <w:spacing w:before="36" w:after="36"/>
              <w:jc w:val="right"/>
              <w:rPr/>
            </w:pPr>
            <w:r>
              <w:rPr/>
              <w:t>0.681</w:t>
            </w:r>
          </w:p>
        </w:tc>
        <w:tc>
          <w:tcPr>
            <w:tcW w:w="1854" w:type="dxa"/>
            <w:tcBorders/>
            <w:shd w:fill="auto" w:val="clear"/>
          </w:tcPr>
          <w:p>
            <w:pPr>
              <w:pStyle w:val="Compact"/>
              <w:spacing w:before="36" w:after="36"/>
              <w:jc w:val="right"/>
              <w:rPr/>
            </w:pPr>
            <w:r>
              <w:rPr/>
              <w:t>-3496</w:t>
            </w:r>
          </w:p>
        </w:tc>
        <w:tc>
          <w:tcPr>
            <w:tcW w:w="872" w:type="dxa"/>
            <w:tcBorders/>
            <w:shd w:fill="auto" w:val="clear"/>
          </w:tcPr>
          <w:p>
            <w:pPr>
              <w:pStyle w:val="Compact"/>
              <w:spacing w:before="36" w:after="36"/>
              <w:jc w:val="right"/>
              <w:rPr/>
            </w:pPr>
            <w:r>
              <w:rPr/>
              <w:t>6994</w:t>
            </w:r>
          </w:p>
        </w:tc>
      </w:tr>
      <w:tr>
        <w:trPr/>
        <w:tc>
          <w:tcPr>
            <w:tcW w:w="3488" w:type="dxa"/>
            <w:tcBorders/>
            <w:shd w:fill="auto" w:val="clear"/>
          </w:tcPr>
          <w:p>
            <w:pPr>
              <w:pStyle w:val="Normal"/>
              <w:widowControl/>
              <w:suppressLineNumbers/>
              <w:overflowPunct w:val="true"/>
              <w:bidi w:val="0"/>
              <w:spacing w:lineRule="auto" w:line="480" w:before="0" w:after="200"/>
              <w:jc w:val="both"/>
              <w:rPr/>
            </w:pPr>
            <w:r>
              <w:rPr/>
            </w:r>
          </w:p>
        </w:tc>
        <w:tc>
          <w:tcPr>
            <w:tcW w:w="1526" w:type="dxa"/>
            <w:tcBorders/>
            <w:shd w:fill="auto" w:val="clear"/>
          </w:tcPr>
          <w:p>
            <w:pPr>
              <w:pStyle w:val="Compact"/>
              <w:spacing w:before="36" w:after="36"/>
              <w:jc w:val="right"/>
              <w:rPr/>
            </w:pPr>
            <w:r>
              <w:rPr/>
              <w:t>Patient Age</w:t>
            </w:r>
          </w:p>
        </w:tc>
        <w:tc>
          <w:tcPr>
            <w:tcW w:w="1526" w:type="dxa"/>
            <w:tcBorders/>
            <w:shd w:fill="auto" w:val="clear"/>
          </w:tcPr>
          <w:p>
            <w:pPr>
              <w:pStyle w:val="Compact"/>
              <w:spacing w:before="36" w:after="36"/>
              <w:jc w:val="right"/>
              <w:rPr/>
            </w:pPr>
            <w:r>
              <w:rPr/>
              <w:t>0.6308</w:t>
            </w:r>
          </w:p>
        </w:tc>
        <w:tc>
          <w:tcPr>
            <w:tcW w:w="1854" w:type="dxa"/>
            <w:tcBorders/>
            <w:shd w:fill="auto" w:val="clear"/>
          </w:tcPr>
          <w:p>
            <w:pPr>
              <w:pStyle w:val="Compact"/>
              <w:spacing w:before="36" w:after="36"/>
              <w:jc w:val="right"/>
              <w:rPr/>
            </w:pPr>
            <w:r>
              <w:rPr/>
              <w:t>-3539</w:t>
            </w:r>
          </w:p>
        </w:tc>
        <w:tc>
          <w:tcPr>
            <w:tcW w:w="872" w:type="dxa"/>
            <w:tcBorders/>
            <w:shd w:fill="auto" w:val="clear"/>
          </w:tcPr>
          <w:p>
            <w:pPr>
              <w:pStyle w:val="Compact"/>
              <w:spacing w:before="36" w:after="36"/>
              <w:jc w:val="right"/>
              <w:rPr/>
            </w:pPr>
            <w:r>
              <w:rPr/>
              <w:t>7081</w:t>
            </w:r>
          </w:p>
        </w:tc>
      </w:tr>
      <w:tr>
        <w:trPr/>
        <w:tc>
          <w:tcPr>
            <w:tcW w:w="3488" w:type="dxa"/>
            <w:tcBorders/>
            <w:shd w:fill="auto" w:val="clear"/>
          </w:tcPr>
          <w:p>
            <w:pPr>
              <w:pStyle w:val="Compact"/>
              <w:spacing w:before="36" w:after="36"/>
              <w:jc w:val="right"/>
              <w:rPr/>
            </w:pPr>
            <w:r>
              <w:rPr/>
              <w:t>Readmission Within 30 Days of a Previous Discharge</w:t>
            </w:r>
          </w:p>
        </w:tc>
        <w:tc>
          <w:tcPr>
            <w:tcW w:w="1526" w:type="dxa"/>
            <w:tcBorders/>
            <w:shd w:fill="auto" w:val="clear"/>
          </w:tcPr>
          <w:p>
            <w:pPr>
              <w:pStyle w:val="Compact"/>
              <w:spacing w:before="36" w:after="36"/>
              <w:jc w:val="right"/>
              <w:rPr/>
            </w:pPr>
            <w:r>
              <w:rPr/>
              <w:t>Frailty</w:t>
            </w:r>
          </w:p>
        </w:tc>
        <w:tc>
          <w:tcPr>
            <w:tcW w:w="1526" w:type="dxa"/>
            <w:tcBorders/>
            <w:shd w:fill="auto" w:val="clear"/>
          </w:tcPr>
          <w:p>
            <w:pPr>
              <w:pStyle w:val="Compact"/>
              <w:spacing w:before="36" w:after="36"/>
              <w:jc w:val="right"/>
              <w:rPr/>
            </w:pPr>
            <w:r>
              <w:rPr/>
              <w:t>0.8546</w:t>
            </w:r>
          </w:p>
        </w:tc>
        <w:tc>
          <w:tcPr>
            <w:tcW w:w="1854" w:type="dxa"/>
            <w:tcBorders/>
            <w:shd w:fill="auto" w:val="clear"/>
          </w:tcPr>
          <w:p>
            <w:pPr>
              <w:pStyle w:val="Compact"/>
              <w:spacing w:before="36" w:after="36"/>
              <w:jc w:val="right"/>
              <w:rPr/>
            </w:pPr>
            <w:r>
              <w:rPr/>
              <w:t>-524</w:t>
            </w:r>
          </w:p>
        </w:tc>
        <w:tc>
          <w:tcPr>
            <w:tcW w:w="872" w:type="dxa"/>
            <w:tcBorders/>
            <w:shd w:fill="auto" w:val="clear"/>
          </w:tcPr>
          <w:p>
            <w:pPr>
              <w:pStyle w:val="Compact"/>
              <w:spacing w:before="36" w:after="36"/>
              <w:jc w:val="right"/>
              <w:rPr/>
            </w:pPr>
            <w:r>
              <w:rPr/>
              <w:t>1050</w:t>
            </w:r>
          </w:p>
        </w:tc>
      </w:tr>
      <w:tr>
        <w:trPr/>
        <w:tc>
          <w:tcPr>
            <w:tcW w:w="3488" w:type="dxa"/>
            <w:tcBorders/>
            <w:shd w:fill="auto" w:val="clear"/>
          </w:tcPr>
          <w:p>
            <w:pPr>
              <w:pStyle w:val="Normal"/>
              <w:widowControl/>
              <w:suppressLineNumbers/>
              <w:overflowPunct w:val="true"/>
              <w:bidi w:val="0"/>
              <w:spacing w:lineRule="auto" w:line="480" w:before="0" w:after="200"/>
              <w:jc w:val="both"/>
              <w:rPr/>
            </w:pPr>
            <w:r>
              <w:rPr/>
            </w:r>
          </w:p>
        </w:tc>
        <w:tc>
          <w:tcPr>
            <w:tcW w:w="1526" w:type="dxa"/>
            <w:tcBorders/>
            <w:shd w:fill="auto" w:val="clear"/>
          </w:tcPr>
          <w:p>
            <w:pPr>
              <w:pStyle w:val="Compact"/>
              <w:spacing w:before="36" w:after="36"/>
              <w:jc w:val="right"/>
              <w:rPr/>
            </w:pPr>
            <w:r>
              <w:rPr/>
              <w:t>Patient Age</w:t>
            </w:r>
          </w:p>
        </w:tc>
        <w:tc>
          <w:tcPr>
            <w:tcW w:w="1526" w:type="dxa"/>
            <w:tcBorders/>
            <w:shd w:fill="auto" w:val="clear"/>
          </w:tcPr>
          <w:p>
            <w:pPr>
              <w:pStyle w:val="Compact"/>
              <w:spacing w:before="36" w:after="36"/>
              <w:jc w:val="right"/>
              <w:rPr/>
            </w:pPr>
            <w:r>
              <w:rPr/>
              <w:t>0.5713</w:t>
            </w:r>
          </w:p>
        </w:tc>
        <w:tc>
          <w:tcPr>
            <w:tcW w:w="1854" w:type="dxa"/>
            <w:tcBorders/>
            <w:shd w:fill="auto" w:val="clear"/>
          </w:tcPr>
          <w:p>
            <w:pPr>
              <w:pStyle w:val="Compact"/>
              <w:spacing w:before="36" w:after="36"/>
              <w:jc w:val="right"/>
              <w:rPr/>
            </w:pPr>
            <w:r>
              <w:rPr/>
              <w:t>-608.4</w:t>
            </w:r>
          </w:p>
        </w:tc>
        <w:tc>
          <w:tcPr>
            <w:tcW w:w="872" w:type="dxa"/>
            <w:tcBorders/>
            <w:shd w:fill="auto" w:val="clear"/>
          </w:tcPr>
          <w:p>
            <w:pPr>
              <w:pStyle w:val="Compact"/>
              <w:spacing w:before="36" w:after="36"/>
              <w:jc w:val="right"/>
              <w:rPr/>
            </w:pPr>
            <w:r>
              <w:rPr/>
              <w:t>1219</w:t>
            </w:r>
          </w:p>
        </w:tc>
      </w:tr>
      <w:tr>
        <w:trPr/>
        <w:tc>
          <w:tcPr>
            <w:tcW w:w="3488" w:type="dxa"/>
            <w:tcBorders/>
            <w:shd w:fill="auto" w:val="clear"/>
          </w:tcPr>
          <w:p>
            <w:pPr>
              <w:pStyle w:val="Compact"/>
              <w:spacing w:before="36" w:after="36"/>
              <w:jc w:val="right"/>
              <w:rPr/>
            </w:pPr>
            <w:r>
              <w:rPr/>
              <w:t>Hospital Acquired Trauma</w:t>
            </w:r>
          </w:p>
        </w:tc>
        <w:tc>
          <w:tcPr>
            <w:tcW w:w="1526" w:type="dxa"/>
            <w:tcBorders/>
            <w:shd w:fill="auto" w:val="clear"/>
          </w:tcPr>
          <w:p>
            <w:pPr>
              <w:pStyle w:val="Compact"/>
              <w:spacing w:before="36" w:after="36"/>
              <w:jc w:val="right"/>
              <w:rPr/>
            </w:pPr>
            <w:r>
              <w:rPr/>
              <w:t>Frailty</w:t>
            </w:r>
          </w:p>
        </w:tc>
        <w:tc>
          <w:tcPr>
            <w:tcW w:w="1526" w:type="dxa"/>
            <w:tcBorders/>
            <w:shd w:fill="auto" w:val="clear"/>
          </w:tcPr>
          <w:p>
            <w:pPr>
              <w:pStyle w:val="Compact"/>
              <w:spacing w:before="36" w:after="36"/>
              <w:jc w:val="right"/>
              <w:rPr/>
            </w:pPr>
            <w:r>
              <w:rPr/>
              <w:t>0.7629</w:t>
            </w:r>
          </w:p>
        </w:tc>
        <w:tc>
          <w:tcPr>
            <w:tcW w:w="1854" w:type="dxa"/>
            <w:tcBorders/>
            <w:shd w:fill="auto" w:val="clear"/>
          </w:tcPr>
          <w:p>
            <w:pPr>
              <w:pStyle w:val="Compact"/>
              <w:spacing w:before="36" w:after="36"/>
              <w:jc w:val="right"/>
              <w:rPr/>
            </w:pPr>
            <w:r>
              <w:rPr/>
              <w:t>-980.2</w:t>
            </w:r>
          </w:p>
        </w:tc>
        <w:tc>
          <w:tcPr>
            <w:tcW w:w="872" w:type="dxa"/>
            <w:tcBorders/>
            <w:shd w:fill="auto" w:val="clear"/>
          </w:tcPr>
          <w:p>
            <w:pPr>
              <w:pStyle w:val="Compact"/>
              <w:spacing w:before="36" w:after="36"/>
              <w:jc w:val="right"/>
              <w:rPr/>
            </w:pPr>
            <w:r>
              <w:rPr/>
              <w:t>1962</w:t>
            </w:r>
          </w:p>
        </w:tc>
      </w:tr>
      <w:tr>
        <w:trPr/>
        <w:tc>
          <w:tcPr>
            <w:tcW w:w="3488" w:type="dxa"/>
            <w:tcBorders/>
            <w:shd w:fill="auto" w:val="clear"/>
          </w:tcPr>
          <w:p>
            <w:pPr>
              <w:pStyle w:val="Normal"/>
              <w:widowControl/>
              <w:suppressLineNumbers/>
              <w:overflowPunct w:val="true"/>
              <w:bidi w:val="0"/>
              <w:spacing w:lineRule="auto" w:line="480" w:before="0" w:after="200"/>
              <w:jc w:val="both"/>
              <w:rPr/>
            </w:pPr>
            <w:r>
              <w:rPr/>
            </w:r>
          </w:p>
        </w:tc>
        <w:tc>
          <w:tcPr>
            <w:tcW w:w="1526" w:type="dxa"/>
            <w:tcBorders/>
            <w:shd w:fill="auto" w:val="clear"/>
          </w:tcPr>
          <w:p>
            <w:pPr>
              <w:pStyle w:val="Compact"/>
              <w:spacing w:before="36" w:after="36"/>
              <w:jc w:val="right"/>
              <w:rPr/>
            </w:pPr>
            <w:r>
              <w:rPr/>
              <w:t>Patient Age</w:t>
            </w:r>
          </w:p>
        </w:tc>
        <w:tc>
          <w:tcPr>
            <w:tcW w:w="1526" w:type="dxa"/>
            <w:tcBorders/>
            <w:shd w:fill="auto" w:val="clear"/>
          </w:tcPr>
          <w:p>
            <w:pPr>
              <w:pStyle w:val="Compact"/>
              <w:spacing w:before="36" w:after="36"/>
              <w:jc w:val="right"/>
              <w:rPr/>
            </w:pPr>
            <w:r>
              <w:rPr/>
              <w:t>0.4912</w:t>
            </w:r>
          </w:p>
        </w:tc>
        <w:tc>
          <w:tcPr>
            <w:tcW w:w="1854" w:type="dxa"/>
            <w:tcBorders/>
            <w:shd w:fill="auto" w:val="clear"/>
          </w:tcPr>
          <w:p>
            <w:pPr>
              <w:pStyle w:val="Compact"/>
              <w:spacing w:before="36" w:after="36"/>
              <w:jc w:val="right"/>
              <w:rPr/>
            </w:pPr>
            <w:r>
              <w:rPr/>
              <w:t>-1041</w:t>
            </w:r>
          </w:p>
        </w:tc>
        <w:tc>
          <w:tcPr>
            <w:tcW w:w="872" w:type="dxa"/>
            <w:tcBorders/>
            <w:shd w:fill="auto" w:val="clear"/>
          </w:tcPr>
          <w:p>
            <w:pPr>
              <w:pStyle w:val="Compact"/>
              <w:spacing w:before="36" w:after="36"/>
              <w:jc w:val="right"/>
              <w:rPr/>
            </w:pPr>
            <w:r>
              <w:rPr/>
              <w:t>2085</w:t>
            </w:r>
          </w:p>
        </w:tc>
      </w:tr>
      <w:tr>
        <w:trPr/>
        <w:tc>
          <w:tcPr>
            <w:tcW w:w="3488" w:type="dxa"/>
            <w:tcBorders/>
            <w:shd w:fill="auto" w:val="clear"/>
          </w:tcPr>
          <w:p>
            <w:pPr>
              <w:pStyle w:val="Compact"/>
              <w:spacing w:before="36" w:after="36"/>
              <w:jc w:val="right"/>
              <w:rPr/>
            </w:pPr>
            <w:r>
              <w:rPr/>
              <w:t>Cardiac Complications</w:t>
            </w:r>
          </w:p>
        </w:tc>
        <w:tc>
          <w:tcPr>
            <w:tcW w:w="1526" w:type="dxa"/>
            <w:tcBorders/>
            <w:shd w:fill="auto" w:val="clear"/>
          </w:tcPr>
          <w:p>
            <w:pPr>
              <w:pStyle w:val="Compact"/>
              <w:spacing w:before="36" w:after="36"/>
              <w:jc w:val="right"/>
              <w:rPr/>
            </w:pPr>
            <w:r>
              <w:rPr/>
              <w:t>Frailty</w:t>
            </w:r>
          </w:p>
        </w:tc>
        <w:tc>
          <w:tcPr>
            <w:tcW w:w="1526" w:type="dxa"/>
            <w:tcBorders/>
            <w:shd w:fill="auto" w:val="clear"/>
          </w:tcPr>
          <w:p>
            <w:pPr>
              <w:pStyle w:val="Compact"/>
              <w:spacing w:before="36" w:after="36"/>
              <w:jc w:val="right"/>
              <w:rPr/>
            </w:pPr>
            <w:r>
              <w:rPr/>
              <w:t>0.8293</w:t>
            </w:r>
          </w:p>
        </w:tc>
        <w:tc>
          <w:tcPr>
            <w:tcW w:w="1854" w:type="dxa"/>
            <w:tcBorders/>
            <w:shd w:fill="auto" w:val="clear"/>
          </w:tcPr>
          <w:p>
            <w:pPr>
              <w:pStyle w:val="Compact"/>
              <w:spacing w:before="36" w:after="36"/>
              <w:jc w:val="right"/>
              <w:rPr/>
            </w:pPr>
            <w:r>
              <w:rPr/>
              <w:t>-698.8</w:t>
            </w:r>
          </w:p>
        </w:tc>
        <w:tc>
          <w:tcPr>
            <w:tcW w:w="872" w:type="dxa"/>
            <w:tcBorders/>
            <w:shd w:fill="auto" w:val="clear"/>
          </w:tcPr>
          <w:p>
            <w:pPr>
              <w:pStyle w:val="Compact"/>
              <w:spacing w:before="36" w:after="36"/>
              <w:jc w:val="right"/>
              <w:rPr/>
            </w:pPr>
            <w:r>
              <w:rPr/>
              <w:t>1400</w:t>
            </w:r>
          </w:p>
        </w:tc>
      </w:tr>
      <w:tr>
        <w:trPr/>
        <w:tc>
          <w:tcPr>
            <w:tcW w:w="3488" w:type="dxa"/>
            <w:tcBorders/>
            <w:shd w:fill="auto" w:val="clear"/>
          </w:tcPr>
          <w:p>
            <w:pPr>
              <w:pStyle w:val="Normal"/>
              <w:widowControl/>
              <w:suppressLineNumbers/>
              <w:overflowPunct w:val="true"/>
              <w:bidi w:val="0"/>
              <w:spacing w:lineRule="auto" w:line="480" w:before="0" w:after="200"/>
              <w:jc w:val="both"/>
              <w:rPr/>
            </w:pPr>
            <w:r>
              <w:rPr/>
            </w:r>
          </w:p>
        </w:tc>
        <w:tc>
          <w:tcPr>
            <w:tcW w:w="1526" w:type="dxa"/>
            <w:tcBorders/>
            <w:shd w:fill="auto" w:val="clear"/>
          </w:tcPr>
          <w:p>
            <w:pPr>
              <w:pStyle w:val="Compact"/>
              <w:spacing w:before="36" w:after="36"/>
              <w:jc w:val="right"/>
              <w:rPr/>
            </w:pPr>
            <w:r>
              <w:rPr/>
              <w:t>Patient Age</w:t>
            </w:r>
          </w:p>
        </w:tc>
        <w:tc>
          <w:tcPr>
            <w:tcW w:w="1526" w:type="dxa"/>
            <w:tcBorders/>
            <w:shd w:fill="auto" w:val="clear"/>
          </w:tcPr>
          <w:p>
            <w:pPr>
              <w:pStyle w:val="Compact"/>
              <w:spacing w:before="36" w:after="36"/>
              <w:jc w:val="right"/>
              <w:rPr/>
            </w:pPr>
            <w:r>
              <w:rPr/>
              <w:t>0.7222</w:t>
            </w:r>
          </w:p>
        </w:tc>
        <w:tc>
          <w:tcPr>
            <w:tcW w:w="1854" w:type="dxa"/>
            <w:tcBorders/>
            <w:shd w:fill="auto" w:val="clear"/>
          </w:tcPr>
          <w:p>
            <w:pPr>
              <w:pStyle w:val="Compact"/>
              <w:spacing w:before="36" w:after="36"/>
              <w:jc w:val="right"/>
              <w:rPr/>
            </w:pPr>
            <w:r>
              <w:rPr/>
              <w:t>-763.5</w:t>
            </w:r>
          </w:p>
        </w:tc>
        <w:tc>
          <w:tcPr>
            <w:tcW w:w="872" w:type="dxa"/>
            <w:tcBorders/>
            <w:shd w:fill="auto" w:val="clear"/>
          </w:tcPr>
          <w:p>
            <w:pPr>
              <w:pStyle w:val="Compact"/>
              <w:spacing w:before="36" w:after="36"/>
              <w:jc w:val="right"/>
              <w:rPr/>
            </w:pPr>
            <w:r>
              <w:rPr/>
              <w:t>1529</w:t>
            </w:r>
          </w:p>
        </w:tc>
      </w:tr>
      <w:tr>
        <w:trPr/>
        <w:tc>
          <w:tcPr>
            <w:tcW w:w="3488" w:type="dxa"/>
            <w:tcBorders/>
            <w:shd w:fill="auto" w:val="clear"/>
          </w:tcPr>
          <w:p>
            <w:pPr>
              <w:pStyle w:val="Compact"/>
              <w:spacing w:before="36" w:after="36"/>
              <w:jc w:val="right"/>
              <w:rPr/>
            </w:pPr>
            <w:r>
              <w:rPr/>
              <w:t>Drug Adverse Event</w:t>
            </w:r>
          </w:p>
        </w:tc>
        <w:tc>
          <w:tcPr>
            <w:tcW w:w="1526" w:type="dxa"/>
            <w:tcBorders/>
            <w:shd w:fill="auto" w:val="clear"/>
          </w:tcPr>
          <w:p>
            <w:pPr>
              <w:pStyle w:val="Compact"/>
              <w:spacing w:before="36" w:after="36"/>
              <w:jc w:val="right"/>
              <w:rPr/>
            </w:pPr>
            <w:r>
              <w:rPr/>
              <w:t>Frailty</w:t>
            </w:r>
          </w:p>
        </w:tc>
        <w:tc>
          <w:tcPr>
            <w:tcW w:w="1526" w:type="dxa"/>
            <w:tcBorders/>
            <w:shd w:fill="auto" w:val="clear"/>
          </w:tcPr>
          <w:p>
            <w:pPr>
              <w:pStyle w:val="Compact"/>
              <w:spacing w:before="36" w:after="36"/>
              <w:jc w:val="right"/>
              <w:rPr/>
            </w:pPr>
            <w:r>
              <w:rPr/>
              <w:t>0.8503</w:t>
            </w:r>
          </w:p>
        </w:tc>
        <w:tc>
          <w:tcPr>
            <w:tcW w:w="1854" w:type="dxa"/>
            <w:tcBorders/>
            <w:shd w:fill="auto" w:val="clear"/>
          </w:tcPr>
          <w:p>
            <w:pPr>
              <w:pStyle w:val="Compact"/>
              <w:spacing w:before="36" w:after="36"/>
              <w:jc w:val="right"/>
              <w:rPr/>
            </w:pPr>
            <w:r>
              <w:rPr/>
              <w:t>-182.2</w:t>
            </w:r>
          </w:p>
        </w:tc>
        <w:tc>
          <w:tcPr>
            <w:tcW w:w="872" w:type="dxa"/>
            <w:tcBorders/>
            <w:shd w:fill="auto" w:val="clear"/>
          </w:tcPr>
          <w:p>
            <w:pPr>
              <w:pStyle w:val="Compact"/>
              <w:spacing w:before="36" w:after="36"/>
              <w:jc w:val="right"/>
              <w:rPr/>
            </w:pPr>
            <w:r>
              <w:rPr/>
              <w:t>366.4</w:t>
            </w:r>
          </w:p>
        </w:tc>
      </w:tr>
      <w:tr>
        <w:trPr/>
        <w:tc>
          <w:tcPr>
            <w:tcW w:w="3488" w:type="dxa"/>
            <w:tcBorders/>
            <w:shd w:fill="auto" w:val="clear"/>
          </w:tcPr>
          <w:p>
            <w:pPr>
              <w:pStyle w:val="Normal"/>
              <w:widowControl/>
              <w:suppressLineNumbers/>
              <w:overflowPunct w:val="true"/>
              <w:bidi w:val="0"/>
              <w:spacing w:lineRule="auto" w:line="480" w:before="0" w:after="200"/>
              <w:jc w:val="both"/>
              <w:rPr/>
            </w:pPr>
            <w:r>
              <w:rPr/>
            </w:r>
          </w:p>
        </w:tc>
        <w:tc>
          <w:tcPr>
            <w:tcW w:w="1526" w:type="dxa"/>
            <w:tcBorders/>
            <w:shd w:fill="auto" w:val="clear"/>
          </w:tcPr>
          <w:p>
            <w:pPr>
              <w:pStyle w:val="Compact"/>
              <w:spacing w:before="36" w:after="36"/>
              <w:jc w:val="right"/>
              <w:rPr/>
            </w:pPr>
            <w:r>
              <w:rPr/>
              <w:t>Patient Age</w:t>
            </w:r>
          </w:p>
        </w:tc>
        <w:tc>
          <w:tcPr>
            <w:tcW w:w="1526" w:type="dxa"/>
            <w:tcBorders/>
            <w:shd w:fill="auto" w:val="clear"/>
          </w:tcPr>
          <w:p>
            <w:pPr>
              <w:pStyle w:val="Compact"/>
              <w:spacing w:before="36" w:after="36"/>
              <w:jc w:val="right"/>
              <w:rPr/>
            </w:pPr>
            <w:r>
              <w:rPr/>
              <w:t>0.6226</w:t>
            </w:r>
          </w:p>
        </w:tc>
        <w:tc>
          <w:tcPr>
            <w:tcW w:w="1854" w:type="dxa"/>
            <w:tcBorders/>
            <w:shd w:fill="auto" w:val="clear"/>
          </w:tcPr>
          <w:p>
            <w:pPr>
              <w:pStyle w:val="Compact"/>
              <w:spacing w:before="36" w:after="36"/>
              <w:jc w:val="right"/>
              <w:rPr/>
            </w:pPr>
            <w:r>
              <w:rPr/>
              <w:t>-205.8</w:t>
            </w:r>
          </w:p>
        </w:tc>
        <w:tc>
          <w:tcPr>
            <w:tcW w:w="872" w:type="dxa"/>
            <w:tcBorders/>
            <w:shd w:fill="auto" w:val="clear"/>
          </w:tcPr>
          <w:p>
            <w:pPr>
              <w:pStyle w:val="Compact"/>
              <w:spacing w:before="36" w:after="36"/>
              <w:jc w:val="right"/>
              <w:rPr/>
            </w:pPr>
            <w:r>
              <w:rPr/>
              <w:t>413.6</w:t>
            </w:r>
          </w:p>
        </w:tc>
      </w:tr>
      <w:tr>
        <w:trPr/>
        <w:tc>
          <w:tcPr>
            <w:tcW w:w="3488" w:type="dxa"/>
            <w:tcBorders/>
            <w:shd w:fill="auto" w:val="clear"/>
          </w:tcPr>
          <w:p>
            <w:pPr>
              <w:pStyle w:val="Compact"/>
              <w:spacing w:before="36" w:after="36"/>
              <w:jc w:val="right"/>
              <w:rPr/>
            </w:pPr>
            <w:r>
              <w:rPr/>
              <w:t>Venous Thromboembolism</w:t>
            </w:r>
          </w:p>
        </w:tc>
        <w:tc>
          <w:tcPr>
            <w:tcW w:w="1526" w:type="dxa"/>
            <w:tcBorders/>
            <w:shd w:fill="auto" w:val="clear"/>
          </w:tcPr>
          <w:p>
            <w:pPr>
              <w:pStyle w:val="Compact"/>
              <w:spacing w:before="36" w:after="36"/>
              <w:jc w:val="right"/>
              <w:rPr/>
            </w:pPr>
            <w:r>
              <w:rPr/>
              <w:t>Frailty</w:t>
            </w:r>
          </w:p>
        </w:tc>
        <w:tc>
          <w:tcPr>
            <w:tcW w:w="1526" w:type="dxa"/>
            <w:tcBorders/>
            <w:shd w:fill="auto" w:val="clear"/>
          </w:tcPr>
          <w:p>
            <w:pPr>
              <w:pStyle w:val="Compact"/>
              <w:spacing w:before="36" w:after="36"/>
              <w:jc w:val="right"/>
              <w:rPr/>
            </w:pPr>
            <w:r>
              <w:rPr/>
              <w:t>0.8536</w:t>
            </w:r>
          </w:p>
        </w:tc>
        <w:tc>
          <w:tcPr>
            <w:tcW w:w="1854" w:type="dxa"/>
            <w:tcBorders/>
            <w:shd w:fill="auto" w:val="clear"/>
          </w:tcPr>
          <w:p>
            <w:pPr>
              <w:pStyle w:val="Compact"/>
              <w:spacing w:before="36" w:after="36"/>
              <w:jc w:val="right"/>
              <w:rPr/>
            </w:pPr>
            <w:r>
              <w:rPr/>
              <w:t>-123</w:t>
            </w:r>
          </w:p>
        </w:tc>
        <w:tc>
          <w:tcPr>
            <w:tcW w:w="872" w:type="dxa"/>
            <w:tcBorders/>
            <w:shd w:fill="auto" w:val="clear"/>
          </w:tcPr>
          <w:p>
            <w:pPr>
              <w:pStyle w:val="Compact"/>
              <w:spacing w:before="36" w:after="36"/>
              <w:jc w:val="right"/>
              <w:rPr/>
            </w:pPr>
            <w:r>
              <w:rPr/>
              <w:t>248</w:t>
            </w:r>
          </w:p>
        </w:tc>
      </w:tr>
      <w:tr>
        <w:trPr/>
        <w:tc>
          <w:tcPr>
            <w:tcW w:w="3488" w:type="dxa"/>
            <w:tcBorders/>
            <w:shd w:fill="auto" w:val="clear"/>
          </w:tcPr>
          <w:p>
            <w:pPr>
              <w:pStyle w:val="Normal"/>
              <w:widowControl/>
              <w:suppressLineNumbers/>
              <w:overflowPunct w:val="true"/>
              <w:bidi w:val="0"/>
              <w:spacing w:lineRule="auto" w:line="480" w:before="0" w:after="200"/>
              <w:jc w:val="both"/>
              <w:rPr/>
            </w:pPr>
            <w:r>
              <w:rPr/>
            </w:r>
          </w:p>
        </w:tc>
        <w:tc>
          <w:tcPr>
            <w:tcW w:w="1526" w:type="dxa"/>
            <w:tcBorders/>
            <w:shd w:fill="auto" w:val="clear"/>
          </w:tcPr>
          <w:p>
            <w:pPr>
              <w:pStyle w:val="Compact"/>
              <w:spacing w:before="36" w:after="36"/>
              <w:jc w:val="right"/>
              <w:rPr/>
            </w:pPr>
            <w:r>
              <w:rPr/>
              <w:t>Patient Age</w:t>
            </w:r>
          </w:p>
        </w:tc>
        <w:tc>
          <w:tcPr>
            <w:tcW w:w="1526" w:type="dxa"/>
            <w:tcBorders/>
            <w:shd w:fill="auto" w:val="clear"/>
          </w:tcPr>
          <w:p>
            <w:pPr>
              <w:pStyle w:val="Compact"/>
              <w:spacing w:before="36" w:after="36"/>
              <w:jc w:val="right"/>
              <w:rPr/>
            </w:pPr>
            <w:r>
              <w:rPr/>
              <w:t>0.6227</w:t>
            </w:r>
          </w:p>
        </w:tc>
        <w:tc>
          <w:tcPr>
            <w:tcW w:w="1854" w:type="dxa"/>
            <w:tcBorders/>
            <w:shd w:fill="auto" w:val="clear"/>
          </w:tcPr>
          <w:p>
            <w:pPr>
              <w:pStyle w:val="Compact"/>
              <w:spacing w:before="36" w:after="36"/>
              <w:jc w:val="right"/>
              <w:rPr/>
            </w:pPr>
            <w:r>
              <w:rPr/>
              <w:t>-142.3</w:t>
            </w:r>
          </w:p>
        </w:tc>
        <w:tc>
          <w:tcPr>
            <w:tcW w:w="872" w:type="dxa"/>
            <w:tcBorders/>
            <w:shd w:fill="auto" w:val="clear"/>
          </w:tcPr>
          <w:p>
            <w:pPr>
              <w:pStyle w:val="Compact"/>
              <w:spacing w:before="36" w:after="36"/>
              <w:jc w:val="right"/>
              <w:rPr/>
            </w:pPr>
            <w:r>
              <w:rPr/>
              <w:t>286.7</w:t>
            </w:r>
          </w:p>
        </w:tc>
      </w:tr>
      <w:tr>
        <w:trPr/>
        <w:tc>
          <w:tcPr>
            <w:tcW w:w="3488" w:type="dxa"/>
            <w:tcBorders/>
            <w:shd w:fill="auto" w:val="clear"/>
          </w:tcPr>
          <w:p>
            <w:pPr>
              <w:pStyle w:val="Compact"/>
              <w:spacing w:before="36" w:after="36"/>
              <w:jc w:val="right"/>
              <w:rPr/>
            </w:pPr>
            <w:r>
              <w:rPr/>
              <w:t>Fluid Management Events</w:t>
            </w:r>
          </w:p>
        </w:tc>
        <w:tc>
          <w:tcPr>
            <w:tcW w:w="1526" w:type="dxa"/>
            <w:tcBorders/>
            <w:shd w:fill="auto" w:val="clear"/>
          </w:tcPr>
          <w:p>
            <w:pPr>
              <w:pStyle w:val="Compact"/>
              <w:spacing w:before="36" w:after="36"/>
              <w:jc w:val="right"/>
              <w:rPr/>
            </w:pPr>
            <w:r>
              <w:rPr/>
              <w:t>Frailty</w:t>
            </w:r>
          </w:p>
        </w:tc>
        <w:tc>
          <w:tcPr>
            <w:tcW w:w="1526" w:type="dxa"/>
            <w:tcBorders/>
            <w:shd w:fill="auto" w:val="clear"/>
          </w:tcPr>
          <w:p>
            <w:pPr>
              <w:pStyle w:val="Compact"/>
              <w:spacing w:before="36" w:after="36"/>
              <w:jc w:val="right"/>
              <w:rPr/>
            </w:pPr>
            <w:r>
              <w:rPr/>
              <w:t>0.8193</w:t>
            </w:r>
          </w:p>
        </w:tc>
        <w:tc>
          <w:tcPr>
            <w:tcW w:w="1854" w:type="dxa"/>
            <w:tcBorders/>
            <w:shd w:fill="auto" w:val="clear"/>
          </w:tcPr>
          <w:p>
            <w:pPr>
              <w:pStyle w:val="Compact"/>
              <w:spacing w:before="36" w:after="36"/>
              <w:jc w:val="right"/>
              <w:rPr/>
            </w:pPr>
            <w:r>
              <w:rPr/>
              <w:t>-146.1</w:t>
            </w:r>
          </w:p>
        </w:tc>
        <w:tc>
          <w:tcPr>
            <w:tcW w:w="872" w:type="dxa"/>
            <w:tcBorders/>
            <w:shd w:fill="auto" w:val="clear"/>
          </w:tcPr>
          <w:p>
            <w:pPr>
              <w:pStyle w:val="Compact"/>
              <w:spacing w:before="36" w:after="36"/>
              <w:jc w:val="right"/>
              <w:rPr/>
            </w:pPr>
            <w:r>
              <w:rPr/>
              <w:t>294.3</w:t>
            </w:r>
          </w:p>
        </w:tc>
      </w:tr>
      <w:tr>
        <w:trPr/>
        <w:tc>
          <w:tcPr>
            <w:tcW w:w="3488" w:type="dxa"/>
            <w:tcBorders/>
            <w:shd w:fill="auto" w:val="clear"/>
          </w:tcPr>
          <w:p>
            <w:pPr>
              <w:pStyle w:val="Normal"/>
              <w:widowControl/>
              <w:suppressLineNumbers/>
              <w:overflowPunct w:val="true"/>
              <w:bidi w:val="0"/>
              <w:spacing w:lineRule="auto" w:line="480" w:before="0" w:after="200"/>
              <w:jc w:val="both"/>
              <w:rPr/>
            </w:pPr>
            <w:r>
              <w:rPr/>
            </w:r>
          </w:p>
        </w:tc>
        <w:tc>
          <w:tcPr>
            <w:tcW w:w="1526" w:type="dxa"/>
            <w:tcBorders/>
            <w:shd w:fill="auto" w:val="clear"/>
          </w:tcPr>
          <w:p>
            <w:pPr>
              <w:pStyle w:val="Compact"/>
              <w:spacing w:before="36" w:after="36"/>
              <w:jc w:val="right"/>
              <w:rPr/>
            </w:pPr>
            <w:r>
              <w:rPr/>
              <w:t>Patient Age</w:t>
            </w:r>
          </w:p>
        </w:tc>
        <w:tc>
          <w:tcPr>
            <w:tcW w:w="1526" w:type="dxa"/>
            <w:tcBorders/>
            <w:shd w:fill="auto" w:val="clear"/>
          </w:tcPr>
          <w:p>
            <w:pPr>
              <w:pStyle w:val="Compact"/>
              <w:spacing w:before="36" w:after="36"/>
              <w:jc w:val="right"/>
              <w:rPr/>
            </w:pPr>
            <w:r>
              <w:rPr/>
              <w:t>0.5993</w:t>
            </w:r>
          </w:p>
        </w:tc>
        <w:tc>
          <w:tcPr>
            <w:tcW w:w="1854" w:type="dxa"/>
            <w:tcBorders/>
            <w:shd w:fill="auto" w:val="clear"/>
          </w:tcPr>
          <w:p>
            <w:pPr>
              <w:pStyle w:val="Compact"/>
              <w:spacing w:before="36" w:after="36"/>
              <w:jc w:val="right"/>
              <w:rPr/>
            </w:pPr>
            <w:r>
              <w:rPr/>
              <w:t>-174.2</w:t>
            </w:r>
          </w:p>
        </w:tc>
        <w:tc>
          <w:tcPr>
            <w:tcW w:w="872" w:type="dxa"/>
            <w:tcBorders/>
            <w:shd w:fill="auto" w:val="clear"/>
          </w:tcPr>
          <w:p>
            <w:pPr>
              <w:pStyle w:val="Compact"/>
              <w:spacing w:before="36" w:after="36"/>
              <w:jc w:val="right"/>
              <w:rPr/>
            </w:pPr>
            <w:r>
              <w:rPr/>
              <w:t>350.4</w:t>
            </w:r>
          </w:p>
        </w:tc>
      </w:tr>
      <w:tr>
        <w:trPr/>
        <w:tc>
          <w:tcPr>
            <w:tcW w:w="3488" w:type="dxa"/>
            <w:tcBorders/>
            <w:shd w:fill="auto" w:val="clear"/>
          </w:tcPr>
          <w:p>
            <w:pPr>
              <w:pStyle w:val="Compact"/>
              <w:spacing w:before="36" w:after="36"/>
              <w:jc w:val="right"/>
              <w:rPr/>
            </w:pPr>
            <w:r>
              <w:rPr/>
              <w:t>CNS Complications</w:t>
            </w:r>
          </w:p>
        </w:tc>
        <w:tc>
          <w:tcPr>
            <w:tcW w:w="1526" w:type="dxa"/>
            <w:tcBorders/>
            <w:shd w:fill="auto" w:val="clear"/>
          </w:tcPr>
          <w:p>
            <w:pPr>
              <w:pStyle w:val="Compact"/>
              <w:spacing w:before="36" w:after="36"/>
              <w:jc w:val="right"/>
              <w:rPr/>
            </w:pPr>
            <w:r>
              <w:rPr/>
              <w:t>Frailty</w:t>
            </w:r>
          </w:p>
        </w:tc>
        <w:tc>
          <w:tcPr>
            <w:tcW w:w="1526" w:type="dxa"/>
            <w:tcBorders/>
            <w:shd w:fill="auto" w:val="clear"/>
          </w:tcPr>
          <w:p>
            <w:pPr>
              <w:pStyle w:val="Compact"/>
              <w:spacing w:before="36" w:after="36"/>
              <w:jc w:val="right"/>
              <w:rPr/>
            </w:pPr>
            <w:r>
              <w:rPr/>
              <w:t>0.7017</w:t>
            </w:r>
          </w:p>
        </w:tc>
        <w:tc>
          <w:tcPr>
            <w:tcW w:w="1854" w:type="dxa"/>
            <w:tcBorders/>
            <w:shd w:fill="auto" w:val="clear"/>
          </w:tcPr>
          <w:p>
            <w:pPr>
              <w:pStyle w:val="Compact"/>
              <w:spacing w:before="36" w:after="36"/>
              <w:jc w:val="right"/>
              <w:rPr/>
            </w:pPr>
            <w:r>
              <w:rPr/>
              <w:t>-170.6</w:t>
            </w:r>
          </w:p>
        </w:tc>
        <w:tc>
          <w:tcPr>
            <w:tcW w:w="872" w:type="dxa"/>
            <w:tcBorders/>
            <w:shd w:fill="auto" w:val="clear"/>
          </w:tcPr>
          <w:p>
            <w:pPr>
              <w:pStyle w:val="Compact"/>
              <w:spacing w:before="36" w:after="36"/>
              <w:jc w:val="right"/>
              <w:rPr/>
            </w:pPr>
            <w:r>
              <w:rPr/>
              <w:t>343.3</w:t>
            </w:r>
          </w:p>
        </w:tc>
      </w:tr>
      <w:tr>
        <w:trPr/>
        <w:tc>
          <w:tcPr>
            <w:tcW w:w="3488" w:type="dxa"/>
            <w:tcBorders/>
            <w:shd w:fill="auto" w:val="clear"/>
          </w:tcPr>
          <w:p>
            <w:pPr>
              <w:pStyle w:val="Normal"/>
              <w:widowControl/>
              <w:suppressLineNumbers/>
              <w:overflowPunct w:val="true"/>
              <w:bidi w:val="0"/>
              <w:spacing w:lineRule="auto" w:line="480" w:before="0" w:after="200"/>
              <w:jc w:val="both"/>
              <w:rPr/>
            </w:pPr>
            <w:r>
              <w:rPr/>
            </w:r>
          </w:p>
        </w:tc>
        <w:tc>
          <w:tcPr>
            <w:tcW w:w="1526" w:type="dxa"/>
            <w:tcBorders/>
            <w:shd w:fill="auto" w:val="clear"/>
          </w:tcPr>
          <w:p>
            <w:pPr>
              <w:pStyle w:val="Compact"/>
              <w:spacing w:before="36" w:after="36"/>
              <w:jc w:val="right"/>
              <w:rPr/>
            </w:pPr>
            <w:r>
              <w:rPr/>
              <w:t>Patient Age</w:t>
            </w:r>
          </w:p>
        </w:tc>
        <w:tc>
          <w:tcPr>
            <w:tcW w:w="1526" w:type="dxa"/>
            <w:tcBorders/>
            <w:shd w:fill="auto" w:val="clear"/>
          </w:tcPr>
          <w:p>
            <w:pPr>
              <w:pStyle w:val="Compact"/>
              <w:spacing w:before="36" w:after="36"/>
              <w:jc w:val="right"/>
              <w:rPr/>
            </w:pPr>
            <w:r>
              <w:rPr/>
              <w:t>0.5701</w:t>
            </w:r>
          </w:p>
        </w:tc>
        <w:tc>
          <w:tcPr>
            <w:tcW w:w="1854" w:type="dxa"/>
            <w:tcBorders/>
            <w:shd w:fill="auto" w:val="clear"/>
          </w:tcPr>
          <w:p>
            <w:pPr>
              <w:pStyle w:val="Compact"/>
              <w:spacing w:before="36" w:after="36"/>
              <w:jc w:val="right"/>
              <w:rPr/>
            </w:pPr>
            <w:r>
              <w:rPr/>
              <w:t>-178.1</w:t>
            </w:r>
          </w:p>
        </w:tc>
        <w:tc>
          <w:tcPr>
            <w:tcW w:w="872" w:type="dxa"/>
            <w:tcBorders/>
            <w:shd w:fill="auto" w:val="clear"/>
          </w:tcPr>
          <w:p>
            <w:pPr>
              <w:pStyle w:val="Compact"/>
              <w:spacing w:before="36" w:after="36"/>
              <w:jc w:val="right"/>
              <w:rPr/>
            </w:pPr>
            <w:r>
              <w:rPr/>
              <w:t>358.2</w:t>
            </w:r>
          </w:p>
        </w:tc>
      </w:tr>
      <w:tr>
        <w:trPr/>
        <w:tc>
          <w:tcPr>
            <w:tcW w:w="3488" w:type="dxa"/>
            <w:tcBorders/>
            <w:shd w:fill="auto" w:val="clear"/>
          </w:tcPr>
          <w:p>
            <w:pPr>
              <w:pStyle w:val="Compact"/>
              <w:spacing w:before="36" w:after="36"/>
              <w:jc w:val="right"/>
              <w:rPr/>
            </w:pPr>
            <w:r>
              <w:rPr/>
              <w:t>GI Complications</w:t>
            </w:r>
          </w:p>
        </w:tc>
        <w:tc>
          <w:tcPr>
            <w:tcW w:w="1526" w:type="dxa"/>
            <w:tcBorders/>
            <w:shd w:fill="auto" w:val="clear"/>
          </w:tcPr>
          <w:p>
            <w:pPr>
              <w:pStyle w:val="Compact"/>
              <w:spacing w:before="36" w:after="36"/>
              <w:jc w:val="right"/>
              <w:rPr/>
            </w:pPr>
            <w:r>
              <w:rPr/>
              <w:t>Frailty</w:t>
            </w:r>
          </w:p>
        </w:tc>
        <w:tc>
          <w:tcPr>
            <w:tcW w:w="1526" w:type="dxa"/>
            <w:tcBorders/>
            <w:shd w:fill="auto" w:val="clear"/>
          </w:tcPr>
          <w:p>
            <w:pPr>
              <w:pStyle w:val="Compact"/>
              <w:spacing w:before="36" w:after="36"/>
              <w:jc w:val="right"/>
              <w:rPr/>
            </w:pPr>
            <w:r>
              <w:rPr/>
              <w:t>0.7792</w:t>
            </w:r>
          </w:p>
        </w:tc>
        <w:tc>
          <w:tcPr>
            <w:tcW w:w="1854" w:type="dxa"/>
            <w:tcBorders/>
            <w:shd w:fill="auto" w:val="clear"/>
          </w:tcPr>
          <w:p>
            <w:pPr>
              <w:pStyle w:val="Compact"/>
              <w:spacing w:before="36" w:after="36"/>
              <w:jc w:val="right"/>
              <w:rPr/>
            </w:pPr>
            <w:r>
              <w:rPr/>
              <w:t>-113.3</w:t>
            </w:r>
          </w:p>
        </w:tc>
        <w:tc>
          <w:tcPr>
            <w:tcW w:w="872" w:type="dxa"/>
            <w:tcBorders/>
            <w:shd w:fill="auto" w:val="clear"/>
          </w:tcPr>
          <w:p>
            <w:pPr>
              <w:pStyle w:val="Compact"/>
              <w:spacing w:before="36" w:after="36"/>
              <w:jc w:val="right"/>
              <w:rPr/>
            </w:pPr>
            <w:r>
              <w:rPr/>
              <w:t>228.7</w:t>
            </w:r>
          </w:p>
        </w:tc>
      </w:tr>
      <w:tr>
        <w:trPr/>
        <w:tc>
          <w:tcPr>
            <w:tcW w:w="3488" w:type="dxa"/>
            <w:tcBorders/>
            <w:shd w:fill="auto" w:val="clear"/>
          </w:tcPr>
          <w:p>
            <w:pPr>
              <w:pStyle w:val="Normal"/>
              <w:widowControl/>
              <w:suppressLineNumbers/>
              <w:overflowPunct w:val="true"/>
              <w:bidi w:val="0"/>
              <w:spacing w:lineRule="auto" w:line="480" w:before="0" w:after="200"/>
              <w:jc w:val="both"/>
              <w:rPr/>
            </w:pPr>
            <w:r>
              <w:rPr/>
            </w:r>
          </w:p>
        </w:tc>
        <w:tc>
          <w:tcPr>
            <w:tcW w:w="1526" w:type="dxa"/>
            <w:tcBorders/>
            <w:shd w:fill="auto" w:val="clear"/>
          </w:tcPr>
          <w:p>
            <w:pPr>
              <w:pStyle w:val="Compact"/>
              <w:spacing w:before="36" w:after="36"/>
              <w:jc w:val="right"/>
              <w:rPr/>
            </w:pPr>
            <w:r>
              <w:rPr/>
              <w:t>Patient Age</w:t>
            </w:r>
          </w:p>
        </w:tc>
        <w:tc>
          <w:tcPr>
            <w:tcW w:w="1526" w:type="dxa"/>
            <w:tcBorders/>
            <w:shd w:fill="auto" w:val="clear"/>
          </w:tcPr>
          <w:p>
            <w:pPr>
              <w:pStyle w:val="Compact"/>
              <w:spacing w:before="36" w:after="36"/>
              <w:jc w:val="right"/>
              <w:rPr/>
            </w:pPr>
            <w:r>
              <w:rPr/>
              <w:t>0.5049</w:t>
            </w:r>
          </w:p>
        </w:tc>
        <w:tc>
          <w:tcPr>
            <w:tcW w:w="1854" w:type="dxa"/>
            <w:tcBorders/>
            <w:shd w:fill="auto" w:val="clear"/>
          </w:tcPr>
          <w:p>
            <w:pPr>
              <w:pStyle w:val="Compact"/>
              <w:spacing w:before="36" w:after="36"/>
              <w:jc w:val="right"/>
              <w:rPr/>
            </w:pPr>
            <w:r>
              <w:rPr/>
              <w:t>-130</w:t>
            </w:r>
          </w:p>
        </w:tc>
        <w:tc>
          <w:tcPr>
            <w:tcW w:w="872" w:type="dxa"/>
            <w:tcBorders/>
            <w:shd w:fill="auto" w:val="clear"/>
          </w:tcPr>
          <w:p>
            <w:pPr>
              <w:pStyle w:val="Compact"/>
              <w:spacing w:before="36" w:after="36"/>
              <w:jc w:val="right"/>
              <w:rPr/>
            </w:pPr>
            <w:r>
              <w:rPr/>
              <w:t>262</w:t>
            </w:r>
          </w:p>
        </w:tc>
      </w:tr>
      <w:tr>
        <w:trPr/>
        <w:tc>
          <w:tcPr>
            <w:tcW w:w="3488" w:type="dxa"/>
            <w:tcBorders/>
            <w:shd w:fill="auto" w:val="clear"/>
          </w:tcPr>
          <w:p>
            <w:pPr>
              <w:pStyle w:val="Compact"/>
              <w:spacing w:before="36" w:after="36"/>
              <w:jc w:val="right"/>
              <w:rPr/>
            </w:pPr>
            <w:r>
              <w:rPr/>
              <w:t>Any Patient Safety Event</w:t>
            </w:r>
          </w:p>
        </w:tc>
        <w:tc>
          <w:tcPr>
            <w:tcW w:w="1526" w:type="dxa"/>
            <w:tcBorders/>
            <w:shd w:fill="auto" w:val="clear"/>
          </w:tcPr>
          <w:p>
            <w:pPr>
              <w:pStyle w:val="Compact"/>
              <w:spacing w:before="36" w:after="36"/>
              <w:jc w:val="right"/>
              <w:rPr/>
            </w:pPr>
            <w:r>
              <w:rPr/>
              <w:t>Frailty</w:t>
            </w:r>
          </w:p>
        </w:tc>
        <w:tc>
          <w:tcPr>
            <w:tcW w:w="1526" w:type="dxa"/>
            <w:tcBorders/>
            <w:shd w:fill="auto" w:val="clear"/>
          </w:tcPr>
          <w:p>
            <w:pPr>
              <w:pStyle w:val="Compact"/>
              <w:spacing w:before="36" w:after="36"/>
              <w:jc w:val="right"/>
              <w:rPr/>
            </w:pPr>
            <w:r>
              <w:rPr/>
              <w:t>0.7841</w:t>
            </w:r>
          </w:p>
        </w:tc>
        <w:tc>
          <w:tcPr>
            <w:tcW w:w="1854" w:type="dxa"/>
            <w:tcBorders/>
            <w:shd w:fill="auto" w:val="clear"/>
          </w:tcPr>
          <w:p>
            <w:pPr>
              <w:pStyle w:val="Compact"/>
              <w:spacing w:before="36" w:after="36"/>
              <w:jc w:val="right"/>
              <w:rPr/>
            </w:pPr>
            <w:r>
              <w:rPr/>
              <w:t>-2705</w:t>
            </w:r>
          </w:p>
        </w:tc>
        <w:tc>
          <w:tcPr>
            <w:tcW w:w="872" w:type="dxa"/>
            <w:tcBorders/>
            <w:shd w:fill="auto" w:val="clear"/>
          </w:tcPr>
          <w:p>
            <w:pPr>
              <w:pStyle w:val="Compact"/>
              <w:spacing w:before="36" w:after="36"/>
              <w:jc w:val="right"/>
              <w:rPr/>
            </w:pPr>
            <w:r>
              <w:rPr/>
              <w:t>5412</w:t>
            </w:r>
          </w:p>
        </w:tc>
      </w:tr>
      <w:tr>
        <w:trPr/>
        <w:tc>
          <w:tcPr>
            <w:tcW w:w="3488" w:type="dxa"/>
            <w:tcBorders/>
            <w:shd w:fill="auto" w:val="clear"/>
          </w:tcPr>
          <w:p>
            <w:pPr>
              <w:pStyle w:val="Normal"/>
              <w:widowControl/>
              <w:suppressLineNumbers/>
              <w:overflowPunct w:val="true"/>
              <w:bidi w:val="0"/>
              <w:spacing w:lineRule="auto" w:line="480" w:before="0" w:after="200"/>
              <w:jc w:val="both"/>
              <w:rPr/>
            </w:pPr>
            <w:r>
              <w:rPr/>
            </w:r>
          </w:p>
        </w:tc>
        <w:tc>
          <w:tcPr>
            <w:tcW w:w="1526" w:type="dxa"/>
            <w:tcBorders/>
            <w:shd w:fill="auto" w:val="clear"/>
          </w:tcPr>
          <w:p>
            <w:pPr>
              <w:pStyle w:val="Compact"/>
              <w:spacing w:before="36" w:after="36"/>
              <w:jc w:val="right"/>
              <w:rPr/>
            </w:pPr>
            <w:r>
              <w:rPr/>
              <w:t>Patient Age</w:t>
            </w:r>
          </w:p>
        </w:tc>
        <w:tc>
          <w:tcPr>
            <w:tcW w:w="1526" w:type="dxa"/>
            <w:tcBorders/>
            <w:shd w:fill="auto" w:val="clear"/>
          </w:tcPr>
          <w:p>
            <w:pPr>
              <w:pStyle w:val="Compact"/>
              <w:spacing w:before="36" w:after="36"/>
              <w:jc w:val="right"/>
              <w:rPr/>
            </w:pPr>
            <w:r>
              <w:rPr/>
              <w:t>0.5806</w:t>
            </w:r>
          </w:p>
        </w:tc>
        <w:tc>
          <w:tcPr>
            <w:tcW w:w="1854" w:type="dxa"/>
            <w:tcBorders/>
            <w:shd w:fill="auto" w:val="clear"/>
          </w:tcPr>
          <w:p>
            <w:pPr>
              <w:pStyle w:val="Compact"/>
              <w:spacing w:before="36" w:after="36"/>
              <w:jc w:val="right"/>
              <w:rPr/>
            </w:pPr>
            <w:r>
              <w:rPr/>
              <w:t>-2900</w:t>
            </w:r>
          </w:p>
        </w:tc>
        <w:tc>
          <w:tcPr>
            <w:tcW w:w="872" w:type="dxa"/>
            <w:tcBorders/>
            <w:shd w:fill="auto" w:val="clear"/>
          </w:tcPr>
          <w:p>
            <w:pPr>
              <w:pStyle w:val="Compact"/>
              <w:spacing w:before="36" w:after="36"/>
              <w:jc w:val="right"/>
              <w:rPr/>
            </w:pPr>
            <w:r>
              <w:rPr/>
              <w:t>5803</w:t>
            </w:r>
          </w:p>
        </w:tc>
      </w:tr>
      <w:tr>
        <w:trPr/>
        <w:tc>
          <w:tcPr>
            <w:tcW w:w="3488" w:type="dxa"/>
            <w:tcBorders/>
            <w:shd w:fill="auto" w:val="clear"/>
          </w:tcPr>
          <w:p>
            <w:pPr>
              <w:pStyle w:val="Compact"/>
              <w:spacing w:before="36" w:after="36"/>
              <w:jc w:val="right"/>
              <w:rPr/>
            </w:pPr>
            <w:r>
              <w:rPr/>
              <w:t>Severe Patient Safety Event</w:t>
            </w:r>
          </w:p>
        </w:tc>
        <w:tc>
          <w:tcPr>
            <w:tcW w:w="1526" w:type="dxa"/>
            <w:tcBorders/>
            <w:shd w:fill="auto" w:val="clear"/>
          </w:tcPr>
          <w:p>
            <w:pPr>
              <w:pStyle w:val="Compact"/>
              <w:spacing w:before="36" w:after="36"/>
              <w:jc w:val="right"/>
              <w:rPr/>
            </w:pPr>
            <w:r>
              <w:rPr/>
              <w:t>Frailty</w:t>
            </w:r>
          </w:p>
        </w:tc>
        <w:tc>
          <w:tcPr>
            <w:tcW w:w="1526" w:type="dxa"/>
            <w:tcBorders/>
            <w:shd w:fill="auto" w:val="clear"/>
          </w:tcPr>
          <w:p>
            <w:pPr>
              <w:pStyle w:val="Compact"/>
              <w:spacing w:before="36" w:after="36"/>
              <w:jc w:val="right"/>
              <w:rPr/>
            </w:pPr>
            <w:r>
              <w:rPr/>
              <w:t>0.7781</w:t>
            </w:r>
          </w:p>
        </w:tc>
        <w:tc>
          <w:tcPr>
            <w:tcW w:w="1854" w:type="dxa"/>
            <w:tcBorders/>
            <w:shd w:fill="auto" w:val="clear"/>
          </w:tcPr>
          <w:p>
            <w:pPr>
              <w:pStyle w:val="Compact"/>
              <w:spacing w:before="36" w:after="36"/>
              <w:jc w:val="right"/>
              <w:rPr/>
            </w:pPr>
            <w:r>
              <w:rPr/>
              <w:t>-237.3</w:t>
            </w:r>
          </w:p>
        </w:tc>
        <w:tc>
          <w:tcPr>
            <w:tcW w:w="872" w:type="dxa"/>
            <w:tcBorders/>
            <w:shd w:fill="auto" w:val="clear"/>
          </w:tcPr>
          <w:p>
            <w:pPr>
              <w:pStyle w:val="Compact"/>
              <w:spacing w:before="36" w:after="36"/>
              <w:jc w:val="right"/>
              <w:rPr/>
            </w:pPr>
            <w:r>
              <w:rPr/>
              <w:t>476.6</w:t>
            </w:r>
          </w:p>
        </w:tc>
      </w:tr>
      <w:tr>
        <w:trPr/>
        <w:tc>
          <w:tcPr>
            <w:tcW w:w="3488" w:type="dxa"/>
            <w:tcBorders/>
            <w:shd w:fill="auto" w:val="clear"/>
          </w:tcPr>
          <w:p>
            <w:pPr>
              <w:pStyle w:val="Normal"/>
              <w:widowControl/>
              <w:suppressLineNumbers/>
              <w:overflowPunct w:val="true"/>
              <w:bidi w:val="0"/>
              <w:spacing w:lineRule="auto" w:line="480" w:before="0" w:after="200"/>
              <w:jc w:val="both"/>
              <w:rPr/>
            </w:pPr>
            <w:r>
              <w:rPr/>
            </w:r>
          </w:p>
        </w:tc>
        <w:tc>
          <w:tcPr>
            <w:tcW w:w="1526" w:type="dxa"/>
            <w:tcBorders/>
            <w:shd w:fill="auto" w:val="clear"/>
          </w:tcPr>
          <w:p>
            <w:pPr>
              <w:pStyle w:val="Compact"/>
              <w:spacing w:before="36" w:after="36"/>
              <w:jc w:val="right"/>
              <w:rPr/>
            </w:pPr>
            <w:r>
              <w:rPr/>
              <w:t>Patient Age</w:t>
            </w:r>
          </w:p>
        </w:tc>
        <w:tc>
          <w:tcPr>
            <w:tcW w:w="1526" w:type="dxa"/>
            <w:tcBorders/>
            <w:shd w:fill="auto" w:val="clear"/>
          </w:tcPr>
          <w:p>
            <w:pPr>
              <w:pStyle w:val="Compact"/>
              <w:spacing w:before="36" w:after="36"/>
              <w:jc w:val="right"/>
              <w:rPr/>
            </w:pPr>
            <w:r>
              <w:rPr/>
              <w:t>0.6937</w:t>
            </w:r>
          </w:p>
        </w:tc>
        <w:tc>
          <w:tcPr>
            <w:tcW w:w="1854" w:type="dxa"/>
            <w:tcBorders/>
            <w:shd w:fill="auto" w:val="clear"/>
          </w:tcPr>
          <w:p>
            <w:pPr>
              <w:pStyle w:val="Compact"/>
              <w:spacing w:before="36" w:after="36"/>
              <w:jc w:val="right"/>
              <w:rPr/>
            </w:pPr>
            <w:r>
              <w:rPr/>
              <w:t>-252.9</w:t>
            </w:r>
          </w:p>
        </w:tc>
        <w:tc>
          <w:tcPr>
            <w:tcW w:w="872" w:type="dxa"/>
            <w:tcBorders/>
            <w:shd w:fill="auto" w:val="clear"/>
          </w:tcPr>
          <w:p>
            <w:pPr>
              <w:pStyle w:val="Compact"/>
              <w:spacing w:before="36" w:after="36"/>
              <w:jc w:val="right"/>
              <w:rPr/>
            </w:pPr>
            <w:r>
              <w:rPr/>
              <w:t>507.8</w:t>
            </w:r>
          </w:p>
        </w:tc>
      </w:tr>
      <w:tr>
        <w:trPr/>
        <w:tc>
          <w:tcPr>
            <w:tcW w:w="3488" w:type="dxa"/>
            <w:tcBorders/>
            <w:shd w:fill="auto" w:val="clear"/>
          </w:tcPr>
          <w:p>
            <w:pPr>
              <w:pStyle w:val="Compact"/>
              <w:spacing w:before="36" w:after="36"/>
              <w:jc w:val="right"/>
              <w:rPr/>
            </w:pPr>
            <w:r>
              <w:rPr/>
              <w:t>Length of Stay</w:t>
            </w:r>
          </w:p>
        </w:tc>
        <w:tc>
          <w:tcPr>
            <w:tcW w:w="1526" w:type="dxa"/>
            <w:tcBorders/>
            <w:shd w:fill="auto" w:val="clear"/>
          </w:tcPr>
          <w:p>
            <w:pPr>
              <w:pStyle w:val="Compact"/>
              <w:spacing w:before="36" w:after="36"/>
              <w:jc w:val="right"/>
              <w:rPr/>
            </w:pPr>
            <w:r>
              <w:rPr/>
              <w:t>Frailty</w:t>
            </w:r>
          </w:p>
        </w:tc>
        <w:tc>
          <w:tcPr>
            <w:tcW w:w="1526" w:type="dxa"/>
            <w:tcBorders/>
            <w:shd w:fill="auto" w:val="clear"/>
          </w:tcPr>
          <w:p>
            <w:pPr>
              <w:pStyle w:val="Compact"/>
              <w:spacing w:before="36" w:after="36"/>
              <w:jc w:val="right"/>
              <w:rPr/>
            </w:pPr>
            <w:r>
              <w:rPr/>
              <w:t>0.6001</w:t>
            </w:r>
          </w:p>
        </w:tc>
        <w:tc>
          <w:tcPr>
            <w:tcW w:w="1854" w:type="dxa"/>
            <w:tcBorders/>
            <w:shd w:fill="auto" w:val="clear"/>
          </w:tcPr>
          <w:p>
            <w:pPr>
              <w:pStyle w:val="Compact"/>
              <w:spacing w:before="36" w:after="36"/>
              <w:jc w:val="right"/>
              <w:rPr/>
            </w:pPr>
            <w:r>
              <w:rPr/>
              <w:t>-3456</w:t>
            </w:r>
          </w:p>
        </w:tc>
        <w:tc>
          <w:tcPr>
            <w:tcW w:w="872" w:type="dxa"/>
            <w:tcBorders/>
            <w:shd w:fill="auto" w:val="clear"/>
          </w:tcPr>
          <w:p>
            <w:pPr>
              <w:pStyle w:val="Compact"/>
              <w:spacing w:before="36" w:after="36"/>
              <w:jc w:val="right"/>
              <w:rPr/>
            </w:pPr>
            <w:r>
              <w:rPr/>
              <w:t>6914</w:t>
            </w:r>
          </w:p>
        </w:tc>
      </w:tr>
      <w:tr>
        <w:trPr/>
        <w:tc>
          <w:tcPr>
            <w:tcW w:w="3488" w:type="dxa"/>
            <w:tcBorders/>
            <w:shd w:fill="auto" w:val="clear"/>
          </w:tcPr>
          <w:p>
            <w:pPr>
              <w:pStyle w:val="Normal"/>
              <w:widowControl/>
              <w:suppressLineNumbers/>
              <w:overflowPunct w:val="true"/>
              <w:bidi w:val="0"/>
              <w:spacing w:lineRule="auto" w:line="480" w:before="0" w:after="200"/>
              <w:jc w:val="both"/>
              <w:rPr/>
            </w:pPr>
            <w:r>
              <w:rPr/>
            </w:r>
          </w:p>
        </w:tc>
        <w:tc>
          <w:tcPr>
            <w:tcW w:w="1526" w:type="dxa"/>
            <w:tcBorders/>
            <w:shd w:fill="auto" w:val="clear"/>
          </w:tcPr>
          <w:p>
            <w:pPr>
              <w:pStyle w:val="Compact"/>
              <w:spacing w:before="36" w:after="36"/>
              <w:jc w:val="right"/>
              <w:rPr/>
            </w:pPr>
            <w:r>
              <w:rPr/>
              <w:t>Patient Age</w:t>
            </w:r>
          </w:p>
        </w:tc>
        <w:tc>
          <w:tcPr>
            <w:tcW w:w="1526" w:type="dxa"/>
            <w:tcBorders/>
            <w:shd w:fill="auto" w:val="clear"/>
          </w:tcPr>
          <w:p>
            <w:pPr>
              <w:pStyle w:val="Compact"/>
              <w:spacing w:before="36" w:after="36"/>
              <w:jc w:val="right"/>
              <w:rPr/>
            </w:pPr>
            <w:r>
              <w:rPr/>
              <w:t>0.5341</w:t>
            </w:r>
          </w:p>
        </w:tc>
        <w:tc>
          <w:tcPr>
            <w:tcW w:w="1854" w:type="dxa"/>
            <w:tcBorders/>
            <w:shd w:fill="auto" w:val="clear"/>
          </w:tcPr>
          <w:p>
            <w:pPr>
              <w:pStyle w:val="Compact"/>
              <w:spacing w:before="36" w:after="36"/>
              <w:jc w:val="right"/>
              <w:rPr/>
            </w:pPr>
            <w:r>
              <w:rPr/>
              <w:t>-3486</w:t>
            </w:r>
          </w:p>
        </w:tc>
        <w:tc>
          <w:tcPr>
            <w:tcW w:w="872" w:type="dxa"/>
            <w:tcBorders/>
            <w:shd w:fill="auto" w:val="clear"/>
          </w:tcPr>
          <w:p>
            <w:pPr>
              <w:pStyle w:val="Compact"/>
              <w:spacing w:before="36" w:after="36"/>
              <w:jc w:val="right"/>
              <w:rPr/>
            </w:pPr>
            <w:r>
              <w:rPr/>
              <w:t>6975</w:t>
            </w:r>
          </w:p>
        </w:tc>
      </w:tr>
    </w:tbl>
    <w:p>
      <w:pPr>
        <w:pStyle w:val="TextBody"/>
        <w:rPr/>
      </w:pPr>
      <w:r>
        <w:rPr/>
        <w:t>In Table 3 we compare the performance of EFI and age as predictors for each of the twelve outcomes. In all cases, the EFI models has a robustly lower AIC and log-likelihood than the respective patient-age models, as well as a higher concordance (in all cases greater than 0.7).</w:t>
      </w:r>
    </w:p>
    <w:p>
      <w:pPr>
        <w:pStyle w:val="TextBody"/>
        <w:rPr/>
      </w:pPr>
      <w:r>
        <w:rPr/>
        <w:t xml:space="preserve">In figures 1 a-k we show Kaplan-Meier plots for each of the outcomes stratified by whether EFI is greater than 0.19 (Frail=TRUE) or less (Frail=FALSE) (Stow </w:t>
      </w:r>
      <w:r>
        <w:rPr>
          <w:i/>
        </w:rPr>
        <w:t>et al.</w:t>
      </w:r>
      <w:r>
        <w:rPr/>
        <w:t xml:space="preserve">, 2018). </w:t>
      </w:r>
      <w:r>
        <w:rPr>
          <w:rStyle w:val="Note2self"/>
        </w:rPr>
        <w:t>[Let’s talk about whether to put length of stay here or aging paper]</w:t>
      </w:r>
    </w:p>
    <w:p>
      <w:pPr>
        <w:pStyle w:val="TextBody"/>
        <w:rPr/>
      </w:pPr>
      <w:r>
        <w:rPr/>
        <w:drawing>
          <wp:inline distT="0" distB="0" distL="114935" distR="114935">
            <wp:extent cx="4620260" cy="3696335"/>
            <wp:effectExtent l="0" t="0" r="0" b="0"/>
            <wp:docPr id="3" name="Picture" descr="Figure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1: -"/>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r>
        <w:rPr/>
        <w:drawing>
          <wp:inline distT="0" distB="0" distL="114935" distR="114935">
            <wp:extent cx="4620260" cy="3696335"/>
            <wp:effectExtent l="0" t="0" r="0" b="0"/>
            <wp:docPr id="4" name="Image1" descr="(#fig:kmpl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fig:kmplots) -"/>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r>
        <w:rPr/>
        <w:drawing>
          <wp:inline distT="0" distB="0" distL="114935" distR="114935">
            <wp:extent cx="4620260" cy="3696335"/>
            <wp:effectExtent l="0" t="0" r="0" b="0"/>
            <wp:docPr id="5" name="Image2" descr="(#fig:kmpl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fig:kmplots) -"/>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r>
        <w:rPr/>
        <w:drawing>
          <wp:inline distT="0" distB="0" distL="114935" distR="114935">
            <wp:extent cx="4620260" cy="3696335"/>
            <wp:effectExtent l="0" t="0" r="0" b="0"/>
            <wp:docPr id="6" name="Image3" descr="(#fig:kmpl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fig:kmplots) -"/>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r>
        <w:rPr/>
        <w:drawing>
          <wp:inline distT="0" distB="0" distL="114935" distR="114935">
            <wp:extent cx="4620260" cy="3696335"/>
            <wp:effectExtent l="0" t="0" r="0" b="0"/>
            <wp:docPr id="7" name="Image4" descr="(#fig:kmpl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fig:kmplots) -"/>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r>
        <w:rPr/>
        <w:drawing>
          <wp:inline distT="0" distB="0" distL="114935" distR="114935">
            <wp:extent cx="4620260" cy="3696335"/>
            <wp:effectExtent l="0" t="0" r="0" b="0"/>
            <wp:docPr id="8" name="Image5" descr="(#fig:kmpl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fig:kmplots) -"/>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r>
        <w:rPr/>
        <w:drawing>
          <wp:inline distT="0" distB="0" distL="114935" distR="114935">
            <wp:extent cx="4620260" cy="3696335"/>
            <wp:effectExtent l="0" t="0" r="0" b="0"/>
            <wp:docPr id="9" name="Image6" descr="(#fig:kmpl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fig:kmplots) -"/>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r>
        <w:rPr/>
        <w:drawing>
          <wp:inline distT="0" distB="0" distL="114935" distR="114935">
            <wp:extent cx="4620260" cy="3696335"/>
            <wp:effectExtent l="0" t="0" r="0" b="0"/>
            <wp:docPr id="10" name="Image7" descr="(#fig:kmpl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fig:kmplots) -"/>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r>
        <w:rPr/>
        <w:drawing>
          <wp:inline distT="0" distB="0" distL="114935" distR="114935">
            <wp:extent cx="4620260" cy="3696335"/>
            <wp:effectExtent l="0" t="0" r="0" b="0"/>
            <wp:docPr id="11" name="Image8" descr="(#fig:kmpl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fig:kmplots) -"/>
                    <pic:cNvPicPr>
                      <a:picLocks noChangeAspect="1" noChangeArrowheads="1"/>
                    </pic:cNvPicPr>
                  </pic:nvPicPr>
                  <pic:blipFill>
                    <a:blip r:embed="rId10"/>
                    <a:stretch>
                      <a:fillRect/>
                    </a:stretch>
                  </pic:blipFill>
                  <pic:spPr bwMode="auto">
                    <a:xfrm>
                      <a:off x="0" y="0"/>
                      <a:ext cx="4620260" cy="3696335"/>
                    </a:xfrm>
                    <a:prstGeom prst="rect">
                      <a:avLst/>
                    </a:prstGeom>
                  </pic:spPr>
                </pic:pic>
              </a:graphicData>
            </a:graphic>
          </wp:inline>
        </w:drawing>
      </w:r>
      <w:r>
        <w:rPr/>
        <w:drawing>
          <wp:inline distT="0" distB="0" distL="114935" distR="114935">
            <wp:extent cx="4620260" cy="3696335"/>
            <wp:effectExtent l="0" t="0" r="0" b="0"/>
            <wp:docPr id="12" name="Image9" descr="(#fig:kmpl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fig:kmplots) -"/>
                    <pic:cNvPicPr>
                      <a:picLocks noChangeAspect="1" noChangeArrowheads="1"/>
                    </pic:cNvPicPr>
                  </pic:nvPicPr>
                  <pic:blipFill>
                    <a:blip r:embed="rId11"/>
                    <a:stretch>
                      <a:fillRect/>
                    </a:stretch>
                  </pic:blipFill>
                  <pic:spPr bwMode="auto">
                    <a:xfrm>
                      <a:off x="0" y="0"/>
                      <a:ext cx="4620260" cy="3696335"/>
                    </a:xfrm>
                    <a:prstGeom prst="rect">
                      <a:avLst/>
                    </a:prstGeom>
                  </pic:spPr>
                </pic:pic>
              </a:graphicData>
            </a:graphic>
          </wp:inline>
        </w:drawing>
      </w:r>
      <w:r>
        <w:rPr/>
        <w:drawing>
          <wp:inline distT="0" distB="0" distL="114935" distR="114935">
            <wp:extent cx="4620260" cy="3696335"/>
            <wp:effectExtent l="0" t="0" r="0" b="0"/>
            <wp:docPr id="13" name="Image10" descr="(#fig:kmpl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fig:kmplots) -"/>
                    <pic:cNvPicPr>
                      <a:picLocks noChangeAspect="1" noChangeArrowheads="1"/>
                    </pic:cNvPicPr>
                  </pic:nvPicPr>
                  <pic:blipFill>
                    <a:blip r:embed="rId12"/>
                    <a:stretch>
                      <a:fillRect/>
                    </a:stretch>
                  </pic:blipFill>
                  <pic:spPr bwMode="auto">
                    <a:xfrm>
                      <a:off x="0" y="0"/>
                      <a:ext cx="4620260" cy="3696335"/>
                    </a:xfrm>
                    <a:prstGeom prst="rect">
                      <a:avLst/>
                    </a:prstGeom>
                  </pic:spPr>
                </pic:pic>
              </a:graphicData>
            </a:graphic>
          </wp:inline>
        </w:drawing>
      </w:r>
      <w:r>
        <w:rPr/>
        <w:drawing>
          <wp:inline distT="0" distB="0" distL="114935" distR="114935">
            <wp:extent cx="4620260" cy="3696335"/>
            <wp:effectExtent l="0" t="0" r="0" b="0"/>
            <wp:docPr id="14" name="Image11" descr="(#fig:kmpl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fig:kmplots) -"/>
                    <pic:cNvPicPr>
                      <a:picLocks noChangeAspect="1" noChangeArrowheads="1"/>
                    </pic:cNvPicPr>
                  </pic:nvPicPr>
                  <pic:blipFill>
                    <a:blip r:embed="rId13"/>
                    <a:stretch>
                      <a:fillRect/>
                    </a:stretch>
                  </pic:blipFill>
                  <pic:spPr bwMode="auto">
                    <a:xfrm>
                      <a:off x="0" y="0"/>
                      <a:ext cx="4620260" cy="3696335"/>
                    </a:xfrm>
                    <a:prstGeom prst="rect">
                      <a:avLst/>
                    </a:prstGeom>
                  </pic:spPr>
                </pic:pic>
              </a:graphicData>
            </a:graphic>
          </wp:inline>
        </w:drawing>
      </w:r>
      <w:bookmarkStart w:id="6" w:name="results"/>
      <w:bookmarkEnd w:id="6"/>
    </w:p>
    <w:p>
      <w:pPr>
        <w:pStyle w:val="Heading1"/>
        <w:rPr/>
      </w:pPr>
      <w:r>
        <w:rPr/>
        <w:t>Discussion</w:t>
      </w:r>
    </w:p>
    <w:p>
      <w:pPr>
        <w:pStyle w:val="FirstParagraph"/>
        <w:rPr/>
      </w:pPr>
      <w:r>
        <w:rPr/>
        <w:t>Our data shares the fundamental limitation of the EHR system from which it was obtained: like all EHR systems, it only has information that providers and coders put into it. Events taking place outside the health system or at un-connected health systems are not visible to our analysis. On the other hand, providers who rely on EHR systems at point of care are also working under these limitations on. The data we used is representative of this scenario, and despite the limitations EFI provides accurate predictions of poor patient outcomes. Because our implementation of the Rockwood index real EHR data, it is more directly transferable to clinical use than implementations based on curated registries. This suggests that EFI is most accurate for patients who have accumulated a reasonable in-system visit-history. Further work is needed to find a more precise relationship between the length of a patient’s visit-history and the accuracy of EFI and better distinguish genuinely non-frail patients from those who get most of their care outside the researchers’ health system.</w:t>
      </w:r>
    </w:p>
    <w:p>
      <w:pPr>
        <w:pStyle w:val="TextBody"/>
        <w:rPr/>
      </w:pPr>
      <w:r>
        <w:rPr/>
        <w:t xml:space="preserve">Assessing frailty helps clinicians identify high risk patients and tailor interventions to prevent health decline and poor outcomes. Currently available frailty assessment tools used in geriatric practice have good validity (for example Fried </w:t>
      </w:r>
      <w:r>
        <w:rPr>
          <w:i/>
        </w:rPr>
        <w:t>et al.</w:t>
      </w:r>
      <w:r>
        <w:rPr/>
        <w:t xml:space="preserve"> (2001)) but these are time intensive and often difficult to implement in a busy general practice. Because EFI can be calculated automatically it is more likely to be adopted by clinicians in a busy practice. Also, EFI can be calculated retroactively on historic records of patients who never received in-person assessments, giving a clearer picture of a health system’s overall performance. Furthermore, our version of the EFI algorithm can be made vendor-independent since it relies only on diagnoses, medications, lab codes, and vitals which are data in modern EHR systems. This, together with the fact that this algorithm is publicly available under an open-source license, is intended to facilitate adoption and enhancement by diverse health systems.</w:t>
      </w:r>
    </w:p>
    <w:p>
      <w:pPr>
        <w:pStyle w:val="Bnote2self"/>
        <w:rPr/>
      </w:pPr>
      <w:r>
        <w:rPr/>
        <w:t>Other possible points to cover:</w:t>
      </w:r>
    </w:p>
    <w:p>
      <w:pPr>
        <w:pStyle w:val="Compact"/>
        <w:numPr>
          <w:ilvl w:val="0"/>
          <w:numId w:val="4"/>
        </w:numPr>
        <w:rPr/>
      </w:pPr>
      <w:r>
        <w:rPr/>
        <w:t>Tie-in to implementation science</w:t>
      </w:r>
    </w:p>
    <w:p>
      <w:pPr>
        <w:pStyle w:val="Compact"/>
        <w:numPr>
          <w:ilvl w:val="0"/>
          <w:numId w:val="4"/>
        </w:numPr>
        <w:rPr/>
      </w:pPr>
      <w:r>
        <w:rPr/>
        <w:t xml:space="preserve">What agrees and what disagrees with previous work but from a more quantitative point of view than in the aging paper: distributions and prevalences compared to Southern </w:t>
      </w:r>
      <w:r>
        <w:rPr>
          <w:i/>
        </w:rPr>
        <w:t>et al.</w:t>
      </w:r>
      <w:r>
        <w:rPr/>
        <w:t xml:space="preserve"> (2017), Clegg </w:t>
      </w:r>
      <w:r>
        <w:rPr>
          <w:i/>
        </w:rPr>
        <w:t>et al.</w:t>
      </w:r>
      <w:r>
        <w:rPr/>
        <w:t xml:space="preserve"> (2016), Stow </w:t>
      </w:r>
      <w:r>
        <w:rPr>
          <w:i/>
        </w:rPr>
        <w:t>et al.</w:t>
      </w:r>
      <w:r>
        <w:rPr/>
        <w:t xml:space="preserve"> (2018), and Stow, Matthews and Hanratty (2018) (for trajectories, maybe).</w:t>
      </w:r>
    </w:p>
    <w:p>
      <w:pPr>
        <w:pStyle w:val="Compact"/>
        <w:numPr>
          <w:ilvl w:val="0"/>
          <w:numId w:val="4"/>
        </w:numPr>
        <w:rPr/>
      </w:pPr>
      <w:r>
        <w:rPr/>
        <w:t>Possibly examples from other industries of how open source software encourages collaboration and innovation, and that healthcare field lags in understanding how to leverage open source.</w:t>
      </w:r>
    </w:p>
    <w:p>
      <w:pPr>
        <w:pStyle w:val="Compact"/>
        <w:numPr>
          <w:ilvl w:val="0"/>
          <w:numId w:val="4"/>
        </w:numPr>
        <w:rPr/>
      </w:pPr>
      <w:r>
        <w:rPr/>
        <w:t>future work</w:t>
      </w:r>
    </w:p>
    <w:p>
      <w:pPr>
        <w:pStyle w:val="Compact"/>
        <w:numPr>
          <w:ilvl w:val="0"/>
          <w:numId w:val="4"/>
        </w:numPr>
        <w:rPr/>
      </w:pPr>
      <w:r>
        <w:rPr/>
        <w:t>theoretical and practical implications</w:t>
      </w:r>
      <w:bookmarkStart w:id="7" w:name="discussion"/>
      <w:bookmarkEnd w:id="7"/>
    </w:p>
    <w:p>
      <w:pPr>
        <w:pStyle w:val="Heading1"/>
        <w:rPr/>
      </w:pPr>
      <w:r>
        <w:rPr/>
        <w:t>Conclusions</w:t>
      </w:r>
    </w:p>
    <w:p>
      <w:pPr>
        <w:pStyle w:val="FirstParagraph"/>
        <w:rPr/>
      </w:pPr>
      <w:r>
        <w:rPr/>
        <w:t>TBD</w:t>
      </w:r>
      <w:bookmarkStart w:id="8" w:name="conclusions"/>
      <w:bookmarkEnd w:id="8"/>
    </w:p>
    <w:p>
      <w:pPr>
        <w:pStyle w:val="Heading1"/>
        <w:rPr/>
      </w:pPr>
      <w:r>
        <w:rPr/>
        <w:t>Acknowledgments</w:t>
      </w:r>
    </w:p>
    <w:p>
      <w:pPr>
        <w:pStyle w:val="FirstParagraph"/>
        <w:rPr/>
      </w:pPr>
      <w:r>
        <w:rPr/>
        <w:t>This work was supported by NIH/NCATS UL1TR001120 (AFB, KRS), the Long School of Medicine KL2 Award (AFB), …</w:t>
      </w:r>
      <w:bookmarkStart w:id="9" w:name="acknowledgments"/>
      <w:bookmarkEnd w:id="9"/>
    </w:p>
    <w:p>
      <w:pPr>
        <w:pStyle w:val="Heading1"/>
        <w:rPr/>
      </w:pPr>
      <w:r>
        <w:rPr/>
        <w:t>References</w:t>
      </w:r>
    </w:p>
    <w:p>
      <w:pPr>
        <w:pStyle w:val="Bibliography"/>
        <w:rPr/>
      </w:pPr>
      <w:r>
        <w:rPr/>
        <w:t xml:space="preserve">Clegg, A. </w:t>
      </w:r>
      <w:r>
        <w:rPr>
          <w:i/>
        </w:rPr>
        <w:t>et al.</w:t>
      </w:r>
      <w:r>
        <w:rPr/>
        <w:t xml:space="preserve"> (2016) ‘Development and validation of an electronic frailty index using routine primary care electronic health record data’, </w:t>
      </w:r>
      <w:r>
        <w:rPr>
          <w:i/>
        </w:rPr>
        <w:t>Age and Ageing</w:t>
      </w:r>
      <w:r>
        <w:rPr/>
        <w:t xml:space="preserve">, 45(3), pp. 353–360. doi: </w:t>
      </w:r>
      <w:hyperlink r:id="rId14">
        <w:r>
          <w:rPr>
            <w:rStyle w:val="ListLabel125"/>
          </w:rPr>
          <w:t>10.1093/ageing/afw039</w:t>
        </w:r>
      </w:hyperlink>
      <w:r>
        <w:rPr/>
        <w:t>.</w:t>
      </w:r>
      <w:bookmarkStart w:id="10" w:name="ref-clegg16a"/>
      <w:bookmarkEnd w:id="10"/>
    </w:p>
    <w:p>
      <w:pPr>
        <w:pStyle w:val="Bibliography"/>
        <w:rPr/>
      </w:pPr>
      <w:r>
        <w:rPr/>
        <w:t xml:space="preserve">Fried, L. P. </w:t>
      </w:r>
      <w:r>
        <w:rPr>
          <w:i/>
        </w:rPr>
        <w:t>et al.</w:t>
      </w:r>
      <w:r>
        <w:rPr/>
        <w:t xml:space="preserve"> (2001) ‘Frailty in older adults: Evidence for a phenotype’, </w:t>
      </w:r>
      <w:r>
        <w:rPr>
          <w:i/>
        </w:rPr>
        <w:t>The Journals of Gerontology Series A: Biological Sciences and Medical Sciences</w:t>
      </w:r>
      <w:r>
        <w:rPr/>
        <w:t xml:space="preserve">, 56(3), pp. M146–M157. doi: </w:t>
      </w:r>
      <w:hyperlink r:id="rId15">
        <w:r>
          <w:rPr>
            <w:rStyle w:val="ListLabel125"/>
          </w:rPr>
          <w:t>10.1093/gerona/56.3.M146</w:t>
        </w:r>
      </w:hyperlink>
      <w:r>
        <w:rPr/>
        <w:t>.</w:t>
      </w:r>
      <w:bookmarkStart w:id="11" w:name="ref-fried01a"/>
      <w:bookmarkEnd w:id="11"/>
    </w:p>
    <w:p>
      <w:pPr>
        <w:pStyle w:val="Bibliography"/>
        <w:rPr/>
      </w:pPr>
      <w:r>
        <w:rPr/>
        <w:t xml:space="preserve">Holm, S. (1979) ‘A simple sequentially rejective multiple test procedure.’, </w:t>
      </w:r>
      <w:r>
        <w:rPr>
          <w:i/>
        </w:rPr>
        <w:t>Scandinavian Journal of Statistics</w:t>
      </w:r>
      <w:r>
        <w:rPr/>
        <w:t>, 6, pp. 65–70.</w:t>
      </w:r>
      <w:bookmarkStart w:id="12" w:name="ref-holm79"/>
      <w:bookmarkEnd w:id="12"/>
    </w:p>
    <w:p>
      <w:pPr>
        <w:pStyle w:val="Bibliography"/>
        <w:rPr/>
      </w:pPr>
      <w:r>
        <w:rPr/>
        <w:t xml:space="preserve">Hoover, M. </w:t>
      </w:r>
      <w:r>
        <w:rPr>
          <w:i/>
        </w:rPr>
        <w:t>et al.</w:t>
      </w:r>
      <w:r>
        <w:rPr/>
        <w:t xml:space="preserve"> (2013) ‘Validation of an index to estimate the prevalence of frailty among community-dwelling seniors’, </w:t>
      </w:r>
      <w:r>
        <w:rPr>
          <w:i/>
        </w:rPr>
        <w:t>Health Reports</w:t>
      </w:r>
      <w:r>
        <w:rPr/>
        <w:t>, 24(9), pp. 10–17.</w:t>
      </w:r>
      <w:bookmarkStart w:id="13" w:name="ref-hoover13"/>
      <w:bookmarkEnd w:id="13"/>
    </w:p>
    <w:p>
      <w:pPr>
        <w:pStyle w:val="Bibliography"/>
        <w:rPr/>
      </w:pPr>
      <w:r>
        <w:rPr/>
        <w:t xml:space="preserve">Kulminski, A. M. </w:t>
      </w:r>
      <w:r>
        <w:rPr>
          <w:i/>
        </w:rPr>
        <w:t>et al.</w:t>
      </w:r>
      <w:r>
        <w:rPr/>
        <w:t xml:space="preserve"> (2008) ‘Cumulative Deficits Better Characterize Susceptibility to Death in Elderly People than Phenotypic Frailty: Lessons from the Cardiovascular Health Study: FRAILTY, CUMULATIVE DEFICITS, AND SURVIVAL’, </w:t>
      </w:r>
      <w:r>
        <w:rPr>
          <w:i/>
        </w:rPr>
        <w:t>Journal of the American Geriatrics Society</w:t>
      </w:r>
      <w:r>
        <w:rPr/>
        <w:t xml:space="preserve">, 56(5), pp. 898–903. doi: </w:t>
      </w:r>
      <w:hyperlink r:id="rId16">
        <w:r>
          <w:rPr>
            <w:rStyle w:val="ListLabel125"/>
          </w:rPr>
          <w:t>10.1111/j.1532-5415.2008.01656.x</w:t>
        </w:r>
      </w:hyperlink>
      <w:r>
        <w:rPr/>
        <w:t>.</w:t>
      </w:r>
      <w:bookmarkStart w:id="14" w:name="ref-kulminski08"/>
      <w:bookmarkEnd w:id="14"/>
    </w:p>
    <w:p>
      <w:pPr>
        <w:pStyle w:val="Bibliography"/>
        <w:rPr/>
      </w:pPr>
      <w:r>
        <w:rPr/>
        <w:t xml:space="preserve">Li, G. </w:t>
      </w:r>
      <w:r>
        <w:rPr>
          <w:i/>
        </w:rPr>
        <w:t>et al.</w:t>
      </w:r>
      <w:r>
        <w:rPr/>
        <w:t xml:space="preserve"> (2015) ‘Comparison between Frailty Index of Deficit Accumulation and Phenotypic Model to Predict Risk of Falls: Data from the Global Longitudinal Study of Osteoporosis in Women (GLOW) Hamilton Cohort’, </w:t>
      </w:r>
      <w:r>
        <w:rPr>
          <w:i/>
        </w:rPr>
        <w:t>PLOS ONE</w:t>
      </w:r>
      <w:r>
        <w:rPr/>
        <w:t xml:space="preserve">. Edited by A. M. Chamberlain, 10(3), p. e0120144. doi: </w:t>
      </w:r>
      <w:hyperlink r:id="rId17">
        <w:r>
          <w:rPr>
            <w:rStyle w:val="ListLabel125"/>
          </w:rPr>
          <w:t>10.1371/journal.pone.0120144</w:t>
        </w:r>
      </w:hyperlink>
      <w:r>
        <w:rPr/>
        <w:t>.</w:t>
      </w:r>
      <w:bookmarkStart w:id="15" w:name="ref-li15"/>
      <w:bookmarkEnd w:id="15"/>
    </w:p>
    <w:p>
      <w:pPr>
        <w:pStyle w:val="Bibliography"/>
        <w:rPr/>
      </w:pPr>
      <w:r>
        <w:rPr/>
        <w:t xml:space="preserve">Malmstrom, T. K., Miller, D. K. and Morley, J. E. (2014) ‘A Comparison of Four Frailty Models’, </w:t>
      </w:r>
      <w:r>
        <w:rPr>
          <w:i/>
        </w:rPr>
        <w:t>Journal of the American Geriatrics Society</w:t>
      </w:r>
      <w:r>
        <w:rPr/>
        <w:t xml:space="preserve">, 62(4), pp. 721–726. doi: </w:t>
      </w:r>
      <w:hyperlink r:id="rId18">
        <w:r>
          <w:rPr>
            <w:rStyle w:val="ListLabel125"/>
          </w:rPr>
          <w:t>10.1111/jgs.12735</w:t>
        </w:r>
      </w:hyperlink>
      <w:r>
        <w:rPr/>
        <w:t>.</w:t>
      </w:r>
      <w:bookmarkStart w:id="16" w:name="ref-malmstrom14"/>
      <w:bookmarkEnd w:id="16"/>
    </w:p>
    <w:p>
      <w:pPr>
        <w:pStyle w:val="Bibliography"/>
        <w:rPr/>
      </w:pPr>
      <w:r>
        <w:rPr/>
        <w:t xml:space="preserve">Mitnitski, A. B., Mogilner, A. J. and Rockwood, K. (2001) ‘Accumulation of Deficits as a Proxy Measure of Aging’, </w:t>
      </w:r>
      <w:r>
        <w:rPr>
          <w:i/>
        </w:rPr>
        <w:t>The Scientific World JOURNAL</w:t>
      </w:r>
      <w:r>
        <w:rPr/>
        <w:t xml:space="preserve">, 1, pp. 323–336. doi: </w:t>
      </w:r>
      <w:hyperlink r:id="rId19">
        <w:r>
          <w:rPr>
            <w:rStyle w:val="ListLabel125"/>
          </w:rPr>
          <w:t>10.1100/tsw.2001.58</w:t>
        </w:r>
      </w:hyperlink>
      <w:r>
        <w:rPr/>
        <w:t>.</w:t>
      </w:r>
      <w:bookmarkStart w:id="17" w:name="ref-mitnitski01a"/>
      <w:bookmarkEnd w:id="17"/>
    </w:p>
    <w:p>
      <w:pPr>
        <w:pStyle w:val="Bibliography"/>
        <w:rPr/>
      </w:pPr>
      <w:r>
        <w:rPr/>
        <w:t xml:space="preserve">Pajewski, N. M. </w:t>
      </w:r>
      <w:r>
        <w:rPr>
          <w:i/>
        </w:rPr>
        <w:t>et al.</w:t>
      </w:r>
      <w:r>
        <w:rPr/>
        <w:t xml:space="preserve"> (2019) ‘Frailty Screening Using the Electronic Health Record Within a Medicare Accountable Care Organization’, </w:t>
      </w:r>
      <w:r>
        <w:rPr>
          <w:i/>
        </w:rPr>
        <w:t>The Journals of Gerontology: Series A</w:t>
      </w:r>
      <w:r>
        <w:rPr/>
        <w:t xml:space="preserve">. Edited by A. Newman, 74(11), pp. 1771–1777. doi: </w:t>
      </w:r>
      <w:hyperlink r:id="rId20">
        <w:r>
          <w:rPr>
            <w:rStyle w:val="ListLabel125"/>
          </w:rPr>
          <w:t>10.1093/gerona/glz017</w:t>
        </w:r>
      </w:hyperlink>
      <w:r>
        <w:rPr/>
        <w:t>.</w:t>
      </w:r>
      <w:bookmarkStart w:id="18" w:name="ref-pajewski19"/>
      <w:bookmarkEnd w:id="18"/>
    </w:p>
    <w:p>
      <w:pPr>
        <w:pStyle w:val="Bibliography"/>
        <w:rPr/>
      </w:pPr>
      <w:r>
        <w:rPr/>
        <w:t xml:space="preserve">Rockwood, K. (2005) ‘A global clinical measure of fitness and frailty in elderly people’, </w:t>
      </w:r>
      <w:r>
        <w:rPr>
          <w:i/>
        </w:rPr>
        <w:t>Canadian Medical Association Journal</w:t>
      </w:r>
      <w:r>
        <w:rPr/>
        <w:t xml:space="preserve">, 173(5), pp. 489–495. doi: </w:t>
      </w:r>
      <w:hyperlink r:id="rId21">
        <w:r>
          <w:rPr>
            <w:rStyle w:val="ListLabel125"/>
          </w:rPr>
          <w:t>10.1503/cmaj.050051</w:t>
        </w:r>
      </w:hyperlink>
      <w:r>
        <w:rPr/>
        <w:t>.</w:t>
      </w:r>
      <w:bookmarkStart w:id="19" w:name="ref-rockwood05"/>
      <w:bookmarkEnd w:id="19"/>
    </w:p>
    <w:p>
      <w:pPr>
        <w:pStyle w:val="Bibliography"/>
        <w:rPr/>
      </w:pPr>
      <w:r>
        <w:rPr/>
        <w:t xml:space="preserve">Rockwood, K. and Mitnitski, A. (2007) ‘Frailty in Relation to the Accumulation of Deficits’, </w:t>
      </w:r>
      <w:r>
        <w:rPr>
          <w:i/>
        </w:rPr>
        <w:t>The Journals of Gerontology Series A: Biological Sciences and Medical Sciences</w:t>
      </w:r>
      <w:r>
        <w:rPr/>
        <w:t xml:space="preserve">, 62(7), pp. 722–727. doi: </w:t>
      </w:r>
      <w:hyperlink r:id="rId22">
        <w:r>
          <w:rPr>
            <w:rStyle w:val="ListLabel125"/>
          </w:rPr>
          <w:t>10.1093/gerona/62.7.722</w:t>
        </w:r>
      </w:hyperlink>
      <w:r>
        <w:rPr/>
        <w:t>.</w:t>
      </w:r>
      <w:bookmarkStart w:id="20" w:name="ref-rockwood07"/>
      <w:bookmarkEnd w:id="20"/>
    </w:p>
    <w:p>
      <w:pPr>
        <w:pStyle w:val="Bibliography"/>
        <w:rPr/>
      </w:pPr>
      <w:r>
        <w:rPr/>
        <w:t xml:space="preserve">Rockwood, K. </w:t>
      </w:r>
      <w:r>
        <w:rPr>
          <w:i/>
        </w:rPr>
        <w:t>et al.</w:t>
      </w:r>
      <w:r>
        <w:rPr/>
        <w:t xml:space="preserve"> (2006) ‘Long-Term Risks of Death and Institutionalization of Elderly People in Relation to Deficit Accumulation at Age 70: LONG-TERM RISK OF DEATH DEFINED BY AGE 70’, </w:t>
      </w:r>
      <w:r>
        <w:rPr>
          <w:i/>
        </w:rPr>
        <w:t>Journal of the American Geriatrics Society</w:t>
      </w:r>
      <w:r>
        <w:rPr/>
        <w:t xml:space="preserve">, 54(6), pp. 975–979. doi: </w:t>
      </w:r>
      <w:hyperlink r:id="rId23">
        <w:r>
          <w:rPr>
            <w:rStyle w:val="ListLabel125"/>
          </w:rPr>
          <w:t>10.1111/j.1532-5415.2006.00738.x</w:t>
        </w:r>
      </w:hyperlink>
      <w:r>
        <w:rPr/>
        <w:t>.</w:t>
      </w:r>
      <w:bookmarkStart w:id="21" w:name="ref-rockwood06"/>
      <w:bookmarkEnd w:id="21"/>
    </w:p>
    <w:p>
      <w:pPr>
        <w:pStyle w:val="Bibliography"/>
        <w:rPr/>
      </w:pPr>
      <w:r>
        <w:rPr/>
        <w:t xml:space="preserve">Searle, S. D. </w:t>
      </w:r>
      <w:r>
        <w:rPr>
          <w:i/>
        </w:rPr>
        <w:t>et al.</w:t>
      </w:r>
      <w:r>
        <w:rPr/>
        <w:t xml:space="preserve"> (2008) ‘A standard procedure for creating a frailty index’, </w:t>
      </w:r>
      <w:r>
        <w:rPr>
          <w:i/>
        </w:rPr>
        <w:t>BMC Geriatrics</w:t>
      </w:r>
      <w:r>
        <w:rPr/>
        <w:t xml:space="preserve">, 8(1). doi: </w:t>
      </w:r>
      <w:hyperlink r:id="rId24">
        <w:r>
          <w:rPr>
            <w:rStyle w:val="ListLabel125"/>
          </w:rPr>
          <w:t>10.1186/1471-2318-8-24</w:t>
        </w:r>
      </w:hyperlink>
      <w:r>
        <w:rPr/>
        <w:t>.</w:t>
      </w:r>
      <w:bookmarkStart w:id="22" w:name="ref-searle08a"/>
      <w:bookmarkEnd w:id="22"/>
    </w:p>
    <w:p>
      <w:pPr>
        <w:pStyle w:val="Bibliography"/>
        <w:rPr/>
      </w:pPr>
      <w:r>
        <w:rPr/>
        <w:t xml:space="preserve">Song, X., Mitnitski, A. and Rockwood, K. (2010) ‘Prevalence and 10-year outcomes of frailty in older adults in relation to deficit accumulation’, </w:t>
      </w:r>
      <w:r>
        <w:rPr>
          <w:i/>
        </w:rPr>
        <w:t>Journal of the American Geriatrics Society</w:t>
      </w:r>
      <w:r>
        <w:rPr/>
        <w:t xml:space="preserve">, 58(4), pp. 681–687. doi: </w:t>
      </w:r>
      <w:hyperlink r:id="rId25">
        <w:r>
          <w:rPr>
            <w:rStyle w:val="ListLabel125"/>
          </w:rPr>
          <w:t>10.1111/j.1532-5415.2010.02764.x</w:t>
        </w:r>
      </w:hyperlink>
      <w:r>
        <w:rPr/>
        <w:t>.</w:t>
      </w:r>
      <w:bookmarkStart w:id="23" w:name="ref-song10"/>
      <w:bookmarkEnd w:id="23"/>
    </w:p>
    <w:p>
      <w:pPr>
        <w:pStyle w:val="Bibliography"/>
        <w:rPr/>
      </w:pPr>
      <w:r>
        <w:rPr/>
        <w:t xml:space="preserve">Southern, D. A. </w:t>
      </w:r>
      <w:r>
        <w:rPr>
          <w:i/>
        </w:rPr>
        <w:t>et al.</w:t>
      </w:r>
      <w:r>
        <w:rPr/>
        <w:t xml:space="preserve"> (2017) ‘Deriving ICD-10 Codes for Patient Safety Indicators for Large-scale Surveillance Using Administrative Hospital Data:’ </w:t>
      </w:r>
      <w:r>
        <w:rPr>
          <w:i/>
        </w:rPr>
        <w:t>Medical Care</w:t>
      </w:r>
      <w:r>
        <w:rPr/>
        <w:t xml:space="preserve">, 55(3), pp. 252–260. doi: </w:t>
      </w:r>
      <w:hyperlink r:id="rId26">
        <w:r>
          <w:rPr>
            <w:rStyle w:val="ListLabel125"/>
          </w:rPr>
          <w:t>10.1097/MLR.0000000000000649</w:t>
        </w:r>
      </w:hyperlink>
      <w:r>
        <w:rPr/>
        <w:t>.</w:t>
      </w:r>
      <w:bookmarkStart w:id="24" w:name="ref-southern17"/>
      <w:bookmarkEnd w:id="24"/>
    </w:p>
    <w:p>
      <w:pPr>
        <w:pStyle w:val="Bibliography"/>
        <w:rPr/>
      </w:pPr>
      <w:r>
        <w:rPr/>
        <w:t xml:space="preserve">Stow, D. </w:t>
      </w:r>
      <w:r>
        <w:rPr>
          <w:i/>
        </w:rPr>
        <w:t>et al.</w:t>
      </w:r>
      <w:r>
        <w:rPr/>
        <w:t xml:space="preserve"> (2018) ‘Evaluating frailty scores to predict mortality in older adults using data from population based electronic health records: Case control study’, </w:t>
      </w:r>
      <w:r>
        <w:rPr>
          <w:i/>
        </w:rPr>
        <w:t>Age and Ageing</w:t>
      </w:r>
      <w:r>
        <w:rPr/>
        <w:t xml:space="preserve">, 47(4), pp. 564–569. doi: </w:t>
      </w:r>
      <w:hyperlink r:id="rId27">
        <w:r>
          <w:rPr>
            <w:rStyle w:val="ListLabel125"/>
          </w:rPr>
          <w:t>10.1093/ageing/afy022</w:t>
        </w:r>
      </w:hyperlink>
      <w:r>
        <w:rPr/>
        <w:t>.</w:t>
      </w:r>
      <w:bookmarkStart w:id="25" w:name="ref-stow18"/>
      <w:bookmarkEnd w:id="25"/>
    </w:p>
    <w:p>
      <w:pPr>
        <w:pStyle w:val="Bibliography"/>
        <w:spacing w:lineRule="auto" w:line="480" w:before="0" w:after="200"/>
        <w:jc w:val="both"/>
        <w:rPr/>
      </w:pPr>
      <w:r>
        <w:rPr/>
        <w:t xml:space="preserve">Stow, D., Matthews, F. E. and Hanratty, B. (2018) ‘Frailty trajectories to identify end of life: A longitudinal population-based study’, </w:t>
      </w:r>
      <w:r>
        <w:rPr>
          <w:i/>
        </w:rPr>
        <w:t>BMC Medicine</w:t>
      </w:r>
      <w:r>
        <w:rPr/>
        <w:t xml:space="preserve">, 16(1), p. 171. doi: </w:t>
      </w:r>
      <w:hyperlink r:id="rId28">
        <w:r>
          <w:rPr>
            <w:rStyle w:val="ListLabel125"/>
          </w:rPr>
          <w:t>10.1186/s12916-018-1148-x</w:t>
        </w:r>
      </w:hyperlink>
      <w:r>
        <w:rPr/>
        <w:t>.</w:t>
      </w:r>
    </w:p>
    <w:sectPr>
      <w:type w:val="nextPage"/>
      <w:pgSz w:w="12240" w:h="15840"/>
      <w:pgMar w:left="1440" w:right="1440" w:header="0" w:top="1080" w:footer="0" w:bottom="1080" w:gutter="0"/>
      <w:lnNumType w:countBy="1" w:restart="continuous" w:distance="283"/>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ourier">
    <w:altName w:val="Courier New"/>
    <w:charset w:val="01"/>
    <w:family w:val="roman"/>
    <w:pitch w:val="variable"/>
  </w:font>
  <w:font w:name="Consolas">
    <w:charset w:val="01"/>
    <w:family w:val="roman"/>
    <w:pitch w:val="variable"/>
  </w:font>
  <w:font w:name="OpenSymbol">
    <w:altName w:val="Arial Unicode MS"/>
    <w:charset w:val="01"/>
    <w:family w:val="roman"/>
    <w:pitch w:val="variable"/>
  </w:font>
  <w:font w:name="Calibr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 w:val="20"/>
        <w:lang w:val="en-US" w:eastAsia="zh-CN" w:bidi="hi-IN"/>
      </w:rPr>
    </w:rPrDefault>
    <w:pPrDefault>
      <w:pPr/>
    </w:pPrDefault>
  </w:docDefaults>
  <w:style w:type="paragraph" w:styleId="Normal">
    <w:name w:val="Normal"/>
    <w:qFormat/>
    <w:pPr>
      <w:widowControl/>
      <w:suppressLineNumbers/>
      <w:overflowPunct w:val="true"/>
      <w:bidi w:val="0"/>
      <w:spacing w:lineRule="auto" w:line="480" w:before="0" w:after="200"/>
      <w:jc w:val="both"/>
    </w:pPr>
    <w:rPr>
      <w:rFonts w:ascii="Times New Roman" w:hAnsi="Times New Roman" w:eastAsia="Cambria" w:cs="DejaVu Sans"/>
      <w:color w:val="00000A"/>
      <w:kern w:val="0"/>
      <w:sz w:val="24"/>
      <w:szCs w:val="24"/>
      <w:lang w:val="en-US" w:eastAsia="en-US" w:bidi="ar-SA"/>
    </w:rPr>
  </w:style>
  <w:style w:type="paragraph" w:styleId="Heading1">
    <w:name w:val="Heading 1"/>
    <w:basedOn w:val="Normal"/>
    <w:qFormat/>
    <w:pPr>
      <w:keepNext w:val="true"/>
      <w:keepLines/>
      <w:spacing w:lineRule="auto" w:line="480" w:before="480" w:after="0"/>
      <w:outlineLvl w:val="0"/>
    </w:pPr>
    <w:rPr>
      <w:rFonts w:ascii="Times New Roman" w:hAnsi="Times New Roman" w:eastAsia="Cambria" w:cs="DejaVu Sans"/>
      <w:b/>
      <w:bCs/>
      <w:sz w:val="32"/>
      <w:szCs w:val="32"/>
    </w:rPr>
  </w:style>
  <w:style w:type="paragraph" w:styleId="Heading2">
    <w:name w:val="Heading 2"/>
    <w:basedOn w:val="Normal"/>
    <w:qFormat/>
    <w:pPr>
      <w:keepNext w:val="true"/>
      <w:keepLines/>
      <w:spacing w:lineRule="auto" w:line="480" w:before="200" w:after="0"/>
      <w:jc w:val="both"/>
      <w:outlineLvl w:val="1"/>
    </w:pPr>
    <w:rPr>
      <w:rFonts w:ascii="Times New Roman" w:hAnsi="Times New Roman" w:eastAsia="Cambria" w:cs="DejaVu Sans"/>
      <w:b/>
      <w:bCs/>
      <w:sz w:val="28"/>
      <w:szCs w:val="32"/>
    </w:rPr>
  </w:style>
  <w:style w:type="paragraph" w:styleId="Heading3">
    <w:name w:val="Heading 3"/>
    <w:basedOn w:val="Normal"/>
    <w:qFormat/>
    <w:pPr>
      <w:keepNext w:val="true"/>
      <w:keepLines/>
      <w:spacing w:before="200" w:after="0"/>
      <w:outlineLvl w:val="2"/>
    </w:pPr>
    <w:rPr>
      <w:rFonts w:ascii="Times New Roman" w:hAnsi="Times New Roman" w:eastAsia="Cambria" w:cs="DejaVu Sans"/>
      <w:b/>
      <w:bCs/>
      <w:color w:val="auto"/>
      <w:sz w:val="28"/>
      <w:szCs w:val="28"/>
    </w:rPr>
  </w:style>
  <w:style w:type="paragraph" w:styleId="Heading4">
    <w:name w:val="Heading 4"/>
    <w:basedOn w:val="Normal"/>
    <w:qFormat/>
    <w:pPr>
      <w:keepNext w:val="true"/>
      <w:keepLines/>
      <w:spacing w:before="200" w:after="0"/>
      <w:outlineLvl w:val="3"/>
    </w:pPr>
    <w:rPr>
      <w:rFonts w:ascii="Times New Roman" w:hAnsi="Times New Roman" w:eastAsia="Cambria" w:cs="DejaVu Sans"/>
      <w:b/>
      <w:bCs/>
      <w:color w:val="auto"/>
    </w:rPr>
  </w:style>
  <w:style w:type="paragraph" w:styleId="Heading5">
    <w:name w:val="Heading 5"/>
    <w:basedOn w:val="Normal"/>
    <w:qFormat/>
    <w:pPr>
      <w:keepNext w:val="true"/>
      <w:keepLines/>
      <w:spacing w:before="200" w:after="0"/>
      <w:outlineLvl w:val="4"/>
    </w:pPr>
    <w:rPr>
      <w:rFonts w:ascii="Times New Roman" w:hAnsi="Times New Roman" w:eastAsia="Cambria" w:cs="DejaVu Sans"/>
      <w:i/>
      <w:iCs/>
      <w:color w:val="auto"/>
    </w:rPr>
  </w:style>
  <w:style w:type="paragraph" w:styleId="Heading6">
    <w:name w:val="Heading 6"/>
    <w:basedOn w:val="Normal"/>
    <w:qFormat/>
    <w:pPr>
      <w:keepNext w:val="true"/>
      <w:keepLines/>
      <w:spacing w:before="200" w:after="0"/>
      <w:outlineLvl w:val="5"/>
    </w:pPr>
    <w:rPr>
      <w:rFonts w:ascii="Times New Roman" w:hAnsi="Times New Roman" w:eastAsia="Cambria" w:cs="DejaVu Sans"/>
      <w:color w:val="auto"/>
    </w:rPr>
  </w:style>
  <w:style w:type="character" w:styleId="DefaultParagraphFont">
    <w:name w:val="Default Paragraph Font"/>
    <w:qFormat/>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CaptionChar">
    <w:name w:val="Caption Char"/>
    <w:basedOn w:val="DefaultParagraphFont"/>
    <w:qFormat/>
    <w:rPr/>
  </w:style>
  <w:style w:type="character" w:styleId="InternetLink">
    <w:name w:val="Internet Link"/>
    <w:basedOn w:val="CaptionChar"/>
    <w:rPr>
      <w:rFonts w:ascii="Times New Roman" w:hAnsi="Times New Roman" w:eastAsia="Cambria"/>
      <w:color w:val="1F497D"/>
    </w:rPr>
  </w:style>
  <w:style w:type="character" w:styleId="Linenumber">
    <w:name w:val="line number"/>
    <w:basedOn w:val="DefaultParagraphFont"/>
    <w:qFormat/>
    <w:rPr/>
  </w:style>
  <w:style w:type="character" w:styleId="VerbatimChar">
    <w:name w:val="Verbatim Char"/>
    <w:basedOn w:val="CaptionChar"/>
    <w:qFormat/>
    <w:rPr>
      <w:rFonts w:ascii="Courier" w:hAnsi="Courier" w:eastAsia="Cambria"/>
      <w:sz w:val="22"/>
    </w:rPr>
  </w:style>
  <w:style w:type="character" w:styleId="KeywordTok">
    <w:name w:val="KeywordTok"/>
    <w:basedOn w:val="VerbatimChar"/>
    <w:qFormat/>
    <w:rPr>
      <w:rFonts w:ascii="Consolas" w:hAnsi="Consolas"/>
      <w:b/>
      <w:color w:val="007020"/>
      <w:sz w:val="22"/>
    </w:rPr>
  </w:style>
  <w:style w:type="character" w:styleId="DataTypeTok">
    <w:name w:val="DataTypeTok"/>
    <w:basedOn w:val="VerbatimChar"/>
    <w:qFormat/>
    <w:rPr>
      <w:rFonts w:ascii="Consolas" w:hAnsi="Consolas"/>
      <w:color w:val="902000"/>
      <w:sz w:val="22"/>
    </w:rPr>
  </w:style>
  <w:style w:type="character" w:styleId="DecValTok">
    <w:name w:val="DecValTok"/>
    <w:basedOn w:val="VerbatimChar"/>
    <w:qFormat/>
    <w:rPr>
      <w:rFonts w:ascii="Consolas" w:hAnsi="Consolas"/>
      <w:color w:val="40A070"/>
      <w:sz w:val="22"/>
    </w:rPr>
  </w:style>
  <w:style w:type="character" w:styleId="BaseNTok">
    <w:name w:val="BaseNTok"/>
    <w:basedOn w:val="VerbatimChar"/>
    <w:qFormat/>
    <w:rPr>
      <w:rFonts w:ascii="Consolas" w:hAnsi="Consolas"/>
      <w:color w:val="40A070"/>
      <w:sz w:val="22"/>
    </w:rPr>
  </w:style>
  <w:style w:type="character" w:styleId="FloatTok">
    <w:name w:val="FloatTok"/>
    <w:basedOn w:val="VerbatimChar"/>
    <w:qFormat/>
    <w:rPr>
      <w:rFonts w:ascii="Consolas" w:hAnsi="Consolas"/>
      <w:color w:val="40A070"/>
      <w:sz w:val="22"/>
    </w:rPr>
  </w:style>
  <w:style w:type="character" w:styleId="ConstantTok">
    <w:name w:val="ConstantTok"/>
    <w:basedOn w:val="VerbatimChar"/>
    <w:qFormat/>
    <w:rPr>
      <w:rFonts w:ascii="Consolas" w:hAnsi="Consolas"/>
      <w:color w:val="880000"/>
      <w:sz w:val="22"/>
    </w:rPr>
  </w:style>
  <w:style w:type="character" w:styleId="CharTok">
    <w:name w:val="CharTok"/>
    <w:basedOn w:val="VerbatimChar"/>
    <w:qFormat/>
    <w:rPr>
      <w:rFonts w:ascii="Consolas" w:hAnsi="Consolas"/>
      <w:color w:val="4070A0"/>
      <w:sz w:val="22"/>
    </w:rPr>
  </w:style>
  <w:style w:type="character" w:styleId="SpecialCharTok">
    <w:name w:val="SpecialCharTok"/>
    <w:basedOn w:val="VerbatimChar"/>
    <w:qFormat/>
    <w:rPr>
      <w:rFonts w:ascii="Consolas" w:hAnsi="Consolas"/>
      <w:color w:val="4070A0"/>
      <w:sz w:val="22"/>
    </w:rPr>
  </w:style>
  <w:style w:type="character" w:styleId="StringTok">
    <w:name w:val="StringTok"/>
    <w:basedOn w:val="VerbatimChar"/>
    <w:qFormat/>
    <w:rPr>
      <w:rFonts w:ascii="Consolas" w:hAnsi="Consolas"/>
      <w:color w:val="4070A0"/>
      <w:sz w:val="22"/>
    </w:rPr>
  </w:style>
  <w:style w:type="character" w:styleId="VerbatimStringTok">
    <w:name w:val="VerbatimStringTok"/>
    <w:basedOn w:val="VerbatimChar"/>
    <w:qFormat/>
    <w:rPr>
      <w:rFonts w:ascii="Consolas" w:hAnsi="Consolas"/>
      <w:color w:val="4070A0"/>
      <w:sz w:val="22"/>
    </w:rPr>
  </w:style>
  <w:style w:type="character" w:styleId="SpecialStringTok">
    <w:name w:val="SpecialStringTok"/>
    <w:basedOn w:val="VerbatimChar"/>
    <w:qFormat/>
    <w:rPr>
      <w:rFonts w:ascii="Consolas" w:hAnsi="Consolas"/>
      <w:color w:val="BB6688"/>
      <w:sz w:val="22"/>
    </w:rPr>
  </w:style>
  <w:style w:type="character" w:styleId="ImportTok">
    <w:name w:val="ImportTok"/>
    <w:basedOn w:val="VerbatimChar"/>
    <w:qFormat/>
    <w:rPr>
      <w:rFonts w:ascii="Consolas" w:hAnsi="Consolas"/>
      <w:sz w:val="22"/>
    </w:rPr>
  </w:style>
  <w:style w:type="character" w:styleId="CommentTok">
    <w:name w:val="CommentTok"/>
    <w:basedOn w:val="VerbatimChar"/>
    <w:qFormat/>
    <w:rPr>
      <w:rFonts w:ascii="Consolas" w:hAnsi="Consolas"/>
      <w:i/>
      <w:color w:val="60A0B0"/>
      <w:sz w:val="22"/>
    </w:rPr>
  </w:style>
  <w:style w:type="character" w:styleId="DocumentationTok">
    <w:name w:val="DocumentationTok"/>
    <w:basedOn w:val="VerbatimChar"/>
    <w:qFormat/>
    <w:rPr>
      <w:rFonts w:ascii="Consolas" w:hAnsi="Consolas"/>
      <w:i/>
      <w:color w:val="BA2121"/>
      <w:sz w:val="22"/>
    </w:rPr>
  </w:style>
  <w:style w:type="character" w:styleId="AnnotationTok">
    <w:name w:val="AnnotationTok"/>
    <w:basedOn w:val="VerbatimChar"/>
    <w:qFormat/>
    <w:rPr>
      <w:rFonts w:ascii="Consolas" w:hAnsi="Consolas"/>
      <w:b/>
      <w:i/>
      <w:color w:val="60A0B0"/>
      <w:sz w:val="22"/>
    </w:rPr>
  </w:style>
  <w:style w:type="character" w:styleId="CommentVarTok">
    <w:name w:val="CommentVarTok"/>
    <w:basedOn w:val="VerbatimChar"/>
    <w:qFormat/>
    <w:rPr>
      <w:rFonts w:ascii="Consolas" w:hAnsi="Consolas"/>
      <w:b/>
      <w:i/>
      <w:color w:val="60A0B0"/>
      <w:sz w:val="22"/>
    </w:rPr>
  </w:style>
  <w:style w:type="character" w:styleId="OtherTok">
    <w:name w:val="OtherTok"/>
    <w:basedOn w:val="VerbatimChar"/>
    <w:qFormat/>
    <w:rPr>
      <w:rFonts w:ascii="Consolas" w:hAnsi="Consolas"/>
      <w:color w:val="007020"/>
      <w:sz w:val="22"/>
    </w:rPr>
  </w:style>
  <w:style w:type="character" w:styleId="FunctionTok">
    <w:name w:val="FunctionTok"/>
    <w:basedOn w:val="VerbatimChar"/>
    <w:qFormat/>
    <w:rPr>
      <w:rFonts w:ascii="Consolas" w:hAnsi="Consolas"/>
      <w:color w:val="06287E"/>
      <w:sz w:val="22"/>
    </w:rPr>
  </w:style>
  <w:style w:type="character" w:styleId="VariableTok">
    <w:name w:val="VariableTok"/>
    <w:basedOn w:val="VerbatimChar"/>
    <w:qFormat/>
    <w:rPr>
      <w:rFonts w:ascii="Consolas" w:hAnsi="Consolas"/>
      <w:color w:val="19177C"/>
      <w:sz w:val="22"/>
    </w:rPr>
  </w:style>
  <w:style w:type="character" w:styleId="ControlFlowTok">
    <w:name w:val="ControlFlowTok"/>
    <w:basedOn w:val="VerbatimChar"/>
    <w:qFormat/>
    <w:rPr>
      <w:rFonts w:ascii="Consolas" w:hAnsi="Consolas"/>
      <w:b/>
      <w:color w:val="007020"/>
      <w:sz w:val="22"/>
    </w:rPr>
  </w:style>
  <w:style w:type="character" w:styleId="OperatorTok">
    <w:name w:val="OperatorTok"/>
    <w:basedOn w:val="VerbatimChar"/>
    <w:qFormat/>
    <w:rPr>
      <w:rFonts w:ascii="Consolas" w:hAnsi="Consolas"/>
      <w:color w:val="666666"/>
      <w:sz w:val="22"/>
    </w:rPr>
  </w:style>
  <w:style w:type="character" w:styleId="BuiltInTok">
    <w:name w:val="BuiltInTok"/>
    <w:basedOn w:val="VerbatimChar"/>
    <w:qFormat/>
    <w:rPr>
      <w:rFonts w:ascii="Consolas" w:hAnsi="Consolas"/>
      <w:sz w:val="22"/>
    </w:rPr>
  </w:style>
  <w:style w:type="character" w:styleId="ExtensionTok">
    <w:name w:val="ExtensionTok"/>
    <w:basedOn w:val="VerbatimChar"/>
    <w:qFormat/>
    <w:rPr>
      <w:rFonts w:ascii="Consolas" w:hAnsi="Consolas"/>
      <w:sz w:val="22"/>
    </w:rPr>
  </w:style>
  <w:style w:type="character" w:styleId="PreprocessorTok">
    <w:name w:val="PreprocessorTok"/>
    <w:basedOn w:val="VerbatimChar"/>
    <w:qFormat/>
    <w:rPr>
      <w:rFonts w:ascii="Consolas" w:hAnsi="Consolas"/>
      <w:color w:val="BC7A00"/>
      <w:sz w:val="22"/>
    </w:rPr>
  </w:style>
  <w:style w:type="character" w:styleId="AttributeTok">
    <w:name w:val="AttributeTok"/>
    <w:basedOn w:val="VerbatimChar"/>
    <w:qFormat/>
    <w:rPr>
      <w:rFonts w:ascii="Consolas" w:hAnsi="Consolas"/>
      <w:color w:val="7D9029"/>
      <w:sz w:val="22"/>
    </w:rPr>
  </w:style>
  <w:style w:type="character" w:styleId="RegionMarkerTok">
    <w:name w:val="RegionMarkerTok"/>
    <w:basedOn w:val="VerbatimChar"/>
    <w:qFormat/>
    <w:rPr>
      <w:rFonts w:ascii="Consolas" w:hAnsi="Consolas"/>
      <w:sz w:val="22"/>
    </w:rPr>
  </w:style>
  <w:style w:type="character" w:styleId="InformationTok">
    <w:name w:val="InformationTok"/>
    <w:basedOn w:val="VerbatimChar"/>
    <w:qFormat/>
    <w:rPr>
      <w:rFonts w:ascii="Consolas" w:hAnsi="Consolas"/>
      <w:b/>
      <w:i/>
      <w:color w:val="60A0B0"/>
      <w:sz w:val="22"/>
    </w:rPr>
  </w:style>
  <w:style w:type="character" w:styleId="WarningTok">
    <w:name w:val="WarningTok"/>
    <w:basedOn w:val="VerbatimChar"/>
    <w:qFormat/>
    <w:rPr>
      <w:rFonts w:ascii="Consolas" w:hAnsi="Consolas"/>
      <w:b/>
      <w:i/>
      <w:color w:val="60A0B0"/>
      <w:sz w:val="22"/>
    </w:rPr>
  </w:style>
  <w:style w:type="character" w:styleId="AlertTok">
    <w:name w:val="AlertTok"/>
    <w:basedOn w:val="VerbatimChar"/>
    <w:qFormat/>
    <w:rPr>
      <w:rFonts w:ascii="Consolas" w:hAnsi="Consolas"/>
      <w:b/>
      <w:color w:val="FF0000"/>
      <w:sz w:val="22"/>
    </w:rPr>
  </w:style>
  <w:style w:type="character" w:styleId="ErrorTok">
    <w:name w:val="ErrorTok"/>
    <w:basedOn w:val="VerbatimChar"/>
    <w:qFormat/>
    <w:rPr>
      <w:rFonts w:ascii="Consolas" w:hAnsi="Consolas"/>
      <w:b/>
      <w:color w:val="FF0000"/>
      <w:sz w:val="22"/>
    </w:rPr>
  </w:style>
  <w:style w:type="character" w:styleId="NormalTok">
    <w:name w:val="NormalTok"/>
    <w:basedOn w:val="VerbatimChar"/>
    <w:qFormat/>
    <w:rPr>
      <w:rFonts w:ascii="Consolas" w:hAnsi="Consolas"/>
      <w:sz w:val="22"/>
    </w:rPr>
  </w:style>
  <w:style w:type="character" w:styleId="LineNumbering">
    <w:name w:val="Line Numbering"/>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style>
  <w:style w:type="character" w:styleId="Bullets">
    <w:name w:val="Bullets"/>
    <w:qFormat/>
    <w:rPr>
      <w:rFonts w:ascii="OpenSymbol" w:hAnsi="OpenSymbol" w:eastAsia="OpenSymbol"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style>
  <w:style w:type="character" w:styleId="StrongEmphasis">
    <w:name w:val="Strong Emphasis"/>
    <w:qFormat/>
    <w:rPr>
      <w:b/>
      <w:bCs/>
    </w:rPr>
  </w:style>
  <w:style w:type="character" w:styleId="Note2self">
    <w:name w:val="note2self"/>
    <w:qFormat/>
    <w:rPr>
      <w:szCs w:val="20"/>
      <w:highlight w:val="yellow"/>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style>
  <w:style w:type="paragraph" w:styleId="Heading">
    <w:name w:val="Heading"/>
    <w:basedOn w:val="Normal"/>
    <w:next w:val="TextBody"/>
    <w:qFormat/>
    <w:pPr>
      <w:keepNext w:val="true"/>
      <w:spacing w:before="240" w:after="120"/>
    </w:pPr>
    <w:rPr>
      <w:rFonts w:ascii="Times New Roman" w:hAnsi="Times New Roman" w:eastAsia="DejaVu Sans" w:cs="FreeSans"/>
      <w:sz w:val="28"/>
      <w:szCs w:val="28"/>
    </w:rPr>
  </w:style>
  <w:style w:type="paragraph" w:styleId="TextBody">
    <w:name w:val="Body Text"/>
    <w:basedOn w:val="Normal"/>
    <w:pPr>
      <w:snapToGrid w:val="true"/>
      <w:spacing w:lineRule="auto" w:line="480" w:before="180" w:after="180"/>
      <w:jc w:val="both"/>
    </w:pPr>
    <w:rPr>
      <w:rFonts w:ascii="Times New Roman" w:hAnsi="Times New Roma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lockText">
    <w:name w:val="Block Text"/>
    <w:basedOn w:val="TextBody"/>
    <w:qFormat/>
    <w:pPr>
      <w:spacing w:before="100" w:after="100"/>
    </w:pPr>
    <w:rPr>
      <w:rFonts w:ascii="Calibri" w:hAnsi="Calibri" w:eastAsia="Cambria" w:cs="DejaVu Sans"/>
      <w:bCs/>
      <w:sz w:val="20"/>
      <w:szCs w:val="20"/>
    </w:rPr>
  </w:style>
  <w:style w:type="paragraph" w:styleId="Caption1">
    <w:name w:val="caption"/>
    <w:basedOn w:val="Normal"/>
    <w:qFormat/>
    <w:pPr>
      <w:spacing w:before="0" w:after="120"/>
    </w:pPr>
    <w:rPr>
      <w:i/>
    </w:rPr>
  </w:style>
  <w:style w:type="paragraph" w:styleId="Date">
    <w:name w:val="Date"/>
    <w:qFormat/>
    <w:pPr>
      <w:keepNext w:val="true"/>
      <w:keepLines/>
      <w:widowControl/>
      <w:suppressLineNumbers/>
      <w:overflowPunct w:val="true"/>
      <w:bidi w:val="0"/>
      <w:spacing w:before="0" w:after="200"/>
      <w:jc w:val="center"/>
    </w:pPr>
    <w:rPr>
      <w:rFonts w:ascii="Times New Roman" w:hAnsi="Times New Roman" w:eastAsia="Cambria" w:cs="DejaVu Sans"/>
      <w:color w:val="00000A"/>
      <w:kern w:val="0"/>
      <w:sz w:val="24"/>
      <w:szCs w:val="24"/>
      <w:lang w:val="en-US" w:eastAsia="en-US" w:bidi="ar-SA"/>
    </w:rPr>
  </w:style>
  <w:style w:type="paragraph" w:styleId="Footnote">
    <w:name w:val="Footnote Text"/>
    <w:basedOn w:val="Normal"/>
    <w:pPr/>
    <w:rPr/>
  </w:style>
  <w:style w:type="paragraph" w:styleId="Subtitle">
    <w:name w:val="Subtitle"/>
    <w:basedOn w:val="Title"/>
    <w:qFormat/>
    <w:pPr>
      <w:spacing w:before="240" w:after="120"/>
    </w:pPr>
    <w:rPr>
      <w:sz w:val="30"/>
      <w:szCs w:val="30"/>
    </w:rPr>
  </w:style>
  <w:style w:type="paragraph" w:styleId="Title">
    <w:name w:val="Title"/>
    <w:basedOn w:val="Normal"/>
    <w:qFormat/>
    <w:pPr>
      <w:keepNext w:val="true"/>
      <w:keepLines/>
      <w:spacing w:lineRule="auto" w:line="240" w:before="480" w:after="240"/>
      <w:jc w:val="center"/>
    </w:pPr>
    <w:rPr>
      <w:rFonts w:ascii="Times New Roman" w:hAnsi="Times New Roman" w:eastAsia="Cambria" w:cs="DejaVu Sans"/>
      <w:b/>
      <w:bCs/>
      <w:sz w:val="36"/>
      <w:szCs w:val="36"/>
    </w:rPr>
  </w:style>
  <w:style w:type="paragraph" w:styleId="FirstParagraph">
    <w:name w:val="First Paragraph"/>
    <w:basedOn w:val="TextBody"/>
    <w:qFormat/>
    <w:pPr/>
    <w:rPr/>
  </w:style>
  <w:style w:type="paragraph" w:styleId="Compact">
    <w:name w:val="Compact"/>
    <w:basedOn w:val="TextBody"/>
    <w:qFormat/>
    <w:pPr>
      <w:spacing w:lineRule="auto" w:line="240" w:before="36" w:after="36"/>
      <w:jc w:val="right"/>
    </w:pPr>
    <w:rPr>
      <w:sz w:val="22"/>
      <w:szCs w:val="22"/>
    </w:rPr>
  </w:style>
  <w:style w:type="paragraph" w:styleId="Author">
    <w:name w:val="Author"/>
    <w:qFormat/>
    <w:pPr>
      <w:keepNext w:val="true"/>
      <w:keepLines/>
      <w:widowControl/>
      <w:suppressLineNumbers/>
      <w:overflowPunct w:val="true"/>
      <w:bidi w:val="0"/>
      <w:spacing w:lineRule="auto" w:line="240" w:before="0" w:after="200"/>
      <w:jc w:val="center"/>
    </w:pPr>
    <w:rPr>
      <w:rFonts w:ascii="Cambria" w:hAnsi="Cambria" w:eastAsia="Cambria" w:cs="DejaVu Sans"/>
      <w:color w:val="00000A"/>
      <w:kern w:val="0"/>
      <w:sz w:val="24"/>
      <w:szCs w:val="24"/>
      <w:lang w:val="en-US" w:eastAsia="en-US" w:bidi="ar-SA"/>
    </w:rPr>
  </w:style>
  <w:style w:type="paragraph" w:styleId="Abstract">
    <w:name w:val="Abstract"/>
    <w:basedOn w:val="Normal"/>
    <w:qFormat/>
    <w:pPr>
      <w:keepNext w:val="true"/>
      <w:keepLines/>
      <w:spacing w:lineRule="auto" w:line="480" w:before="300" w:after="300"/>
      <w:jc w:val="both"/>
    </w:pPr>
    <w:rPr>
      <w:rFonts w:ascii="Times New Roman" w:hAnsi="Times New Roman"/>
      <w:szCs w:val="20"/>
    </w:rPr>
  </w:style>
  <w:style w:type="paragraph" w:styleId="Bibliography">
    <w:name w:val="Bibliography"/>
    <w:basedOn w:val="Normal"/>
    <w:qFormat/>
    <w:pPr>
      <w:spacing w:lineRule="auto" w:line="480"/>
      <w:jc w:val="both"/>
    </w:pPr>
    <w:rPr>
      <w:rFonts w:ascii="Times New Roman" w:hAnsi="Times New Roman"/>
    </w:rPr>
  </w:style>
  <w:style w:type="paragraph" w:styleId="DefinitionTerm">
    <w:name w:val="Definition Term"/>
    <w:basedOn w:val="Normal"/>
    <w:qFormat/>
    <w:pPr>
      <w:keepNext w:val="true"/>
      <w:keepLines/>
      <w:spacing w:before="0" w:after="0"/>
    </w:pPr>
    <w:rPr>
      <w:b/>
    </w:rPr>
  </w:style>
  <w:style w:type="paragraph" w:styleId="Definition">
    <w:name w:val="Definition"/>
    <w:basedOn w:val="Normal"/>
    <w:qFormat/>
    <w:pPr/>
    <w:rPr/>
  </w:style>
  <w:style w:type="paragraph" w:styleId="TableCaption">
    <w:name w:val="Table Caption"/>
    <w:basedOn w:val="Caption1"/>
    <w:qFormat/>
    <w:pPr>
      <w:keepNext w:val="true"/>
      <w:spacing w:lineRule="auto" w:line="240"/>
    </w:pPr>
    <w:rPr/>
  </w:style>
  <w:style w:type="paragraph" w:styleId="ImageCaption">
    <w:name w:val="Image Caption"/>
    <w:basedOn w:val="Caption1"/>
    <w:qFormat/>
    <w:pPr/>
    <w:rPr/>
  </w:style>
  <w:style w:type="paragraph" w:styleId="Figure">
    <w:name w:val="Figure"/>
    <w:basedOn w:val="Normal"/>
    <w:qFormat/>
    <w:pPr/>
    <w:rPr/>
  </w:style>
  <w:style w:type="paragraph" w:styleId="FigurewithCaption">
    <w:name w:val="Figure with Caption"/>
    <w:basedOn w:val="Figure"/>
    <w:qFormat/>
    <w:pPr>
      <w:keepNext w:val="true"/>
    </w:pPr>
    <w:rPr/>
  </w:style>
  <w:style w:type="paragraph" w:styleId="SourceCode">
    <w:name w:val="Source Code"/>
    <w:basedOn w:val="Normal"/>
    <w:qFormat/>
    <w:pPr>
      <w:spacing w:lineRule="auto" w:line="480"/>
      <w:jc w:val="left"/>
    </w:pPr>
    <w:rPr>
      <w:rFonts w:ascii="Courier" w:hAnsi="Courier" w:eastAsia="Cambria"/>
    </w:rPr>
  </w:style>
  <w:style w:type="paragraph" w:styleId="TOCHeading">
    <w:name w:val="TOC Heading"/>
    <w:basedOn w:val="Heading1"/>
    <w:qFormat/>
    <w:pPr>
      <w:spacing w:lineRule="auto" w:line="259" w:before="240" w:after="0"/>
    </w:pPr>
    <w:rPr>
      <w:rFonts w:ascii="Times New Roman" w:hAnsi="Times New Roman"/>
      <w:b w:val="false"/>
      <w:bCs w:val="false"/>
      <w:color w:val="auto"/>
    </w:rPr>
  </w:style>
  <w:style w:type="paragraph" w:styleId="Footer">
    <w:name w:val="Footer"/>
    <w:basedOn w:val="Normal"/>
    <w:pPr>
      <w:suppressLineNumbers/>
    </w:pPr>
    <w:rPr/>
  </w:style>
  <w:style w:type="paragraph" w:styleId="Header">
    <w:name w:val="Header"/>
    <w:basedOn w:val="Normal"/>
    <w:pPr>
      <w:suppressLineNumbers/>
    </w:pPr>
    <w:rPr/>
  </w:style>
  <w:style w:type="paragraph" w:styleId="TableContents">
    <w:name w:val="Table Contents"/>
    <w:basedOn w:val="Normal"/>
    <w:qFormat/>
    <w:pPr>
      <w:suppressLineNumbers/>
      <w:spacing w:lineRule="auto" w:line="240" w:before="0" w:after="0"/>
      <w:ind w:left="0" w:right="0" w:hanging="0"/>
      <w:jc w:val="center"/>
    </w:pPr>
    <w:rPr>
      <w:sz w:val="22"/>
      <w:szCs w:val="22"/>
    </w:rPr>
  </w:style>
  <w:style w:type="paragraph" w:styleId="TableHeading">
    <w:name w:val="Table Heading"/>
    <w:basedOn w:val="TableContents"/>
    <w:qFormat/>
    <w:pPr>
      <w:suppressLineNumbers/>
      <w:jc w:val="center"/>
    </w:pPr>
    <w:rPr>
      <w:b/>
      <w:bCs/>
    </w:rPr>
  </w:style>
  <w:style w:type="paragraph" w:styleId="Bnote2self" w:customStyle="1">
    <w:name w:val="bnote2self"/>
    <w:basedOn w:val="TextBody"/>
    <w:autoRedefine/>
    <w:qFormat/>
    <w:pPr/>
    <w:rPr>
      <w:highlight w:val="yellow"/>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yperlink" Target="https://doi.org/10.1093/ageing/afw039" TargetMode="External"/><Relationship Id="rId15" Type="http://schemas.openxmlformats.org/officeDocument/2006/relationships/hyperlink" Target="https://doi.org/10.1093/gerona/56.3.M146" TargetMode="External"/><Relationship Id="rId16" Type="http://schemas.openxmlformats.org/officeDocument/2006/relationships/hyperlink" Target="https://doi.org/10.1111/j.1532-5415.2008.01656.x" TargetMode="External"/><Relationship Id="rId17" Type="http://schemas.openxmlformats.org/officeDocument/2006/relationships/hyperlink" Target="https://doi.org/10.1371/journal.pone.0120144" TargetMode="External"/><Relationship Id="rId18" Type="http://schemas.openxmlformats.org/officeDocument/2006/relationships/hyperlink" Target="https://doi.org/10.1111/jgs.12735" TargetMode="External"/><Relationship Id="rId19" Type="http://schemas.openxmlformats.org/officeDocument/2006/relationships/hyperlink" Target="https://doi.org/10.1100/tsw.2001.58" TargetMode="External"/><Relationship Id="rId20" Type="http://schemas.openxmlformats.org/officeDocument/2006/relationships/hyperlink" Target="https://doi.org/10.1093/gerona/glz017" TargetMode="External"/><Relationship Id="rId21" Type="http://schemas.openxmlformats.org/officeDocument/2006/relationships/hyperlink" Target="https://doi.org/10.1503/cmaj.050051" TargetMode="External"/><Relationship Id="rId22" Type="http://schemas.openxmlformats.org/officeDocument/2006/relationships/hyperlink" Target="https://doi.org/10.1093/gerona/62.7.722" TargetMode="External"/><Relationship Id="rId23" Type="http://schemas.openxmlformats.org/officeDocument/2006/relationships/hyperlink" Target="https://doi.org/10.1111/j.1532-5415.2006.00738.x" TargetMode="External"/><Relationship Id="rId24" Type="http://schemas.openxmlformats.org/officeDocument/2006/relationships/hyperlink" Target="https://doi.org/10.1186/1471-2318-8-24" TargetMode="External"/><Relationship Id="rId25" Type="http://schemas.openxmlformats.org/officeDocument/2006/relationships/hyperlink" Target="https://doi.org/10.1111/j.1532-5415.2010.02764.x" TargetMode="External"/><Relationship Id="rId26" Type="http://schemas.openxmlformats.org/officeDocument/2006/relationships/hyperlink" Target="https://doi.org/10.1097/MLR.0000000000000649" TargetMode="External"/><Relationship Id="rId27" Type="http://schemas.openxmlformats.org/officeDocument/2006/relationships/hyperlink" Target="https://doi.org/10.1093/ageing/afy022" TargetMode="External"/><Relationship Id="rId28" Type="http://schemas.openxmlformats.org/officeDocument/2006/relationships/hyperlink" Target="https://doi.org/10.1186/s12916-018-1148-x"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3043</TotalTime>
  <Application>LibreOffice/6.0.7.3$Linux_X86_64 LibreOffice_project/00m0$Build-3</Application>
  <Pages>56</Pages>
  <Words>2992</Words>
  <Characters>16325</Characters>
  <CharactersWithSpaces>18807</CharactersWithSpaces>
  <Paragraphs>484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2020-08-27T04:36:31Z</dcterms:created>
  <dc:creator>Alex Bokov 1,✉, Sara Espinoza 1, Chandana Tripathy 1, …, …, …, and Kathleen R. Stevens 1</dc:creator>
  <dc:description/>
  <dc:language>en-US</dc:language>
  <cp:lastModifiedBy/>
  <dcterms:modified xsi:type="dcterms:W3CDTF">2020-08-26T23:39:30Z</dcterms:modified>
  <cp:revision>1</cp:revision>
  <dc:subject/>
  <dc:title>Rockwood index as a predictor of patient safety events and readmissions.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have found that the electronic frailty index (EFI), a risk score developed using the Rockwood deficit-accumulation framework, is a strong predictor of ED visits, 30-day readmissions, healthcare-associated non-procedural trauma, cardiac complications, adverse drug events, venous thromboembolism, fluid management complications, as well as patient safety events in general and severe patient safety events.</vt:lpwstr>
  </property>
  <property fmtid="{D5CDD505-2E9C-101B-9397-08002B2CF9AE}" pid="3" name="bibliography">
    <vt:lpwstr>efi_paper.bib</vt:lpwstr>
  </property>
  <property fmtid="{D5CDD505-2E9C-101B-9397-08002B2CF9AE}" pid="4" name="clean">
    <vt:lpwstr>False</vt:lpwstr>
  </property>
  <property fmtid="{D5CDD505-2E9C-101B-9397-08002B2CF9AE}" pid="5" name="csl">
    <vt:lpwstr>harvard-cite-them-right.csl</vt:lpwstr>
  </property>
  <property fmtid="{D5CDD505-2E9C-101B-9397-08002B2CF9AE}" pid="6" name="css">
    <vt:lpwstr>production.css</vt:lpwstr>
  </property>
  <property fmtid="{D5CDD505-2E9C-101B-9397-08002B2CF9AE}" pid="7" name="date">
    <vt:lpwstr>2020-08-26</vt:lpwstr>
  </property>
  <property fmtid="{D5CDD505-2E9C-101B-9397-08002B2CF9AE}" pid="8" name="documentclass">
    <vt:lpwstr>article</vt:lpwstr>
  </property>
  <property fmtid="{D5CDD505-2E9C-101B-9397-08002B2CF9AE}" pid="9" name="output">
    <vt:lpwstr/>
  </property>
</Properties>
</file>