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Rockwood index outperforms patient age as a predictor of falls, hospitalizations, hospital-acquired infections, discharge to skilled nursing facilities, and all-cause mortality in real-world EHR data.</w:t>
      </w:r>
    </w:p>
    <w:p>
      <w:pPr>
        <w:pStyle w:val="Author"/>
        <w:rPr/>
      </w:pPr>
      <w:r>
        <w:rPr/>
        <w:t xml:space="preserve">Alex Bokov </w:t>
      </w:r>
      <w:r>
        <w:rPr>
          <w:vertAlign w:val="superscript"/>
        </w:rPr>
        <w:t>1,✉</w:t>
      </w:r>
      <w:r>
        <w:rPr/>
        <w:t xml:space="preserve">, Sara Espinoza </w:t>
      </w:r>
      <w:r>
        <w:rPr>
          <w:vertAlign w:val="superscript"/>
        </w:rPr>
        <w:t>1</w:t>
      </w:r>
      <w:r>
        <w:rPr/>
        <w:t xml:space="preserve">, Chandana Tripathy </w:t>
      </w:r>
      <w:r>
        <w:rPr>
          <w:vertAlign w:val="superscript"/>
        </w:rPr>
        <w:t>1</w:t>
      </w:r>
      <w:r>
        <w:rPr/>
        <w:t xml:space="preserve">, …, …, …, and Kathleen R. Stevens </w:t>
      </w:r>
      <w:r>
        <w:rPr>
          <w:vertAlign w:val="superscript"/>
        </w:rPr>
        <w:t>1</w:t>
      </w:r>
    </w:p>
    <w:p>
      <w:pPr>
        <w:pStyle w:val="Date"/>
        <w:rPr/>
      </w:pPr>
      <w:r>
        <w:rPr/>
        <w:t>2020-08-24</w:t>
      </w:r>
    </w:p>
    <w:p>
      <w:pPr>
        <w:pStyle w:val="Abstract"/>
        <w:rPr/>
      </w:pPr>
      <w:r>
        <w:rPr/>
        <w:t>We have found that the electronic frailty index (EFI), a risk score developed using the Rockwood deficit-accumulation framework, is a strong predictor of falls, hospitalizations, hospital-acquired infections, and loss of independence without relying on any predictors including patient age. In fact, EFI outperformed patient age as a predictor. EFI’s accuracy was not negated by the fact that we used patients of all ages, not just older patients.</w:t>
      </w:r>
    </w:p>
    <w:p>
      <w:pPr>
        <w:pStyle w:val="Heading1"/>
        <w:rPr/>
      </w:pPr>
      <w:r>
        <w:rPr/>
        <w:t>Introduction</w:t>
      </w:r>
    </w:p>
    <w:p>
      <w:pPr>
        <w:pStyle w:val="FirstParagraph"/>
        <w:rPr/>
      </w:pPr>
      <w:r>
        <w:rPr/>
        <w:t xml:space="preserve">Frailty is the lifelong erosion of stress resistance and accumulation of impairments across multiple physiological systems. Among older community dwelling adults 32% have been classified as pre-frail and 24% have been classified as frail (Hoover </w:t>
      </w:r>
      <w:r>
        <w:rPr>
          <w:i/>
        </w:rPr>
        <w:t>et al.</w:t>
      </w:r>
      <w:r>
        <w:rPr/>
        <w:t xml:space="preserve">, 2013). Frailty predicts disability, injurious falls, and mortality (Pajewski </w:t>
      </w:r>
      <w:r>
        <w:rPr>
          <w:i/>
        </w:rPr>
        <w:t>et al.</w:t>
      </w:r>
      <w:r>
        <w:rPr/>
        <w:t xml:space="preserve">, 2019), emergency room visits and hospitalizations (Fried </w:t>
      </w:r>
      <w:r>
        <w:rPr>
          <w:i/>
        </w:rPr>
        <w:t>et al.</w:t>
      </w:r>
      <w:r>
        <w:rPr/>
        <w:t xml:space="preserve">, 2001), and long-term care admissions (Rockwood, 2005; Rockwood </w:t>
      </w:r>
      <w:r>
        <w:rPr>
          <w:i/>
        </w:rPr>
        <w:t>et al.</w:t>
      </w:r>
      <w:r>
        <w:rPr/>
        <w:t xml:space="preserve">, 2006; Pajewski </w:t>
      </w:r>
      <w:r>
        <w:rPr>
          <w:i/>
        </w:rPr>
        <w:t>et al.</w:t>
      </w:r>
      <w:r>
        <w:rPr/>
        <w:t xml:space="preserve">, 2019). The Fried phenotype (Fried </w:t>
      </w:r>
      <w:r>
        <w:rPr>
          <w:i/>
        </w:rPr>
        <w:t>et al.</w:t>
      </w:r>
      <w:r>
        <w:rPr/>
        <w:t xml:space="preserve">, 2001) and Rockwood deficit accumulation index (Mitnitski, Mogilner and Rockwood, 2001; Rockwood and Mitnitski, 2007), are the most commonly used methods for operationalizing frailty. There is reasonable convergence between these two approaches (Malmstrom, Miller and Morley, 2014; Li </w:t>
      </w:r>
      <w:r>
        <w:rPr>
          <w:i/>
        </w:rPr>
        <w:t>et al.</w:t>
      </w:r>
      <w:r>
        <w:rPr/>
        <w:t xml:space="preserve">, 2015) but the deficit accumulation approach does not require individual questionnaires nor physical assessments yet offers similar (Malmstrom, Miller and Morley, 2014) or possibly better (Kulminski </w:t>
      </w:r>
      <w:r>
        <w:rPr>
          <w:i/>
        </w:rPr>
        <w:t>et al.</w:t>
      </w:r>
      <w:r>
        <w:rPr/>
        <w:t>, 2008) predictive accuracy.</w:t>
      </w:r>
    </w:p>
    <w:p>
      <w:pPr>
        <w:pStyle w:val="TextBody"/>
        <w:rPr/>
      </w:pPr>
      <w:r>
        <w:rPr/>
        <w:t>Possible points still left to cover:</w:t>
      </w:r>
    </w:p>
    <w:p>
      <w:pPr>
        <w:pStyle w:val="Normal"/>
        <w:numPr>
          <w:ilvl w:val="0"/>
          <w:numId w:val="1"/>
        </w:numPr>
        <w:rPr/>
      </w:pPr>
      <w:r>
        <w:rPr/>
        <w:t>outcomes important to clinical care of older patients</w:t>
      </w:r>
    </w:p>
    <w:p>
      <w:pPr>
        <w:pStyle w:val="Normal"/>
        <w:numPr>
          <w:ilvl w:val="0"/>
          <w:numId w:val="1"/>
        </w:numPr>
        <w:rPr/>
      </w:pPr>
      <w:r>
        <w:rPr/>
        <w:t>how care could be improved with better modeling of these outcomes</w:t>
      </w:r>
    </w:p>
    <w:p>
      <w:pPr>
        <w:pStyle w:val="Normal"/>
        <w:numPr>
          <w:ilvl w:val="0"/>
          <w:numId w:val="1"/>
        </w:numPr>
        <w:rPr/>
      </w:pPr>
      <w:r>
        <w:rPr/>
        <w:t>information about our site</w:t>
      </w:r>
      <w:bookmarkStart w:id="0" w:name="introduction"/>
      <w:bookmarkEnd w:id="0"/>
    </w:p>
    <w:p>
      <w:pPr>
        <w:pStyle w:val="Heading1"/>
        <w:rPr/>
      </w:pPr>
      <w:r>
        <w:rPr/>
        <w:t>Methods</w:t>
      </w:r>
    </w:p>
    <w:p>
      <w:pPr>
        <w:pStyle w:val="Heading2"/>
        <w:rPr/>
      </w:pPr>
      <w:r>
        <w:rPr/>
        <w:t>Population</w:t>
      </w:r>
    </w:p>
    <w:p>
      <w:pPr>
        <w:pStyle w:val="FirstParagraph"/>
        <w:rPr/>
      </w:pPr>
      <w:r>
        <w:rPr/>
        <w:t>A random 1% sample (N=14,844) was drawn from the deidentified patient records of a large academic health center and its teaching hospital partner. Visits during which patient age was less than 18 years old were excluded and then patients who had fewer than three visits in the remaining data were excluded. To avoid bias, for each patient an index visit date was chosen and only data recorded on or after that date was used in analysis. To avoid distorted results in patients with sparse visit histories, those who had fewer than two visit-dates after index visit assignment were removed from the sample as were patients whose EFI was never higher than 0. Finally, the patients were randomly assigned to a develpoment cohort (N=2,497 patients, 52,372 visit-days) or a testing cohort (N=3,220 patients, 56,320 visit-days). Sensitivity analysis was done to see the effect of leaving in data from all visits by adult patients and the overall direction of EFI’s effect was the same but [the performance improvement relative to patient age was inflated]. All decisions about data processing and statistical analysis were made using only the development cohort and blinded to the testing cohort. For publication, the same analysis scripts were run on the testing cohort and used to create all results reported here (the development version of each table and figure is available in the supplemental materials). The baseline characteristics of the testing cohort are shown in Table 1.</w:t>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FirstParagraph"/>
        <w:rPr/>
      </w:pPr>
      <w:r>
        <w:rPr/>
        <w:t>[1] "</w:t>
      </w:r>
    </w:p>
    <w:p>
      <w:pPr>
        <w:pStyle w:val="TextBody"/>
        <w:rPr/>
      </w:pPr>
      <w:r>
        <w:rPr/>
      </w:r>
    </w:p>
    <w:p>
      <w:pPr>
        <w:pStyle w:val="TextBody"/>
        <w:rPr/>
      </w:pPr>
      <w:r>
        <w:rPr/>
      </w:r>
    </w:p>
    <w:p>
      <w:pPr>
        <w:pStyle w:val="TextBody"/>
        <w:rPr/>
      </w:pPr>
      <w:r>
        <w:rPr/>
      </w:r>
    </w:p>
    <w:p>
      <w:pPr>
        <w:pStyle w:val="TextBody"/>
        <w:rPr/>
      </w:pPr>
      <w:r>
        <w:rPr/>
      </w:r>
    </w:p>
    <w:p>
      <w:pPr>
        <w:pStyle w:val="TextBody"/>
        <w:rPr/>
      </w:pPr>
      <w:r>
        <w:rPr/>
        <w:t>Nonfrail, &lt; 0.1(N=1876)</w:t>
      </w:r>
    </w:p>
    <w:p>
      <w:pPr>
        <w:pStyle w:val="TextBody"/>
        <w:rPr/>
      </w:pPr>
      <w:r>
        <w:rPr/>
      </w:r>
    </w:p>
    <w:p>
      <w:pPr>
        <w:pStyle w:val="TextBody"/>
        <w:rPr/>
      </w:pPr>
      <w:r>
        <w:rPr/>
        <w:t>Prefrail, 0.1 - 0.19(N=398)</w:t>
      </w:r>
    </w:p>
    <w:p>
      <w:pPr>
        <w:pStyle w:val="TextBody"/>
        <w:rPr/>
      </w:pPr>
      <w:r>
        <w:rPr/>
      </w:r>
    </w:p>
    <w:p>
      <w:pPr>
        <w:pStyle w:val="TextBody"/>
        <w:rPr/>
      </w:pPr>
      <w:r>
        <w:rPr/>
        <w:t>Frail, &gt; 0.2(N=223)</w:t>
      </w:r>
    </w:p>
    <w:p>
      <w:pPr>
        <w:pStyle w:val="TextBody"/>
        <w:rPr/>
      </w:pPr>
      <w:r>
        <w:rPr/>
      </w:r>
    </w:p>
    <w:p>
      <w:pPr>
        <w:pStyle w:val="TextBody"/>
        <w:rPr/>
      </w:pPr>
      <w:r>
        <w:rPr/>
        <w:t>Overall(N=2497)</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Sex</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w:t>
      </w:r>
    </w:p>
    <w:p>
      <w:pPr>
        <w:pStyle w:val="TextBody"/>
        <w:rPr/>
      </w:pPr>
      <w:r>
        <w:rPr/>
      </w:r>
    </w:p>
    <w:p>
      <w:pPr>
        <w:pStyle w:val="TextBody"/>
        <w:rPr/>
      </w:pPr>
      <w:r>
        <w:rPr/>
        <w:t>1116 (59.5%)</w:t>
      </w:r>
    </w:p>
    <w:p>
      <w:pPr>
        <w:pStyle w:val="TextBody"/>
        <w:rPr/>
      </w:pPr>
      <w:r>
        <w:rPr/>
      </w:r>
    </w:p>
    <w:p>
      <w:pPr>
        <w:pStyle w:val="TextBody"/>
        <w:rPr/>
      </w:pPr>
      <w:r>
        <w:rPr/>
        <w:t>209 (52.5%)</w:t>
      </w:r>
    </w:p>
    <w:p>
      <w:pPr>
        <w:pStyle w:val="TextBody"/>
        <w:rPr/>
      </w:pPr>
      <w:r>
        <w:rPr/>
      </w:r>
    </w:p>
    <w:p>
      <w:pPr>
        <w:pStyle w:val="TextBody"/>
        <w:rPr/>
      </w:pPr>
      <w:r>
        <w:rPr/>
        <w:t>125 (56.1%)</w:t>
      </w:r>
    </w:p>
    <w:p>
      <w:pPr>
        <w:pStyle w:val="TextBody"/>
        <w:rPr/>
      </w:pPr>
      <w:r>
        <w:rPr/>
      </w:r>
    </w:p>
    <w:p>
      <w:pPr>
        <w:pStyle w:val="TextBody"/>
        <w:rPr/>
      </w:pPr>
      <w:r>
        <w:rPr/>
        <w:t>1450 (58.1%)</w:t>
      </w:r>
    </w:p>
    <w:p>
      <w:pPr>
        <w:pStyle w:val="TextBody"/>
        <w:rPr/>
      </w:pPr>
      <w:r>
        <w:rPr/>
      </w:r>
    </w:p>
    <w:p>
      <w:pPr>
        <w:pStyle w:val="TextBody"/>
        <w:rPr/>
      </w:pPr>
      <w:r>
        <w:rPr/>
      </w:r>
    </w:p>
    <w:p>
      <w:pPr>
        <w:pStyle w:val="TextBody"/>
        <w:rPr/>
      </w:pPr>
      <w:r>
        <w:rPr/>
      </w:r>
    </w:p>
    <w:p>
      <w:pPr>
        <w:pStyle w:val="TextBody"/>
        <w:rPr/>
      </w:pPr>
      <w:r>
        <w:rPr/>
        <w:t>m</w:t>
      </w:r>
    </w:p>
    <w:p>
      <w:pPr>
        <w:pStyle w:val="TextBody"/>
        <w:rPr/>
      </w:pPr>
      <w:r>
        <w:rPr/>
      </w:r>
    </w:p>
    <w:p>
      <w:pPr>
        <w:pStyle w:val="TextBody"/>
        <w:rPr/>
      </w:pPr>
      <w:r>
        <w:rPr/>
        <w:t>759 (40.5%)</w:t>
      </w:r>
    </w:p>
    <w:p>
      <w:pPr>
        <w:pStyle w:val="TextBody"/>
        <w:rPr/>
      </w:pPr>
      <w:r>
        <w:rPr/>
      </w:r>
    </w:p>
    <w:p>
      <w:pPr>
        <w:pStyle w:val="TextBody"/>
        <w:rPr/>
      </w:pPr>
      <w:r>
        <w:rPr/>
        <w:t>189 (47.5%)</w:t>
      </w:r>
    </w:p>
    <w:p>
      <w:pPr>
        <w:pStyle w:val="TextBody"/>
        <w:rPr/>
      </w:pPr>
      <w:r>
        <w:rPr/>
      </w:r>
    </w:p>
    <w:p>
      <w:pPr>
        <w:pStyle w:val="TextBody"/>
        <w:rPr/>
      </w:pPr>
      <w:r>
        <w:rPr/>
        <w:t>98 (43.9%)</w:t>
      </w:r>
    </w:p>
    <w:p>
      <w:pPr>
        <w:pStyle w:val="TextBody"/>
        <w:rPr/>
      </w:pPr>
      <w:r>
        <w:rPr/>
      </w:r>
    </w:p>
    <w:p>
      <w:pPr>
        <w:pStyle w:val="TextBody"/>
        <w:rPr/>
      </w:pPr>
      <w:r>
        <w:rPr/>
        <w:t>1046 (41.9%)</w:t>
      </w:r>
    </w:p>
    <w:p>
      <w:pPr>
        <w:pStyle w:val="TextBody"/>
        <w:rPr/>
      </w:pPr>
      <w:r>
        <w:rPr/>
      </w:r>
    </w:p>
    <w:p>
      <w:pPr>
        <w:pStyle w:val="TextBody"/>
        <w:rPr/>
      </w:pPr>
      <w:r>
        <w:rPr/>
      </w:r>
    </w:p>
    <w:p>
      <w:pPr>
        <w:pStyle w:val="TextBody"/>
        <w:rPr/>
      </w:pPr>
      <w:r>
        <w:rPr/>
      </w:r>
    </w:p>
    <w:p>
      <w:pPr>
        <w:pStyle w:val="TextBody"/>
        <w:rPr/>
      </w:pPr>
      <w:r>
        <w:rPr/>
        <w:t>u</w:t>
      </w:r>
    </w:p>
    <w:p>
      <w:pPr>
        <w:pStyle w:val="TextBody"/>
        <w:rPr/>
      </w:pPr>
      <w:r>
        <w:rPr/>
      </w:r>
    </w:p>
    <w:p>
      <w:pPr>
        <w:pStyle w:val="TextBody"/>
        <w:rPr/>
      </w:pPr>
      <w:r>
        <w:rPr/>
        <w:t>1 (0.1%)</w:t>
      </w:r>
    </w:p>
    <w:p>
      <w:pPr>
        <w:pStyle w:val="TextBody"/>
        <w:rPr/>
      </w:pPr>
      <w:r>
        <w:rPr/>
      </w:r>
    </w:p>
    <w:p>
      <w:pPr>
        <w:pStyle w:val="TextBody"/>
        <w:rPr/>
      </w:pPr>
      <w:r>
        <w:rPr/>
        <w:t>0 (0%)</w:t>
      </w:r>
    </w:p>
    <w:p>
      <w:pPr>
        <w:pStyle w:val="TextBody"/>
        <w:rPr/>
      </w:pPr>
      <w:r>
        <w:rPr/>
      </w:r>
    </w:p>
    <w:p>
      <w:pPr>
        <w:pStyle w:val="TextBody"/>
        <w:rPr/>
      </w:pPr>
      <w:r>
        <w:rPr/>
        <w:t>0 (0%)</w:t>
      </w:r>
    </w:p>
    <w:p>
      <w:pPr>
        <w:pStyle w:val="TextBody"/>
        <w:rPr/>
      </w:pPr>
      <w:r>
        <w:rPr/>
      </w:r>
    </w:p>
    <w:p>
      <w:pPr>
        <w:pStyle w:val="TextBody"/>
        <w:rPr/>
      </w:pPr>
      <w:r>
        <w:rPr/>
        <w:t>1 (0.0%)</w:t>
      </w:r>
    </w:p>
    <w:p>
      <w:pPr>
        <w:pStyle w:val="TextBody"/>
        <w:rPr/>
      </w:pPr>
      <w:r>
        <w:rPr/>
      </w:r>
    </w:p>
    <w:p>
      <w:pPr>
        <w:pStyle w:val="TextBody"/>
        <w:rPr/>
      </w:pPr>
      <w:r>
        <w:rPr/>
      </w:r>
    </w:p>
    <w:p>
      <w:pPr>
        <w:pStyle w:val="TextBody"/>
        <w:rPr/>
      </w:pPr>
      <w:r>
        <w:rPr/>
      </w:r>
    </w:p>
    <w:p>
      <w:pPr>
        <w:pStyle w:val="TextBody"/>
        <w:rPr/>
      </w:pPr>
      <w:r>
        <w:rPr/>
        <w:t>Race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Asian</w:t>
      </w:r>
    </w:p>
    <w:p>
      <w:pPr>
        <w:pStyle w:val="TextBody"/>
        <w:rPr/>
      </w:pPr>
      <w:r>
        <w:rPr/>
      </w:r>
    </w:p>
    <w:p>
      <w:pPr>
        <w:pStyle w:val="TextBody"/>
        <w:rPr/>
      </w:pPr>
      <w:r>
        <w:rPr/>
        <w:t>37 (2.0%)</w:t>
      </w:r>
    </w:p>
    <w:p>
      <w:pPr>
        <w:pStyle w:val="TextBody"/>
        <w:rPr/>
      </w:pPr>
      <w:r>
        <w:rPr/>
      </w:r>
    </w:p>
    <w:p>
      <w:pPr>
        <w:pStyle w:val="TextBody"/>
        <w:rPr/>
      </w:pPr>
      <w:r>
        <w:rPr/>
        <w:t>11 (2.8%)</w:t>
      </w:r>
    </w:p>
    <w:p>
      <w:pPr>
        <w:pStyle w:val="TextBody"/>
        <w:rPr/>
      </w:pPr>
      <w:r>
        <w:rPr/>
      </w:r>
    </w:p>
    <w:p>
      <w:pPr>
        <w:pStyle w:val="TextBody"/>
        <w:rPr/>
      </w:pPr>
      <w:r>
        <w:rPr/>
        <w:t>5 (2.2%)</w:t>
      </w:r>
    </w:p>
    <w:p>
      <w:pPr>
        <w:pStyle w:val="TextBody"/>
        <w:rPr/>
      </w:pPr>
      <w:r>
        <w:rPr/>
      </w:r>
    </w:p>
    <w:p>
      <w:pPr>
        <w:pStyle w:val="TextBody"/>
        <w:rPr/>
      </w:pPr>
      <w:r>
        <w:rPr/>
        <w:t>53 (2.1%)</w:t>
      </w:r>
    </w:p>
    <w:p>
      <w:pPr>
        <w:pStyle w:val="TextBody"/>
        <w:rPr/>
      </w:pPr>
      <w:r>
        <w:rPr/>
      </w:r>
    </w:p>
    <w:p>
      <w:pPr>
        <w:pStyle w:val="TextBody"/>
        <w:rPr/>
      </w:pPr>
      <w:r>
        <w:rPr/>
      </w:r>
    </w:p>
    <w:p>
      <w:pPr>
        <w:pStyle w:val="TextBody"/>
        <w:rPr/>
      </w:pPr>
      <w:r>
        <w:rPr/>
      </w:r>
    </w:p>
    <w:p>
      <w:pPr>
        <w:pStyle w:val="TextBody"/>
        <w:rPr/>
      </w:pPr>
      <w:r>
        <w:rPr/>
        <w:t>Black</w:t>
      </w:r>
    </w:p>
    <w:p>
      <w:pPr>
        <w:pStyle w:val="TextBody"/>
        <w:rPr/>
      </w:pPr>
      <w:r>
        <w:rPr/>
      </w:r>
    </w:p>
    <w:p>
      <w:pPr>
        <w:pStyle w:val="TextBody"/>
        <w:rPr/>
      </w:pPr>
      <w:r>
        <w:rPr/>
        <w:t>140 (7.5%)</w:t>
      </w:r>
    </w:p>
    <w:p>
      <w:pPr>
        <w:pStyle w:val="TextBody"/>
        <w:rPr/>
      </w:pPr>
      <w:r>
        <w:rPr/>
      </w:r>
    </w:p>
    <w:p>
      <w:pPr>
        <w:pStyle w:val="TextBody"/>
        <w:rPr/>
      </w:pPr>
      <w:r>
        <w:rPr/>
        <w:t>27 (6.8%)</w:t>
      </w:r>
    </w:p>
    <w:p>
      <w:pPr>
        <w:pStyle w:val="TextBody"/>
        <w:rPr/>
      </w:pPr>
      <w:r>
        <w:rPr/>
      </w:r>
    </w:p>
    <w:p>
      <w:pPr>
        <w:pStyle w:val="TextBody"/>
        <w:rPr/>
      </w:pPr>
      <w:r>
        <w:rPr/>
        <w:t>11 (4.9%)</w:t>
      </w:r>
    </w:p>
    <w:p>
      <w:pPr>
        <w:pStyle w:val="TextBody"/>
        <w:rPr/>
      </w:pPr>
      <w:r>
        <w:rPr/>
      </w:r>
    </w:p>
    <w:p>
      <w:pPr>
        <w:pStyle w:val="TextBody"/>
        <w:rPr/>
      </w:pPr>
      <w:r>
        <w:rPr/>
        <w:t>178 (7.1%)</w:t>
      </w:r>
    </w:p>
    <w:p>
      <w:pPr>
        <w:pStyle w:val="TextBody"/>
        <w:rPr/>
      </w:pPr>
      <w:r>
        <w:rPr/>
      </w:r>
    </w:p>
    <w:p>
      <w:pPr>
        <w:pStyle w:val="TextBody"/>
        <w:rPr/>
      </w:pPr>
      <w:r>
        <w:rPr/>
      </w:r>
    </w:p>
    <w:p>
      <w:pPr>
        <w:pStyle w:val="TextBody"/>
        <w:rPr/>
      </w:pPr>
      <w:r>
        <w:rPr/>
      </w:r>
    </w:p>
    <w:p>
      <w:pPr>
        <w:pStyle w:val="TextBody"/>
        <w:rPr/>
      </w:pPr>
      <w:r>
        <w:rPr/>
        <w:t>Other</w:t>
      </w:r>
    </w:p>
    <w:p>
      <w:pPr>
        <w:pStyle w:val="TextBody"/>
        <w:rPr/>
      </w:pPr>
      <w:r>
        <w:rPr/>
      </w:r>
    </w:p>
    <w:p>
      <w:pPr>
        <w:pStyle w:val="TextBody"/>
        <w:rPr/>
      </w:pPr>
      <w:r>
        <w:rPr/>
        <w:t>135 (7.2%)</w:t>
      </w:r>
    </w:p>
    <w:p>
      <w:pPr>
        <w:pStyle w:val="TextBody"/>
        <w:rPr/>
      </w:pPr>
      <w:r>
        <w:rPr/>
      </w:r>
    </w:p>
    <w:p>
      <w:pPr>
        <w:pStyle w:val="TextBody"/>
        <w:rPr/>
      </w:pPr>
      <w:r>
        <w:rPr/>
        <w:t>10 (2.5%)</w:t>
      </w:r>
    </w:p>
    <w:p>
      <w:pPr>
        <w:pStyle w:val="TextBody"/>
        <w:rPr/>
      </w:pPr>
      <w:r>
        <w:rPr/>
      </w:r>
    </w:p>
    <w:p>
      <w:pPr>
        <w:pStyle w:val="TextBody"/>
        <w:rPr/>
      </w:pPr>
      <w:r>
        <w:rPr/>
        <w:t>7 (3.1%)</w:t>
      </w:r>
    </w:p>
    <w:p>
      <w:pPr>
        <w:pStyle w:val="TextBody"/>
        <w:rPr/>
      </w:pPr>
      <w:r>
        <w:rPr/>
      </w:r>
    </w:p>
    <w:p>
      <w:pPr>
        <w:pStyle w:val="TextBody"/>
        <w:rPr/>
      </w:pPr>
      <w:r>
        <w:rPr/>
        <w:t>152 (6.1%)</w:t>
      </w:r>
    </w:p>
    <w:p>
      <w:pPr>
        <w:pStyle w:val="TextBody"/>
        <w:rPr/>
      </w:pPr>
      <w:r>
        <w:rPr/>
      </w:r>
    </w:p>
    <w:p>
      <w:pPr>
        <w:pStyle w:val="TextBody"/>
        <w:rPr/>
      </w:pPr>
      <w:r>
        <w:rPr/>
      </w:r>
    </w:p>
    <w:p>
      <w:pPr>
        <w:pStyle w:val="TextBody"/>
        <w:rPr/>
      </w:pPr>
      <w:r>
        <w:rPr/>
      </w:r>
    </w:p>
    <w:p>
      <w:pPr>
        <w:pStyle w:val="TextBody"/>
        <w:rPr/>
      </w:pPr>
      <w:r>
        <w:rPr/>
        <w:t>Unknown</w:t>
      </w:r>
    </w:p>
    <w:p>
      <w:pPr>
        <w:pStyle w:val="TextBody"/>
        <w:rPr/>
      </w:pPr>
      <w:r>
        <w:rPr/>
      </w:r>
    </w:p>
    <w:p>
      <w:pPr>
        <w:pStyle w:val="TextBody"/>
        <w:rPr/>
      </w:pPr>
      <w:r>
        <w:rPr/>
        <w:t>134 (7.1%)</w:t>
      </w:r>
    </w:p>
    <w:p>
      <w:pPr>
        <w:pStyle w:val="TextBody"/>
        <w:rPr/>
      </w:pPr>
      <w:r>
        <w:rPr/>
      </w:r>
    </w:p>
    <w:p>
      <w:pPr>
        <w:pStyle w:val="TextBody"/>
        <w:rPr/>
      </w:pPr>
      <w:r>
        <w:rPr/>
        <w:t>13 (3.3%)</w:t>
      </w:r>
    </w:p>
    <w:p>
      <w:pPr>
        <w:pStyle w:val="TextBody"/>
        <w:rPr/>
      </w:pPr>
      <w:r>
        <w:rPr/>
      </w:r>
    </w:p>
    <w:p>
      <w:pPr>
        <w:pStyle w:val="TextBody"/>
        <w:rPr/>
      </w:pPr>
      <w:r>
        <w:rPr/>
        <w:t>2 (0.9%)</w:t>
      </w:r>
    </w:p>
    <w:p>
      <w:pPr>
        <w:pStyle w:val="TextBody"/>
        <w:rPr/>
      </w:pPr>
      <w:r>
        <w:rPr/>
      </w:r>
    </w:p>
    <w:p>
      <w:pPr>
        <w:pStyle w:val="TextBody"/>
        <w:rPr/>
      </w:pPr>
      <w:r>
        <w:rPr/>
        <w:t>149 (6.0%)</w:t>
      </w:r>
    </w:p>
    <w:p>
      <w:pPr>
        <w:pStyle w:val="TextBody"/>
        <w:rPr/>
      </w:pPr>
      <w:r>
        <w:rPr/>
      </w:r>
    </w:p>
    <w:p>
      <w:pPr>
        <w:pStyle w:val="TextBody"/>
        <w:rPr/>
      </w:pPr>
      <w:r>
        <w:rPr/>
      </w:r>
    </w:p>
    <w:p>
      <w:pPr>
        <w:pStyle w:val="TextBody"/>
        <w:rPr/>
      </w:pPr>
      <w:r>
        <w:rPr/>
      </w:r>
    </w:p>
    <w:p>
      <w:pPr>
        <w:pStyle w:val="TextBody"/>
        <w:rPr/>
      </w:pPr>
      <w:r>
        <w:rPr/>
        <w:t>White</w:t>
      </w:r>
    </w:p>
    <w:p>
      <w:pPr>
        <w:pStyle w:val="TextBody"/>
        <w:rPr/>
      </w:pPr>
      <w:r>
        <w:rPr/>
      </w:r>
    </w:p>
    <w:p>
      <w:pPr>
        <w:pStyle w:val="TextBody"/>
        <w:rPr/>
      </w:pPr>
      <w:r>
        <w:rPr/>
        <w:t>1425 (76.0%)</w:t>
      </w:r>
    </w:p>
    <w:p>
      <w:pPr>
        <w:pStyle w:val="TextBody"/>
        <w:rPr/>
      </w:pPr>
      <w:r>
        <w:rPr/>
      </w:r>
    </w:p>
    <w:p>
      <w:pPr>
        <w:pStyle w:val="TextBody"/>
        <w:rPr/>
      </w:pPr>
      <w:r>
        <w:rPr/>
        <w:t>337 (84.7%)</w:t>
      </w:r>
    </w:p>
    <w:p>
      <w:pPr>
        <w:pStyle w:val="TextBody"/>
        <w:rPr/>
      </w:pPr>
      <w:r>
        <w:rPr/>
      </w:r>
    </w:p>
    <w:p>
      <w:pPr>
        <w:pStyle w:val="TextBody"/>
        <w:rPr/>
      </w:pPr>
      <w:r>
        <w:rPr/>
        <w:t>198 (88.8%)</w:t>
      </w:r>
    </w:p>
    <w:p>
      <w:pPr>
        <w:pStyle w:val="TextBody"/>
        <w:rPr/>
      </w:pPr>
      <w:r>
        <w:rPr/>
      </w:r>
    </w:p>
    <w:p>
      <w:pPr>
        <w:pStyle w:val="TextBody"/>
        <w:rPr/>
      </w:pPr>
      <w:r>
        <w:rPr/>
        <w:t>1960 (78.5%)</w:t>
      </w:r>
    </w:p>
    <w:p>
      <w:pPr>
        <w:pStyle w:val="TextBody"/>
        <w:rPr/>
      </w:pPr>
      <w:r>
        <w:rPr/>
      </w:r>
    </w:p>
    <w:p>
      <w:pPr>
        <w:pStyle w:val="TextBody"/>
        <w:rPr/>
      </w:pPr>
      <w:r>
        <w:rPr/>
      </w:r>
    </w:p>
    <w:p>
      <w:pPr>
        <w:pStyle w:val="TextBody"/>
        <w:rPr/>
      </w:pPr>
      <w:r>
        <w:rPr/>
      </w:r>
    </w:p>
    <w:p>
      <w:pPr>
        <w:pStyle w:val="TextBody"/>
        <w:rPr/>
      </w:pPr>
      <w:r>
        <w:rPr/>
        <w:t>Missing</w:t>
      </w:r>
    </w:p>
    <w:p>
      <w:pPr>
        <w:pStyle w:val="TextBody"/>
        <w:rPr/>
      </w:pPr>
      <w:r>
        <w:rPr/>
      </w:r>
    </w:p>
    <w:p>
      <w:pPr>
        <w:pStyle w:val="TextBody"/>
        <w:rPr/>
      </w:pPr>
      <w:r>
        <w:rPr/>
        <w:t>5 (0.3%)</w:t>
      </w:r>
    </w:p>
    <w:p>
      <w:pPr>
        <w:pStyle w:val="TextBody"/>
        <w:rPr/>
      </w:pPr>
      <w:r>
        <w:rPr/>
      </w:r>
    </w:p>
    <w:p>
      <w:pPr>
        <w:pStyle w:val="TextBody"/>
        <w:rPr/>
      </w:pPr>
      <w:r>
        <w:rPr/>
        <w:t>0 (0%)</w:t>
      </w:r>
    </w:p>
    <w:p>
      <w:pPr>
        <w:pStyle w:val="TextBody"/>
        <w:rPr/>
      </w:pPr>
      <w:r>
        <w:rPr/>
      </w:r>
    </w:p>
    <w:p>
      <w:pPr>
        <w:pStyle w:val="TextBody"/>
        <w:rPr/>
      </w:pPr>
      <w:r>
        <w:rPr/>
        <w:t>0 (0%)</w:t>
      </w:r>
    </w:p>
    <w:p>
      <w:pPr>
        <w:pStyle w:val="TextBody"/>
        <w:rPr/>
      </w:pPr>
      <w:r>
        <w:rPr/>
      </w:r>
    </w:p>
    <w:p>
      <w:pPr>
        <w:pStyle w:val="TextBody"/>
        <w:rPr/>
      </w:pPr>
      <w:r>
        <w:rPr/>
        <w:t>5 (0.2%)</w:t>
      </w:r>
    </w:p>
    <w:p>
      <w:pPr>
        <w:pStyle w:val="TextBody"/>
        <w:rPr/>
      </w:pPr>
      <w:r>
        <w:rPr/>
      </w:r>
    </w:p>
    <w:p>
      <w:pPr>
        <w:pStyle w:val="TextBody"/>
        <w:rPr/>
      </w:pPr>
      <w:r>
        <w:rPr/>
      </w:r>
    </w:p>
    <w:p>
      <w:pPr>
        <w:pStyle w:val="TextBody"/>
        <w:rPr/>
      </w:pPr>
      <w:r>
        <w:rPr/>
      </w:r>
    </w:p>
    <w:p>
      <w:pPr>
        <w:pStyle w:val="TextBody"/>
        <w:rPr/>
      </w:pPr>
      <w:r>
        <w:rPr/>
        <w:t>Hospitalization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206 (11.0%)</w:t>
      </w:r>
    </w:p>
    <w:p>
      <w:pPr>
        <w:pStyle w:val="TextBody"/>
        <w:rPr/>
      </w:pPr>
      <w:r>
        <w:rPr/>
      </w:r>
    </w:p>
    <w:p>
      <w:pPr>
        <w:pStyle w:val="TextBody"/>
        <w:rPr/>
      </w:pPr>
      <w:r>
        <w:rPr/>
        <w:t>44 (11.1%)</w:t>
      </w:r>
    </w:p>
    <w:p>
      <w:pPr>
        <w:pStyle w:val="TextBody"/>
        <w:rPr/>
      </w:pPr>
      <w:r>
        <w:rPr/>
      </w:r>
    </w:p>
    <w:p>
      <w:pPr>
        <w:pStyle w:val="TextBody"/>
        <w:rPr/>
      </w:pPr>
      <w:r>
        <w:rPr/>
        <w:t>88 (39.5%)</w:t>
      </w:r>
    </w:p>
    <w:p>
      <w:pPr>
        <w:pStyle w:val="TextBody"/>
        <w:rPr/>
      </w:pPr>
      <w:r>
        <w:rPr/>
      </w:r>
    </w:p>
    <w:p>
      <w:pPr>
        <w:pStyle w:val="TextBody"/>
        <w:rPr/>
      </w:pPr>
      <w:r>
        <w:rPr/>
        <w:t>338 (13.5%)</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1670 (89.0%)</w:t>
      </w:r>
    </w:p>
    <w:p>
      <w:pPr>
        <w:pStyle w:val="TextBody"/>
        <w:rPr/>
      </w:pPr>
      <w:r>
        <w:rPr/>
      </w:r>
    </w:p>
    <w:p>
      <w:pPr>
        <w:pStyle w:val="TextBody"/>
        <w:rPr/>
      </w:pPr>
      <w:r>
        <w:rPr/>
        <w:t>354 (88.9%)</w:t>
      </w:r>
    </w:p>
    <w:p>
      <w:pPr>
        <w:pStyle w:val="TextBody"/>
        <w:rPr/>
      </w:pPr>
      <w:r>
        <w:rPr/>
      </w:r>
    </w:p>
    <w:p>
      <w:pPr>
        <w:pStyle w:val="TextBody"/>
        <w:rPr/>
      </w:pPr>
      <w:r>
        <w:rPr/>
        <w:t>135 (60.5%)</w:t>
      </w:r>
    </w:p>
    <w:p>
      <w:pPr>
        <w:pStyle w:val="TextBody"/>
        <w:rPr/>
      </w:pPr>
      <w:r>
        <w:rPr/>
      </w:r>
    </w:p>
    <w:p>
      <w:pPr>
        <w:pStyle w:val="TextBody"/>
        <w:rPr/>
      </w:pPr>
      <w:r>
        <w:rPr/>
        <w:t>2159 (86.5%)</w:t>
      </w:r>
    </w:p>
    <w:p>
      <w:pPr>
        <w:pStyle w:val="TextBody"/>
        <w:rPr/>
      </w:pPr>
      <w:r>
        <w:rPr/>
      </w:r>
    </w:p>
    <w:p>
      <w:pPr>
        <w:pStyle w:val="TextBody"/>
        <w:rPr/>
      </w:pPr>
      <w:r>
        <w:rPr/>
      </w:r>
    </w:p>
    <w:p>
      <w:pPr>
        <w:pStyle w:val="TextBody"/>
        <w:rPr/>
      </w:pPr>
      <w:r>
        <w:rPr/>
      </w:r>
    </w:p>
    <w:p>
      <w:pPr>
        <w:pStyle w:val="TextBody"/>
        <w:rPr/>
      </w:pPr>
      <w:r>
        <w:rPr/>
        <w:t>Discharge to ICF or SNF</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10 (0.5%)</w:t>
      </w:r>
    </w:p>
    <w:p>
      <w:pPr>
        <w:pStyle w:val="TextBody"/>
        <w:rPr/>
      </w:pPr>
      <w:r>
        <w:rPr/>
      </w:r>
    </w:p>
    <w:p>
      <w:pPr>
        <w:pStyle w:val="TextBody"/>
        <w:rPr/>
      </w:pPr>
      <w:r>
        <w:rPr/>
        <w:t>2 (0.5%)</w:t>
      </w:r>
    </w:p>
    <w:p>
      <w:pPr>
        <w:pStyle w:val="TextBody"/>
        <w:rPr/>
      </w:pPr>
      <w:r>
        <w:rPr/>
      </w:r>
    </w:p>
    <w:p>
      <w:pPr>
        <w:pStyle w:val="TextBody"/>
        <w:rPr/>
      </w:pPr>
      <w:r>
        <w:rPr/>
        <w:t>6 (2.7%)</w:t>
      </w:r>
    </w:p>
    <w:p>
      <w:pPr>
        <w:pStyle w:val="TextBody"/>
        <w:rPr/>
      </w:pPr>
      <w:r>
        <w:rPr/>
      </w:r>
    </w:p>
    <w:p>
      <w:pPr>
        <w:pStyle w:val="TextBody"/>
        <w:rPr/>
      </w:pPr>
      <w:r>
        <w:rPr/>
        <w:t>18 (0.7%)</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1866 (99.5%)</w:t>
      </w:r>
    </w:p>
    <w:p>
      <w:pPr>
        <w:pStyle w:val="TextBody"/>
        <w:rPr/>
      </w:pPr>
      <w:r>
        <w:rPr/>
      </w:r>
    </w:p>
    <w:p>
      <w:pPr>
        <w:pStyle w:val="TextBody"/>
        <w:rPr/>
      </w:pPr>
      <w:r>
        <w:rPr/>
        <w:t>396 (99.5%)</w:t>
      </w:r>
    </w:p>
    <w:p>
      <w:pPr>
        <w:pStyle w:val="TextBody"/>
        <w:rPr/>
      </w:pPr>
      <w:r>
        <w:rPr/>
      </w:r>
    </w:p>
    <w:p>
      <w:pPr>
        <w:pStyle w:val="TextBody"/>
        <w:rPr/>
      </w:pPr>
      <w:r>
        <w:rPr/>
        <w:t>217 (97.3%)</w:t>
      </w:r>
    </w:p>
    <w:p>
      <w:pPr>
        <w:pStyle w:val="TextBody"/>
        <w:rPr/>
      </w:pPr>
      <w:r>
        <w:rPr/>
      </w:r>
    </w:p>
    <w:p>
      <w:pPr>
        <w:pStyle w:val="TextBody"/>
        <w:rPr/>
      </w:pPr>
      <w:r>
        <w:rPr/>
        <w:t>2479 (99.3%)</w:t>
      </w:r>
    </w:p>
    <w:p>
      <w:pPr>
        <w:pStyle w:val="TextBody"/>
        <w:rPr/>
      </w:pPr>
      <w:r>
        <w:rPr/>
      </w:r>
    </w:p>
    <w:p>
      <w:pPr>
        <w:pStyle w:val="TextBody"/>
        <w:rPr/>
      </w:pPr>
      <w:r>
        <w:rPr/>
      </w:r>
    </w:p>
    <w:p>
      <w:pPr>
        <w:pStyle w:val="TextBody"/>
        <w:rPr/>
      </w:pPr>
      <w:r>
        <w:rPr/>
      </w:r>
    </w:p>
    <w:p>
      <w:pPr>
        <w:pStyle w:val="TextBody"/>
        <w:rPr/>
      </w:pPr>
      <w:r>
        <w:rPr/>
        <w:t>Deceased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46 (2.5%)</w:t>
      </w:r>
    </w:p>
    <w:p>
      <w:pPr>
        <w:pStyle w:val="TextBody"/>
        <w:rPr/>
      </w:pPr>
      <w:r>
        <w:rPr/>
      </w:r>
    </w:p>
    <w:p>
      <w:pPr>
        <w:pStyle w:val="TextBody"/>
        <w:rPr/>
      </w:pPr>
      <w:r>
        <w:rPr/>
        <w:t>9 (2.3%)</w:t>
      </w:r>
    </w:p>
    <w:p>
      <w:pPr>
        <w:pStyle w:val="TextBody"/>
        <w:rPr/>
      </w:pPr>
      <w:r>
        <w:rPr/>
      </w:r>
    </w:p>
    <w:p>
      <w:pPr>
        <w:pStyle w:val="TextBody"/>
        <w:rPr/>
      </w:pPr>
      <w:r>
        <w:rPr/>
        <w:t>6 (2.7%)</w:t>
      </w:r>
    </w:p>
    <w:p>
      <w:pPr>
        <w:pStyle w:val="TextBody"/>
        <w:rPr/>
      </w:pPr>
      <w:r>
        <w:rPr/>
      </w:r>
    </w:p>
    <w:p>
      <w:pPr>
        <w:pStyle w:val="TextBody"/>
        <w:rPr/>
      </w:pPr>
      <w:r>
        <w:rPr/>
        <w:t>61 (2.4%)</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1830 (97.5%)</w:t>
      </w:r>
    </w:p>
    <w:p>
      <w:pPr>
        <w:pStyle w:val="TextBody"/>
        <w:rPr/>
      </w:pPr>
      <w:r>
        <w:rPr/>
      </w:r>
    </w:p>
    <w:p>
      <w:pPr>
        <w:pStyle w:val="TextBody"/>
        <w:rPr/>
      </w:pPr>
      <w:r>
        <w:rPr/>
        <w:t>389 (97.7%)</w:t>
      </w:r>
    </w:p>
    <w:p>
      <w:pPr>
        <w:pStyle w:val="TextBody"/>
        <w:rPr/>
      </w:pPr>
      <w:r>
        <w:rPr/>
      </w:r>
    </w:p>
    <w:p>
      <w:pPr>
        <w:pStyle w:val="TextBody"/>
        <w:rPr/>
      </w:pPr>
      <w:r>
        <w:rPr/>
        <w:t>217 (97.3%)</w:t>
      </w:r>
    </w:p>
    <w:p>
      <w:pPr>
        <w:pStyle w:val="TextBody"/>
        <w:rPr/>
      </w:pPr>
      <w:r>
        <w:rPr/>
      </w:r>
    </w:p>
    <w:p>
      <w:pPr>
        <w:pStyle w:val="TextBody"/>
        <w:rPr/>
      </w:pPr>
      <w:r>
        <w:rPr/>
        <w:t>2436 (97.6%)</w:t>
      </w:r>
    </w:p>
    <w:p>
      <w:pPr>
        <w:pStyle w:val="TextBody"/>
        <w:rPr/>
      </w:pPr>
      <w:r>
        <w:rPr/>
      </w:r>
    </w:p>
    <w:p>
      <w:pPr>
        <w:pStyle w:val="TextBody"/>
        <w:rPr/>
      </w:pPr>
      <w:r>
        <w:rPr/>
      </w:r>
    </w:p>
    <w:p>
      <w:pPr>
        <w:pStyle w:val="TextBody"/>
        <w:rPr/>
      </w:pPr>
      <w:r>
        <w:rPr/>
      </w:r>
    </w:p>
    <w:p>
      <w:pPr>
        <w:pStyle w:val="TextBody"/>
        <w:rPr/>
      </w:pPr>
      <w:r>
        <w:rPr/>
        <w:t>Hospital Acquired Infections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70 (3.7%)</w:t>
      </w:r>
    </w:p>
    <w:p>
      <w:pPr>
        <w:pStyle w:val="TextBody"/>
        <w:rPr/>
      </w:pPr>
      <w:r>
        <w:rPr/>
      </w:r>
    </w:p>
    <w:p>
      <w:pPr>
        <w:pStyle w:val="TextBody"/>
        <w:rPr/>
      </w:pPr>
      <w:r>
        <w:rPr/>
        <w:t>44 (11.1%)</w:t>
      </w:r>
    </w:p>
    <w:p>
      <w:pPr>
        <w:pStyle w:val="TextBody"/>
        <w:rPr/>
      </w:pPr>
      <w:r>
        <w:rPr/>
      </w:r>
    </w:p>
    <w:p>
      <w:pPr>
        <w:pStyle w:val="TextBody"/>
        <w:rPr/>
      </w:pPr>
      <w:r>
        <w:rPr/>
        <w:t>48 (21.5%)</w:t>
      </w:r>
    </w:p>
    <w:p>
      <w:pPr>
        <w:pStyle w:val="TextBody"/>
        <w:rPr/>
      </w:pPr>
      <w:r>
        <w:rPr/>
      </w:r>
    </w:p>
    <w:p>
      <w:pPr>
        <w:pStyle w:val="TextBody"/>
        <w:rPr/>
      </w:pPr>
      <w:r>
        <w:rPr/>
        <w:t>162 (6.5%)</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1806 (96.3%)</w:t>
      </w:r>
    </w:p>
    <w:p>
      <w:pPr>
        <w:pStyle w:val="TextBody"/>
        <w:rPr/>
      </w:pPr>
      <w:r>
        <w:rPr/>
      </w:r>
    </w:p>
    <w:p>
      <w:pPr>
        <w:pStyle w:val="TextBody"/>
        <w:rPr/>
      </w:pPr>
      <w:r>
        <w:rPr/>
        <w:t>354 (88.9%)</w:t>
      </w:r>
    </w:p>
    <w:p>
      <w:pPr>
        <w:pStyle w:val="TextBody"/>
        <w:rPr/>
      </w:pPr>
      <w:r>
        <w:rPr/>
      </w:r>
    </w:p>
    <w:p>
      <w:pPr>
        <w:pStyle w:val="TextBody"/>
        <w:rPr/>
      </w:pPr>
      <w:r>
        <w:rPr/>
        <w:t>175 (78.5%)</w:t>
      </w:r>
    </w:p>
    <w:p>
      <w:pPr>
        <w:pStyle w:val="TextBody"/>
        <w:rPr/>
      </w:pPr>
      <w:r>
        <w:rPr/>
      </w:r>
    </w:p>
    <w:p>
      <w:pPr>
        <w:pStyle w:val="TextBody"/>
        <w:rPr/>
      </w:pPr>
      <w:r>
        <w:rPr/>
        <w:t>2335 (93.5%)</w:t>
      </w:r>
    </w:p>
    <w:p>
      <w:pPr>
        <w:pStyle w:val="TextBody"/>
        <w:rPr/>
      </w:pPr>
      <w:r>
        <w:rPr/>
      </w:r>
    </w:p>
    <w:p>
      <w:pPr>
        <w:pStyle w:val="TextBody"/>
        <w:rPr/>
      </w:pPr>
      <w:r>
        <w:rPr/>
      </w:r>
    </w:p>
    <w:p>
      <w:pPr>
        <w:pStyle w:val="TextBody"/>
        <w:rPr/>
      </w:pPr>
      <w:r>
        <w:rPr/>
      </w:r>
    </w:p>
    <w:p>
      <w:pPr>
        <w:pStyle w:val="TextBody"/>
        <w:rPr/>
      </w:pPr>
      <w:r>
        <w:rPr/>
        <w:t>Falls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49 (2.6%)</w:t>
      </w:r>
    </w:p>
    <w:p>
      <w:pPr>
        <w:pStyle w:val="TextBody"/>
        <w:rPr/>
      </w:pPr>
      <w:r>
        <w:rPr/>
      </w:r>
    </w:p>
    <w:p>
      <w:pPr>
        <w:pStyle w:val="TextBody"/>
        <w:rPr/>
      </w:pPr>
      <w:r>
        <w:rPr/>
        <w:t>19 (4.8%)</w:t>
      </w:r>
    </w:p>
    <w:p>
      <w:pPr>
        <w:pStyle w:val="TextBody"/>
        <w:rPr/>
      </w:pPr>
      <w:r>
        <w:rPr/>
      </w:r>
    </w:p>
    <w:p>
      <w:pPr>
        <w:pStyle w:val="TextBody"/>
        <w:rPr/>
      </w:pPr>
      <w:r>
        <w:rPr/>
        <w:t>26 (11.7%)</w:t>
      </w:r>
    </w:p>
    <w:p>
      <w:pPr>
        <w:pStyle w:val="TextBody"/>
        <w:rPr/>
      </w:pPr>
      <w:r>
        <w:rPr/>
      </w:r>
    </w:p>
    <w:p>
      <w:pPr>
        <w:pStyle w:val="TextBody"/>
        <w:rPr/>
      </w:pPr>
      <w:r>
        <w:rPr/>
        <w:t>94 (3.8%)</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1827 (97.4%)</w:t>
      </w:r>
    </w:p>
    <w:p>
      <w:pPr>
        <w:pStyle w:val="TextBody"/>
        <w:rPr/>
      </w:pPr>
      <w:r>
        <w:rPr/>
      </w:r>
    </w:p>
    <w:p>
      <w:pPr>
        <w:pStyle w:val="TextBody"/>
        <w:rPr/>
      </w:pPr>
      <w:r>
        <w:rPr/>
        <w:t>379 (95.2%)</w:t>
      </w:r>
    </w:p>
    <w:p>
      <w:pPr>
        <w:pStyle w:val="TextBody"/>
        <w:rPr/>
      </w:pPr>
      <w:r>
        <w:rPr/>
      </w:r>
    </w:p>
    <w:p>
      <w:pPr>
        <w:pStyle w:val="TextBody"/>
        <w:rPr/>
      </w:pPr>
      <w:r>
        <w:rPr/>
        <w:t>197 (88.3%)</w:t>
      </w:r>
    </w:p>
    <w:p>
      <w:pPr>
        <w:pStyle w:val="TextBody"/>
        <w:rPr/>
      </w:pPr>
      <w:r>
        <w:rPr/>
      </w:r>
    </w:p>
    <w:p>
      <w:pPr>
        <w:pStyle w:val="TextBody"/>
        <w:rPr/>
      </w:pPr>
      <w:r>
        <w:rPr/>
        <w:t>2403 (96.2%)</w:t>
      </w:r>
    </w:p>
    <w:p>
      <w:pPr>
        <w:pStyle w:val="TextBody"/>
        <w:rPr/>
      </w:pPr>
      <w:r>
        <w:rPr/>
      </w:r>
    </w:p>
    <w:p>
      <w:pPr>
        <w:pStyle w:val="TextBody"/>
        <w:rPr/>
      </w:pPr>
      <w:r>
        <w:rPr/>
      </w:r>
    </w:p>
    <w:p>
      <w:pPr>
        <w:pStyle w:val="TextBody"/>
        <w:rPr/>
      </w:pPr>
      <w:r>
        <w:rPr/>
      </w:r>
    </w:p>
    <w:p>
      <w:pPr>
        <w:pStyle w:val="TextBody"/>
        <w:rPr/>
      </w:pPr>
      <w:r>
        <w:rPr/>
        <w:t>Patient age (years)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Mean (SD)</w:t>
      </w:r>
    </w:p>
    <w:p>
      <w:pPr>
        <w:pStyle w:val="TextBody"/>
        <w:rPr/>
      </w:pPr>
      <w:r>
        <w:rPr/>
      </w:r>
    </w:p>
    <w:p>
      <w:pPr>
        <w:pStyle w:val="TextBody"/>
        <w:rPr/>
      </w:pPr>
      <w:r>
        <w:rPr/>
        <w:t>51.0 (18.1)</w:t>
      </w:r>
    </w:p>
    <w:p>
      <w:pPr>
        <w:pStyle w:val="TextBody"/>
        <w:rPr/>
      </w:pPr>
      <w:r>
        <w:rPr/>
      </w:r>
    </w:p>
    <w:p>
      <w:pPr>
        <w:pStyle w:val="TextBody"/>
        <w:rPr/>
      </w:pPr>
      <w:r>
        <w:rPr/>
        <w:t>51.2 (16.0)</w:t>
      </w:r>
    </w:p>
    <w:p>
      <w:pPr>
        <w:pStyle w:val="TextBody"/>
        <w:rPr/>
      </w:pPr>
      <w:r>
        <w:rPr/>
      </w:r>
    </w:p>
    <w:p>
      <w:pPr>
        <w:pStyle w:val="TextBody"/>
        <w:rPr/>
      </w:pPr>
      <w:r>
        <w:rPr/>
        <w:t>56.2 (16.3)</w:t>
      </w:r>
    </w:p>
    <w:p>
      <w:pPr>
        <w:pStyle w:val="TextBody"/>
        <w:rPr/>
      </w:pPr>
      <w:r>
        <w:rPr/>
      </w:r>
    </w:p>
    <w:p>
      <w:pPr>
        <w:pStyle w:val="TextBody"/>
        <w:rPr/>
      </w:pPr>
      <w:r>
        <w:rPr/>
        <w:t>51.5 (17.7)</w:t>
      </w:r>
    </w:p>
    <w:p>
      <w:pPr>
        <w:pStyle w:val="TextBody"/>
        <w:rPr/>
      </w:pPr>
      <w:r>
        <w:rPr/>
      </w:r>
    </w:p>
    <w:p>
      <w:pPr>
        <w:pStyle w:val="TextBody"/>
        <w:rPr/>
      </w:pPr>
      <w:r>
        <w:rPr/>
      </w:r>
    </w:p>
    <w:p>
      <w:pPr>
        <w:pStyle w:val="TextBody"/>
        <w:rPr/>
      </w:pPr>
      <w:r>
        <w:rPr/>
      </w:r>
    </w:p>
    <w:p>
      <w:pPr>
        <w:pStyle w:val="TextBody"/>
        <w:rPr/>
      </w:pPr>
      <w:r>
        <w:rPr/>
        <w:t>Median [Min, Max]</w:t>
      </w:r>
    </w:p>
    <w:p>
      <w:pPr>
        <w:pStyle w:val="TextBody"/>
        <w:rPr/>
      </w:pPr>
      <w:r>
        <w:rPr/>
      </w:r>
    </w:p>
    <w:p>
      <w:pPr>
        <w:pStyle w:val="TextBody"/>
        <w:rPr/>
      </w:pPr>
      <w:r>
        <w:rPr/>
        <w:t>48.6 [18.3, 88.5]</w:t>
      </w:r>
    </w:p>
    <w:p>
      <w:pPr>
        <w:pStyle w:val="TextBody"/>
        <w:rPr/>
      </w:pPr>
      <w:r>
        <w:rPr/>
      </w:r>
    </w:p>
    <w:p>
      <w:pPr>
        <w:pStyle w:val="TextBody"/>
        <w:rPr/>
      </w:pPr>
      <w:r>
        <w:rPr/>
        <w:t>51.4 [18.4, 87.7]</w:t>
      </w:r>
    </w:p>
    <w:p>
      <w:pPr>
        <w:pStyle w:val="TextBody"/>
        <w:rPr/>
      </w:pPr>
      <w:r>
        <w:rPr/>
      </w:r>
    </w:p>
    <w:p>
      <w:pPr>
        <w:pStyle w:val="TextBody"/>
        <w:rPr/>
      </w:pPr>
      <w:r>
        <w:rPr/>
        <w:t>58.6 [21.4, 87.8]</w:t>
      </w:r>
    </w:p>
    <w:p>
      <w:pPr>
        <w:pStyle w:val="TextBody"/>
        <w:rPr/>
      </w:pPr>
      <w:r>
        <w:rPr/>
      </w:r>
    </w:p>
    <w:p>
      <w:pPr>
        <w:pStyle w:val="TextBody"/>
        <w:rPr/>
      </w:pPr>
      <w:r>
        <w:rPr/>
        <w:t>50.3 [18.3, 88.5]</w:t>
      </w:r>
    </w:p>
    <w:p>
      <w:pPr>
        <w:pStyle w:val="TextBody"/>
        <w:rPr/>
      </w:pPr>
      <w:r>
        <w:rPr/>
      </w:r>
    </w:p>
    <w:p>
      <w:pPr>
        <w:pStyle w:val="TextBody"/>
        <w:rPr/>
      </w:pPr>
      <w:r>
        <w:rPr/>
      </w:r>
    </w:p>
    <w:p>
      <w:pPr>
        <w:pStyle w:val="TextBody"/>
        <w:rPr/>
      </w:pPr>
      <w:r>
        <w:rPr/>
      </w:r>
    </w:p>
    <w:p>
      <w:pPr>
        <w:pStyle w:val="TextBody"/>
        <w:rPr/>
      </w:pPr>
      <w:r>
        <w:rPr/>
        <w:t>Frailty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Mean (SD)</w:t>
      </w:r>
    </w:p>
    <w:p>
      <w:pPr>
        <w:pStyle w:val="TextBody"/>
        <w:rPr/>
      </w:pPr>
      <w:r>
        <w:rPr/>
      </w:r>
    </w:p>
    <w:p>
      <w:pPr>
        <w:pStyle w:val="TextBody"/>
        <w:rPr/>
      </w:pPr>
      <w:r>
        <w:rPr/>
        <w:t>0.0194 (0.0275)</w:t>
      </w:r>
    </w:p>
    <w:p>
      <w:pPr>
        <w:pStyle w:val="TextBody"/>
        <w:rPr/>
      </w:pPr>
      <w:r>
        <w:rPr/>
      </w:r>
    </w:p>
    <w:p>
      <w:pPr>
        <w:pStyle w:val="TextBody"/>
        <w:rPr/>
      </w:pPr>
      <w:r>
        <w:rPr/>
        <w:t>0.140 (0.0298)</w:t>
      </w:r>
    </w:p>
    <w:p>
      <w:pPr>
        <w:pStyle w:val="TextBody"/>
        <w:rPr/>
      </w:pPr>
      <w:r>
        <w:rPr/>
      </w:r>
    </w:p>
    <w:p>
      <w:pPr>
        <w:pStyle w:val="TextBody"/>
        <w:rPr/>
      </w:pPr>
      <w:r>
        <w:rPr/>
        <w:t>0.286 (0.0704)</w:t>
      </w:r>
    </w:p>
    <w:p>
      <w:pPr>
        <w:pStyle w:val="TextBody"/>
        <w:rPr/>
      </w:pPr>
      <w:r>
        <w:rPr/>
      </w:r>
    </w:p>
    <w:p>
      <w:pPr>
        <w:pStyle w:val="TextBody"/>
        <w:rPr/>
      </w:pPr>
      <w:r>
        <w:rPr/>
        <w:t>0.0623 (0.0891)</w:t>
      </w:r>
    </w:p>
    <w:p>
      <w:pPr>
        <w:pStyle w:val="TextBody"/>
        <w:rPr/>
      </w:pPr>
      <w:r>
        <w:rPr/>
      </w:r>
    </w:p>
    <w:p>
      <w:pPr>
        <w:pStyle w:val="TextBody"/>
        <w:rPr/>
      </w:pPr>
      <w:r>
        <w:rPr/>
      </w:r>
    </w:p>
    <w:p>
      <w:pPr>
        <w:pStyle w:val="TextBody"/>
        <w:rPr/>
      </w:pPr>
      <w:r>
        <w:rPr/>
      </w:r>
    </w:p>
    <w:p>
      <w:pPr>
        <w:pStyle w:val="TextBody"/>
        <w:rPr/>
      </w:pPr>
      <w:r>
        <w:rPr/>
        <w:t>Median [Min, Max]</w:t>
      </w:r>
    </w:p>
    <w:p>
      <w:pPr>
        <w:pStyle w:val="TextBody"/>
        <w:rPr/>
      </w:pPr>
      <w:r>
        <w:rPr/>
      </w:r>
    </w:p>
    <w:p>
      <w:pPr>
        <w:pStyle w:val="TextBody"/>
        <w:rPr/>
      </w:pPr>
      <w:r>
        <w:rPr/>
        <w:t>0 [0, 0.0833]</w:t>
      </w:r>
    </w:p>
    <w:p>
      <w:pPr>
        <w:pStyle w:val="TextBody"/>
        <w:rPr/>
      </w:pPr>
      <w:r>
        <w:rPr/>
      </w:r>
    </w:p>
    <w:p>
      <w:pPr>
        <w:pStyle w:val="TextBody"/>
        <w:rPr/>
      </w:pPr>
      <w:r>
        <w:rPr/>
        <w:t>0.146 [0.104, 0.188]</w:t>
      </w:r>
    </w:p>
    <w:p>
      <w:pPr>
        <w:pStyle w:val="TextBody"/>
        <w:rPr/>
      </w:pPr>
      <w:r>
        <w:rPr/>
      </w:r>
    </w:p>
    <w:p>
      <w:pPr>
        <w:pStyle w:val="TextBody"/>
        <w:rPr/>
      </w:pPr>
      <w:r>
        <w:rPr/>
        <w:t>0.271 [0.208, 0.563]</w:t>
      </w:r>
    </w:p>
    <w:p>
      <w:pPr>
        <w:pStyle w:val="TextBody"/>
        <w:rPr/>
      </w:pPr>
      <w:r>
        <w:rPr/>
      </w:r>
    </w:p>
    <w:p>
      <w:pPr>
        <w:pStyle w:val="TextBody"/>
        <w:rPr/>
      </w:pPr>
      <w:r>
        <w:rPr/>
        <w:t>0.0208 [0, 0.563]</w:t>
      </w:r>
    </w:p>
    <w:p>
      <w:pPr>
        <w:pStyle w:val="TextBody"/>
        <w:rPr/>
      </w:pPr>
      <w:r>
        <w:rPr/>
      </w:r>
    </w:p>
    <w:p>
      <w:pPr>
        <w:pStyle w:val="TextBody"/>
        <w:rPr/>
      </w:pPr>
      <w:r>
        <w:rPr/>
      </w:r>
    </w:p>
    <w:p>
      <w:pPr>
        <w:pStyle w:val="TextBody"/>
        <w:rPr/>
      </w:pPr>
      <w:r>
        <w:rPr/>
      </w:r>
    </w:p>
    <w:p>
      <w:pPr>
        <w:pStyle w:val="TextBody"/>
        <w:rPr/>
      </w:pPr>
      <w:r>
        <w:rPr/>
        <w:t>Number of visit-days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Mean (SD)</w:t>
      </w:r>
    </w:p>
    <w:p>
      <w:pPr>
        <w:pStyle w:val="TextBody"/>
        <w:rPr/>
      </w:pPr>
      <w:r>
        <w:rPr/>
      </w:r>
    </w:p>
    <w:p>
      <w:pPr>
        <w:pStyle w:val="TextBody"/>
        <w:rPr/>
      </w:pPr>
      <w:r>
        <w:rPr/>
        <w:t>14.5 (34.4)</w:t>
      </w:r>
    </w:p>
    <w:p>
      <w:pPr>
        <w:pStyle w:val="TextBody"/>
        <w:rPr/>
      </w:pPr>
      <w:r>
        <w:rPr/>
      </w:r>
    </w:p>
    <w:p>
      <w:pPr>
        <w:pStyle w:val="TextBody"/>
        <w:rPr/>
      </w:pPr>
      <w:r>
        <w:rPr/>
        <w:t>26.3 (36.5)</w:t>
      </w:r>
    </w:p>
    <w:p>
      <w:pPr>
        <w:pStyle w:val="TextBody"/>
        <w:rPr/>
      </w:pPr>
      <w:r>
        <w:rPr/>
      </w:r>
    </w:p>
    <w:p>
      <w:pPr>
        <w:pStyle w:val="TextBody"/>
        <w:rPr/>
      </w:pPr>
      <w:r>
        <w:rPr/>
        <w:t>66.1 (119)</w:t>
      </w:r>
    </w:p>
    <w:p>
      <w:pPr>
        <w:pStyle w:val="TextBody"/>
        <w:rPr/>
      </w:pPr>
      <w:r>
        <w:rPr/>
      </w:r>
    </w:p>
    <w:p>
      <w:pPr>
        <w:pStyle w:val="TextBody"/>
        <w:rPr/>
      </w:pPr>
      <w:r>
        <w:rPr/>
        <w:t>21.0 (50.8)</w:t>
      </w:r>
    </w:p>
    <w:p>
      <w:pPr>
        <w:pStyle w:val="TextBody"/>
        <w:rPr/>
      </w:pPr>
      <w:r>
        <w:rPr/>
      </w:r>
    </w:p>
    <w:p>
      <w:pPr>
        <w:pStyle w:val="TextBody"/>
        <w:rPr/>
      </w:pPr>
      <w:r>
        <w:rPr/>
      </w:r>
    </w:p>
    <w:p>
      <w:pPr>
        <w:pStyle w:val="TextBody"/>
        <w:rPr/>
      </w:pPr>
      <w:r>
        <w:rPr/>
      </w:r>
    </w:p>
    <w:p>
      <w:pPr>
        <w:pStyle w:val="TextBody"/>
        <w:rPr/>
      </w:pPr>
      <w:r>
        <w:rPr/>
        <w:t>Median [Min, Max]</w:t>
      </w:r>
    </w:p>
    <w:p>
      <w:pPr>
        <w:pStyle w:val="TextBody"/>
        <w:rPr/>
      </w:pPr>
      <w:r>
        <w:rPr/>
      </w:r>
    </w:p>
    <w:p>
      <w:pPr>
        <w:pStyle w:val="TextBody"/>
        <w:rPr/>
      </w:pPr>
      <w:r>
        <w:rPr/>
        <w:t>7.00 [2.00, 1170]</w:t>
      </w:r>
    </w:p>
    <w:p>
      <w:pPr>
        <w:pStyle w:val="TextBody"/>
        <w:rPr/>
      </w:pPr>
      <w:r>
        <w:rPr/>
      </w:r>
    </w:p>
    <w:p>
      <w:pPr>
        <w:pStyle w:val="TextBody"/>
        <w:rPr/>
      </w:pPr>
      <w:r>
        <w:rPr/>
        <w:t>13.0 [2.00, 318]</w:t>
      </w:r>
    </w:p>
    <w:p>
      <w:pPr>
        <w:pStyle w:val="TextBody"/>
        <w:rPr/>
      </w:pPr>
      <w:r>
        <w:rPr/>
      </w:r>
    </w:p>
    <w:p>
      <w:pPr>
        <w:pStyle w:val="TextBody"/>
        <w:rPr/>
      </w:pPr>
      <w:r>
        <w:rPr/>
        <w:t>31.0 [2.00, 1180]</w:t>
      </w:r>
    </w:p>
    <w:p>
      <w:pPr>
        <w:pStyle w:val="TextBody"/>
        <w:rPr/>
      </w:pPr>
      <w:r>
        <w:rPr/>
      </w:r>
    </w:p>
    <w:p>
      <w:pPr>
        <w:pStyle w:val="TextBody"/>
        <w:rPr/>
      </w:pPr>
      <w:r>
        <w:rPr/>
        <w:t>8.00 [2.00, 1180]</w:t>
      </w:r>
    </w:p>
    <w:p>
      <w:pPr>
        <w:pStyle w:val="TextBody"/>
        <w:rPr/>
      </w:pPr>
      <w:r>
        <w:rPr/>
      </w:r>
    </w:p>
    <w:p>
      <w:pPr>
        <w:pStyle w:val="TextBody"/>
        <w:rPr/>
      </w:pPr>
      <w:r>
        <w:rPr/>
      </w:r>
    </w:p>
    <w:p>
      <w:pPr>
        <w:pStyle w:val="TextBody"/>
        <w:rPr/>
      </w:pPr>
      <w:r>
        <w:rPr/>
      </w:r>
    </w:p>
    <w:p>
      <w:pPr>
        <w:pStyle w:val="TextBody"/>
        <w:rPr/>
      </w:pPr>
      <w:r>
        <w:rPr/>
        <w:t>Length of Stay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Mean (SD)</w:t>
      </w:r>
    </w:p>
    <w:p>
      <w:pPr>
        <w:pStyle w:val="TextBody"/>
        <w:rPr/>
      </w:pPr>
      <w:r>
        <w:rPr/>
      </w:r>
    </w:p>
    <w:p>
      <w:pPr>
        <w:pStyle w:val="TextBody"/>
        <w:rPr/>
      </w:pPr>
      <w:r>
        <w:rPr/>
        <w:t>4.89 (3.91)</w:t>
      </w:r>
    </w:p>
    <w:p>
      <w:pPr>
        <w:pStyle w:val="TextBody"/>
        <w:rPr/>
      </w:pPr>
      <w:r>
        <w:rPr/>
      </w:r>
    </w:p>
    <w:p>
      <w:pPr>
        <w:pStyle w:val="TextBody"/>
        <w:rPr/>
      </w:pPr>
      <w:r>
        <w:rPr/>
        <w:t>3.47 (2.09)</w:t>
      </w:r>
    </w:p>
    <w:p>
      <w:pPr>
        <w:pStyle w:val="TextBody"/>
        <w:rPr/>
      </w:pPr>
      <w:r>
        <w:rPr/>
      </w:r>
    </w:p>
    <w:p>
      <w:pPr>
        <w:pStyle w:val="TextBody"/>
        <w:rPr/>
      </w:pPr>
      <w:r>
        <w:rPr/>
        <w:t>4.47 (3.17)</w:t>
      </w:r>
    </w:p>
    <w:p>
      <w:pPr>
        <w:pStyle w:val="TextBody"/>
        <w:rPr/>
      </w:pPr>
      <w:r>
        <w:rPr/>
      </w:r>
    </w:p>
    <w:p>
      <w:pPr>
        <w:pStyle w:val="TextBody"/>
        <w:rPr/>
      </w:pPr>
      <w:r>
        <w:rPr/>
        <w:t>4.59 (3.56)</w:t>
      </w:r>
    </w:p>
    <w:p>
      <w:pPr>
        <w:pStyle w:val="TextBody"/>
        <w:rPr/>
      </w:pPr>
      <w:r>
        <w:rPr/>
      </w:r>
    </w:p>
    <w:p>
      <w:pPr>
        <w:pStyle w:val="TextBody"/>
        <w:rPr/>
      </w:pPr>
      <w:r>
        <w:rPr/>
      </w:r>
    </w:p>
    <w:p>
      <w:pPr>
        <w:pStyle w:val="TextBody"/>
        <w:rPr/>
      </w:pPr>
      <w:r>
        <w:rPr/>
      </w:r>
    </w:p>
    <w:p>
      <w:pPr>
        <w:pStyle w:val="TextBody"/>
        <w:rPr/>
      </w:pPr>
      <w:r>
        <w:rPr/>
        <w:t>Median [Min, Max]</w:t>
      </w:r>
    </w:p>
    <w:p>
      <w:pPr>
        <w:pStyle w:val="TextBody"/>
        <w:rPr/>
      </w:pPr>
      <w:r>
        <w:rPr/>
      </w:r>
    </w:p>
    <w:p>
      <w:pPr>
        <w:pStyle w:val="TextBody"/>
        <w:rPr/>
      </w:pPr>
      <w:r>
        <w:rPr/>
        <w:t>3.75 [1.00, 31.0]</w:t>
      </w:r>
    </w:p>
    <w:p>
      <w:pPr>
        <w:pStyle w:val="TextBody"/>
        <w:rPr/>
      </w:pPr>
      <w:r>
        <w:rPr/>
      </w:r>
    </w:p>
    <w:p>
      <w:pPr>
        <w:pStyle w:val="TextBody"/>
        <w:rPr/>
      </w:pPr>
      <w:r>
        <w:rPr/>
        <w:t>3.00 [1.00, 11.0]</w:t>
      </w:r>
    </w:p>
    <w:p>
      <w:pPr>
        <w:pStyle w:val="TextBody"/>
        <w:rPr/>
      </w:pPr>
      <w:r>
        <w:rPr/>
      </w:r>
    </w:p>
    <w:p>
      <w:pPr>
        <w:pStyle w:val="TextBody"/>
        <w:rPr/>
      </w:pPr>
      <w:r>
        <w:rPr/>
        <w:t>4.00 [1.00, 21.0]</w:t>
      </w:r>
    </w:p>
    <w:p>
      <w:pPr>
        <w:pStyle w:val="TextBody"/>
        <w:rPr/>
      </w:pPr>
      <w:r>
        <w:rPr/>
      </w:r>
    </w:p>
    <w:p>
      <w:pPr>
        <w:pStyle w:val="TextBody"/>
        <w:rPr/>
      </w:pPr>
      <w:r>
        <w:rPr/>
        <w:t>3.50 [1.00, 31.0]</w:t>
      </w:r>
    </w:p>
    <w:p>
      <w:pPr>
        <w:pStyle w:val="TextBody"/>
        <w:rPr/>
      </w:pPr>
      <w:r>
        <w:rPr/>
      </w:r>
    </w:p>
    <w:p>
      <w:pPr>
        <w:pStyle w:val="TextBody"/>
        <w:rPr/>
      </w:pPr>
      <w:r>
        <w:rPr/>
      </w:r>
    </w:p>
    <w:p>
      <w:pPr>
        <w:pStyle w:val="TextBody"/>
        <w:rPr/>
      </w:pPr>
      <w:r>
        <w:rPr/>
      </w:r>
    </w:p>
    <w:p>
      <w:pPr>
        <w:pStyle w:val="TextBody"/>
        <w:rPr/>
      </w:pPr>
      <w:r>
        <w:rPr/>
        <w:t>Missing</w:t>
      </w:r>
    </w:p>
    <w:p>
      <w:pPr>
        <w:pStyle w:val="TextBody"/>
        <w:rPr/>
      </w:pPr>
      <w:r>
        <w:rPr/>
      </w:r>
    </w:p>
    <w:p>
      <w:pPr>
        <w:pStyle w:val="TextBody"/>
        <w:rPr/>
      </w:pPr>
      <w:r>
        <w:rPr/>
        <w:t>1670 (89.0%)</w:t>
      </w:r>
    </w:p>
    <w:p>
      <w:pPr>
        <w:pStyle w:val="TextBody"/>
        <w:rPr/>
      </w:pPr>
      <w:r>
        <w:rPr/>
      </w:r>
    </w:p>
    <w:p>
      <w:pPr>
        <w:pStyle w:val="TextBody"/>
        <w:rPr/>
      </w:pPr>
      <w:r>
        <w:rPr/>
        <w:t>354 (88.9%)</w:t>
      </w:r>
    </w:p>
    <w:p>
      <w:pPr>
        <w:pStyle w:val="TextBody"/>
        <w:rPr/>
      </w:pPr>
      <w:r>
        <w:rPr/>
      </w:r>
    </w:p>
    <w:p>
      <w:pPr>
        <w:pStyle w:val="TextBody"/>
        <w:rPr/>
      </w:pPr>
      <w:r>
        <w:rPr/>
        <w:t>135 (60.5%)</w:t>
      </w:r>
    </w:p>
    <w:p>
      <w:pPr>
        <w:pStyle w:val="TextBody"/>
        <w:rPr/>
      </w:pPr>
      <w:r>
        <w:rPr/>
      </w:r>
    </w:p>
    <w:p>
      <w:pPr>
        <w:pStyle w:val="TextBody"/>
        <w:rPr/>
      </w:pPr>
      <w:r>
        <w:rPr/>
        <w:t>2159 (86.5%)</w:t>
      </w:r>
    </w:p>
    <w:p>
      <w:pPr>
        <w:pStyle w:val="TextBody"/>
        <w:rPr/>
      </w:pPr>
      <w:r>
        <w:rPr/>
      </w:r>
    </w:p>
    <w:p>
      <w:pPr>
        <w:pStyle w:val="TextBody"/>
        <w:rPr/>
      </w:pPr>
      <w:r>
        <w:rPr/>
      </w:r>
    </w:p>
    <w:p>
      <w:pPr>
        <w:pStyle w:val="TextBody"/>
        <w:rPr/>
      </w:pPr>
      <w:r>
        <w:rPr/>
      </w:r>
    </w:p>
    <w:p>
      <w:pPr>
        <w:pStyle w:val="TextBody"/>
        <w:rPr/>
      </w:pPr>
      <w:r>
        <w:rPr/>
        <w:t>"</w:t>
      </w:r>
    </w:p>
    <w:p>
      <w:pPr>
        <w:pStyle w:val="TextBody"/>
        <w:rPr/>
      </w:pPr>
      <w:r>
        <w:rPr/>
        <w:t>Table: Table 1: Cohort demographics</w:t>
      </w:r>
      <w:bookmarkStart w:id="1" w:name="population"/>
      <w:bookmarkEnd w:id="1"/>
    </w:p>
    <w:p>
      <w:pPr>
        <w:pStyle w:val="Heading2"/>
        <w:rPr/>
      </w:pPr>
      <w:r>
        <w:rPr/>
        <w:t>Electronic Frailty Index</w:t>
      </w:r>
    </w:p>
    <w:p>
      <w:pPr>
        <w:pStyle w:val="FirstParagraph"/>
        <w:rPr/>
      </w:pPr>
      <w:r>
        <w:rPr/>
        <w:t xml:space="preserve">Clegg </w:t>
      </w:r>
      <w:r>
        <w:rPr>
          <w:i/>
        </w:rPr>
        <w:t>et al.</w:t>
      </w:r>
      <w:r>
        <w:rPr/>
        <w:t xml:space="preserve"> (2016) developed an electronic frailty index (EFI) for UK health systems following the methodology of Mitnitsky, Rockwood, et al. (Mitnitski, Mogilner and Rockwood, 2001; Searle </w:t>
      </w:r>
      <w:r>
        <w:rPr>
          <w:i/>
        </w:rPr>
        <w:t>et al.</w:t>
      </w:r>
      <w:r>
        <w:rPr/>
        <w:t xml:space="preserve">, 2008; Song, Mitnitski and Rockwood, 2010). Recently, Pajewski </w:t>
      </w:r>
      <w:r>
        <w:rPr>
          <w:i/>
        </w:rPr>
        <w:t>et al.</w:t>
      </w:r>
      <w:r>
        <w:rPr/>
        <w:t xml:space="preserve"> (2019) adapted the EFI to use ICD10 and ICD9. We further built on this work by also mapping laboratory tests to specific LOINC codes. For each patient visit, all distinct diagnoses and abnormal lab results over the preceding two-year window for that patient were aggregated into a single EFI, a numeric value that can range from 0 to 1 (but in practice seldom exceeded 0.6). As mentioned above, we omitted all visits prior to a randomly select index visit for each patient. This did not interfere with EFI calculation because those EFI values were calculated separately for every distinct patient-date in our health system, and then joined to the EHR data.</w:t>
      </w:r>
      <w:bookmarkStart w:id="2" w:name="electronic-frailty-index"/>
      <w:bookmarkEnd w:id="2"/>
    </w:p>
    <w:p>
      <w:pPr>
        <w:pStyle w:val="Heading2"/>
        <w:rPr/>
      </w:pPr>
      <w:r>
        <w:rPr/>
        <w:t>Outcomes</w:t>
      </w:r>
    </w:p>
    <w:p>
      <w:pPr>
        <w:pStyle w:val="FirstParagraph"/>
        <w:rPr/>
      </w:pPr>
      <w:r>
        <w:rPr/>
        <w:t xml:space="preserve">The primary outcomes we predicted with EFI were falls (any ICD9 codes in E880-E888.9, E987.x, V00.x, or ICD10 codes in W00-W19), hospital admissions (EHR encounter type = ‘inpatient’), hospital-acquired infections (having any ICD10 code associated with hospital-acquired infections per Southern et al. Southern </w:t>
      </w:r>
      <w:r>
        <w:rPr>
          <w:i/>
        </w:rPr>
        <w:t>et al.</w:t>
      </w:r>
      <w:r>
        <w:rPr/>
        <w:t xml:space="preserve"> (2017) ), discharge to intermediate care facilities (ICF) or skilled nursing facilities (SNF) (using discharge disposition codes, for patients whose admit-source for that encounter was ‘Home’), and all-cause mortality insofar as it can be ascertained from the EHR discharge disposition or vital status (which, in the absence of linkage to external death indexes are likely to under-report the actual mortality and so should be interpreted with caution).</w:t>
      </w:r>
      <w:bookmarkStart w:id="3" w:name="outcomes"/>
      <w:bookmarkEnd w:id="3"/>
    </w:p>
    <w:p>
      <w:pPr>
        <w:pStyle w:val="Heading2"/>
        <w:rPr/>
      </w:pPr>
      <w:r>
        <w:rPr/>
        <w:t>Statistical Analysis</w:t>
      </w:r>
    </w:p>
    <w:p>
      <w:pPr>
        <w:pStyle w:val="FirstParagraph"/>
        <w:rPr/>
      </w:pPr>
      <w:r>
        <w:rPr/>
        <w:t>For each outcome of interest, we used a Cox proportional hazard model to estimate the risk of the first occurrences of the outcome after the patients’ respective index visits using EFI as the predictor. Unlike earlier studies, we treated EFI as a time-varying numeric predictor with multiple followups per patient. Since only the first occurrence was being predicted, a recurring event model was not necessary. As a comparison, for each outcome a second analysis was done that was identical to the first except that patient age at visit (in days) was used as the predictor.</w:t>
      </w:r>
      <w:bookmarkStart w:id="4" w:name="methods"/>
      <w:bookmarkStart w:id="5" w:name="statistical-analysis"/>
      <w:bookmarkEnd w:id="4"/>
      <w:bookmarkEnd w:id="5"/>
    </w:p>
    <w:p>
      <w:pPr>
        <w:pStyle w:val="Heading1"/>
        <w:rPr/>
      </w:pPr>
      <w:r>
        <w:rPr/>
        <w:t>Results</w:t>
      </w:r>
    </w:p>
    <w:p>
      <w:pPr>
        <w:pStyle w:val="FirstParagraph"/>
        <w:rPr/>
      </w:pPr>
      <w:r>
        <w:rPr/>
        <w:t>Table 2 shows the results of Cox proportional hazard models for each of the responses, with EFI as the predictor. For each 0.1 increase in EFI, we found at least a doubling of risk: 2.4-fold for falls, 2.2-fold for hospitalizations, 2.3-fold for all-cause mortality and hospital-acquired infections, and 2.7-fold for discharge to ICF or SNF after having been admitted from home. The p-values shown have been adjusted for multiple comparison (five outcomes reported in one study) using the Holm method (Holm, 1979) and in all cases are highly significant. Figures 1-5 show survival curves for the respective outcomes. It is well established in gerontology that an enormous and diverse range of poor health outcomes are correlated with an individual’s age, but chronological age provides no information about the progression of biological age in an individual. It has long been a priority in aging research to find a metric for aging that is subject to individual variation and intervention. Rockford et al. have pointed out {ref} that deficit accumulation has the hallmarks of such a measure.</w:t>
      </w:r>
    </w:p>
    <w:p>
      <w:pPr>
        <w:pStyle w:val="Normal"/>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TableCaption"/>
        <w:rPr/>
      </w:pPr>
      <w:r>
        <w:rPr/>
        <w:t>Table 2: Cox-proportional hazards with EFI as a predictor</w:t>
      </w:r>
    </w:p>
    <w:tbl>
      <w:tblPr>
        <w:tblStyle w:val="Table"/>
        <w:tblW w:w="4950" w:type="pct"/>
        <w:jc w:val="left"/>
        <w:tblInd w:w="0" w:type="dxa"/>
        <w:tblBorders>
          <w:bottom w:val="single" w:sz="6" w:space="0" w:color="000000"/>
          <w:insideH w:val="single" w:sz="6" w:space="0" w:color="000000"/>
        </w:tblBorders>
        <w:tblCellMar>
          <w:top w:w="0" w:type="dxa"/>
          <w:left w:w="108" w:type="dxa"/>
          <w:bottom w:w="0" w:type="dxa"/>
          <w:right w:w="108" w:type="dxa"/>
        </w:tblCellMar>
        <w:tblLook w:noVBand="0" w:noHBand="0" w:firstColumn="0" w:lastRow="0" w:lastColumn="0" w:firstRow="1"/>
      </w:tblPr>
      <w:tblGrid>
        <w:gridCol w:w="2736"/>
        <w:gridCol w:w="2030"/>
        <w:gridCol w:w="2030"/>
        <w:gridCol w:w="793"/>
        <w:gridCol w:w="706"/>
        <w:gridCol w:w="970"/>
      </w:tblGrid>
      <w:tr>
        <w:trPr>
          <w:cnfStyle w:firstRow="1"/>
        </w:trPr>
        <w:tc>
          <w:tcPr>
            <w:tcW w:w="2736" w:type="dxa"/>
            <w:tcBorders>
              <w:bottom w:val="single" w:sz="6" w:space="0" w:color="000000"/>
              <w:insideH w:val="single" w:sz="6" w:space="0" w:color="000000"/>
            </w:tcBorders>
            <w:shd w:fill="auto" w:val="clear"/>
            <w:vAlign w:val="bottom"/>
          </w:tcPr>
          <w:p>
            <w:pPr>
              <w:pStyle w:val="Compact"/>
              <w:spacing w:before="36" w:after="36"/>
              <w:jc w:val="right"/>
              <w:rPr/>
            </w:pPr>
            <w:r>
              <w:rPr/>
              <w:t>Outcome</w:t>
            </w:r>
          </w:p>
        </w:tc>
        <w:tc>
          <w:tcPr>
            <w:tcW w:w="2030" w:type="dxa"/>
            <w:tcBorders>
              <w:bottom w:val="single" w:sz="6" w:space="0" w:color="000000"/>
              <w:insideH w:val="single" w:sz="6" w:space="0" w:color="000000"/>
            </w:tcBorders>
            <w:shd w:fill="auto" w:val="clear"/>
            <w:vAlign w:val="bottom"/>
          </w:tcPr>
          <w:p>
            <w:pPr>
              <w:pStyle w:val="Compact"/>
              <w:spacing w:before="36" w:after="36"/>
              <w:jc w:val="right"/>
              <w:rPr/>
            </w:pPr>
            <w:r>
              <w:rPr/>
              <w:t>β^ (95% CI)</w:t>
            </w:r>
          </w:p>
        </w:tc>
        <w:tc>
          <w:tcPr>
            <w:tcW w:w="2030" w:type="dxa"/>
            <w:tcBorders>
              <w:bottom w:val="single" w:sz="6" w:space="0" w:color="000000"/>
              <w:insideH w:val="single" w:sz="6" w:space="0" w:color="000000"/>
            </w:tcBorders>
            <w:shd w:fill="auto" w:val="clear"/>
            <w:vAlign w:val="bottom"/>
          </w:tcPr>
          <w:p>
            <w:pPr>
              <w:pStyle w:val="Compact"/>
              <w:spacing w:before="36" w:after="36"/>
              <w:jc w:val="right"/>
              <w:rPr/>
            </w:pPr>
            <w:r>
              <w:rPr/>
              <w:t>fold-change (95% CI)</w:t>
            </w:r>
          </w:p>
        </w:tc>
        <w:tc>
          <w:tcPr>
            <w:tcW w:w="793" w:type="dxa"/>
            <w:tcBorders>
              <w:bottom w:val="single" w:sz="6" w:space="0" w:color="000000"/>
              <w:insideH w:val="single" w:sz="6" w:space="0" w:color="000000"/>
            </w:tcBorders>
            <w:shd w:fill="auto" w:val="clear"/>
            <w:vAlign w:val="bottom"/>
          </w:tcPr>
          <w:p>
            <w:pPr>
              <w:pStyle w:val="Compact"/>
              <w:spacing w:before="36" w:after="36"/>
              <w:jc w:val="right"/>
              <w:rPr/>
            </w:pPr>
            <w:r>
              <w:rPr/>
              <w:t>SE</w:t>
            </w:r>
          </w:p>
        </w:tc>
        <w:tc>
          <w:tcPr>
            <w:tcW w:w="706" w:type="dxa"/>
            <w:tcBorders>
              <w:bottom w:val="single" w:sz="6" w:space="0" w:color="000000"/>
              <w:insideH w:val="single" w:sz="6" w:space="0" w:color="000000"/>
            </w:tcBorders>
            <w:shd w:fill="auto" w:val="clear"/>
            <w:vAlign w:val="bottom"/>
          </w:tcPr>
          <w:p>
            <w:pPr>
              <w:pStyle w:val="Compact"/>
              <w:spacing w:before="36" w:after="36"/>
              <w:jc w:val="right"/>
              <w:rPr/>
            </w:pPr>
            <w:r>
              <w:rPr/>
              <w:t>Z</w:t>
            </w:r>
          </w:p>
        </w:tc>
        <w:tc>
          <w:tcPr>
            <w:tcW w:w="970" w:type="dxa"/>
            <w:tcBorders>
              <w:bottom w:val="single" w:sz="6" w:space="0" w:color="000000"/>
              <w:insideH w:val="single" w:sz="6" w:space="0" w:color="000000"/>
            </w:tcBorders>
            <w:shd w:fill="auto" w:val="clear"/>
            <w:vAlign w:val="bottom"/>
          </w:tcPr>
          <w:p>
            <w:pPr>
              <w:pStyle w:val="Compact"/>
              <w:spacing w:before="36" w:after="36"/>
              <w:jc w:val="right"/>
              <w:rPr/>
            </w:pPr>
            <w:r>
              <w:rPr/>
              <w:t>P</w:t>
            </w:r>
          </w:p>
        </w:tc>
      </w:tr>
      <w:tr>
        <w:trPr/>
        <w:tc>
          <w:tcPr>
            <w:tcW w:w="2736" w:type="dxa"/>
            <w:tcBorders/>
            <w:shd w:fill="auto" w:val="clear"/>
          </w:tcPr>
          <w:p>
            <w:pPr>
              <w:pStyle w:val="Compact"/>
              <w:spacing w:before="36" w:after="36"/>
              <w:jc w:val="right"/>
              <w:rPr/>
            </w:pPr>
            <w:r>
              <w:rPr/>
              <w:t>Hospitalization</w:t>
            </w:r>
          </w:p>
        </w:tc>
        <w:tc>
          <w:tcPr>
            <w:tcW w:w="2030" w:type="dxa"/>
            <w:tcBorders/>
            <w:shd w:fill="auto" w:val="clear"/>
          </w:tcPr>
          <w:p>
            <w:pPr>
              <w:pStyle w:val="Compact"/>
              <w:spacing w:before="36" w:after="36"/>
              <w:jc w:val="right"/>
              <w:rPr/>
            </w:pPr>
            <w:r>
              <w:rPr/>
              <w:t>0.80 (0.72, 0.88)</w:t>
            </w:r>
          </w:p>
        </w:tc>
        <w:tc>
          <w:tcPr>
            <w:tcW w:w="2030" w:type="dxa"/>
            <w:tcBorders/>
            <w:shd w:fill="auto" w:val="clear"/>
          </w:tcPr>
          <w:p>
            <w:pPr>
              <w:pStyle w:val="Compact"/>
              <w:spacing w:before="36" w:after="36"/>
              <w:jc w:val="right"/>
              <w:rPr/>
            </w:pPr>
            <w:r>
              <w:rPr/>
              <w:t>2.23 (2.06, 2.42)</w:t>
            </w:r>
          </w:p>
        </w:tc>
        <w:tc>
          <w:tcPr>
            <w:tcW w:w="793" w:type="dxa"/>
            <w:tcBorders/>
            <w:shd w:fill="auto" w:val="clear"/>
          </w:tcPr>
          <w:p>
            <w:pPr>
              <w:pStyle w:val="Compact"/>
              <w:spacing w:before="36" w:after="36"/>
              <w:jc w:val="right"/>
              <w:rPr/>
            </w:pPr>
            <w:r>
              <w:rPr/>
              <w:t>0.0412</w:t>
            </w:r>
          </w:p>
        </w:tc>
        <w:tc>
          <w:tcPr>
            <w:tcW w:w="706" w:type="dxa"/>
            <w:tcBorders/>
            <w:shd w:fill="auto" w:val="clear"/>
          </w:tcPr>
          <w:p>
            <w:pPr>
              <w:pStyle w:val="Compact"/>
              <w:spacing w:before="36" w:after="36"/>
              <w:jc w:val="right"/>
              <w:rPr/>
            </w:pPr>
            <w:r>
              <w:rPr/>
              <w:t>19.5</w:t>
            </w:r>
          </w:p>
        </w:tc>
        <w:tc>
          <w:tcPr>
            <w:tcW w:w="970" w:type="dxa"/>
            <w:tcBorders/>
            <w:shd w:fill="auto" w:val="clear"/>
          </w:tcPr>
          <w:p>
            <w:pPr>
              <w:pStyle w:val="Compact"/>
              <w:spacing w:before="36" w:after="36"/>
              <w:jc w:val="right"/>
              <w:rPr/>
            </w:pPr>
            <w:r>
              <w:rPr/>
              <w:t>8.93e-84</w:t>
            </w:r>
          </w:p>
        </w:tc>
      </w:tr>
      <w:tr>
        <w:trPr/>
        <w:tc>
          <w:tcPr>
            <w:tcW w:w="2736" w:type="dxa"/>
            <w:tcBorders/>
            <w:shd w:fill="auto" w:val="clear"/>
          </w:tcPr>
          <w:p>
            <w:pPr>
              <w:pStyle w:val="Compact"/>
              <w:spacing w:before="36" w:after="36"/>
              <w:jc w:val="right"/>
              <w:rPr/>
            </w:pPr>
            <w:r>
              <w:rPr/>
              <w:t>Discharge to ICF or SNF</w:t>
            </w:r>
          </w:p>
        </w:tc>
        <w:tc>
          <w:tcPr>
            <w:tcW w:w="2030" w:type="dxa"/>
            <w:tcBorders/>
            <w:shd w:fill="auto" w:val="clear"/>
          </w:tcPr>
          <w:p>
            <w:pPr>
              <w:pStyle w:val="Compact"/>
              <w:spacing w:before="36" w:after="36"/>
              <w:jc w:val="right"/>
              <w:rPr/>
            </w:pPr>
            <w:r>
              <w:rPr/>
              <w:t>0.99 (0.72, 1.27)</w:t>
            </w:r>
          </w:p>
        </w:tc>
        <w:tc>
          <w:tcPr>
            <w:tcW w:w="2030" w:type="dxa"/>
            <w:tcBorders/>
            <w:shd w:fill="auto" w:val="clear"/>
          </w:tcPr>
          <w:p>
            <w:pPr>
              <w:pStyle w:val="Compact"/>
              <w:spacing w:before="36" w:after="36"/>
              <w:jc w:val="right"/>
              <w:rPr/>
            </w:pPr>
            <w:r>
              <w:rPr/>
              <w:t>2.70 (2.05, 3.57)</w:t>
            </w:r>
          </w:p>
        </w:tc>
        <w:tc>
          <w:tcPr>
            <w:tcW w:w="793" w:type="dxa"/>
            <w:tcBorders/>
            <w:shd w:fill="auto" w:val="clear"/>
          </w:tcPr>
          <w:p>
            <w:pPr>
              <w:pStyle w:val="Compact"/>
              <w:spacing w:before="36" w:after="36"/>
              <w:jc w:val="right"/>
              <w:rPr/>
            </w:pPr>
            <w:r>
              <w:rPr/>
              <w:t>0.142</w:t>
            </w:r>
          </w:p>
        </w:tc>
        <w:tc>
          <w:tcPr>
            <w:tcW w:w="706" w:type="dxa"/>
            <w:tcBorders/>
            <w:shd w:fill="auto" w:val="clear"/>
          </w:tcPr>
          <w:p>
            <w:pPr>
              <w:pStyle w:val="Compact"/>
              <w:spacing w:before="36" w:after="36"/>
              <w:jc w:val="right"/>
              <w:rPr/>
            </w:pPr>
            <w:r>
              <w:rPr/>
              <w:t>7</w:t>
            </w:r>
          </w:p>
        </w:tc>
        <w:tc>
          <w:tcPr>
            <w:tcW w:w="970" w:type="dxa"/>
            <w:tcBorders/>
            <w:shd w:fill="auto" w:val="clear"/>
          </w:tcPr>
          <w:p>
            <w:pPr>
              <w:pStyle w:val="Compact"/>
              <w:spacing w:before="36" w:after="36"/>
              <w:jc w:val="right"/>
              <w:rPr/>
            </w:pPr>
            <w:r>
              <w:rPr/>
              <w:t>2.52e-12</w:t>
            </w:r>
          </w:p>
        </w:tc>
      </w:tr>
      <w:tr>
        <w:trPr/>
        <w:tc>
          <w:tcPr>
            <w:tcW w:w="2736" w:type="dxa"/>
            <w:tcBorders/>
            <w:shd w:fill="auto" w:val="clear"/>
          </w:tcPr>
          <w:p>
            <w:pPr>
              <w:pStyle w:val="Compact"/>
              <w:spacing w:before="36" w:after="36"/>
              <w:jc w:val="right"/>
              <w:rPr/>
            </w:pPr>
            <w:r>
              <w:rPr/>
              <w:t>Deceased</w:t>
            </w:r>
          </w:p>
        </w:tc>
        <w:tc>
          <w:tcPr>
            <w:tcW w:w="2030" w:type="dxa"/>
            <w:tcBorders/>
            <w:shd w:fill="auto" w:val="clear"/>
          </w:tcPr>
          <w:p>
            <w:pPr>
              <w:pStyle w:val="Compact"/>
              <w:spacing w:before="36" w:after="36"/>
              <w:jc w:val="right"/>
              <w:rPr/>
            </w:pPr>
            <w:r>
              <w:rPr/>
              <w:t>0.85 (0.68, 1.02)</w:t>
            </w:r>
          </w:p>
        </w:tc>
        <w:tc>
          <w:tcPr>
            <w:tcW w:w="2030" w:type="dxa"/>
            <w:tcBorders/>
            <w:shd w:fill="auto" w:val="clear"/>
          </w:tcPr>
          <w:p>
            <w:pPr>
              <w:pStyle w:val="Compact"/>
              <w:spacing w:before="36" w:after="36"/>
              <w:jc w:val="right"/>
              <w:rPr/>
            </w:pPr>
            <w:r>
              <w:rPr/>
              <w:t>2.34 (1.98, 2.77)</w:t>
            </w:r>
          </w:p>
        </w:tc>
        <w:tc>
          <w:tcPr>
            <w:tcW w:w="793" w:type="dxa"/>
            <w:tcBorders/>
            <w:shd w:fill="auto" w:val="clear"/>
          </w:tcPr>
          <w:p>
            <w:pPr>
              <w:pStyle w:val="Compact"/>
              <w:spacing w:before="36" w:after="36"/>
              <w:jc w:val="right"/>
              <w:rPr/>
            </w:pPr>
            <w:r>
              <w:rPr/>
              <w:t>0.0854</w:t>
            </w:r>
          </w:p>
        </w:tc>
        <w:tc>
          <w:tcPr>
            <w:tcW w:w="706" w:type="dxa"/>
            <w:tcBorders/>
            <w:shd w:fill="auto" w:val="clear"/>
          </w:tcPr>
          <w:p>
            <w:pPr>
              <w:pStyle w:val="Compact"/>
              <w:spacing w:before="36" w:after="36"/>
              <w:jc w:val="right"/>
              <w:rPr/>
            </w:pPr>
            <w:r>
              <w:rPr/>
              <w:t>9.99</w:t>
            </w:r>
          </w:p>
        </w:tc>
        <w:tc>
          <w:tcPr>
            <w:tcW w:w="970" w:type="dxa"/>
            <w:tcBorders/>
            <w:shd w:fill="auto" w:val="clear"/>
          </w:tcPr>
          <w:p>
            <w:pPr>
              <w:pStyle w:val="Compact"/>
              <w:spacing w:before="36" w:after="36"/>
              <w:jc w:val="right"/>
              <w:rPr/>
            </w:pPr>
            <w:r>
              <w:rPr/>
              <w:t>5.32e-23</w:t>
            </w:r>
          </w:p>
        </w:tc>
      </w:tr>
      <w:tr>
        <w:trPr/>
        <w:tc>
          <w:tcPr>
            <w:tcW w:w="2736" w:type="dxa"/>
            <w:tcBorders/>
            <w:shd w:fill="auto" w:val="clear"/>
          </w:tcPr>
          <w:p>
            <w:pPr>
              <w:pStyle w:val="Compact"/>
              <w:spacing w:before="36" w:after="36"/>
              <w:jc w:val="right"/>
              <w:rPr/>
            </w:pPr>
            <w:r>
              <w:rPr/>
              <w:t>Hospital Acquired Infections</w:t>
            </w:r>
          </w:p>
        </w:tc>
        <w:tc>
          <w:tcPr>
            <w:tcW w:w="2030" w:type="dxa"/>
            <w:tcBorders/>
            <w:shd w:fill="auto" w:val="clear"/>
          </w:tcPr>
          <w:p>
            <w:pPr>
              <w:pStyle w:val="Compact"/>
              <w:spacing w:before="36" w:after="36"/>
              <w:jc w:val="right"/>
              <w:rPr/>
            </w:pPr>
            <w:r>
              <w:rPr/>
              <w:t>0.85 (0.74, 0.95)</w:t>
            </w:r>
          </w:p>
        </w:tc>
        <w:tc>
          <w:tcPr>
            <w:tcW w:w="2030" w:type="dxa"/>
            <w:tcBorders/>
            <w:shd w:fill="auto" w:val="clear"/>
          </w:tcPr>
          <w:p>
            <w:pPr>
              <w:pStyle w:val="Compact"/>
              <w:spacing w:before="36" w:after="36"/>
              <w:jc w:val="right"/>
              <w:rPr/>
            </w:pPr>
            <w:r>
              <w:rPr/>
              <w:t>2.34 (2.10, 2.60)</w:t>
            </w:r>
          </w:p>
        </w:tc>
        <w:tc>
          <w:tcPr>
            <w:tcW w:w="793" w:type="dxa"/>
            <w:tcBorders/>
            <w:shd w:fill="auto" w:val="clear"/>
          </w:tcPr>
          <w:p>
            <w:pPr>
              <w:pStyle w:val="Compact"/>
              <w:spacing w:before="36" w:after="36"/>
              <w:jc w:val="right"/>
              <w:rPr/>
            </w:pPr>
            <w:r>
              <w:rPr/>
              <w:t>0.0537</w:t>
            </w:r>
          </w:p>
        </w:tc>
        <w:tc>
          <w:tcPr>
            <w:tcW w:w="706" w:type="dxa"/>
            <w:tcBorders/>
            <w:shd w:fill="auto" w:val="clear"/>
          </w:tcPr>
          <w:p>
            <w:pPr>
              <w:pStyle w:val="Compact"/>
              <w:spacing w:before="36" w:after="36"/>
              <w:jc w:val="right"/>
              <w:rPr/>
            </w:pPr>
            <w:r>
              <w:rPr/>
              <w:t>15.8</w:t>
            </w:r>
          </w:p>
        </w:tc>
        <w:tc>
          <w:tcPr>
            <w:tcW w:w="970" w:type="dxa"/>
            <w:tcBorders/>
            <w:shd w:fill="auto" w:val="clear"/>
          </w:tcPr>
          <w:p>
            <w:pPr>
              <w:pStyle w:val="Compact"/>
              <w:spacing w:before="36" w:after="36"/>
              <w:jc w:val="right"/>
              <w:rPr/>
            </w:pPr>
            <w:r>
              <w:rPr/>
              <w:t>1.49e-55</w:t>
            </w:r>
          </w:p>
        </w:tc>
      </w:tr>
      <w:tr>
        <w:trPr/>
        <w:tc>
          <w:tcPr>
            <w:tcW w:w="2736" w:type="dxa"/>
            <w:tcBorders/>
            <w:shd w:fill="auto" w:val="clear"/>
          </w:tcPr>
          <w:p>
            <w:pPr>
              <w:pStyle w:val="Compact"/>
              <w:spacing w:before="36" w:after="36"/>
              <w:jc w:val="right"/>
              <w:rPr/>
            </w:pPr>
            <w:r>
              <w:rPr/>
              <w:t>Falls</w:t>
            </w:r>
          </w:p>
        </w:tc>
        <w:tc>
          <w:tcPr>
            <w:tcW w:w="2030" w:type="dxa"/>
            <w:tcBorders/>
            <w:shd w:fill="auto" w:val="clear"/>
          </w:tcPr>
          <w:p>
            <w:pPr>
              <w:pStyle w:val="Compact"/>
              <w:spacing w:before="36" w:after="36"/>
              <w:jc w:val="right"/>
              <w:rPr/>
            </w:pPr>
            <w:r>
              <w:rPr/>
              <w:t>0.88 (0.74, 1.01)</w:t>
            </w:r>
          </w:p>
        </w:tc>
        <w:tc>
          <w:tcPr>
            <w:tcW w:w="2030" w:type="dxa"/>
            <w:tcBorders/>
            <w:shd w:fill="auto" w:val="clear"/>
          </w:tcPr>
          <w:p>
            <w:pPr>
              <w:pStyle w:val="Compact"/>
              <w:spacing w:before="36" w:after="36"/>
              <w:jc w:val="right"/>
              <w:rPr/>
            </w:pPr>
            <w:r>
              <w:rPr/>
              <w:t>2.40 (2.10, 2.75)</w:t>
            </w:r>
          </w:p>
        </w:tc>
        <w:tc>
          <w:tcPr>
            <w:tcW w:w="793" w:type="dxa"/>
            <w:tcBorders/>
            <w:shd w:fill="auto" w:val="clear"/>
          </w:tcPr>
          <w:p>
            <w:pPr>
              <w:pStyle w:val="Compact"/>
              <w:spacing w:before="36" w:after="36"/>
              <w:jc w:val="right"/>
              <w:rPr/>
            </w:pPr>
            <w:r>
              <w:rPr/>
              <w:t>0.0679</w:t>
            </w:r>
          </w:p>
        </w:tc>
        <w:tc>
          <w:tcPr>
            <w:tcW w:w="706" w:type="dxa"/>
            <w:tcBorders/>
            <w:shd w:fill="auto" w:val="clear"/>
          </w:tcPr>
          <w:p>
            <w:pPr>
              <w:pStyle w:val="Compact"/>
              <w:spacing w:before="36" w:after="36"/>
              <w:jc w:val="right"/>
              <w:rPr/>
            </w:pPr>
            <w:r>
              <w:rPr/>
              <w:t>12.9</w:t>
            </w:r>
          </w:p>
        </w:tc>
        <w:tc>
          <w:tcPr>
            <w:tcW w:w="970" w:type="dxa"/>
            <w:tcBorders/>
            <w:shd w:fill="auto" w:val="clear"/>
          </w:tcPr>
          <w:p>
            <w:pPr>
              <w:pStyle w:val="Compact"/>
              <w:spacing w:before="36" w:after="36"/>
              <w:jc w:val="right"/>
              <w:rPr/>
            </w:pPr>
            <w:r>
              <w:rPr/>
              <w:t>1.52e-37</w:t>
            </w:r>
          </w:p>
        </w:tc>
      </w:tr>
      <w:tr>
        <w:trPr/>
        <w:tc>
          <w:tcPr>
            <w:tcW w:w="2736" w:type="dxa"/>
            <w:tcBorders/>
            <w:shd w:fill="auto" w:val="clear"/>
          </w:tcPr>
          <w:p>
            <w:pPr>
              <w:pStyle w:val="Compact"/>
              <w:spacing w:before="36" w:after="36"/>
              <w:jc w:val="right"/>
              <w:rPr/>
            </w:pPr>
            <w:r>
              <w:rPr/>
              <w:t>Length of Stay</w:t>
            </w:r>
          </w:p>
        </w:tc>
        <w:tc>
          <w:tcPr>
            <w:tcW w:w="2030" w:type="dxa"/>
            <w:tcBorders/>
            <w:shd w:fill="auto" w:val="clear"/>
          </w:tcPr>
          <w:p>
            <w:pPr>
              <w:pStyle w:val="Compact"/>
              <w:spacing w:before="36" w:after="36"/>
              <w:jc w:val="right"/>
              <w:rPr/>
            </w:pPr>
            <w:r>
              <w:rPr/>
              <w:t>-2.48 (-3.11, -1.85)</w:t>
            </w:r>
          </w:p>
        </w:tc>
        <w:tc>
          <w:tcPr>
            <w:tcW w:w="2030" w:type="dxa"/>
            <w:tcBorders/>
            <w:shd w:fill="auto" w:val="clear"/>
          </w:tcPr>
          <w:p>
            <w:pPr>
              <w:pStyle w:val="Compact"/>
              <w:spacing w:before="36" w:after="36"/>
              <w:jc w:val="right"/>
              <w:rPr/>
            </w:pPr>
            <w:r>
              <w:rPr/>
              <w:t>0.08 (0.04, 0.16)</w:t>
            </w:r>
          </w:p>
        </w:tc>
        <w:tc>
          <w:tcPr>
            <w:tcW w:w="793" w:type="dxa"/>
            <w:tcBorders/>
            <w:shd w:fill="auto" w:val="clear"/>
          </w:tcPr>
          <w:p>
            <w:pPr>
              <w:pStyle w:val="Compact"/>
              <w:spacing w:before="36" w:after="36"/>
              <w:jc w:val="right"/>
              <w:rPr/>
            </w:pPr>
            <w:r>
              <w:rPr/>
              <w:t>0.321</w:t>
            </w:r>
          </w:p>
        </w:tc>
        <w:tc>
          <w:tcPr>
            <w:tcW w:w="706" w:type="dxa"/>
            <w:tcBorders/>
            <w:shd w:fill="auto" w:val="clear"/>
          </w:tcPr>
          <w:p>
            <w:pPr>
              <w:pStyle w:val="Compact"/>
              <w:spacing w:before="36" w:after="36"/>
              <w:jc w:val="right"/>
              <w:rPr/>
            </w:pPr>
            <w:r>
              <w:rPr/>
              <w:t>-7.73</w:t>
            </w:r>
          </w:p>
        </w:tc>
        <w:tc>
          <w:tcPr>
            <w:tcW w:w="970" w:type="dxa"/>
            <w:tcBorders/>
            <w:shd w:fill="auto" w:val="clear"/>
          </w:tcPr>
          <w:p>
            <w:pPr>
              <w:pStyle w:val="Compact"/>
              <w:spacing w:before="36" w:after="36"/>
              <w:jc w:val="right"/>
              <w:rPr/>
            </w:pPr>
            <w:r>
              <w:rPr/>
              <w:t>2.09e-14</w:t>
            </w:r>
          </w:p>
        </w:tc>
      </w:tr>
    </w:tbl>
    <w:p>
      <w:pPr>
        <w:pStyle w:val="TextBody"/>
        <w:rPr/>
      </w:pPr>
      <w:r>
        <w:rPr/>
        <w:t>Therefore, we compared the predictive accuracy of the EFI to that of patient age. For each outcome, we fit an additional Cox proportional hazard model, this time using age at visit as the predictor variable. It appears, at least in this population, that not only can EFI accurately predict mortality and poor patient outcomes without any knowledge of patient age but it does so better than patient age.</w:t>
      </w:r>
    </w:p>
    <w:p>
      <w:pPr>
        <w:pStyle w:val="TableCaption"/>
        <w:rPr/>
      </w:pPr>
      <w:r>
        <w:rPr/>
        <w:t>Table 3: Comparing EFI and age as predictors</w:t>
      </w:r>
    </w:p>
    <w:tbl>
      <w:tblPr>
        <w:tblStyle w:val="Table"/>
        <w:tblW w:w="4950" w:type="pct"/>
        <w:jc w:val="left"/>
        <w:tblInd w:w="0" w:type="dxa"/>
        <w:tblBorders>
          <w:bottom w:val="single" w:sz="6" w:space="0" w:color="000000"/>
          <w:insideH w:val="single" w:sz="6" w:space="0" w:color="000000"/>
        </w:tblBorders>
        <w:tblCellMar>
          <w:top w:w="0" w:type="dxa"/>
          <w:left w:w="108" w:type="dxa"/>
          <w:bottom w:w="0" w:type="dxa"/>
          <w:right w:w="108" w:type="dxa"/>
        </w:tblCellMar>
        <w:tblLook w:noVBand="0" w:noHBand="0" w:firstColumn="0" w:lastRow="0" w:lastColumn="0" w:firstRow="1"/>
      </w:tblPr>
      <w:tblGrid>
        <w:gridCol w:w="3419"/>
        <w:gridCol w:w="1544"/>
        <w:gridCol w:w="1545"/>
        <w:gridCol w:w="1874"/>
        <w:gridCol w:w="884"/>
      </w:tblGrid>
      <w:tr>
        <w:trPr>
          <w:cnfStyle w:firstRow="1"/>
        </w:trPr>
        <w:tc>
          <w:tcPr>
            <w:tcW w:w="3419" w:type="dxa"/>
            <w:tcBorders>
              <w:bottom w:val="single" w:sz="6" w:space="0" w:color="000000"/>
              <w:insideH w:val="single" w:sz="6" w:space="0" w:color="000000"/>
            </w:tcBorders>
            <w:shd w:fill="auto" w:val="clear"/>
            <w:vAlign w:val="bottom"/>
          </w:tcPr>
          <w:p>
            <w:pPr>
              <w:pStyle w:val="Compact"/>
              <w:spacing w:before="36" w:after="36"/>
              <w:jc w:val="right"/>
              <w:rPr/>
            </w:pPr>
            <w:r>
              <w:rPr/>
              <w:t>Outcome</w:t>
            </w:r>
          </w:p>
        </w:tc>
        <w:tc>
          <w:tcPr>
            <w:tcW w:w="1544" w:type="dxa"/>
            <w:tcBorders>
              <w:bottom w:val="single" w:sz="6" w:space="0" w:color="000000"/>
              <w:insideH w:val="single" w:sz="6" w:space="0" w:color="000000"/>
            </w:tcBorders>
            <w:shd w:fill="auto" w:val="clear"/>
            <w:vAlign w:val="bottom"/>
          </w:tcPr>
          <w:p>
            <w:pPr>
              <w:pStyle w:val="Compact"/>
              <w:spacing w:before="36" w:after="36"/>
              <w:jc w:val="right"/>
              <w:rPr/>
            </w:pPr>
            <w:r>
              <w:rPr/>
              <w:t>Predictor</w:t>
            </w:r>
          </w:p>
        </w:tc>
        <w:tc>
          <w:tcPr>
            <w:tcW w:w="1545" w:type="dxa"/>
            <w:tcBorders>
              <w:bottom w:val="single" w:sz="6" w:space="0" w:color="000000"/>
              <w:insideH w:val="single" w:sz="6" w:space="0" w:color="000000"/>
            </w:tcBorders>
            <w:shd w:fill="auto" w:val="clear"/>
            <w:vAlign w:val="bottom"/>
          </w:tcPr>
          <w:p>
            <w:pPr>
              <w:pStyle w:val="Compact"/>
              <w:spacing w:before="36" w:after="36"/>
              <w:jc w:val="right"/>
              <w:rPr/>
            </w:pPr>
            <w:r>
              <w:rPr/>
              <w:t>Concordance</w:t>
            </w:r>
          </w:p>
        </w:tc>
        <w:tc>
          <w:tcPr>
            <w:tcW w:w="1874" w:type="dxa"/>
            <w:tcBorders>
              <w:bottom w:val="single" w:sz="6" w:space="0" w:color="000000"/>
              <w:insideH w:val="single" w:sz="6" w:space="0" w:color="000000"/>
            </w:tcBorders>
            <w:shd w:fill="auto" w:val="clear"/>
            <w:vAlign w:val="bottom"/>
          </w:tcPr>
          <w:p>
            <w:pPr>
              <w:pStyle w:val="Compact"/>
              <w:spacing w:before="36" w:after="36"/>
              <w:jc w:val="right"/>
              <w:rPr/>
            </w:pPr>
            <w:r>
              <w:rPr/>
              <w:t>Log Likelihood</w:t>
            </w:r>
          </w:p>
        </w:tc>
        <w:tc>
          <w:tcPr>
            <w:tcW w:w="884" w:type="dxa"/>
            <w:tcBorders>
              <w:bottom w:val="single" w:sz="6" w:space="0" w:color="000000"/>
              <w:insideH w:val="single" w:sz="6" w:space="0" w:color="000000"/>
            </w:tcBorders>
            <w:shd w:fill="auto" w:val="clear"/>
            <w:vAlign w:val="bottom"/>
          </w:tcPr>
          <w:p>
            <w:pPr>
              <w:pStyle w:val="Compact"/>
              <w:spacing w:before="36" w:after="36"/>
              <w:jc w:val="right"/>
              <w:rPr/>
            </w:pPr>
            <w:r>
              <w:rPr/>
              <w:t>AIC</w:t>
            </w:r>
          </w:p>
        </w:tc>
      </w:tr>
      <w:tr>
        <w:trPr/>
        <w:tc>
          <w:tcPr>
            <w:tcW w:w="3419" w:type="dxa"/>
            <w:tcBorders/>
            <w:shd w:fill="auto" w:val="clear"/>
          </w:tcPr>
          <w:p>
            <w:pPr>
              <w:pStyle w:val="Compact"/>
              <w:spacing w:before="36" w:after="36"/>
              <w:jc w:val="right"/>
              <w:rPr/>
            </w:pPr>
            <w:r>
              <w:rPr/>
              <w:t>Hospitalization</w:t>
            </w:r>
          </w:p>
        </w:tc>
        <w:tc>
          <w:tcPr>
            <w:tcW w:w="1544" w:type="dxa"/>
            <w:tcBorders/>
            <w:shd w:fill="auto" w:val="clear"/>
          </w:tcPr>
          <w:p>
            <w:pPr>
              <w:pStyle w:val="Compact"/>
              <w:spacing w:before="36" w:after="36"/>
              <w:jc w:val="right"/>
              <w:rPr/>
            </w:pPr>
            <w:r>
              <w:rPr/>
              <w:t>Frailty</w:t>
            </w:r>
          </w:p>
        </w:tc>
        <w:tc>
          <w:tcPr>
            <w:tcW w:w="1545" w:type="dxa"/>
            <w:tcBorders/>
            <w:shd w:fill="auto" w:val="clear"/>
          </w:tcPr>
          <w:p>
            <w:pPr>
              <w:pStyle w:val="Compact"/>
              <w:spacing w:before="36" w:after="36"/>
              <w:jc w:val="right"/>
              <w:rPr/>
            </w:pPr>
            <w:r>
              <w:rPr/>
              <w:t>0.7219</w:t>
            </w:r>
          </w:p>
        </w:tc>
        <w:tc>
          <w:tcPr>
            <w:tcW w:w="1874" w:type="dxa"/>
            <w:tcBorders/>
            <w:shd w:fill="auto" w:val="clear"/>
          </w:tcPr>
          <w:p>
            <w:pPr>
              <w:pStyle w:val="Compact"/>
              <w:spacing w:before="36" w:after="36"/>
              <w:jc w:val="right"/>
              <w:rPr/>
            </w:pPr>
            <w:r>
              <w:rPr/>
              <w:t>-2337</w:t>
            </w:r>
          </w:p>
        </w:tc>
        <w:tc>
          <w:tcPr>
            <w:tcW w:w="884" w:type="dxa"/>
            <w:tcBorders/>
            <w:shd w:fill="auto" w:val="clear"/>
          </w:tcPr>
          <w:p>
            <w:pPr>
              <w:pStyle w:val="Compact"/>
              <w:spacing w:before="36" w:after="36"/>
              <w:jc w:val="right"/>
              <w:rPr/>
            </w:pPr>
            <w:r>
              <w:rPr/>
              <w:t>4675</w:t>
            </w:r>
          </w:p>
        </w:tc>
      </w:tr>
      <w:tr>
        <w:trPr/>
        <w:tc>
          <w:tcPr>
            <w:tcW w:w="3419" w:type="dxa"/>
            <w:tcBorders/>
            <w:shd w:fill="auto" w:val="clear"/>
          </w:tcPr>
          <w:p>
            <w:pPr>
              <w:pStyle w:val="Normal"/>
              <w:widowControl/>
              <w:suppressLineNumbers/>
              <w:overflowPunct w:val="false"/>
              <w:bidi w:val="0"/>
              <w:spacing w:lineRule="auto" w:line="480" w:before="0" w:after="200"/>
              <w:jc w:val="both"/>
              <w:rPr/>
            </w:pPr>
            <w:r>
              <w:rPr/>
            </w:r>
          </w:p>
        </w:tc>
        <w:tc>
          <w:tcPr>
            <w:tcW w:w="1544" w:type="dxa"/>
            <w:tcBorders/>
            <w:shd w:fill="auto" w:val="clear"/>
          </w:tcPr>
          <w:p>
            <w:pPr>
              <w:pStyle w:val="Compact"/>
              <w:spacing w:before="36" w:after="36"/>
              <w:jc w:val="right"/>
              <w:rPr/>
            </w:pPr>
            <w:r>
              <w:rPr/>
              <w:t>Patient Age</w:t>
            </w:r>
          </w:p>
        </w:tc>
        <w:tc>
          <w:tcPr>
            <w:tcW w:w="1545" w:type="dxa"/>
            <w:tcBorders/>
            <w:shd w:fill="auto" w:val="clear"/>
          </w:tcPr>
          <w:p>
            <w:pPr>
              <w:pStyle w:val="Compact"/>
              <w:spacing w:before="36" w:after="36"/>
              <w:jc w:val="right"/>
              <w:rPr/>
            </w:pPr>
            <w:r>
              <w:rPr/>
              <w:t>0.5501</w:t>
            </w:r>
          </w:p>
        </w:tc>
        <w:tc>
          <w:tcPr>
            <w:tcW w:w="1874" w:type="dxa"/>
            <w:tcBorders/>
            <w:shd w:fill="auto" w:val="clear"/>
          </w:tcPr>
          <w:p>
            <w:pPr>
              <w:pStyle w:val="Compact"/>
              <w:spacing w:before="36" w:after="36"/>
              <w:jc w:val="right"/>
              <w:rPr/>
            </w:pPr>
            <w:r>
              <w:rPr/>
              <w:t>-2476</w:t>
            </w:r>
          </w:p>
        </w:tc>
        <w:tc>
          <w:tcPr>
            <w:tcW w:w="884" w:type="dxa"/>
            <w:tcBorders/>
            <w:shd w:fill="auto" w:val="clear"/>
          </w:tcPr>
          <w:p>
            <w:pPr>
              <w:pStyle w:val="Compact"/>
              <w:spacing w:before="36" w:after="36"/>
              <w:jc w:val="right"/>
              <w:rPr/>
            </w:pPr>
            <w:r>
              <w:rPr/>
              <w:t>4954</w:t>
            </w:r>
          </w:p>
        </w:tc>
      </w:tr>
      <w:tr>
        <w:trPr/>
        <w:tc>
          <w:tcPr>
            <w:tcW w:w="3419" w:type="dxa"/>
            <w:tcBorders/>
            <w:shd w:fill="auto" w:val="clear"/>
          </w:tcPr>
          <w:p>
            <w:pPr>
              <w:pStyle w:val="Compact"/>
              <w:spacing w:before="36" w:after="36"/>
              <w:jc w:val="right"/>
              <w:rPr/>
            </w:pPr>
            <w:r>
              <w:rPr/>
              <w:t>Discharge to ICF or SNF</w:t>
            </w:r>
          </w:p>
        </w:tc>
        <w:tc>
          <w:tcPr>
            <w:tcW w:w="1544" w:type="dxa"/>
            <w:tcBorders/>
            <w:shd w:fill="auto" w:val="clear"/>
          </w:tcPr>
          <w:p>
            <w:pPr>
              <w:pStyle w:val="Compact"/>
              <w:spacing w:before="36" w:after="36"/>
              <w:jc w:val="right"/>
              <w:rPr/>
            </w:pPr>
            <w:r>
              <w:rPr/>
              <w:t>Frailty</w:t>
            </w:r>
          </w:p>
        </w:tc>
        <w:tc>
          <w:tcPr>
            <w:tcW w:w="1545" w:type="dxa"/>
            <w:tcBorders/>
            <w:shd w:fill="auto" w:val="clear"/>
          </w:tcPr>
          <w:p>
            <w:pPr>
              <w:pStyle w:val="Compact"/>
              <w:spacing w:before="36" w:after="36"/>
              <w:jc w:val="right"/>
              <w:rPr/>
            </w:pPr>
            <w:r>
              <w:rPr/>
              <w:t>0.86</w:t>
            </w:r>
          </w:p>
        </w:tc>
        <w:tc>
          <w:tcPr>
            <w:tcW w:w="1874" w:type="dxa"/>
            <w:tcBorders/>
            <w:shd w:fill="auto" w:val="clear"/>
          </w:tcPr>
          <w:p>
            <w:pPr>
              <w:pStyle w:val="Compact"/>
              <w:spacing w:before="36" w:after="36"/>
              <w:jc w:val="right"/>
              <w:rPr/>
            </w:pPr>
            <w:r>
              <w:rPr/>
              <w:t>-107.8</w:t>
            </w:r>
          </w:p>
        </w:tc>
        <w:tc>
          <w:tcPr>
            <w:tcW w:w="884" w:type="dxa"/>
            <w:tcBorders/>
            <w:shd w:fill="auto" w:val="clear"/>
          </w:tcPr>
          <w:p>
            <w:pPr>
              <w:pStyle w:val="Compact"/>
              <w:spacing w:before="36" w:after="36"/>
              <w:jc w:val="right"/>
              <w:rPr/>
            </w:pPr>
            <w:r>
              <w:rPr/>
              <w:t>217.6</w:t>
            </w:r>
          </w:p>
        </w:tc>
      </w:tr>
      <w:tr>
        <w:trPr/>
        <w:tc>
          <w:tcPr>
            <w:tcW w:w="3419" w:type="dxa"/>
            <w:tcBorders/>
            <w:shd w:fill="auto" w:val="clear"/>
          </w:tcPr>
          <w:p>
            <w:pPr>
              <w:pStyle w:val="Normal"/>
              <w:widowControl/>
              <w:suppressLineNumbers/>
              <w:overflowPunct w:val="false"/>
              <w:bidi w:val="0"/>
              <w:spacing w:lineRule="auto" w:line="480" w:before="0" w:after="200"/>
              <w:jc w:val="both"/>
              <w:rPr/>
            </w:pPr>
            <w:r>
              <w:rPr/>
            </w:r>
          </w:p>
        </w:tc>
        <w:tc>
          <w:tcPr>
            <w:tcW w:w="1544" w:type="dxa"/>
            <w:tcBorders/>
            <w:shd w:fill="auto" w:val="clear"/>
          </w:tcPr>
          <w:p>
            <w:pPr>
              <w:pStyle w:val="Compact"/>
              <w:spacing w:before="36" w:after="36"/>
              <w:jc w:val="right"/>
              <w:rPr/>
            </w:pPr>
            <w:r>
              <w:rPr/>
              <w:t>Patient Age</w:t>
            </w:r>
          </w:p>
        </w:tc>
        <w:tc>
          <w:tcPr>
            <w:tcW w:w="1545" w:type="dxa"/>
            <w:tcBorders/>
            <w:shd w:fill="auto" w:val="clear"/>
          </w:tcPr>
          <w:p>
            <w:pPr>
              <w:pStyle w:val="Compact"/>
              <w:spacing w:before="36" w:after="36"/>
              <w:jc w:val="right"/>
              <w:rPr/>
            </w:pPr>
            <w:r>
              <w:rPr/>
              <w:t>0.7855</w:t>
            </w:r>
          </w:p>
        </w:tc>
        <w:tc>
          <w:tcPr>
            <w:tcW w:w="1874" w:type="dxa"/>
            <w:tcBorders/>
            <w:shd w:fill="auto" w:val="clear"/>
          </w:tcPr>
          <w:p>
            <w:pPr>
              <w:pStyle w:val="Compact"/>
              <w:spacing w:before="36" w:after="36"/>
              <w:jc w:val="right"/>
              <w:rPr/>
            </w:pPr>
            <w:r>
              <w:rPr/>
              <w:t>-117.1</w:t>
            </w:r>
          </w:p>
        </w:tc>
        <w:tc>
          <w:tcPr>
            <w:tcW w:w="884" w:type="dxa"/>
            <w:tcBorders/>
            <w:shd w:fill="auto" w:val="clear"/>
          </w:tcPr>
          <w:p>
            <w:pPr>
              <w:pStyle w:val="Compact"/>
              <w:spacing w:before="36" w:after="36"/>
              <w:jc w:val="right"/>
              <w:rPr/>
            </w:pPr>
            <w:r>
              <w:rPr/>
              <w:t>236.2</w:t>
            </w:r>
          </w:p>
        </w:tc>
      </w:tr>
      <w:tr>
        <w:trPr/>
        <w:tc>
          <w:tcPr>
            <w:tcW w:w="3419" w:type="dxa"/>
            <w:tcBorders/>
            <w:shd w:fill="auto" w:val="clear"/>
          </w:tcPr>
          <w:p>
            <w:pPr>
              <w:pStyle w:val="Compact"/>
              <w:spacing w:before="36" w:after="36"/>
              <w:jc w:val="right"/>
              <w:rPr/>
            </w:pPr>
            <w:r>
              <w:rPr/>
              <w:t>Deceased</w:t>
            </w:r>
          </w:p>
        </w:tc>
        <w:tc>
          <w:tcPr>
            <w:tcW w:w="1544" w:type="dxa"/>
            <w:tcBorders/>
            <w:shd w:fill="auto" w:val="clear"/>
          </w:tcPr>
          <w:p>
            <w:pPr>
              <w:pStyle w:val="Compact"/>
              <w:spacing w:before="36" w:after="36"/>
              <w:jc w:val="right"/>
              <w:rPr/>
            </w:pPr>
            <w:r>
              <w:rPr/>
              <w:t>Frailty</w:t>
            </w:r>
          </w:p>
        </w:tc>
        <w:tc>
          <w:tcPr>
            <w:tcW w:w="1545" w:type="dxa"/>
            <w:tcBorders/>
            <w:shd w:fill="auto" w:val="clear"/>
          </w:tcPr>
          <w:p>
            <w:pPr>
              <w:pStyle w:val="Compact"/>
              <w:spacing w:before="36" w:after="36"/>
              <w:jc w:val="right"/>
              <w:rPr/>
            </w:pPr>
            <w:r>
              <w:rPr/>
              <w:t>0.7841</w:t>
            </w:r>
          </w:p>
        </w:tc>
        <w:tc>
          <w:tcPr>
            <w:tcW w:w="1874" w:type="dxa"/>
            <w:tcBorders/>
            <w:shd w:fill="auto" w:val="clear"/>
          </w:tcPr>
          <w:p>
            <w:pPr>
              <w:pStyle w:val="Compact"/>
              <w:spacing w:before="36" w:after="36"/>
              <w:jc w:val="right"/>
              <w:rPr/>
            </w:pPr>
            <w:r>
              <w:rPr/>
              <w:t>-414.1</w:t>
            </w:r>
          </w:p>
        </w:tc>
        <w:tc>
          <w:tcPr>
            <w:tcW w:w="884" w:type="dxa"/>
            <w:tcBorders/>
            <w:shd w:fill="auto" w:val="clear"/>
          </w:tcPr>
          <w:p>
            <w:pPr>
              <w:pStyle w:val="Compact"/>
              <w:spacing w:before="36" w:after="36"/>
              <w:jc w:val="right"/>
              <w:rPr/>
            </w:pPr>
            <w:r>
              <w:rPr/>
              <w:t>830.2</w:t>
            </w:r>
          </w:p>
        </w:tc>
      </w:tr>
      <w:tr>
        <w:trPr/>
        <w:tc>
          <w:tcPr>
            <w:tcW w:w="3419" w:type="dxa"/>
            <w:tcBorders/>
            <w:shd w:fill="auto" w:val="clear"/>
          </w:tcPr>
          <w:p>
            <w:pPr>
              <w:pStyle w:val="Normal"/>
              <w:widowControl/>
              <w:suppressLineNumbers/>
              <w:overflowPunct w:val="false"/>
              <w:bidi w:val="0"/>
              <w:spacing w:lineRule="auto" w:line="480" w:before="0" w:after="200"/>
              <w:jc w:val="both"/>
              <w:rPr/>
            </w:pPr>
            <w:r>
              <w:rPr/>
            </w:r>
          </w:p>
        </w:tc>
        <w:tc>
          <w:tcPr>
            <w:tcW w:w="1544" w:type="dxa"/>
            <w:tcBorders/>
            <w:shd w:fill="auto" w:val="clear"/>
          </w:tcPr>
          <w:p>
            <w:pPr>
              <w:pStyle w:val="Compact"/>
              <w:spacing w:before="36" w:after="36"/>
              <w:jc w:val="right"/>
              <w:rPr/>
            </w:pPr>
            <w:r>
              <w:rPr/>
              <w:t>Patient Age</w:t>
            </w:r>
          </w:p>
        </w:tc>
        <w:tc>
          <w:tcPr>
            <w:tcW w:w="1545" w:type="dxa"/>
            <w:tcBorders/>
            <w:shd w:fill="auto" w:val="clear"/>
          </w:tcPr>
          <w:p>
            <w:pPr>
              <w:pStyle w:val="Compact"/>
              <w:spacing w:before="36" w:after="36"/>
              <w:jc w:val="right"/>
              <w:rPr/>
            </w:pPr>
            <w:r>
              <w:rPr/>
              <w:t>0.7408</w:t>
            </w:r>
          </w:p>
        </w:tc>
        <w:tc>
          <w:tcPr>
            <w:tcW w:w="1874" w:type="dxa"/>
            <w:tcBorders/>
            <w:shd w:fill="auto" w:val="clear"/>
          </w:tcPr>
          <w:p>
            <w:pPr>
              <w:pStyle w:val="Compact"/>
              <w:spacing w:before="36" w:after="36"/>
              <w:jc w:val="right"/>
              <w:rPr/>
            </w:pPr>
            <w:r>
              <w:rPr/>
              <w:t>-432.8</w:t>
            </w:r>
          </w:p>
        </w:tc>
        <w:tc>
          <w:tcPr>
            <w:tcW w:w="884" w:type="dxa"/>
            <w:tcBorders/>
            <w:shd w:fill="auto" w:val="clear"/>
          </w:tcPr>
          <w:p>
            <w:pPr>
              <w:pStyle w:val="Compact"/>
              <w:spacing w:before="36" w:after="36"/>
              <w:jc w:val="right"/>
              <w:rPr/>
            </w:pPr>
            <w:r>
              <w:rPr/>
              <w:t>867.5</w:t>
            </w:r>
          </w:p>
        </w:tc>
      </w:tr>
      <w:tr>
        <w:trPr/>
        <w:tc>
          <w:tcPr>
            <w:tcW w:w="3419" w:type="dxa"/>
            <w:tcBorders/>
            <w:shd w:fill="auto" w:val="clear"/>
          </w:tcPr>
          <w:p>
            <w:pPr>
              <w:pStyle w:val="Compact"/>
              <w:spacing w:before="36" w:after="36"/>
              <w:jc w:val="right"/>
              <w:rPr/>
            </w:pPr>
            <w:r>
              <w:rPr/>
              <w:t>Hospital Acquired Infections</w:t>
            </w:r>
          </w:p>
        </w:tc>
        <w:tc>
          <w:tcPr>
            <w:tcW w:w="1544" w:type="dxa"/>
            <w:tcBorders/>
            <w:shd w:fill="auto" w:val="clear"/>
          </w:tcPr>
          <w:p>
            <w:pPr>
              <w:pStyle w:val="Compact"/>
              <w:spacing w:before="36" w:after="36"/>
              <w:jc w:val="right"/>
              <w:rPr/>
            </w:pPr>
            <w:r>
              <w:rPr/>
              <w:t>Frailty</w:t>
            </w:r>
          </w:p>
        </w:tc>
        <w:tc>
          <w:tcPr>
            <w:tcW w:w="1545" w:type="dxa"/>
            <w:tcBorders/>
            <w:shd w:fill="auto" w:val="clear"/>
          </w:tcPr>
          <w:p>
            <w:pPr>
              <w:pStyle w:val="Compact"/>
              <w:spacing w:before="36" w:after="36"/>
              <w:jc w:val="right"/>
              <w:rPr/>
            </w:pPr>
            <w:r>
              <w:rPr/>
              <w:t>0.7801</w:t>
            </w:r>
          </w:p>
        </w:tc>
        <w:tc>
          <w:tcPr>
            <w:tcW w:w="1874" w:type="dxa"/>
            <w:tcBorders/>
            <w:shd w:fill="auto" w:val="clear"/>
          </w:tcPr>
          <w:p>
            <w:pPr>
              <w:pStyle w:val="Compact"/>
              <w:spacing w:before="36" w:after="36"/>
              <w:jc w:val="right"/>
              <w:rPr/>
            </w:pPr>
            <w:r>
              <w:rPr/>
              <w:t>-1072</w:t>
            </w:r>
          </w:p>
        </w:tc>
        <w:tc>
          <w:tcPr>
            <w:tcW w:w="884" w:type="dxa"/>
            <w:tcBorders/>
            <w:shd w:fill="auto" w:val="clear"/>
          </w:tcPr>
          <w:p>
            <w:pPr>
              <w:pStyle w:val="Compact"/>
              <w:spacing w:before="36" w:after="36"/>
              <w:jc w:val="right"/>
              <w:rPr/>
            </w:pPr>
            <w:r>
              <w:rPr/>
              <w:t>2146</w:t>
            </w:r>
          </w:p>
        </w:tc>
      </w:tr>
      <w:tr>
        <w:trPr/>
        <w:tc>
          <w:tcPr>
            <w:tcW w:w="3419" w:type="dxa"/>
            <w:tcBorders/>
            <w:shd w:fill="auto" w:val="clear"/>
          </w:tcPr>
          <w:p>
            <w:pPr>
              <w:pStyle w:val="Normal"/>
              <w:widowControl/>
              <w:suppressLineNumbers/>
              <w:overflowPunct w:val="false"/>
              <w:bidi w:val="0"/>
              <w:spacing w:lineRule="auto" w:line="480" w:before="0" w:after="200"/>
              <w:jc w:val="both"/>
              <w:rPr/>
            </w:pPr>
            <w:r>
              <w:rPr/>
            </w:r>
          </w:p>
        </w:tc>
        <w:tc>
          <w:tcPr>
            <w:tcW w:w="1544" w:type="dxa"/>
            <w:tcBorders/>
            <w:shd w:fill="auto" w:val="clear"/>
          </w:tcPr>
          <w:p>
            <w:pPr>
              <w:pStyle w:val="Compact"/>
              <w:spacing w:before="36" w:after="36"/>
              <w:jc w:val="right"/>
              <w:rPr/>
            </w:pPr>
            <w:r>
              <w:rPr/>
              <w:t>Patient Age</w:t>
            </w:r>
          </w:p>
        </w:tc>
        <w:tc>
          <w:tcPr>
            <w:tcW w:w="1545" w:type="dxa"/>
            <w:tcBorders/>
            <w:shd w:fill="auto" w:val="clear"/>
          </w:tcPr>
          <w:p>
            <w:pPr>
              <w:pStyle w:val="Compact"/>
              <w:spacing w:before="36" w:after="36"/>
              <w:jc w:val="right"/>
              <w:rPr/>
            </w:pPr>
            <w:r>
              <w:rPr/>
              <w:t>0.5515</w:t>
            </w:r>
          </w:p>
        </w:tc>
        <w:tc>
          <w:tcPr>
            <w:tcW w:w="1874" w:type="dxa"/>
            <w:tcBorders/>
            <w:shd w:fill="auto" w:val="clear"/>
          </w:tcPr>
          <w:p>
            <w:pPr>
              <w:pStyle w:val="Compact"/>
              <w:spacing w:before="36" w:after="36"/>
              <w:jc w:val="right"/>
              <w:rPr/>
            </w:pPr>
            <w:r>
              <w:rPr/>
              <w:t>-1162</w:t>
            </w:r>
          </w:p>
        </w:tc>
        <w:tc>
          <w:tcPr>
            <w:tcW w:w="884" w:type="dxa"/>
            <w:tcBorders/>
            <w:shd w:fill="auto" w:val="clear"/>
          </w:tcPr>
          <w:p>
            <w:pPr>
              <w:pStyle w:val="Compact"/>
              <w:spacing w:before="36" w:after="36"/>
              <w:jc w:val="right"/>
              <w:rPr/>
            </w:pPr>
            <w:r>
              <w:rPr/>
              <w:t>2326</w:t>
            </w:r>
          </w:p>
        </w:tc>
      </w:tr>
      <w:tr>
        <w:trPr/>
        <w:tc>
          <w:tcPr>
            <w:tcW w:w="3419" w:type="dxa"/>
            <w:tcBorders/>
            <w:shd w:fill="auto" w:val="clear"/>
          </w:tcPr>
          <w:p>
            <w:pPr>
              <w:pStyle w:val="Compact"/>
              <w:spacing w:before="36" w:after="36"/>
              <w:jc w:val="right"/>
              <w:rPr/>
            </w:pPr>
            <w:r>
              <w:rPr/>
              <w:t>Falls</w:t>
            </w:r>
          </w:p>
        </w:tc>
        <w:tc>
          <w:tcPr>
            <w:tcW w:w="1544" w:type="dxa"/>
            <w:tcBorders/>
            <w:shd w:fill="auto" w:val="clear"/>
          </w:tcPr>
          <w:p>
            <w:pPr>
              <w:pStyle w:val="Compact"/>
              <w:spacing w:before="36" w:after="36"/>
              <w:jc w:val="right"/>
              <w:rPr/>
            </w:pPr>
            <w:r>
              <w:rPr/>
              <w:t>Frailty</w:t>
            </w:r>
          </w:p>
        </w:tc>
        <w:tc>
          <w:tcPr>
            <w:tcW w:w="1545" w:type="dxa"/>
            <w:tcBorders/>
            <w:shd w:fill="auto" w:val="clear"/>
          </w:tcPr>
          <w:p>
            <w:pPr>
              <w:pStyle w:val="Compact"/>
              <w:spacing w:before="36" w:after="36"/>
              <w:jc w:val="right"/>
              <w:rPr/>
            </w:pPr>
            <w:r>
              <w:rPr/>
              <w:t>0.8</w:t>
            </w:r>
          </w:p>
        </w:tc>
        <w:tc>
          <w:tcPr>
            <w:tcW w:w="1874" w:type="dxa"/>
            <w:tcBorders/>
            <w:shd w:fill="auto" w:val="clear"/>
          </w:tcPr>
          <w:p>
            <w:pPr>
              <w:pStyle w:val="Compact"/>
              <w:spacing w:before="36" w:after="36"/>
              <w:jc w:val="right"/>
              <w:rPr/>
            </w:pPr>
            <w:r>
              <w:rPr/>
              <w:t>-608.7</w:t>
            </w:r>
          </w:p>
        </w:tc>
        <w:tc>
          <w:tcPr>
            <w:tcW w:w="884" w:type="dxa"/>
            <w:tcBorders/>
            <w:shd w:fill="auto" w:val="clear"/>
          </w:tcPr>
          <w:p>
            <w:pPr>
              <w:pStyle w:val="Compact"/>
              <w:spacing w:before="36" w:after="36"/>
              <w:jc w:val="right"/>
              <w:rPr/>
            </w:pPr>
            <w:r>
              <w:rPr/>
              <w:t>1219</w:t>
            </w:r>
          </w:p>
        </w:tc>
      </w:tr>
      <w:tr>
        <w:trPr/>
        <w:tc>
          <w:tcPr>
            <w:tcW w:w="3419" w:type="dxa"/>
            <w:tcBorders/>
            <w:shd w:fill="auto" w:val="clear"/>
          </w:tcPr>
          <w:p>
            <w:pPr>
              <w:pStyle w:val="Normal"/>
              <w:widowControl/>
              <w:suppressLineNumbers/>
              <w:overflowPunct w:val="false"/>
              <w:bidi w:val="0"/>
              <w:spacing w:lineRule="auto" w:line="480" w:before="0" w:after="200"/>
              <w:jc w:val="both"/>
              <w:rPr/>
            </w:pPr>
            <w:r>
              <w:rPr/>
            </w:r>
          </w:p>
        </w:tc>
        <w:tc>
          <w:tcPr>
            <w:tcW w:w="1544" w:type="dxa"/>
            <w:tcBorders/>
            <w:shd w:fill="auto" w:val="clear"/>
          </w:tcPr>
          <w:p>
            <w:pPr>
              <w:pStyle w:val="Compact"/>
              <w:spacing w:before="36" w:after="36"/>
              <w:jc w:val="right"/>
              <w:rPr/>
            </w:pPr>
            <w:r>
              <w:rPr/>
              <w:t>Patient Age</w:t>
            </w:r>
          </w:p>
        </w:tc>
        <w:tc>
          <w:tcPr>
            <w:tcW w:w="1545" w:type="dxa"/>
            <w:tcBorders/>
            <w:shd w:fill="auto" w:val="clear"/>
          </w:tcPr>
          <w:p>
            <w:pPr>
              <w:pStyle w:val="Compact"/>
              <w:spacing w:before="36" w:after="36"/>
              <w:jc w:val="right"/>
              <w:rPr/>
            </w:pPr>
            <w:r>
              <w:rPr/>
              <w:t>0.5816</w:t>
            </w:r>
          </w:p>
        </w:tc>
        <w:tc>
          <w:tcPr>
            <w:tcW w:w="1874" w:type="dxa"/>
            <w:tcBorders/>
            <w:shd w:fill="auto" w:val="clear"/>
          </w:tcPr>
          <w:p>
            <w:pPr>
              <w:pStyle w:val="Compact"/>
              <w:spacing w:before="36" w:after="36"/>
              <w:jc w:val="right"/>
              <w:rPr/>
            </w:pPr>
            <w:r>
              <w:rPr/>
              <w:t>-664.6</w:t>
            </w:r>
          </w:p>
        </w:tc>
        <w:tc>
          <w:tcPr>
            <w:tcW w:w="884" w:type="dxa"/>
            <w:tcBorders/>
            <w:shd w:fill="auto" w:val="clear"/>
          </w:tcPr>
          <w:p>
            <w:pPr>
              <w:pStyle w:val="Compact"/>
              <w:spacing w:before="36" w:after="36"/>
              <w:jc w:val="right"/>
              <w:rPr/>
            </w:pPr>
            <w:r>
              <w:rPr/>
              <w:t>1331</w:t>
            </w:r>
          </w:p>
        </w:tc>
      </w:tr>
      <w:tr>
        <w:trPr/>
        <w:tc>
          <w:tcPr>
            <w:tcW w:w="3419" w:type="dxa"/>
            <w:tcBorders/>
            <w:shd w:fill="auto" w:val="clear"/>
          </w:tcPr>
          <w:p>
            <w:pPr>
              <w:pStyle w:val="Compact"/>
              <w:spacing w:before="36" w:after="36"/>
              <w:jc w:val="right"/>
              <w:rPr/>
            </w:pPr>
            <w:r>
              <w:rPr/>
              <w:t>Length of Stay</w:t>
            </w:r>
          </w:p>
        </w:tc>
        <w:tc>
          <w:tcPr>
            <w:tcW w:w="1544" w:type="dxa"/>
            <w:tcBorders/>
            <w:shd w:fill="auto" w:val="clear"/>
          </w:tcPr>
          <w:p>
            <w:pPr>
              <w:pStyle w:val="Compact"/>
              <w:spacing w:before="36" w:after="36"/>
              <w:jc w:val="right"/>
              <w:rPr/>
            </w:pPr>
            <w:r>
              <w:rPr/>
              <w:t>Frailty</w:t>
            </w:r>
          </w:p>
        </w:tc>
        <w:tc>
          <w:tcPr>
            <w:tcW w:w="1545" w:type="dxa"/>
            <w:tcBorders/>
            <w:shd w:fill="auto" w:val="clear"/>
          </w:tcPr>
          <w:p>
            <w:pPr>
              <w:pStyle w:val="Compact"/>
              <w:spacing w:before="36" w:after="36"/>
              <w:jc w:val="right"/>
              <w:rPr/>
            </w:pPr>
            <w:r>
              <w:rPr/>
              <w:t>0.6001</w:t>
            </w:r>
          </w:p>
        </w:tc>
        <w:tc>
          <w:tcPr>
            <w:tcW w:w="1874" w:type="dxa"/>
            <w:tcBorders/>
            <w:shd w:fill="auto" w:val="clear"/>
          </w:tcPr>
          <w:p>
            <w:pPr>
              <w:pStyle w:val="Compact"/>
              <w:spacing w:before="36" w:after="36"/>
              <w:jc w:val="right"/>
              <w:rPr/>
            </w:pPr>
            <w:r>
              <w:rPr/>
              <w:t>-3456</w:t>
            </w:r>
          </w:p>
        </w:tc>
        <w:tc>
          <w:tcPr>
            <w:tcW w:w="884" w:type="dxa"/>
            <w:tcBorders/>
            <w:shd w:fill="auto" w:val="clear"/>
          </w:tcPr>
          <w:p>
            <w:pPr>
              <w:pStyle w:val="Compact"/>
              <w:spacing w:before="36" w:after="36"/>
              <w:jc w:val="right"/>
              <w:rPr/>
            </w:pPr>
            <w:r>
              <w:rPr/>
              <w:t>6914</w:t>
            </w:r>
          </w:p>
        </w:tc>
      </w:tr>
      <w:tr>
        <w:trPr/>
        <w:tc>
          <w:tcPr>
            <w:tcW w:w="3419" w:type="dxa"/>
            <w:tcBorders/>
            <w:shd w:fill="auto" w:val="clear"/>
          </w:tcPr>
          <w:p>
            <w:pPr>
              <w:pStyle w:val="Normal"/>
              <w:widowControl/>
              <w:suppressLineNumbers/>
              <w:overflowPunct w:val="false"/>
              <w:bidi w:val="0"/>
              <w:spacing w:lineRule="auto" w:line="480" w:before="0" w:after="200"/>
              <w:jc w:val="both"/>
              <w:rPr/>
            </w:pPr>
            <w:r>
              <w:rPr/>
            </w:r>
          </w:p>
        </w:tc>
        <w:tc>
          <w:tcPr>
            <w:tcW w:w="1544" w:type="dxa"/>
            <w:tcBorders/>
            <w:shd w:fill="auto" w:val="clear"/>
          </w:tcPr>
          <w:p>
            <w:pPr>
              <w:pStyle w:val="Compact"/>
              <w:spacing w:before="36" w:after="36"/>
              <w:jc w:val="right"/>
              <w:rPr/>
            </w:pPr>
            <w:r>
              <w:rPr/>
              <w:t>Patient Age</w:t>
            </w:r>
          </w:p>
        </w:tc>
        <w:tc>
          <w:tcPr>
            <w:tcW w:w="1545" w:type="dxa"/>
            <w:tcBorders/>
            <w:shd w:fill="auto" w:val="clear"/>
          </w:tcPr>
          <w:p>
            <w:pPr>
              <w:pStyle w:val="Compact"/>
              <w:spacing w:before="36" w:after="36"/>
              <w:jc w:val="right"/>
              <w:rPr/>
            </w:pPr>
            <w:r>
              <w:rPr/>
              <w:t>0.5341</w:t>
            </w:r>
          </w:p>
        </w:tc>
        <w:tc>
          <w:tcPr>
            <w:tcW w:w="1874" w:type="dxa"/>
            <w:tcBorders/>
            <w:shd w:fill="auto" w:val="clear"/>
          </w:tcPr>
          <w:p>
            <w:pPr>
              <w:pStyle w:val="Compact"/>
              <w:spacing w:before="36" w:after="36"/>
              <w:jc w:val="right"/>
              <w:rPr/>
            </w:pPr>
            <w:r>
              <w:rPr/>
              <w:t>-3486</w:t>
            </w:r>
          </w:p>
        </w:tc>
        <w:tc>
          <w:tcPr>
            <w:tcW w:w="884" w:type="dxa"/>
            <w:tcBorders/>
            <w:shd w:fill="auto" w:val="clear"/>
          </w:tcPr>
          <w:p>
            <w:pPr>
              <w:pStyle w:val="Compact"/>
              <w:spacing w:before="36" w:after="36"/>
              <w:jc w:val="right"/>
              <w:rPr/>
            </w:pPr>
            <w:r>
              <w:rPr/>
              <w:t>6975</w:t>
            </w:r>
          </w:p>
        </w:tc>
      </w:tr>
    </w:tbl>
    <w:p>
      <w:pPr>
        <w:pStyle w:val="TextBody"/>
        <w:rPr/>
      </w:pPr>
      <w:r>
        <w:rPr/>
        <w:t>In Table 3 we compare the performance of EFI and age as predictors for each of the five outcomes. In all cases, the EFI models has a robustly lower AIC and log-likelihood than the respective patient-age models, as well as a higher concordance (in all cases greater than 0.7). Cox models incorporating EFI together with age, with or without an interaction term, did not have a significantly better fit than the univariate EFI model (not shown, available in supplement).</w:t>
      </w:r>
    </w:p>
    <w:p>
      <w:pPr>
        <w:pStyle w:val="TextBody"/>
        <w:rPr/>
      </w:pPr>
      <w:r>
        <w:rPr/>
        <w:t xml:space="preserve">In figures 1 a-f we show Kaplan-Meier plots for each of the outcomes stratified by whether EFI is greater than 0.19 (Frail=TRUE) or less (Frail=FALSE) (Stow </w:t>
      </w:r>
      <w:r>
        <w:rPr>
          <w:i/>
        </w:rPr>
        <w:t>et al.</w:t>
      </w:r>
      <w:r>
        <w:rPr/>
        <w:t>, 2018).</w:t>
      </w:r>
    </w:p>
    <w:p>
      <w:pPr>
        <w:pStyle w:val="TextBody"/>
        <w:rPr/>
      </w:pPr>
      <w:r>
        <w:rPr/>
        <w:drawing>
          <wp:inline distT="0" distB="0" distL="114935" distR="114935">
            <wp:extent cx="4620260" cy="3696335"/>
            <wp:effectExtent l="0" t="0" r="0" b="0"/>
            <wp:docPr id="3" name="Picture" descr="Figur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4" name="Image1"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kmplots) -"/>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5" name="Image2"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kmplots) -"/>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6" name="Image3"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fig:kmplots) -"/>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7" name="Image4"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fig:kmplots) -"/>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8" name="Image5"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fig:kmplots) -"/>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bookmarkStart w:id="6" w:name="results"/>
      <w:bookmarkEnd w:id="6"/>
    </w:p>
    <w:p>
      <w:pPr>
        <w:pStyle w:val="Heading1"/>
        <w:rPr/>
      </w:pPr>
      <w:r>
        <w:rPr/>
        <w:t>Discussion</w:t>
      </w:r>
    </w:p>
    <w:p>
      <w:pPr>
        <w:pStyle w:val="FirstParagraph"/>
        <w:rPr/>
      </w:pPr>
      <w:r>
        <w:rPr/>
        <w:t>Our data shares the fundamental limitation of the EHR system from which it was obtained: like all EHR systems, it only has information that providers and coders put into it. Events taking place outside the health system or at un-connected health systems are not visible to our analysis. On the other hand, providers who rely on EHR systems at point of care are also working under these limitations on. The data we used is representative of this scenario, and despite the limitations EFI provides accurate predictions of poor patient outcomes. Because our implementation of the Rockwood index real EHR data, it is more directly transferable to clinical use than implementations based on curated registries. This suggests that EFI is most accurate for patients who have accumulated a reasonable in-system visit-history. Further work is needed to find a more precise relationship between the length of a patient’s visit-history and the accuracy of EFI and better distinguish genuinely non-frail patients from those who get most of their care outside the researchers’ health system.</w:t>
      </w:r>
    </w:p>
    <w:p>
      <w:pPr>
        <w:pStyle w:val="TextBody"/>
        <w:rPr/>
      </w:pPr>
      <w:r>
        <w:rPr/>
        <w:t>Vital status is often out of date in EHR systems if the patient did not die in the hospital or shortly after their visit, so our data may under-represent the true mortality rates. Nevertheless, the relationship between EFI and mortality risk observed here agrees with previous EFI studies. Unlike previous studies we sampled all adults rather than just older adults so we could assess the performance of EFI across the lifespan and include individuals who might have early-onset frailty.</w:t>
      </w:r>
    </w:p>
    <w:p>
      <w:pPr>
        <w:pStyle w:val="TextBody"/>
        <w:rPr/>
      </w:pPr>
      <w:r>
        <w:rPr/>
        <w:t>There is no gold standard method to assess Frailty in clinical practice. Currently available frailty assessment tools used in geriatric practice have good validity ( example Linda Fried’s phenotype method) but these are time intensive and often difficult to implement in a busy general practice. Assessing frailty helps clinicians identify high risk patients and tailor interventions to prevent health decline and poor outcomes. Because of the simplicity of the Rockwood Frailty Index, it is more likely to be adopted by clinicians in a busy practice.</w:t>
      </w:r>
    </w:p>
    <w:p>
      <w:pPr>
        <w:pStyle w:val="TextBody"/>
        <w:rPr/>
      </w:pPr>
      <w:r>
        <w:rPr/>
        <w:t>Other possible points to cover:</w:t>
      </w:r>
    </w:p>
    <w:p>
      <w:pPr>
        <w:pStyle w:val="Normal"/>
        <w:numPr>
          <w:ilvl w:val="0"/>
          <w:numId w:val="2"/>
        </w:numPr>
        <w:rPr/>
      </w:pPr>
      <w:r>
        <w:rPr/>
        <w:t>What we learned by not restricting the sample to older adults (or move to methods/theory paper?)</w:t>
      </w:r>
    </w:p>
    <w:p>
      <w:pPr>
        <w:pStyle w:val="Normal"/>
        <w:numPr>
          <w:ilvl w:val="0"/>
          <w:numId w:val="2"/>
        </w:numPr>
        <w:rPr/>
      </w:pPr>
      <w:r>
        <w:rPr/>
        <w:t>What agrees and what disagrees with previous work?</w:t>
      </w:r>
    </w:p>
    <w:p>
      <w:pPr>
        <w:pStyle w:val="Normal"/>
        <w:numPr>
          <w:ilvl w:val="0"/>
          <w:numId w:val="2"/>
        </w:numPr>
        <w:rPr/>
      </w:pPr>
      <w:r>
        <w:rPr/>
        <w:t>What is new?</w:t>
      </w:r>
    </w:p>
    <w:p>
      <w:pPr>
        <w:pStyle w:val="Normal"/>
        <w:numPr>
          <w:ilvl w:val="1"/>
          <w:numId w:val="3"/>
        </w:numPr>
        <w:rPr/>
      </w:pPr>
      <w:r>
        <w:rPr/>
        <w:t>Per-visit EFI allows plotting an EFI trajectory over time</w:t>
      </w:r>
    </w:p>
    <w:p>
      <w:pPr>
        <w:pStyle w:val="Normal"/>
        <w:numPr>
          <w:ilvl w:val="1"/>
          <w:numId w:val="3"/>
        </w:numPr>
        <w:rPr/>
      </w:pPr>
      <w:r>
        <w:rPr/>
        <w:t>Strictly limiting data elements to those we can count on being available in any EHR system, at any site</w:t>
      </w:r>
    </w:p>
    <w:p>
      <w:pPr>
        <w:pStyle w:val="Normal"/>
        <w:numPr>
          <w:ilvl w:val="0"/>
          <w:numId w:val="2"/>
        </w:numPr>
        <w:rPr/>
      </w:pPr>
      <w:r>
        <w:rPr/>
        <w:t>future work</w:t>
      </w:r>
    </w:p>
    <w:p>
      <w:pPr>
        <w:pStyle w:val="Normal"/>
        <w:numPr>
          <w:ilvl w:val="0"/>
          <w:numId w:val="2"/>
        </w:numPr>
        <w:rPr/>
      </w:pPr>
      <w:r>
        <w:rPr/>
        <w:t>theoretical and practical implications</w:t>
      </w:r>
      <w:bookmarkStart w:id="7" w:name="discussion"/>
      <w:bookmarkEnd w:id="7"/>
    </w:p>
    <w:p>
      <w:pPr>
        <w:pStyle w:val="Heading1"/>
        <w:rPr/>
      </w:pPr>
      <w:r>
        <w:rPr/>
        <w:t>Conclusions</w:t>
      </w:r>
    </w:p>
    <w:p>
      <w:pPr>
        <w:pStyle w:val="FirstParagraph"/>
        <w:rPr/>
      </w:pPr>
      <w:r>
        <w:rPr/>
        <w:t>TBD</w:t>
      </w:r>
      <w:bookmarkStart w:id="8" w:name="conclusions"/>
      <w:bookmarkEnd w:id="8"/>
    </w:p>
    <w:p>
      <w:pPr>
        <w:pStyle w:val="Heading1"/>
        <w:rPr/>
      </w:pPr>
      <w:r>
        <w:rPr/>
        <w:t>Acknowledgments</w:t>
      </w:r>
    </w:p>
    <w:p>
      <w:pPr>
        <w:pStyle w:val="FirstParagraph"/>
        <w:rPr/>
      </w:pPr>
      <w:r>
        <w:rPr/>
        <w:t>This work was supported by NIH/NCATS UL1TR001120 (AFB, KRS), the Long School of Medicine KL2 Award (AFB), …</w:t>
      </w:r>
      <w:bookmarkStart w:id="9" w:name="acknowledgments"/>
      <w:bookmarkEnd w:id="9"/>
    </w:p>
    <w:p>
      <w:pPr>
        <w:pStyle w:val="Heading1"/>
        <w:rPr/>
      </w:pPr>
      <w:r>
        <w:rPr/>
        <w:t>References</w:t>
      </w:r>
    </w:p>
    <w:p>
      <w:pPr>
        <w:pStyle w:val="Bibliography"/>
        <w:rPr/>
      </w:pPr>
      <w:r>
        <w:rPr/>
        <w:t xml:space="preserve">Clegg, A. </w:t>
      </w:r>
      <w:r>
        <w:rPr>
          <w:i/>
        </w:rPr>
        <w:t>et al.</w:t>
      </w:r>
      <w:r>
        <w:rPr/>
        <w:t xml:space="preserve"> (2016) ‘Development and validation of an electronic frailty index using routine primary care electronic health record data’, </w:t>
      </w:r>
      <w:r>
        <w:rPr>
          <w:i/>
        </w:rPr>
        <w:t>Age and Ageing</w:t>
      </w:r>
      <w:r>
        <w:rPr/>
        <w:t xml:space="preserve">, 45(3), pp. 353–360. doi: </w:t>
      </w:r>
      <w:hyperlink r:id="rId8">
        <w:r>
          <w:rPr>
            <w:rStyle w:val="ListLabel41"/>
          </w:rPr>
          <w:t>10.1093/ageing/afw039</w:t>
        </w:r>
      </w:hyperlink>
      <w:r>
        <w:rPr/>
        <w:t>.</w:t>
      </w:r>
      <w:bookmarkStart w:id="10" w:name="ref-clegg16a"/>
      <w:bookmarkEnd w:id="10"/>
    </w:p>
    <w:p>
      <w:pPr>
        <w:pStyle w:val="Bibliography"/>
        <w:rPr/>
      </w:pPr>
      <w:r>
        <w:rPr/>
        <w:t xml:space="preserve">Fried, L. P. </w:t>
      </w:r>
      <w:r>
        <w:rPr>
          <w:i/>
        </w:rPr>
        <w:t>et al.</w:t>
      </w:r>
      <w:r>
        <w:rPr/>
        <w:t xml:space="preserve"> (2001) ‘Frailty in older adults: Evidence for a phenotype’, </w:t>
      </w:r>
      <w:r>
        <w:rPr>
          <w:i/>
        </w:rPr>
        <w:t>The Journals of Gerontology Series A: Biological Sciences and Medical Sciences</w:t>
      </w:r>
      <w:r>
        <w:rPr/>
        <w:t xml:space="preserve">, 56(3), pp. M146–M157. doi: </w:t>
      </w:r>
      <w:hyperlink r:id="rId9">
        <w:r>
          <w:rPr>
            <w:rStyle w:val="ListLabel41"/>
          </w:rPr>
          <w:t>10.1093/gerona/56.3.M146</w:t>
        </w:r>
      </w:hyperlink>
      <w:r>
        <w:rPr/>
        <w:t>.</w:t>
      </w:r>
      <w:bookmarkStart w:id="11" w:name="ref-fried01a"/>
      <w:bookmarkEnd w:id="11"/>
    </w:p>
    <w:p>
      <w:pPr>
        <w:pStyle w:val="Bibliography"/>
        <w:rPr/>
      </w:pPr>
      <w:r>
        <w:rPr/>
        <w:t xml:space="preserve">Holm, S. (1979) ‘A simple sequentially rejective multiple test procedure.’, </w:t>
      </w:r>
      <w:r>
        <w:rPr>
          <w:i/>
        </w:rPr>
        <w:t>Scandinavian Journal of Statistics</w:t>
      </w:r>
      <w:r>
        <w:rPr/>
        <w:t>, 6, pp. 65–70.</w:t>
      </w:r>
      <w:bookmarkStart w:id="12" w:name="ref-holm79"/>
      <w:bookmarkEnd w:id="12"/>
    </w:p>
    <w:p>
      <w:pPr>
        <w:pStyle w:val="Bibliography"/>
        <w:rPr/>
      </w:pPr>
      <w:r>
        <w:rPr/>
        <w:t xml:space="preserve">Hoover, M. </w:t>
      </w:r>
      <w:r>
        <w:rPr>
          <w:i/>
        </w:rPr>
        <w:t>et al.</w:t>
      </w:r>
      <w:r>
        <w:rPr/>
        <w:t xml:space="preserve"> (2013) ‘Validation of an index to estimate the prevalence of frailty among community-dwelling seniors’, </w:t>
      </w:r>
      <w:r>
        <w:rPr>
          <w:i/>
        </w:rPr>
        <w:t>Health Reports</w:t>
      </w:r>
      <w:r>
        <w:rPr/>
        <w:t>, 24(9), pp. 10–17.</w:t>
      </w:r>
      <w:bookmarkStart w:id="13" w:name="ref-hoover13"/>
      <w:bookmarkEnd w:id="13"/>
    </w:p>
    <w:p>
      <w:pPr>
        <w:pStyle w:val="Bibliography"/>
        <w:rPr/>
      </w:pPr>
      <w:r>
        <w:rPr/>
        <w:t xml:space="preserve">Kulminski, A. M. </w:t>
      </w:r>
      <w:r>
        <w:rPr>
          <w:i/>
        </w:rPr>
        <w:t>et al.</w:t>
      </w:r>
      <w:r>
        <w:rPr/>
        <w:t xml:space="preserve"> (2008) ‘Cumulative Deficits Better Characterize Susceptibility to Death in Elderly People than Phenotypic Frailty: Lessons from the Cardiovascular Health Study: FRAILTY, CUMULATIVE DEFICITS, AND SURVIVAL’, </w:t>
      </w:r>
      <w:r>
        <w:rPr>
          <w:i/>
        </w:rPr>
        <w:t>Journal of the American Geriatrics Society</w:t>
      </w:r>
      <w:r>
        <w:rPr/>
        <w:t xml:space="preserve">, 56(5), pp. 898–903. doi: </w:t>
      </w:r>
      <w:hyperlink r:id="rId10">
        <w:r>
          <w:rPr>
            <w:rStyle w:val="ListLabel41"/>
          </w:rPr>
          <w:t>10.1111/j.1532-5415.2008.01656.x</w:t>
        </w:r>
      </w:hyperlink>
      <w:r>
        <w:rPr/>
        <w:t>.</w:t>
      </w:r>
      <w:bookmarkStart w:id="14" w:name="ref-kulminski08"/>
      <w:bookmarkEnd w:id="14"/>
    </w:p>
    <w:p>
      <w:pPr>
        <w:pStyle w:val="Bibliography"/>
        <w:rPr/>
      </w:pPr>
      <w:r>
        <w:rPr/>
        <w:t xml:space="preserve">Li, G. </w:t>
      </w:r>
      <w:r>
        <w:rPr>
          <w:i/>
        </w:rPr>
        <w:t>et al.</w:t>
      </w:r>
      <w:r>
        <w:rPr/>
        <w:t xml:space="preserve"> (2015) ‘Comparison between Frailty Index of Deficit Accumulation and Phenotypic Model to Predict Risk of Falls: Data from the Global Longitudinal Study of Osteoporosis in Women (GLOW) Hamilton Cohort’, </w:t>
      </w:r>
      <w:r>
        <w:rPr>
          <w:i/>
        </w:rPr>
        <w:t>PLOS ONE</w:t>
      </w:r>
      <w:r>
        <w:rPr/>
        <w:t xml:space="preserve">. Edited by A. M. Chamberlain, 10(3), p. e0120144. doi: </w:t>
      </w:r>
      <w:hyperlink r:id="rId11">
        <w:r>
          <w:rPr>
            <w:rStyle w:val="ListLabel41"/>
          </w:rPr>
          <w:t>10.1371/journal.pone.0120144</w:t>
        </w:r>
      </w:hyperlink>
      <w:r>
        <w:rPr/>
        <w:t>.</w:t>
      </w:r>
      <w:bookmarkStart w:id="15" w:name="ref-li15"/>
      <w:bookmarkEnd w:id="15"/>
    </w:p>
    <w:p>
      <w:pPr>
        <w:pStyle w:val="Bibliography"/>
        <w:rPr/>
      </w:pPr>
      <w:r>
        <w:rPr/>
        <w:t xml:space="preserve">Malmstrom, T. K., Miller, D. K. and Morley, J. E. (2014) ‘A Comparison of Four Frailty Models’, </w:t>
      </w:r>
      <w:r>
        <w:rPr>
          <w:i/>
        </w:rPr>
        <w:t>Journal of the American Geriatrics Society</w:t>
      </w:r>
      <w:r>
        <w:rPr/>
        <w:t xml:space="preserve">, 62(4), pp. 721–726. doi: </w:t>
      </w:r>
      <w:hyperlink r:id="rId12">
        <w:r>
          <w:rPr>
            <w:rStyle w:val="ListLabel41"/>
          </w:rPr>
          <w:t>10.1111/jgs.12735</w:t>
        </w:r>
      </w:hyperlink>
      <w:r>
        <w:rPr/>
        <w:t>.</w:t>
      </w:r>
      <w:bookmarkStart w:id="16" w:name="ref-malmstrom14"/>
      <w:bookmarkEnd w:id="16"/>
    </w:p>
    <w:p>
      <w:pPr>
        <w:pStyle w:val="Bibliography"/>
        <w:rPr/>
      </w:pPr>
      <w:r>
        <w:rPr/>
        <w:t xml:space="preserve">Mitnitski, A. B., Mogilner, A. J. and Rockwood, K. (2001) ‘Accumulation of Deficits as a Proxy Measure of Aging’, </w:t>
      </w:r>
      <w:r>
        <w:rPr>
          <w:i/>
        </w:rPr>
        <w:t>The Scientific World JOURNAL</w:t>
      </w:r>
      <w:r>
        <w:rPr/>
        <w:t xml:space="preserve">, 1, pp. 323–336. doi: </w:t>
      </w:r>
      <w:hyperlink r:id="rId13">
        <w:r>
          <w:rPr>
            <w:rStyle w:val="ListLabel41"/>
          </w:rPr>
          <w:t>10.1100/tsw.2001.58</w:t>
        </w:r>
      </w:hyperlink>
      <w:r>
        <w:rPr/>
        <w:t>.</w:t>
      </w:r>
      <w:bookmarkStart w:id="17" w:name="ref-mitnitski01a"/>
      <w:bookmarkEnd w:id="17"/>
    </w:p>
    <w:p>
      <w:pPr>
        <w:pStyle w:val="Bibliography"/>
        <w:rPr/>
      </w:pPr>
      <w:r>
        <w:rPr/>
        <w:t xml:space="preserve">Pajewski, N. M. </w:t>
      </w:r>
      <w:r>
        <w:rPr>
          <w:i/>
        </w:rPr>
        <w:t>et al.</w:t>
      </w:r>
      <w:r>
        <w:rPr/>
        <w:t xml:space="preserve"> (2019) ‘Frailty Screening Using the Electronic Health Record Within a Medicare Accountable Care Organization’, </w:t>
      </w:r>
      <w:r>
        <w:rPr>
          <w:i/>
        </w:rPr>
        <w:t>The Journals of Gerontology: Series A</w:t>
      </w:r>
      <w:r>
        <w:rPr/>
        <w:t xml:space="preserve">. Edited by A. Newman, 74(11), pp. 1771–1777. doi: </w:t>
      </w:r>
      <w:hyperlink r:id="rId14">
        <w:r>
          <w:rPr>
            <w:rStyle w:val="ListLabel41"/>
          </w:rPr>
          <w:t>10.1093/gerona/glz017</w:t>
        </w:r>
      </w:hyperlink>
      <w:r>
        <w:rPr/>
        <w:t>.</w:t>
      </w:r>
      <w:bookmarkStart w:id="18" w:name="ref-pajewski19"/>
      <w:bookmarkEnd w:id="18"/>
    </w:p>
    <w:p>
      <w:pPr>
        <w:pStyle w:val="Bibliography"/>
        <w:rPr/>
      </w:pPr>
      <w:r>
        <w:rPr/>
        <w:t xml:space="preserve">Rockwood, K. (2005) ‘A global clinical measure of fitness and frailty in elderly people’, </w:t>
      </w:r>
      <w:r>
        <w:rPr>
          <w:i/>
        </w:rPr>
        <w:t>Canadian Medical Association Journal</w:t>
      </w:r>
      <w:r>
        <w:rPr/>
        <w:t xml:space="preserve">, 173(5), pp. 489–495. doi: </w:t>
      </w:r>
      <w:hyperlink r:id="rId15">
        <w:r>
          <w:rPr>
            <w:rStyle w:val="ListLabel41"/>
          </w:rPr>
          <w:t>10.1503/cmaj.050051</w:t>
        </w:r>
      </w:hyperlink>
      <w:r>
        <w:rPr/>
        <w:t>.</w:t>
      </w:r>
      <w:bookmarkStart w:id="19" w:name="ref-rockwood05"/>
      <w:bookmarkEnd w:id="19"/>
    </w:p>
    <w:p>
      <w:pPr>
        <w:pStyle w:val="Bibliography"/>
        <w:rPr/>
      </w:pPr>
      <w:r>
        <w:rPr/>
        <w:t xml:space="preserve">Rockwood, K. and Mitnitski, A. (2007) ‘Frailty in Relation to the Accumulation of Deficits’, </w:t>
      </w:r>
      <w:r>
        <w:rPr>
          <w:i/>
        </w:rPr>
        <w:t>The Journals of Gerontology Series A: Biological Sciences and Medical Sciences</w:t>
      </w:r>
      <w:r>
        <w:rPr/>
        <w:t xml:space="preserve">, 62(7), pp. 722–727. doi: </w:t>
      </w:r>
      <w:hyperlink r:id="rId16">
        <w:r>
          <w:rPr>
            <w:rStyle w:val="ListLabel41"/>
          </w:rPr>
          <w:t>10.1093/gerona/62.7.722</w:t>
        </w:r>
      </w:hyperlink>
      <w:r>
        <w:rPr/>
        <w:t>.</w:t>
      </w:r>
      <w:bookmarkStart w:id="20" w:name="ref-rockwood07"/>
      <w:bookmarkEnd w:id="20"/>
    </w:p>
    <w:p>
      <w:pPr>
        <w:pStyle w:val="Bibliography"/>
        <w:rPr/>
      </w:pPr>
      <w:r>
        <w:rPr/>
        <w:t xml:space="preserve">Rockwood, K. </w:t>
      </w:r>
      <w:r>
        <w:rPr>
          <w:i/>
        </w:rPr>
        <w:t>et al.</w:t>
      </w:r>
      <w:r>
        <w:rPr/>
        <w:t xml:space="preserve"> (2006) ‘Long-Term Risks of Death and Institutionalization of Elderly People in Relation to Deficit Accumulation at Age 70: LONG-TERM RISK OF DEATH DEFINED BY AGE 70’, </w:t>
      </w:r>
      <w:r>
        <w:rPr>
          <w:i/>
        </w:rPr>
        <w:t>Journal of the American Geriatrics Society</w:t>
      </w:r>
      <w:r>
        <w:rPr/>
        <w:t xml:space="preserve">, 54(6), pp. 975–979. doi: </w:t>
      </w:r>
      <w:hyperlink r:id="rId17">
        <w:r>
          <w:rPr>
            <w:rStyle w:val="ListLabel41"/>
          </w:rPr>
          <w:t>10.1111/j.1532-5415.2006.00738.x</w:t>
        </w:r>
      </w:hyperlink>
      <w:r>
        <w:rPr/>
        <w:t>.</w:t>
      </w:r>
      <w:bookmarkStart w:id="21" w:name="ref-rockwood06"/>
      <w:bookmarkEnd w:id="21"/>
    </w:p>
    <w:p>
      <w:pPr>
        <w:pStyle w:val="Bibliography"/>
        <w:rPr/>
      </w:pPr>
      <w:r>
        <w:rPr/>
        <w:t xml:space="preserve">Searle, S. D. </w:t>
      </w:r>
      <w:r>
        <w:rPr>
          <w:i/>
        </w:rPr>
        <w:t>et al.</w:t>
      </w:r>
      <w:r>
        <w:rPr/>
        <w:t xml:space="preserve"> (2008) ‘A standard procedure for creating a frailty index’, </w:t>
      </w:r>
      <w:r>
        <w:rPr>
          <w:i/>
        </w:rPr>
        <w:t>BMC Geriatrics</w:t>
      </w:r>
      <w:r>
        <w:rPr/>
        <w:t xml:space="preserve">, 8(1). doi: </w:t>
      </w:r>
      <w:hyperlink r:id="rId18">
        <w:r>
          <w:rPr>
            <w:rStyle w:val="ListLabel41"/>
          </w:rPr>
          <w:t>10.1186/1471-2318-8-24</w:t>
        </w:r>
      </w:hyperlink>
      <w:r>
        <w:rPr/>
        <w:t>.</w:t>
      </w:r>
      <w:bookmarkStart w:id="22" w:name="ref-searle08a"/>
      <w:bookmarkEnd w:id="22"/>
    </w:p>
    <w:p>
      <w:pPr>
        <w:pStyle w:val="Bibliography"/>
        <w:rPr/>
      </w:pPr>
      <w:r>
        <w:rPr/>
        <w:t xml:space="preserve">Song, X., Mitnitski, A. and Rockwood, K. (2010) ‘Prevalence and 10-year outcomes of frailty in older adults in relation to deficit accumulation’, </w:t>
      </w:r>
      <w:r>
        <w:rPr>
          <w:i/>
        </w:rPr>
        <w:t>Journal of the American Geriatrics Society</w:t>
      </w:r>
      <w:r>
        <w:rPr/>
        <w:t xml:space="preserve">, 58(4), pp. 681–687. doi: </w:t>
      </w:r>
      <w:hyperlink r:id="rId19">
        <w:r>
          <w:rPr>
            <w:rStyle w:val="ListLabel41"/>
          </w:rPr>
          <w:t>10.1111/j.1532-5415.2010.02764.x</w:t>
        </w:r>
      </w:hyperlink>
      <w:r>
        <w:rPr/>
        <w:t>.</w:t>
      </w:r>
      <w:bookmarkStart w:id="23" w:name="ref-song10"/>
      <w:bookmarkEnd w:id="23"/>
    </w:p>
    <w:p>
      <w:pPr>
        <w:pStyle w:val="Bibliography"/>
        <w:rPr/>
      </w:pPr>
      <w:r>
        <w:rPr/>
        <w:t xml:space="preserve">Southern, D. A. </w:t>
      </w:r>
      <w:r>
        <w:rPr>
          <w:i/>
        </w:rPr>
        <w:t>et al.</w:t>
      </w:r>
      <w:r>
        <w:rPr/>
        <w:t xml:space="preserve"> (2017) ‘Deriving ICD-10 Codes for Patient Safety Indicators for Large-scale Surveillance Using Administrative Hospital Data:’ </w:t>
      </w:r>
      <w:r>
        <w:rPr>
          <w:i/>
        </w:rPr>
        <w:t>Medical Care</w:t>
      </w:r>
      <w:r>
        <w:rPr/>
        <w:t xml:space="preserve">, 55(3), pp. 252–260. doi: </w:t>
      </w:r>
      <w:hyperlink r:id="rId20">
        <w:r>
          <w:rPr>
            <w:rStyle w:val="ListLabel41"/>
          </w:rPr>
          <w:t>10.1097/MLR.0000000000000649</w:t>
        </w:r>
      </w:hyperlink>
      <w:r>
        <w:rPr/>
        <w:t>.</w:t>
      </w:r>
      <w:bookmarkStart w:id="24" w:name="ref-southern17"/>
      <w:bookmarkEnd w:id="24"/>
    </w:p>
    <w:p>
      <w:pPr>
        <w:pStyle w:val="Bibliography"/>
        <w:spacing w:lineRule="auto" w:line="480" w:before="0" w:after="200"/>
        <w:jc w:val="both"/>
        <w:rPr/>
      </w:pPr>
      <w:r>
        <w:rPr/>
        <w:t xml:space="preserve">Stow, D. </w:t>
      </w:r>
      <w:r>
        <w:rPr>
          <w:i/>
        </w:rPr>
        <w:t>et al.</w:t>
      </w:r>
      <w:r>
        <w:rPr/>
        <w:t xml:space="preserve"> (2018) ‘Evaluating frailty scores to predict mortality in older adults using data from population based electronic health records: Case control study’, </w:t>
      </w:r>
      <w:r>
        <w:rPr>
          <w:i/>
        </w:rPr>
        <w:t>Age and Ageing</w:t>
      </w:r>
      <w:r>
        <w:rPr/>
        <w:t xml:space="preserve">, 47(4), pp. 564–569. doi: </w:t>
      </w:r>
      <w:hyperlink r:id="rId21">
        <w:r>
          <w:rPr>
            <w:rStyle w:val="ListLabel41"/>
          </w:rPr>
          <w:t>10.1093/ageing/afy022</w:t>
        </w:r>
      </w:hyperlink>
      <w:r>
        <w:rPr/>
        <w:t>.</w:t>
      </w:r>
    </w:p>
    <w:sectPr>
      <w:type w:val="nextPage"/>
      <w:pgSz w:w="12240" w:h="15840"/>
      <w:pgMar w:left="1440" w:right="1440" w:header="0" w:top="1080" w:footer="0" w:bottom="1080"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Consolas">
    <w:charset w:val="01"/>
    <w:family w:val="roman"/>
    <w:pitch w:val="variable"/>
  </w:font>
  <w:font w:name="OpenSymbol">
    <w:altName w:val="Arial Unicode MS"/>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0"/>
        <w:lang w:val="en-US" w:eastAsia="zh-CN" w:bidi="hi-IN"/>
      </w:rPr>
    </w:rPrDefault>
    <w:pPrDefault>
      <w:pPr/>
    </w:pPrDefault>
  </w:docDefaults>
  <w:style w:type="paragraph" w:styleId="Normal">
    <w:name w:val="Normal"/>
    <w:qFormat/>
    <w:pPr>
      <w:widowControl/>
      <w:suppressLineNumbers/>
      <w:overflowPunct w:val="false"/>
      <w:bidi w:val="0"/>
      <w:spacing w:lineRule="auto" w:line="480" w:before="0" w:after="200"/>
      <w:jc w:val="both"/>
    </w:pPr>
    <w:rPr>
      <w:rFonts w:ascii="Times New Roman" w:hAnsi="Times New Roman" w:eastAsia="Cambria" w:cs="DejaVu Sans"/>
      <w:color w:val="00000A"/>
      <w:kern w:val="0"/>
      <w:sz w:val="24"/>
      <w:szCs w:val="24"/>
      <w:lang w:val="en-US" w:eastAsia="en-US" w:bidi="ar-SA"/>
    </w:rPr>
  </w:style>
  <w:style w:type="paragraph" w:styleId="Heading1">
    <w:name w:val="Heading 1"/>
    <w:basedOn w:val="Normal"/>
    <w:qFormat/>
    <w:pPr>
      <w:keepNext w:val="true"/>
      <w:keepLines/>
      <w:spacing w:lineRule="auto" w:line="480" w:before="480" w:after="0"/>
      <w:outlineLvl w:val="0"/>
    </w:pPr>
    <w:rPr>
      <w:rFonts w:ascii="Times New Roman" w:hAnsi="Times New Roman" w:eastAsia="Cambria" w:cs="DejaVu Sans"/>
      <w:b/>
      <w:bCs/>
      <w:sz w:val="32"/>
      <w:szCs w:val="32"/>
    </w:rPr>
  </w:style>
  <w:style w:type="paragraph" w:styleId="Heading2">
    <w:name w:val="Heading 2"/>
    <w:basedOn w:val="Normal"/>
    <w:qFormat/>
    <w:pPr>
      <w:keepNext w:val="true"/>
      <w:keepLines/>
      <w:spacing w:lineRule="auto" w:line="480" w:before="200" w:after="0"/>
      <w:jc w:val="both"/>
      <w:outlineLvl w:val="1"/>
    </w:pPr>
    <w:rPr>
      <w:rFonts w:ascii="Times New Roman" w:hAnsi="Times New Roman" w:eastAsia="Cambria" w:cs="DejaVu Sans"/>
      <w:b/>
      <w:bCs/>
      <w:sz w:val="28"/>
      <w:szCs w:val="32"/>
    </w:rPr>
  </w:style>
  <w:style w:type="paragraph" w:styleId="Heading3">
    <w:name w:val="Heading 3"/>
    <w:basedOn w:val="Normal"/>
    <w:qFormat/>
    <w:pPr>
      <w:keepNext w:val="true"/>
      <w:keepLines/>
      <w:spacing w:before="200" w:after="0"/>
      <w:outlineLvl w:val="2"/>
    </w:pPr>
    <w:rPr>
      <w:rFonts w:ascii="Times New Roman" w:hAnsi="Times New Roman" w:eastAsia="Cambria" w:cs="DejaVu Sans"/>
      <w:b/>
      <w:bCs/>
      <w:color w:val="auto"/>
      <w:sz w:val="28"/>
      <w:szCs w:val="28"/>
    </w:rPr>
  </w:style>
  <w:style w:type="paragraph" w:styleId="Heading4">
    <w:name w:val="Heading 4"/>
    <w:basedOn w:val="Normal"/>
    <w:qFormat/>
    <w:pPr>
      <w:keepNext w:val="true"/>
      <w:keepLines/>
      <w:spacing w:before="200" w:after="0"/>
      <w:outlineLvl w:val="3"/>
    </w:pPr>
    <w:rPr>
      <w:rFonts w:ascii="Times New Roman" w:hAnsi="Times New Roman" w:eastAsia="Cambria" w:cs="DejaVu Sans"/>
      <w:b/>
      <w:bCs/>
      <w:color w:val="auto"/>
    </w:rPr>
  </w:style>
  <w:style w:type="paragraph" w:styleId="Heading5">
    <w:name w:val="Heading 5"/>
    <w:basedOn w:val="Normal"/>
    <w:qFormat/>
    <w:pPr>
      <w:keepNext w:val="true"/>
      <w:keepLines/>
      <w:spacing w:before="200" w:after="0"/>
      <w:outlineLvl w:val="4"/>
    </w:pPr>
    <w:rPr>
      <w:rFonts w:ascii="Times New Roman" w:hAnsi="Times New Roman" w:eastAsia="Cambria" w:cs="DejaVu Sans"/>
      <w:i/>
      <w:iCs/>
      <w:color w:val="auto"/>
    </w:rPr>
  </w:style>
  <w:style w:type="paragraph" w:styleId="Heading6">
    <w:name w:val="Heading 6"/>
    <w:basedOn w:val="Normal"/>
    <w:qFormat/>
    <w:pPr>
      <w:keepNext w:val="true"/>
      <w:keepLines/>
      <w:spacing w:before="200" w:after="0"/>
      <w:outlineLvl w:val="5"/>
    </w:pPr>
    <w:rPr>
      <w:rFonts w:ascii="Times New Roman" w:hAnsi="Times New Roman" w:eastAsia="Cambria" w:cs="DejaVu Sans"/>
      <w:color w:val="auto"/>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CaptionChar">
    <w:name w:val="Caption Char"/>
    <w:basedOn w:val="DefaultParagraphFont"/>
    <w:qFormat/>
    <w:rPr/>
  </w:style>
  <w:style w:type="character" w:styleId="InternetLink">
    <w:name w:val="Internet Link"/>
    <w:basedOn w:val="CaptionChar"/>
    <w:rPr>
      <w:rFonts w:ascii="Times New Roman" w:hAnsi="Times New Roman" w:eastAsia="Cambria"/>
      <w:color w:val="1F497D"/>
    </w:rPr>
  </w:style>
  <w:style w:type="character" w:styleId="Linenumber">
    <w:name w:val="line number"/>
    <w:basedOn w:val="DefaultParagraphFont"/>
    <w:qFormat/>
    <w:rPr/>
  </w:style>
  <w:style w:type="character" w:styleId="VerbatimChar">
    <w:name w:val="Verbatim Char"/>
    <w:basedOn w:val="CaptionChar"/>
    <w:qFormat/>
    <w:rPr>
      <w:rFonts w:ascii="Courier" w:hAnsi="Courier" w:eastAsia="Cambria"/>
      <w:sz w:val="22"/>
    </w:rPr>
  </w:style>
  <w:style w:type="character" w:styleId="KeywordTok">
    <w:name w:val="KeywordTok"/>
    <w:basedOn w:val="VerbatimChar"/>
    <w:qFormat/>
    <w:rPr>
      <w:rFonts w:ascii="Consolas" w:hAnsi="Consolas"/>
      <w:b/>
      <w:color w:val="007020"/>
      <w:sz w:val="22"/>
    </w:rPr>
  </w:style>
  <w:style w:type="character" w:styleId="DataTypeTok">
    <w:name w:val="DataTypeTok"/>
    <w:basedOn w:val="VerbatimChar"/>
    <w:qFormat/>
    <w:rPr>
      <w:rFonts w:ascii="Consolas" w:hAnsi="Consolas"/>
      <w:color w:val="902000"/>
      <w:sz w:val="22"/>
    </w:rPr>
  </w:style>
  <w:style w:type="character" w:styleId="DecValTok">
    <w:name w:val="DecValTok"/>
    <w:basedOn w:val="VerbatimChar"/>
    <w:qFormat/>
    <w:rPr>
      <w:rFonts w:ascii="Consolas" w:hAnsi="Consolas"/>
      <w:color w:val="40A070"/>
      <w:sz w:val="22"/>
    </w:rPr>
  </w:style>
  <w:style w:type="character" w:styleId="BaseNTok">
    <w:name w:val="BaseNTok"/>
    <w:basedOn w:val="VerbatimChar"/>
    <w:qFormat/>
    <w:rPr>
      <w:rFonts w:ascii="Consolas" w:hAnsi="Consolas"/>
      <w:color w:val="40A070"/>
      <w:sz w:val="22"/>
    </w:rPr>
  </w:style>
  <w:style w:type="character" w:styleId="FloatTok">
    <w:name w:val="FloatTok"/>
    <w:basedOn w:val="VerbatimChar"/>
    <w:qFormat/>
    <w:rPr>
      <w:rFonts w:ascii="Consolas" w:hAnsi="Consolas"/>
      <w:color w:val="40A070"/>
      <w:sz w:val="22"/>
    </w:rPr>
  </w:style>
  <w:style w:type="character" w:styleId="ConstantTok">
    <w:name w:val="ConstantTok"/>
    <w:basedOn w:val="VerbatimChar"/>
    <w:qFormat/>
    <w:rPr>
      <w:rFonts w:ascii="Consolas" w:hAnsi="Consolas"/>
      <w:color w:val="880000"/>
      <w:sz w:val="22"/>
    </w:rPr>
  </w:style>
  <w:style w:type="character" w:styleId="CharTok">
    <w:name w:val="CharTok"/>
    <w:basedOn w:val="VerbatimChar"/>
    <w:qFormat/>
    <w:rPr>
      <w:rFonts w:ascii="Consolas" w:hAnsi="Consolas"/>
      <w:color w:val="4070A0"/>
      <w:sz w:val="22"/>
    </w:rPr>
  </w:style>
  <w:style w:type="character" w:styleId="SpecialCharTok">
    <w:name w:val="SpecialCharTok"/>
    <w:basedOn w:val="VerbatimChar"/>
    <w:qFormat/>
    <w:rPr>
      <w:rFonts w:ascii="Consolas" w:hAnsi="Consolas"/>
      <w:color w:val="4070A0"/>
      <w:sz w:val="22"/>
    </w:rPr>
  </w:style>
  <w:style w:type="character" w:styleId="StringTok">
    <w:name w:val="StringTok"/>
    <w:basedOn w:val="VerbatimChar"/>
    <w:qFormat/>
    <w:rPr>
      <w:rFonts w:ascii="Consolas" w:hAnsi="Consolas"/>
      <w:color w:val="4070A0"/>
      <w:sz w:val="22"/>
    </w:rPr>
  </w:style>
  <w:style w:type="character" w:styleId="VerbatimStringTok">
    <w:name w:val="VerbatimStringTok"/>
    <w:basedOn w:val="VerbatimChar"/>
    <w:qFormat/>
    <w:rPr>
      <w:rFonts w:ascii="Consolas" w:hAnsi="Consolas"/>
      <w:color w:val="4070A0"/>
      <w:sz w:val="22"/>
    </w:rPr>
  </w:style>
  <w:style w:type="character" w:styleId="SpecialStringTok">
    <w:name w:val="SpecialStringTok"/>
    <w:basedOn w:val="VerbatimChar"/>
    <w:qFormat/>
    <w:rPr>
      <w:rFonts w:ascii="Consolas" w:hAnsi="Consolas"/>
      <w:color w:val="BB6688"/>
      <w:sz w:val="22"/>
    </w:rPr>
  </w:style>
  <w:style w:type="character" w:styleId="ImportTok">
    <w:name w:val="ImportTok"/>
    <w:basedOn w:val="VerbatimChar"/>
    <w:qFormat/>
    <w:rPr>
      <w:rFonts w:ascii="Consolas" w:hAnsi="Consolas"/>
      <w:sz w:val="22"/>
    </w:rPr>
  </w:style>
  <w:style w:type="character" w:styleId="CommentTok">
    <w:name w:val="CommentTok"/>
    <w:basedOn w:val="VerbatimChar"/>
    <w:qFormat/>
    <w:rPr>
      <w:rFonts w:ascii="Consolas" w:hAnsi="Consolas"/>
      <w:i/>
      <w:color w:val="60A0B0"/>
      <w:sz w:val="22"/>
    </w:rPr>
  </w:style>
  <w:style w:type="character" w:styleId="DocumentationTok">
    <w:name w:val="DocumentationTok"/>
    <w:basedOn w:val="VerbatimChar"/>
    <w:qFormat/>
    <w:rPr>
      <w:rFonts w:ascii="Consolas" w:hAnsi="Consolas"/>
      <w:i/>
      <w:color w:val="BA2121"/>
      <w:sz w:val="22"/>
    </w:rPr>
  </w:style>
  <w:style w:type="character" w:styleId="AnnotationTok">
    <w:name w:val="AnnotationTok"/>
    <w:basedOn w:val="VerbatimChar"/>
    <w:qFormat/>
    <w:rPr>
      <w:rFonts w:ascii="Consolas" w:hAnsi="Consolas"/>
      <w:b/>
      <w:i/>
      <w:color w:val="60A0B0"/>
      <w:sz w:val="22"/>
    </w:rPr>
  </w:style>
  <w:style w:type="character" w:styleId="CommentVarTok">
    <w:name w:val="CommentVarTok"/>
    <w:basedOn w:val="VerbatimChar"/>
    <w:qFormat/>
    <w:rPr>
      <w:rFonts w:ascii="Consolas" w:hAnsi="Consolas"/>
      <w:b/>
      <w:i/>
      <w:color w:val="60A0B0"/>
      <w:sz w:val="22"/>
    </w:rPr>
  </w:style>
  <w:style w:type="character" w:styleId="OtherTok">
    <w:name w:val="OtherTok"/>
    <w:basedOn w:val="VerbatimChar"/>
    <w:qFormat/>
    <w:rPr>
      <w:rFonts w:ascii="Consolas" w:hAnsi="Consolas"/>
      <w:color w:val="007020"/>
      <w:sz w:val="22"/>
    </w:rPr>
  </w:style>
  <w:style w:type="character" w:styleId="FunctionTok">
    <w:name w:val="FunctionTok"/>
    <w:basedOn w:val="VerbatimChar"/>
    <w:qFormat/>
    <w:rPr>
      <w:rFonts w:ascii="Consolas" w:hAnsi="Consolas"/>
      <w:color w:val="06287E"/>
      <w:sz w:val="22"/>
    </w:rPr>
  </w:style>
  <w:style w:type="character" w:styleId="VariableTok">
    <w:name w:val="VariableTok"/>
    <w:basedOn w:val="VerbatimChar"/>
    <w:qFormat/>
    <w:rPr>
      <w:rFonts w:ascii="Consolas" w:hAnsi="Consolas"/>
      <w:color w:val="19177C"/>
      <w:sz w:val="22"/>
    </w:rPr>
  </w:style>
  <w:style w:type="character" w:styleId="ControlFlowTok">
    <w:name w:val="ControlFlowTok"/>
    <w:basedOn w:val="VerbatimChar"/>
    <w:qFormat/>
    <w:rPr>
      <w:rFonts w:ascii="Consolas" w:hAnsi="Consolas"/>
      <w:b/>
      <w:color w:val="007020"/>
      <w:sz w:val="22"/>
    </w:rPr>
  </w:style>
  <w:style w:type="character" w:styleId="OperatorTok">
    <w:name w:val="OperatorTok"/>
    <w:basedOn w:val="VerbatimChar"/>
    <w:qFormat/>
    <w:rPr>
      <w:rFonts w:ascii="Consolas" w:hAnsi="Consolas"/>
      <w:color w:val="666666"/>
      <w:sz w:val="22"/>
    </w:rPr>
  </w:style>
  <w:style w:type="character" w:styleId="BuiltInTok">
    <w:name w:val="BuiltInTok"/>
    <w:basedOn w:val="VerbatimChar"/>
    <w:qFormat/>
    <w:rPr>
      <w:rFonts w:ascii="Consolas" w:hAnsi="Consolas"/>
      <w:sz w:val="22"/>
    </w:rPr>
  </w:style>
  <w:style w:type="character" w:styleId="ExtensionTok">
    <w:name w:val="ExtensionTok"/>
    <w:basedOn w:val="VerbatimChar"/>
    <w:qFormat/>
    <w:rPr>
      <w:rFonts w:ascii="Consolas" w:hAnsi="Consolas"/>
      <w:sz w:val="22"/>
    </w:rPr>
  </w:style>
  <w:style w:type="character" w:styleId="PreprocessorTok">
    <w:name w:val="PreprocessorTok"/>
    <w:basedOn w:val="VerbatimChar"/>
    <w:qFormat/>
    <w:rPr>
      <w:rFonts w:ascii="Consolas" w:hAnsi="Consolas"/>
      <w:color w:val="BC7A00"/>
      <w:sz w:val="22"/>
    </w:rPr>
  </w:style>
  <w:style w:type="character" w:styleId="AttributeTok">
    <w:name w:val="AttributeTok"/>
    <w:basedOn w:val="VerbatimChar"/>
    <w:qFormat/>
    <w:rPr>
      <w:rFonts w:ascii="Consolas" w:hAnsi="Consolas"/>
      <w:color w:val="7D9029"/>
      <w:sz w:val="22"/>
    </w:rPr>
  </w:style>
  <w:style w:type="character" w:styleId="RegionMarkerTok">
    <w:name w:val="RegionMarkerTok"/>
    <w:basedOn w:val="VerbatimChar"/>
    <w:qFormat/>
    <w:rPr>
      <w:rFonts w:ascii="Consolas" w:hAnsi="Consolas"/>
      <w:sz w:val="22"/>
    </w:rPr>
  </w:style>
  <w:style w:type="character" w:styleId="InformationTok">
    <w:name w:val="InformationTok"/>
    <w:basedOn w:val="VerbatimChar"/>
    <w:qFormat/>
    <w:rPr>
      <w:rFonts w:ascii="Consolas" w:hAnsi="Consolas"/>
      <w:b/>
      <w:i/>
      <w:color w:val="60A0B0"/>
      <w:sz w:val="22"/>
    </w:rPr>
  </w:style>
  <w:style w:type="character" w:styleId="WarningTok">
    <w:name w:val="WarningTok"/>
    <w:basedOn w:val="VerbatimChar"/>
    <w:qFormat/>
    <w:rPr>
      <w:rFonts w:ascii="Consolas" w:hAnsi="Consolas"/>
      <w:b/>
      <w:i/>
      <w:color w:val="60A0B0"/>
      <w:sz w:val="22"/>
    </w:rPr>
  </w:style>
  <w:style w:type="character" w:styleId="AlertTok">
    <w:name w:val="AlertTok"/>
    <w:basedOn w:val="VerbatimChar"/>
    <w:qFormat/>
    <w:rPr>
      <w:rFonts w:ascii="Consolas" w:hAnsi="Consolas"/>
      <w:b/>
      <w:color w:val="FF0000"/>
      <w:sz w:val="22"/>
    </w:rPr>
  </w:style>
  <w:style w:type="character" w:styleId="ErrorTok">
    <w:name w:val="ErrorTok"/>
    <w:basedOn w:val="VerbatimChar"/>
    <w:qFormat/>
    <w:rPr>
      <w:rFonts w:ascii="Consolas" w:hAnsi="Consolas"/>
      <w:b/>
      <w:color w:val="FF0000"/>
      <w:sz w:val="22"/>
    </w:rPr>
  </w:style>
  <w:style w:type="character" w:styleId="NormalTok">
    <w:name w:val="NormalTok"/>
    <w:basedOn w:val="VerbatimChar"/>
    <w:qFormat/>
    <w:rPr>
      <w:rFonts w:ascii="Consolas" w:hAnsi="Consolas"/>
      <w:sz w:val="22"/>
    </w:rPr>
  </w:style>
  <w:style w:type="character" w:styleId="LineNumbering">
    <w:name w:val="Line Numbering"/>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style>
  <w:style w:type="character" w:styleId="Bullets">
    <w:name w:val="Bullets"/>
    <w:qFormat/>
    <w:rPr>
      <w:rFonts w:ascii="OpenSymbol" w:hAnsi="OpenSymbol" w:eastAsia="OpenSymbol"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snapToGrid w:val="true"/>
      <w:spacing w:lineRule="auto" w:line="480" w:before="180" w:after="18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lockText">
    <w:name w:val="Block Text"/>
    <w:basedOn w:val="TextBody"/>
    <w:qFormat/>
    <w:pPr>
      <w:spacing w:before="100" w:after="100"/>
    </w:pPr>
    <w:rPr>
      <w:rFonts w:ascii="Calibri" w:hAnsi="Calibri" w:eastAsia="Cambria" w:cs="DejaVu Sans"/>
      <w:bCs/>
      <w:sz w:val="20"/>
      <w:szCs w:val="20"/>
    </w:rPr>
  </w:style>
  <w:style w:type="paragraph" w:styleId="Caption1">
    <w:name w:val="caption"/>
    <w:basedOn w:val="Normal"/>
    <w:qFormat/>
    <w:pPr>
      <w:spacing w:before="0" w:after="120"/>
    </w:pPr>
    <w:rPr>
      <w:i/>
    </w:rPr>
  </w:style>
  <w:style w:type="paragraph" w:styleId="Date">
    <w:name w:val="Date"/>
    <w:qFormat/>
    <w:pPr>
      <w:keepNext w:val="true"/>
      <w:keepLines/>
      <w:widowControl/>
      <w:suppressLineNumbers/>
      <w:overflowPunct w:val="false"/>
      <w:bidi w:val="0"/>
      <w:spacing w:before="0" w:after="200"/>
      <w:jc w:val="center"/>
    </w:pPr>
    <w:rPr>
      <w:rFonts w:ascii="Times New Roman" w:hAnsi="Times New Roman" w:eastAsia="Cambria" w:cs="DejaVu Sans"/>
      <w:color w:val="00000A"/>
      <w:kern w:val="0"/>
      <w:sz w:val="24"/>
      <w:szCs w:val="24"/>
      <w:lang w:val="en-US" w:eastAsia="en-US" w:bidi="ar-SA"/>
    </w:rPr>
  </w:style>
  <w:style w:type="paragraph" w:styleId="Footnote">
    <w:name w:val="Footnote Text"/>
    <w:basedOn w:val="Normal"/>
    <w:pPr/>
    <w:rPr/>
  </w:style>
  <w:style w:type="paragraph" w:styleId="Subtitle">
    <w:name w:val="Subtitle"/>
    <w:basedOn w:val="Title"/>
    <w:qFormat/>
    <w:pPr>
      <w:spacing w:before="240" w:after="120"/>
    </w:pPr>
    <w:rPr>
      <w:sz w:val="30"/>
      <w:szCs w:val="30"/>
    </w:rPr>
  </w:style>
  <w:style w:type="paragraph" w:styleId="Title">
    <w:name w:val="Title"/>
    <w:basedOn w:val="Normal"/>
    <w:qFormat/>
    <w:pPr>
      <w:keepNext w:val="true"/>
      <w:keepLines/>
      <w:spacing w:lineRule="auto" w:line="240" w:before="480" w:after="240"/>
      <w:jc w:val="center"/>
    </w:pPr>
    <w:rPr>
      <w:rFonts w:ascii="Times New Roman" w:hAnsi="Times New Roman" w:eastAsia="Cambria" w:cs="DejaVu Sans"/>
      <w:b/>
      <w:bCs/>
      <w:sz w:val="36"/>
      <w:szCs w:val="36"/>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Author">
    <w:name w:val="Author"/>
    <w:qFormat/>
    <w:pPr>
      <w:keepNext w:val="true"/>
      <w:keepLines/>
      <w:widowControl/>
      <w:suppressLineNumbers/>
      <w:overflowPunct w:val="false"/>
      <w:bidi w:val="0"/>
      <w:spacing w:lineRule="auto" w:line="240" w:before="0" w:after="200"/>
      <w:jc w:val="center"/>
    </w:pPr>
    <w:rPr>
      <w:rFonts w:ascii="Cambria" w:hAnsi="Cambria" w:eastAsia="Cambria" w:cs="DejaVu Sans"/>
      <w:color w:val="00000A"/>
      <w:kern w:val="0"/>
      <w:sz w:val="24"/>
      <w:szCs w:val="24"/>
      <w:lang w:val="en-US" w:eastAsia="en-US" w:bidi="ar-SA"/>
    </w:rPr>
  </w:style>
  <w:style w:type="paragraph" w:styleId="Abstract">
    <w:name w:val="Abstract"/>
    <w:basedOn w:val="Normal"/>
    <w:qFormat/>
    <w:pPr>
      <w:keepNext w:val="true"/>
      <w:keepLines/>
      <w:spacing w:lineRule="auto" w:line="480" w:before="300" w:after="300"/>
      <w:jc w:val="both"/>
    </w:pPr>
    <w:rPr>
      <w:rFonts w:ascii="Times New Roman" w:hAnsi="Times New Roman"/>
      <w:szCs w:val="20"/>
    </w:rPr>
  </w:style>
  <w:style w:type="paragraph" w:styleId="Bibliography">
    <w:name w:val="Bibliography"/>
    <w:basedOn w:val="Normal"/>
    <w:qFormat/>
    <w:pPr>
      <w:spacing w:lineRule="auto" w:line="480"/>
      <w:jc w:val="both"/>
    </w:pPr>
    <w:rPr>
      <w:rFonts w:ascii="Times New Roman" w:hAnsi="Times New Roman"/>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pPr>
    <w:rPr/>
  </w:style>
  <w:style w:type="paragraph" w:styleId="ImageCaption">
    <w:name w:val="Image Caption"/>
    <w:basedOn w:val="Caption1"/>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SourceCode">
    <w:name w:val="Source Code"/>
    <w:basedOn w:val="Normal"/>
    <w:qFormat/>
    <w:pPr>
      <w:spacing w:lineRule="auto" w:line="480"/>
      <w:jc w:val="left"/>
    </w:pPr>
    <w:rPr>
      <w:rFonts w:ascii="Courier" w:hAnsi="Courier" w:eastAsia="Cambria"/>
    </w:rPr>
  </w:style>
  <w:style w:type="paragraph" w:styleId="TOCHeading">
    <w:name w:val="TOC Heading"/>
    <w:basedOn w:val="Heading1"/>
    <w:qFormat/>
    <w:pPr>
      <w:spacing w:lineRule="auto" w:line="259" w:before="240" w:after="0"/>
    </w:pPr>
    <w:rPr>
      <w:rFonts w:ascii="Times New Roman" w:hAnsi="Times New Roman"/>
      <w:b w:val="false"/>
      <w:bCs w:val="false"/>
      <w:color w:val="auto"/>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oi.org/10.1093/ageing/afw039" TargetMode="External"/><Relationship Id="rId9" Type="http://schemas.openxmlformats.org/officeDocument/2006/relationships/hyperlink" Target="https://doi.org/10.1093/gerona/56.3.M146" TargetMode="External"/><Relationship Id="rId10" Type="http://schemas.openxmlformats.org/officeDocument/2006/relationships/hyperlink" Target="https://doi.org/10.1111/j.1532-5415.2008.01656.x" TargetMode="External"/><Relationship Id="rId11" Type="http://schemas.openxmlformats.org/officeDocument/2006/relationships/hyperlink" Target="https://doi.org/10.1371/journal.pone.0120144" TargetMode="External"/><Relationship Id="rId12" Type="http://schemas.openxmlformats.org/officeDocument/2006/relationships/hyperlink" Target="https://doi.org/10.1111/jgs.12735" TargetMode="External"/><Relationship Id="rId13" Type="http://schemas.openxmlformats.org/officeDocument/2006/relationships/hyperlink" Target="https://doi.org/10.1100/tsw.2001.58" TargetMode="External"/><Relationship Id="rId14" Type="http://schemas.openxmlformats.org/officeDocument/2006/relationships/hyperlink" Target="https://doi.org/10.1093/gerona/glz017" TargetMode="External"/><Relationship Id="rId15" Type="http://schemas.openxmlformats.org/officeDocument/2006/relationships/hyperlink" Target="https://doi.org/10.1503/cmaj.050051" TargetMode="External"/><Relationship Id="rId16" Type="http://schemas.openxmlformats.org/officeDocument/2006/relationships/hyperlink" Target="https://doi.org/10.1093/gerona/62.7.722" TargetMode="External"/><Relationship Id="rId17" Type="http://schemas.openxmlformats.org/officeDocument/2006/relationships/hyperlink" Target="https://doi.org/10.1111/j.1532-5415.2006.00738.x" TargetMode="External"/><Relationship Id="rId18" Type="http://schemas.openxmlformats.org/officeDocument/2006/relationships/hyperlink" Target="https://doi.org/10.1186/1471-2318-8-24" TargetMode="External"/><Relationship Id="rId19" Type="http://schemas.openxmlformats.org/officeDocument/2006/relationships/hyperlink" Target="https://doi.org/10.1111/j.1532-5415.2010.02764.x" TargetMode="External"/><Relationship Id="rId20" Type="http://schemas.openxmlformats.org/officeDocument/2006/relationships/hyperlink" Target="https://doi.org/10.1097/MLR.0000000000000649" TargetMode="External"/><Relationship Id="rId21" Type="http://schemas.openxmlformats.org/officeDocument/2006/relationships/hyperlink" Target="https://doi.org/10.1093/ageing/afy022"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39</Pages>
  <Words>2666</Words>
  <Characters>14455</Characters>
  <CharactersWithSpaces>16779</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2020-08-24T19:53:17Z</dcterms:created>
  <dc:creator>Alex Bokov 1,✉, Sara Espinoza 1, Chandana Tripathy 1, …, …, …, and Kathleen R. Stevens 1</dc:creator>
  <dc:description/>
  <dc:language>en-US</dc:language>
  <cp:lastModifiedBy/>
  <dcterms:modified xsi:type="dcterms:W3CDTF">2020-08-24T14:55:30Z</dcterms:modified>
  <cp:revision>1</cp:revision>
  <dc:subject/>
  <dc:title>Rockwood index outperforms patient age as a predictor of falls, hospitalizations, hospital-acquired infections, discharge to skilled nursing facilities, and all-cause mortality in real-world EHR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y fmtid="{D5CDD505-2E9C-101B-9397-08002B2CF9AE}" pid="4" name="abstract">
    <vt:lpwstr>We have found that the electronic frailty index (EFI), a risk score developed using the Rockwood deficit-accumulation framework, is a strong predictor of falls, hospitalizations, hospital-acquired infections, and loss of independence without relying on any predictors including patient age. In fact, EFI outperformed patient age as a predictor. EFI’s accuracy was not negated by the fact that we used patients of all ages, not just older patients.</vt:lpwstr>
  </property>
  <property fmtid="{D5CDD505-2E9C-101B-9397-08002B2CF9AE}" pid="5" name="bibliography">
    <vt:lpwstr>efi_paper.bib</vt:lpwstr>
  </property>
  <property fmtid="{D5CDD505-2E9C-101B-9397-08002B2CF9AE}" pid="6" name="clean">
    <vt:lpwstr>False</vt:lpwstr>
  </property>
  <property fmtid="{D5CDD505-2E9C-101B-9397-08002B2CF9AE}" pid="7" name="csl">
    <vt:lpwstr>harvard-cite-them-right.csl</vt:lpwstr>
  </property>
  <property fmtid="{D5CDD505-2E9C-101B-9397-08002B2CF9AE}" pid="8" name="css">
    <vt:lpwstr>production.css</vt:lpwstr>
  </property>
  <property fmtid="{D5CDD505-2E9C-101B-9397-08002B2CF9AE}" pid="9" name="date">
    <vt:lpwstr>2020-08-24</vt:lpwstr>
  </property>
  <property fmtid="{D5CDD505-2E9C-101B-9397-08002B2CF9AE}" pid="10" name="documentclass">
    <vt:lpwstr>article</vt:lpwstr>
  </property>
  <property fmtid="{D5CDD505-2E9C-101B-9397-08002B2CF9AE}" pid="11" name="output">
    <vt:lpwstr/>
  </property>
</Properties>
</file>