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comparison</w:t>
      </w:r>
      <w:r>
        <w:t xml:space="preserve"> </w:t>
      </w:r>
      <w:r>
        <w:t xml:space="preserve">of</w:t>
      </w:r>
      <w:r>
        <w:t xml:space="preserve"> </w:t>
      </w:r>
      <w:r>
        <w:t xml:space="preserve">Natural</w:t>
      </w:r>
      <w:r>
        <w:t xml:space="preserve"> </w:t>
      </w:r>
      <w:r>
        <w:t xml:space="preserve">Language</w:t>
      </w:r>
      <w:r>
        <w:t xml:space="preserve"> </w:t>
      </w:r>
      <w:r>
        <w:t xml:space="preserve">Processing,</w:t>
      </w:r>
      <w:r>
        <w:t xml:space="preserve"> </w:t>
      </w:r>
      <w:r>
        <w:t xml:space="preserve">ICD10</w:t>
      </w:r>
      <w:r>
        <w:t xml:space="preserve"> </w:t>
      </w:r>
      <w:r>
        <w:t xml:space="preserve">codes,</w:t>
      </w:r>
      <w:r>
        <w:t xml:space="preserve"> </w:t>
      </w:r>
      <w:r>
        <w:t xml:space="preserve">and</w:t>
      </w:r>
      <w:r>
        <w:t xml:space="preserve"> </w:t>
      </w:r>
      <w:r>
        <w:t xml:space="preserve">manual</w:t>
      </w:r>
      <w:r>
        <w:t xml:space="preserve"> </w:t>
      </w:r>
      <w:r>
        <w:t xml:space="preserve">chart</w:t>
      </w:r>
      <w:r>
        <w:t xml:space="preserve"> </w:t>
      </w:r>
      <w:r>
        <w:t xml:space="preserve">abstraction</w:t>
      </w:r>
      <w:r>
        <w:t xml:space="preserve"> </w:t>
      </w:r>
      <w:r>
        <w:t xml:space="preserve">for</w:t>
      </w:r>
      <w:r>
        <w:t xml:space="preserve"> </w:t>
      </w:r>
      <w:r>
        <w:t xml:space="preserve">identifying</w:t>
      </w:r>
      <w:r>
        <w:t xml:space="preserve"> </w:t>
      </w:r>
      <w:r>
        <w:t xml:space="preserve">patients</w:t>
      </w:r>
      <w:r>
        <w:t xml:space="preserve"> </w:t>
      </w:r>
      <w:r>
        <w:t xml:space="preserve">with</w:t>
      </w:r>
      <w:r>
        <w:t xml:space="preserve"> </w:t>
      </w:r>
      <w:r>
        <w:t xml:space="preserve">NASH</w:t>
      </w:r>
      <w:r>
        <w:t xml:space="preserve"> </w:t>
      </w:r>
      <w:r>
        <w:t xml:space="preserve">in</w:t>
      </w:r>
      <w:r>
        <w:t xml:space="preserve"> </w:t>
      </w:r>
      <w:r>
        <w:t xml:space="preserve">an</w:t>
      </w:r>
      <w:r>
        <w:t xml:space="preserve"> </w:t>
      </w:r>
      <w:r>
        <w:t xml:space="preserve">EHR</w:t>
      </w:r>
      <w:r>
        <w:t xml:space="preserve"> </w:t>
      </w:r>
      <w:r>
        <w:t xml:space="preserve">system.</w:t>
      </w:r>
    </w:p>
    <w:p>
      <w:pPr>
        <w:pStyle w:val="Author"/>
      </w:pPr>
      <w:r>
        <w:t xml:space="preserve">Pankil</w:t>
      </w:r>
      <w:r>
        <w:t xml:space="preserve"> </w:t>
      </w:r>
      <w:r>
        <w:t xml:space="preserve">Shah,</w:t>
      </w:r>
      <w:r>
        <w:t xml:space="preserve"> </w:t>
      </w:r>
      <w:r>
        <w:t xml:space="preserve">Alex</w:t>
      </w:r>
      <w:r>
        <w:t xml:space="preserve"> </w:t>
      </w:r>
      <w:r>
        <w:t xml:space="preserve">Bokov,</w:t>
      </w:r>
      <w:r>
        <w:t xml:space="preserve"> </w:t>
      </w:r>
      <w:r>
        <w:t xml:space="preserve">Dimpy</w:t>
      </w:r>
      <w:r>
        <w:t xml:space="preserve"> </w:t>
      </w:r>
      <w:r>
        <w:t xml:space="preserve">Shah,</w:t>
      </w:r>
      <w:r>
        <w:t xml:space="preserve"> </w:t>
      </w:r>
      <w:r>
        <w:t xml:space="preserve">…</w:t>
      </w:r>
    </w:p>
    <w:p>
      <w:pPr>
        <w:pStyle w:val="Abstract"/>
      </w:pPr>
      <w:r>
        <w:t xml:space="preserve">We</w:t>
      </w:r>
      <w:r>
        <w:t xml:space="preserve"> </w:t>
      </w:r>
      <w:r>
        <w:t xml:space="preserve">present</w:t>
      </w:r>
      <w:r>
        <w:t xml:space="preserve"> </w:t>
      </w:r>
      <w:r>
        <w:t xml:space="preserve">the</w:t>
      </w:r>
      <w:r>
        <w:t xml:space="preserve"> </w:t>
      </w:r>
      <w:r>
        <w:t xml:space="preserve">comparative</w:t>
      </w:r>
      <w:r>
        <w:t xml:space="preserve"> </w:t>
      </w:r>
      <w:r>
        <w:t xml:space="preserve">performance</w:t>
      </w:r>
      <w:r>
        <w:t xml:space="preserve"> </w:t>
      </w:r>
      <w:r>
        <w:t xml:space="preserve">analysis</w:t>
      </w:r>
      <w:r>
        <w:t xml:space="preserve"> </w:t>
      </w:r>
      <w:r>
        <w:t xml:space="preserve">of</w:t>
      </w:r>
      <w:r>
        <w:t xml:space="preserve"> </w:t>
      </w:r>
      <w:r>
        <w:t xml:space="preserve">the</w:t>
      </w:r>
      <w:r>
        <w:t xml:space="preserve"> </w:t>
      </w:r>
      <w:r>
        <w:t xml:space="preserve">NLP</w:t>
      </w:r>
      <w:r>
        <w:t xml:space="preserve"> </w:t>
      </w:r>
      <w:r>
        <w:t xml:space="preserve">based</w:t>
      </w:r>
      <w:r>
        <w:t xml:space="preserve"> </w:t>
      </w:r>
      <w:r>
        <w:t xml:space="preserve">CliniThink</w:t>
      </w:r>
      <w:r>
        <w:t xml:space="preserve"> </w:t>
      </w:r>
      <w:r>
        <w:t xml:space="preserve">classifier</w:t>
      </w:r>
      <w:r>
        <w:t xml:space="preserve"> </w:t>
      </w:r>
      <w:r>
        <w:t xml:space="preserve">in</w:t>
      </w:r>
      <w:r>
        <w:t xml:space="preserve"> </w:t>
      </w:r>
      <w:r>
        <w:t xml:space="preserve">identifying</w:t>
      </w:r>
      <w:r>
        <w:t xml:space="preserve"> </w:t>
      </w:r>
      <w:r>
        <w:t xml:space="preserve">patients</w:t>
      </w:r>
      <w:r>
        <w:t xml:space="preserve"> </w:t>
      </w:r>
      <w:r>
        <w:t xml:space="preserve">with</w:t>
      </w:r>
      <w:r>
        <w:t xml:space="preserve"> </w:t>
      </w:r>
      <w:r>
        <w:t xml:space="preserve">NASH</w:t>
      </w:r>
      <w:r>
        <w:t xml:space="preserve"> </w:t>
      </w:r>
      <w:r>
        <w:t xml:space="preserve">(Non-Alcoholic</w:t>
      </w:r>
      <w:r>
        <w:t xml:space="preserve"> </w:t>
      </w:r>
      <w:r>
        <w:t xml:space="preserve">SteatoHepatitis)</w:t>
      </w:r>
      <w:r>
        <w:t xml:space="preserve"> </w:t>
      </w:r>
      <w:r>
        <w:t xml:space="preserve">as</w:t>
      </w:r>
      <w:r>
        <w:t xml:space="preserve"> </w:t>
      </w:r>
      <w:r>
        <w:t xml:space="preserve">compared</w:t>
      </w:r>
      <w:r>
        <w:t xml:space="preserve"> </w:t>
      </w:r>
      <w:r>
        <w:t xml:space="preserve">to</w:t>
      </w:r>
      <w:r>
        <w:t xml:space="preserve"> </w:t>
      </w:r>
      <w:r>
        <w:t xml:space="preserve">manual</w:t>
      </w:r>
      <w:r>
        <w:t xml:space="preserve"> </w:t>
      </w:r>
      <w:r>
        <w:t xml:space="preserve">chart</w:t>
      </w:r>
      <w:r>
        <w:t xml:space="preserve"> </w:t>
      </w:r>
      <w:r>
        <w:t xml:space="preserve">abstraction</w:t>
      </w:r>
      <w:r>
        <w:t xml:space="preserve"> </w:t>
      </w:r>
      <w:r>
        <w:t xml:space="preserve">and</w:t>
      </w:r>
      <w:r>
        <w:t xml:space="preserve"> </w:t>
      </w:r>
      <w:r>
        <w:t xml:space="preserve">ICD10</w:t>
      </w:r>
      <w:r>
        <w:t xml:space="preserve"> </w:t>
      </w:r>
      <w:r>
        <w:t xml:space="preserve">based</w:t>
      </w:r>
      <w:r>
        <w:t xml:space="preserve"> </w:t>
      </w:r>
      <w:r>
        <w:t xml:space="preserve">query.</w:t>
      </w:r>
      <w:r>
        <w:t xml:space="preserve"> </w:t>
      </w:r>
      <w:r>
        <w:t xml:space="preserve">These</w:t>
      </w:r>
      <w:r>
        <w:t xml:space="preserve"> </w:t>
      </w:r>
      <w:r>
        <w:t xml:space="preserve">methods</w:t>
      </w:r>
      <w:r>
        <w:t xml:space="preserve"> </w:t>
      </w:r>
      <w:r>
        <w:t xml:space="preserve">represent</w:t>
      </w:r>
      <w:r>
        <w:t xml:space="preserve"> </w:t>
      </w:r>
      <w:r>
        <w:t xml:space="preserve">three</w:t>
      </w:r>
      <w:r>
        <w:t xml:space="preserve"> </w:t>
      </w:r>
      <w:r>
        <w:t xml:space="preserve">different</w:t>
      </w:r>
      <w:r>
        <w:t xml:space="preserve"> </w:t>
      </w:r>
      <w:r>
        <w:t xml:space="preserve">approaches</w:t>
      </w:r>
      <w:r>
        <w:t xml:space="preserve"> </w:t>
      </w:r>
      <w:r>
        <w:t xml:space="preserve">to</w:t>
      </w:r>
      <w:r>
        <w:t xml:space="preserve"> </w:t>
      </w:r>
      <w:r>
        <w:t xml:space="preserve">patient</w:t>
      </w:r>
      <w:r>
        <w:t xml:space="preserve"> </w:t>
      </w:r>
      <w:r>
        <w:t xml:space="preserve">cohort</w:t>
      </w:r>
      <w:r>
        <w:t xml:space="preserve"> </w:t>
      </w:r>
      <w:r>
        <w:t xml:space="preserve">identification</w:t>
      </w:r>
      <w:r>
        <w:t xml:space="preserve"> </w:t>
      </w:r>
      <w:r>
        <w:t xml:space="preserve">from</w:t>
      </w:r>
      <w:r>
        <w:t xml:space="preserve"> </w:t>
      </w:r>
      <w:r>
        <w:t xml:space="preserve">electronic</w:t>
      </w:r>
      <w:r>
        <w:t xml:space="preserve"> </w:t>
      </w:r>
      <w:r>
        <w:t xml:space="preserve">medical</w:t>
      </w:r>
      <w:r>
        <w:t xml:space="preserve"> </w:t>
      </w:r>
      <w:r>
        <w:t xml:space="preserve">records.</w:t>
      </w:r>
      <w:r>
        <w:t xml:space="preserve"> </w:t>
      </w:r>
      <w:r>
        <w:t xml:space="preserve">We</w:t>
      </w:r>
      <w:r>
        <w:t xml:space="preserve"> </w:t>
      </w:r>
      <w:r>
        <w:t xml:space="preserve">identified</w:t>
      </w:r>
      <w:r>
        <w:t xml:space="preserve"> </w:t>
      </w:r>
      <w:r>
        <w:t xml:space="preserve">the</w:t>
      </w:r>
      <w:r>
        <w:t xml:space="preserve"> </w:t>
      </w:r>
      <w:r>
        <w:t xml:space="preserve">study</w:t>
      </w:r>
      <w:r>
        <w:t xml:space="preserve"> </w:t>
      </w:r>
      <w:r>
        <w:t xml:space="preserve">population</w:t>
      </w:r>
      <w:r>
        <w:t xml:space="preserve"> </w:t>
      </w:r>
      <w:r>
        <w:t xml:space="preserve">from</w:t>
      </w:r>
      <w:r>
        <w:t xml:space="preserve"> </w:t>
      </w:r>
      <w:r>
        <w:t xml:space="preserve">a</w:t>
      </w:r>
      <w:r>
        <w:t xml:space="preserve"> </w:t>
      </w:r>
      <w:r>
        <w:t xml:space="preserve">convenience</w:t>
      </w:r>
      <w:r>
        <w:t xml:space="preserve"> </w:t>
      </w:r>
      <w:r>
        <w:t xml:space="preserve">sample</w:t>
      </w:r>
      <w:r>
        <w:t xml:space="preserve"> </w:t>
      </w:r>
      <w:r>
        <w:t xml:space="preserve">of</w:t>
      </w:r>
      <w:r>
        <w:t xml:space="preserve"> </w:t>
      </w:r>
      <w:r>
        <w:t xml:space="preserve">bariatric</w:t>
      </w:r>
      <w:r>
        <w:t xml:space="preserve"> </w:t>
      </w:r>
      <w:r>
        <w:t xml:space="preserve">clinic</w:t>
      </w:r>
      <w:r>
        <w:t xml:space="preserve"> </w:t>
      </w:r>
      <w:r>
        <w:t xml:space="preserve">patients.</w:t>
      </w:r>
      <w:r>
        <w:t xml:space="preserve"> </w:t>
      </w:r>
      <w:r>
        <w:t xml:space="preserve">Study</w:t>
      </w:r>
      <w:r>
        <w:t xml:space="preserve"> </w:t>
      </w:r>
      <w:r>
        <w:t xml:space="preserve">protocol</w:t>
      </w:r>
      <w:r>
        <w:t xml:space="preserve"> </w:t>
      </w:r>
      <w:r>
        <w:t xml:space="preserve">and</w:t>
      </w:r>
      <w:r>
        <w:t xml:space="preserve"> </w:t>
      </w:r>
      <w:r>
        <w:t xml:space="preserve">methods</w:t>
      </w:r>
      <w:r>
        <w:t xml:space="preserve"> </w:t>
      </w:r>
      <w:r>
        <w:t xml:space="preserve">can</w:t>
      </w:r>
      <w:r>
        <w:t xml:space="preserve"> </w:t>
      </w:r>
      <w:r>
        <w:t xml:space="preserve">be</w:t>
      </w:r>
      <w:r>
        <w:t xml:space="preserve"> </w:t>
      </w:r>
      <w:r>
        <w:t xml:space="preserve">found</w:t>
      </w:r>
      <w:r>
        <w:t xml:space="preserve"> </w:t>
      </w:r>
      <w:r>
        <w:t xml:space="preserve">here.</w:t>
      </w:r>
      <w:r>
        <w:t xml:space="preserve"> </w:t>
      </w:r>
      <w:r>
        <w:t xml:space="preserve">In</w:t>
      </w:r>
      <w:r>
        <w:t xml:space="preserve"> </w:t>
      </w:r>
      <w:r>
        <w:t xml:space="preserve">identifying</w:t>
      </w:r>
      <w:r>
        <w:t xml:space="preserve"> </w:t>
      </w:r>
      <w:r>
        <w:t xml:space="preserve">NASH</w:t>
      </w:r>
      <w:r>
        <w:t xml:space="preserve"> </w:t>
      </w:r>
      <w:r>
        <w:t xml:space="preserve">cases,</w:t>
      </w:r>
      <w:r>
        <w:t xml:space="preserve"> </w:t>
      </w:r>
      <w:r>
        <w:t xml:space="preserve">the</w:t>
      </w:r>
      <w:r>
        <w:t xml:space="preserve"> </w:t>
      </w:r>
      <w:r>
        <w:t xml:space="preserve">CliniThink</w:t>
      </w:r>
      <w:r>
        <w:t xml:space="preserve"> </w:t>
      </w:r>
      <w:r>
        <w:t xml:space="preserve">classifier</w:t>
      </w:r>
      <w:r>
        <w:t xml:space="preserve"> </w:t>
      </w:r>
      <w:r>
        <w:t xml:space="preserve">performed</w:t>
      </w:r>
      <w:r>
        <w:t xml:space="preserve"> </w:t>
      </w:r>
      <w:r>
        <w:t xml:space="preserve">comparably</w:t>
      </w:r>
      <w:r>
        <w:t xml:space="preserve"> </w:t>
      </w:r>
      <w:r>
        <w:t xml:space="preserve">to</w:t>
      </w:r>
      <w:r>
        <w:t xml:space="preserve"> </w:t>
      </w:r>
      <w:r>
        <w:t xml:space="preserve">the</w:t>
      </w:r>
      <w:r>
        <w:t xml:space="preserve"> </w:t>
      </w:r>
      <w:r>
        <w:t xml:space="preserve">manual</w:t>
      </w:r>
      <w:r>
        <w:t xml:space="preserve"> </w:t>
      </w:r>
      <w:r>
        <w:t xml:space="preserve">chart</w:t>
      </w:r>
      <w:r>
        <w:t xml:space="preserve"> </w:t>
      </w:r>
      <w:r>
        <w:t xml:space="preserve">review.</w:t>
      </w:r>
      <w:r>
        <w:t xml:space="preserve"> </w:t>
      </w:r>
      <w:r>
        <w:t xml:space="preserve">CliniThink</w:t>
      </w:r>
      <w:r>
        <w:t xml:space="preserve"> </w:t>
      </w:r>
      <w:r>
        <w:t xml:space="preserve">had</w:t>
      </w:r>
      <w:r>
        <w:t xml:space="preserve"> </w:t>
      </w:r>
      <w:r>
        <w:t xml:space="preserve">similar</w:t>
      </w:r>
      <w:r>
        <w:t xml:space="preserve"> </w:t>
      </w:r>
      <w:r>
        <w:t xml:space="preserve">sensitivity</w:t>
      </w:r>
      <w:r>
        <w:t xml:space="preserve"> </w:t>
      </w:r>
      <w:r>
        <w:t xml:space="preserve">levels</w:t>
      </w:r>
      <w:r>
        <w:t xml:space="preserve"> </w:t>
      </w:r>
      <w:r>
        <w:t xml:space="preserve">and</w:t>
      </w:r>
      <w:r>
        <w:t xml:space="preserve"> </w:t>
      </w:r>
      <w:r>
        <w:t xml:space="preserve">marginally</w:t>
      </w:r>
      <w:r>
        <w:t xml:space="preserve"> </w:t>
      </w:r>
      <w:r>
        <w:t xml:space="preserve">lower</w:t>
      </w:r>
      <w:r>
        <w:t xml:space="preserve"> </w:t>
      </w:r>
      <w:r>
        <w:t xml:space="preserve">specificity.</w:t>
      </w:r>
      <w:r>
        <w:t xml:space="preserve"> </w:t>
      </w:r>
      <w:r>
        <w:t xml:space="preserve">Yoden’s</w:t>
      </w:r>
      <w:r>
        <w:t xml:space="preserve"> </w:t>
      </w:r>
      <w:r>
        <w:t xml:space="preserve">Index</w:t>
      </w:r>
      <w:r>
        <w:t xml:space="preserve"> </w:t>
      </w:r>
      <w:r>
        <w:t xml:space="preserve">(expressed</w:t>
      </w:r>
      <w:r>
        <w:t xml:space="preserve"> </w:t>
      </w:r>
      <w:r>
        <w:t xml:space="preserve">here</w:t>
      </w:r>
      <w:r>
        <w:t xml:space="preserve"> </w:t>
      </w:r>
      <w:r>
        <w:t xml:space="preserve">on</w:t>
      </w:r>
      <w:r>
        <w:t xml:space="preserve"> </w:t>
      </w:r>
      <w:r>
        <w:t xml:space="preserve">a</w:t>
      </w:r>
      <w:r>
        <w:t xml:space="preserve"> </w:t>
      </w:r>
      <w:r>
        <w:t xml:space="preserve">0</w:t>
      </w:r>
      <w:r>
        <w:t xml:space="preserve"> </w:t>
      </w:r>
      <w:r>
        <w:t xml:space="preserve">to</w:t>
      </w:r>
      <w:r>
        <w:t xml:space="preserve"> </w:t>
      </w:r>
      <w:r>
        <w:t xml:space="preserve">100</w:t>
      </w:r>
      <w:r>
        <w:t xml:space="preserve"> </w:t>
      </w:r>
      <w:r>
        <w:t xml:space="preserve">scale)</w:t>
      </w:r>
      <w:r>
        <w:t xml:space="preserve"> </w:t>
      </w:r>
      <w:r>
        <w:t xml:space="preserve">was</w:t>
      </w:r>
      <w:r>
        <w:t xml:space="preserve"> </w:t>
      </w:r>
      <w:r>
        <w:t xml:space="preserve">also</w:t>
      </w:r>
      <w:r>
        <w:t xml:space="preserve"> </w:t>
      </w:r>
      <w:r>
        <w:t xml:space="preserve">similar;</w:t>
      </w:r>
      <w:r>
        <w:t xml:space="preserve"> </w:t>
      </w:r>
      <w:r>
        <w:t xml:space="preserve">however,</w:t>
      </w:r>
      <w:r>
        <w:t xml:space="preserve"> </w:t>
      </w:r>
      <w:r>
        <w:t xml:space="preserve">chart</w:t>
      </w:r>
      <w:r>
        <w:t xml:space="preserve"> </w:t>
      </w:r>
      <w:r>
        <w:t xml:space="preserve">review</w:t>
      </w:r>
      <w:r>
        <w:t xml:space="preserve"> </w:t>
      </w:r>
      <w:r>
        <w:t xml:space="preserve">had</w:t>
      </w:r>
      <w:r>
        <w:t xml:space="preserve"> </w:t>
      </w:r>
      <w:r>
        <w:t xml:space="preserve">overall</w:t>
      </w:r>
      <w:r>
        <w:t xml:space="preserve"> </w:t>
      </w:r>
      <w:r>
        <w:t xml:space="preserve">higher</w:t>
      </w:r>
      <w:r>
        <w:t xml:space="preserve"> </w:t>
      </w:r>
      <w:r>
        <w:t xml:space="preserve">accuracy.</w:t>
      </w:r>
      <w:r>
        <w:t xml:space="preserve"> </w:t>
      </w:r>
      <w:r>
        <w:t xml:space="preserve">Upon</w:t>
      </w:r>
      <w:r>
        <w:t xml:space="preserve"> </w:t>
      </w:r>
      <w:r>
        <w:t xml:space="preserve">inspection</w:t>
      </w:r>
      <w:r>
        <w:t xml:space="preserve"> </w:t>
      </w:r>
      <w:r>
        <w:t xml:space="preserve">of</w:t>
      </w:r>
      <w:r>
        <w:t xml:space="preserve"> </w:t>
      </w:r>
      <w:r>
        <w:t xml:space="preserve">divergent</w:t>
      </w:r>
      <w:r>
        <w:t xml:space="preserve"> </w:t>
      </w:r>
      <w:r>
        <w:t xml:space="preserve">cases,</w:t>
      </w:r>
      <w:r>
        <w:t xml:space="preserve"> </w:t>
      </w:r>
      <w:r>
        <w:t xml:space="preserve">we</w:t>
      </w:r>
      <w:r>
        <w:t xml:space="preserve"> </w:t>
      </w:r>
      <w:r>
        <w:t xml:space="preserve">observed</w:t>
      </w:r>
      <w:r>
        <w:t xml:space="preserve"> </w:t>
      </w:r>
      <w:r>
        <w:t xml:space="preserve">that</w:t>
      </w:r>
      <w:r>
        <w:t xml:space="preserve"> </w:t>
      </w:r>
      <w:r>
        <w:t xml:space="preserve">CliniThink</w:t>
      </w:r>
      <w:r>
        <w:t xml:space="preserve"> </w:t>
      </w:r>
      <w:r>
        <w:t xml:space="preserve">NLP</w:t>
      </w:r>
      <w:r>
        <w:t xml:space="preserve"> </w:t>
      </w:r>
      <w:r>
        <w:t xml:space="preserve">excelled</w:t>
      </w:r>
      <w:r>
        <w:t xml:space="preserve"> </w:t>
      </w:r>
      <w:r>
        <w:t xml:space="preserve">at</w:t>
      </w:r>
      <w:r>
        <w:t xml:space="preserve"> </w:t>
      </w:r>
      <w:r>
        <w:t xml:space="preserve">phrases</w:t>
      </w:r>
      <w:r>
        <w:t xml:space="preserve"> </w:t>
      </w:r>
      <w:r>
        <w:t xml:space="preserve">matching,</w:t>
      </w:r>
      <w:r>
        <w:t xml:space="preserve"> </w:t>
      </w:r>
      <w:r>
        <w:t xml:space="preserve">but</w:t>
      </w:r>
      <w:r>
        <w:t xml:space="preserve"> </w:t>
      </w:r>
      <w:r>
        <w:t xml:space="preserve">fell</w:t>
      </w:r>
      <w:r>
        <w:t xml:space="preserve"> </w:t>
      </w:r>
      <w:r>
        <w:t xml:space="preserve">short</w:t>
      </w:r>
      <w:r>
        <w:t xml:space="preserve"> </w:t>
      </w:r>
      <w:r>
        <w:t xml:space="preserve">because</w:t>
      </w:r>
      <w:r>
        <w:t xml:space="preserve"> </w:t>
      </w:r>
      <w:r>
        <w:t xml:space="preserve">its</w:t>
      </w:r>
      <w:r>
        <w:t xml:space="preserve"> </w:t>
      </w:r>
      <w:r>
        <w:t xml:space="preserve">query</w:t>
      </w:r>
      <w:r>
        <w:t xml:space="preserve"> </w:t>
      </w:r>
      <w:r>
        <w:t xml:space="preserve">did</w:t>
      </w:r>
      <w:r>
        <w:t xml:space="preserve"> </w:t>
      </w:r>
      <w:r>
        <w:t xml:space="preserve">not</w:t>
      </w:r>
      <w:r>
        <w:t xml:space="preserve"> </w:t>
      </w:r>
      <w:r>
        <w:t xml:space="preserve">account</w:t>
      </w:r>
      <w:r>
        <w:t xml:space="preserve"> </w:t>
      </w:r>
      <w:r>
        <w:t xml:space="preserve">for</w:t>
      </w:r>
      <w:r>
        <w:t xml:space="preserve"> </w:t>
      </w:r>
      <w:r>
        <w:t xml:space="preserve">corroborative</w:t>
      </w:r>
      <w:r>
        <w:t xml:space="preserve"> </w:t>
      </w:r>
      <w:r>
        <w:t xml:space="preserve">clinical</w:t>
      </w:r>
      <w:r>
        <w:t xml:space="preserve"> </w:t>
      </w:r>
      <w:r>
        <w:t xml:space="preserve">criteria</w:t>
      </w:r>
      <w:r>
        <w:t xml:space="preserve"> </w:t>
      </w:r>
      <w:r>
        <w:t xml:space="preserve">(e.g. fib4</w:t>
      </w:r>
      <w:r>
        <w:t xml:space="preserve"> </w:t>
      </w:r>
      <w:r>
        <w:t xml:space="preserve">score,</w:t>
      </w:r>
      <w:r>
        <w:t xml:space="preserve"> </w:t>
      </w:r>
      <w:r>
        <w:t xml:space="preserve">MetSyn,</w:t>
      </w:r>
      <w:r>
        <w:t xml:space="preserve"> </w:t>
      </w:r>
      <w:r>
        <w:t xml:space="preserve">elevated</w:t>
      </w:r>
      <w:r>
        <w:t xml:space="preserve"> </w:t>
      </w:r>
      <w:r>
        <w:t xml:space="preserve">LFTs).</w:t>
      </w:r>
      <w:r>
        <w:t xml:space="preserve"> </w:t>
      </w:r>
      <w:r>
        <w:t xml:space="preserve">The</w:t>
      </w:r>
      <w:r>
        <w:t xml:space="preserve"> </w:t>
      </w:r>
      <w:r>
        <w:t xml:space="preserve">CliniThink</w:t>
      </w:r>
      <w:r>
        <w:t xml:space="preserve"> </w:t>
      </w:r>
      <w:r>
        <w:t xml:space="preserve">query</w:t>
      </w:r>
      <w:r>
        <w:t xml:space="preserve"> </w:t>
      </w:r>
      <w:r>
        <w:t xml:space="preserve">took</w:t>
      </w:r>
      <w:r>
        <w:t xml:space="preserve"> </w:t>
      </w:r>
      <w:r>
        <w:t xml:space="preserve">only</w:t>
      </w:r>
      <w:r>
        <w:t xml:space="preserve"> </w:t>
      </w:r>
      <w:r>
        <w:t xml:space="preserve">a</w:t>
      </w:r>
      <w:r>
        <w:t xml:space="preserve"> </w:t>
      </w:r>
      <w:r>
        <w:t xml:space="preserve">few</w:t>
      </w:r>
      <w:r>
        <w:t xml:space="preserve"> </w:t>
      </w:r>
      <w:r>
        <w:t xml:space="preserve">minutes</w:t>
      </w:r>
      <w:r>
        <w:t xml:space="preserve"> </w:t>
      </w:r>
      <w:r>
        <w:t xml:space="preserve">during</w:t>
      </w:r>
      <w:r>
        <w:t xml:space="preserve"> </w:t>
      </w:r>
      <w:r>
        <w:t xml:space="preserve">the</w:t>
      </w:r>
      <w:r>
        <w:t xml:space="preserve"> </w:t>
      </w:r>
      <w:r>
        <w:t xml:space="preserve">demo</w:t>
      </w:r>
      <w:r>
        <w:t xml:space="preserve"> </w:t>
      </w:r>
      <w:r>
        <w:t xml:space="preserve">and</w:t>
      </w:r>
      <w:r>
        <w:t xml:space="preserve"> </w:t>
      </w:r>
      <w:r>
        <w:t xml:space="preserve">had</w:t>
      </w:r>
      <w:r>
        <w:t xml:space="preserve"> </w:t>
      </w:r>
      <w:r>
        <w:t xml:space="preserve">substatial</w:t>
      </w:r>
      <w:r>
        <w:t xml:space="preserve"> </w:t>
      </w:r>
      <w:r>
        <w:t xml:space="preserve">time</w:t>
      </w:r>
      <w:r>
        <w:t xml:space="preserve"> </w:t>
      </w:r>
      <w:r>
        <w:t xml:space="preserve">saving</w:t>
      </w:r>
      <w:r>
        <w:t xml:space="preserve"> </w:t>
      </w:r>
      <w:r>
        <w:t xml:space="preserve">benefits</w:t>
      </w:r>
      <w:r>
        <w:t xml:space="preserve"> </w:t>
      </w:r>
      <w:r>
        <w:t xml:space="preserve">over</w:t>
      </w:r>
      <w:r>
        <w:t xml:space="preserve"> </w:t>
      </w:r>
      <w:r>
        <w:t xml:space="preserve">chart</w:t>
      </w:r>
      <w:r>
        <w:t xml:space="preserve"> </w:t>
      </w:r>
      <w:r>
        <w:t xml:space="preserve">review.</w:t>
      </w:r>
      <w:r>
        <w:t xml:space="preserve"> </w:t>
      </w:r>
      <w:r>
        <w:t xml:space="preserve">Both</w:t>
      </w:r>
      <w:r>
        <w:t xml:space="preserve"> </w:t>
      </w:r>
      <w:r>
        <w:t xml:space="preserve">CliniThink</w:t>
      </w:r>
      <w:r>
        <w:t xml:space="preserve"> </w:t>
      </w:r>
      <w:r>
        <w:t xml:space="preserve">and</w:t>
      </w:r>
      <w:r>
        <w:t xml:space="preserve"> </w:t>
      </w:r>
      <w:r>
        <w:t xml:space="preserve">manual</w:t>
      </w:r>
      <w:r>
        <w:t xml:space="preserve"> </w:t>
      </w:r>
      <w:r>
        <w:t xml:space="preserve">chart</w:t>
      </w:r>
      <w:r>
        <w:t xml:space="preserve"> </w:t>
      </w:r>
      <w:r>
        <w:t xml:space="preserve">review</w:t>
      </w:r>
      <w:r>
        <w:t xml:space="preserve"> </w:t>
      </w:r>
      <w:r>
        <w:t xml:space="preserve">performed</w:t>
      </w:r>
      <w:r>
        <w:t xml:space="preserve"> </w:t>
      </w:r>
      <w:r>
        <w:t xml:space="preserve">better</w:t>
      </w:r>
      <w:r>
        <w:t xml:space="preserve"> </w:t>
      </w:r>
      <w:r>
        <w:t xml:space="preserve">than</w:t>
      </w:r>
      <w:r>
        <w:t xml:space="preserve"> </w:t>
      </w:r>
      <w:r>
        <w:t xml:space="preserve">ICD10</w:t>
      </w:r>
      <w:r>
        <w:t xml:space="preserve"> </w:t>
      </w:r>
      <w:r>
        <w:t xml:space="preserve">based</w:t>
      </w:r>
      <w:r>
        <w:t xml:space="preserve"> </w:t>
      </w:r>
      <w:r>
        <w:t xml:space="preserve">query.</w:t>
      </w:r>
      <w:r>
        <w:t xml:space="preserve"> </w:t>
      </w:r>
      <w:r>
        <w:t xml:space="preserve">This</w:t>
      </w:r>
      <w:r>
        <w:t xml:space="preserve"> </w:t>
      </w:r>
      <w:r>
        <w:t xml:space="preserve">finding</w:t>
      </w:r>
      <w:r>
        <w:t xml:space="preserve"> </w:t>
      </w:r>
      <w:r>
        <w:t xml:space="preserve">could</w:t>
      </w:r>
      <w:r>
        <w:t xml:space="preserve"> </w:t>
      </w:r>
      <w:r>
        <w:t xml:space="preserve">be</w:t>
      </w:r>
      <w:r>
        <w:t xml:space="preserve"> </w:t>
      </w:r>
      <w:r>
        <w:t xml:space="preserve">attributed</w:t>
      </w:r>
      <w:r>
        <w:t xml:space="preserve"> </w:t>
      </w:r>
      <w:r>
        <w:t xml:space="preserve">to</w:t>
      </w:r>
      <w:r>
        <w:t xml:space="preserve"> </w:t>
      </w:r>
      <w:r>
        <w:t xml:space="preserve">a</w:t>
      </w:r>
      <w:r>
        <w:t xml:space="preserve"> </w:t>
      </w:r>
      <w:r>
        <w:t xml:space="preserve">lack</w:t>
      </w:r>
      <w:r>
        <w:t xml:space="preserve"> </w:t>
      </w:r>
      <w:r>
        <w:t xml:space="preserve">of</w:t>
      </w:r>
      <w:r>
        <w:t xml:space="preserve"> </w:t>
      </w:r>
      <w:r>
        <w:t xml:space="preserve">specific</w:t>
      </w:r>
      <w:r>
        <w:t xml:space="preserve"> </w:t>
      </w:r>
      <w:r>
        <w:t xml:space="preserve">coding</w:t>
      </w:r>
      <w:r>
        <w:t xml:space="preserve"> </w:t>
      </w:r>
      <w:r>
        <w:t xml:space="preserve">for</w:t>
      </w:r>
      <w:r>
        <w:t xml:space="preserve"> </w:t>
      </w:r>
      <w:r>
        <w:t xml:space="preserve">NASH</w:t>
      </w:r>
      <w:r>
        <w:t xml:space="preserve"> </w:t>
      </w:r>
      <w:r>
        <w:t xml:space="preserve">in</w:t>
      </w:r>
      <w:r>
        <w:t xml:space="preserve"> </w:t>
      </w:r>
      <w:r>
        <w:t xml:space="preserve">ICD10</w:t>
      </w:r>
      <w:r>
        <w:t xml:space="preserve"> </w:t>
      </w:r>
      <w:r>
        <w:t xml:space="preserve">and</w:t>
      </w:r>
      <w:r>
        <w:t xml:space="preserve"> </w:t>
      </w:r>
      <w:r>
        <w:t xml:space="preserve">inadequate</w:t>
      </w:r>
      <w:r>
        <w:t xml:space="preserve"> </w:t>
      </w:r>
      <w:r>
        <w:t xml:space="preserve">coding</w:t>
      </w:r>
      <w:r>
        <w:t xml:space="preserve"> </w:t>
      </w:r>
      <w:r>
        <w:t xml:space="preserve">practice</w:t>
      </w:r>
      <w:r>
        <w:t xml:space="preserve"> </w:t>
      </w:r>
      <w:r>
        <w:t xml:space="preserve">as</w:t>
      </w:r>
      <w:r>
        <w:t xml:space="preserve"> </w:t>
      </w:r>
      <w:r>
        <w:t xml:space="preserve">NASH</w:t>
      </w:r>
      <w:r>
        <w:t xml:space="preserve"> </w:t>
      </w:r>
      <w:r>
        <w:t xml:space="preserve">was</w:t>
      </w:r>
      <w:r>
        <w:t xml:space="preserve"> </w:t>
      </w:r>
      <w:r>
        <w:t xml:space="preserve">not</w:t>
      </w:r>
      <w:r>
        <w:t xml:space="preserve"> </w:t>
      </w:r>
      <w:r>
        <w:t xml:space="preserve">always</w:t>
      </w:r>
      <w:r>
        <w:t xml:space="preserve"> </w:t>
      </w:r>
      <w:r>
        <w:t xml:space="preserve">the</w:t>
      </w:r>
      <w:r>
        <w:t xml:space="preserve"> </w:t>
      </w:r>
      <w:r>
        <w:t xml:space="preserve">principal</w:t>
      </w:r>
      <w:r>
        <w:t xml:space="preserve"> </w:t>
      </w:r>
      <w:r>
        <w:t xml:space="preserve">diagnosis.</w:t>
      </w:r>
      <w:r>
        <w:t xml:space="preserve"> </w:t>
      </w:r>
      <w:r>
        <w:t xml:space="preserve">None</w:t>
      </w:r>
      <w:r>
        <w:t xml:space="preserve"> </w:t>
      </w:r>
      <w:r>
        <w:t xml:space="preserve">of</w:t>
      </w:r>
      <w:r>
        <w:t xml:space="preserve"> </w:t>
      </w:r>
      <w:r>
        <w:t xml:space="preserve">the</w:t>
      </w:r>
      <w:r>
        <w:t xml:space="preserve"> </w:t>
      </w:r>
      <w:r>
        <w:t xml:space="preserve">differences</w:t>
      </w:r>
      <w:r>
        <w:t xml:space="preserve"> </w:t>
      </w:r>
      <w:r>
        <w:t xml:space="preserve">were</w:t>
      </w:r>
      <w:r>
        <w:t xml:space="preserve"> </w:t>
      </w:r>
      <w:r>
        <w:t xml:space="preserve">statistically</w:t>
      </w:r>
      <w:r>
        <w:t xml:space="preserve"> </w:t>
      </w:r>
      <w:r>
        <w:t xml:space="preserve">significant.</w:t>
      </w:r>
      <w:r>
        <w:t xml:space="preserve"> </w:t>
      </w:r>
      <w:r>
        <w:t xml:space="preserve">The</w:t>
      </w:r>
      <w:r>
        <w:t xml:space="preserve"> </w:t>
      </w:r>
      <w:r>
        <w:t xml:space="preserve">analysis</w:t>
      </w:r>
      <w:r>
        <w:t xml:space="preserve"> </w:t>
      </w:r>
      <w:r>
        <w:t xml:space="preserve">was</w:t>
      </w:r>
      <w:r>
        <w:t xml:space="preserve"> </w:t>
      </w:r>
      <w:r>
        <w:t xml:space="preserve">expanded</w:t>
      </w:r>
      <w:r>
        <w:t xml:space="preserve"> </w:t>
      </w:r>
      <w:r>
        <w:t xml:space="preserve">to</w:t>
      </w:r>
      <w:r>
        <w:t xml:space="preserve"> </w:t>
      </w:r>
      <w:r>
        <w:t xml:space="preserve">include</w:t>
      </w:r>
      <w:r>
        <w:t xml:space="preserve"> </w:t>
      </w:r>
      <w:r>
        <w:t xml:space="preserve">expanded</w:t>
      </w:r>
      <w:r>
        <w:t xml:space="preserve"> </w:t>
      </w:r>
      <w:r>
        <w:t xml:space="preserve">diagnostic</w:t>
      </w:r>
      <w:r>
        <w:t xml:space="preserve"> </w:t>
      </w:r>
      <w:r>
        <w:t xml:space="preserve">criteria</w:t>
      </w:r>
      <w:r>
        <w:t xml:space="preserve"> </w:t>
      </w:r>
      <w:r>
        <w:t xml:space="preserve">for</w:t>
      </w:r>
      <w:r>
        <w:t xml:space="preserve"> </w:t>
      </w:r>
      <w:r>
        <w:t xml:space="preserve">NASH</w:t>
      </w:r>
      <w:r>
        <w:t xml:space="preserve"> </w:t>
      </w:r>
      <w:r>
        <w:t xml:space="preserve">(clinical</w:t>
      </w:r>
      <w:r>
        <w:t xml:space="preserve"> </w:t>
      </w:r>
      <w:r>
        <w:t xml:space="preserve">NASH)</w:t>
      </w:r>
      <w:r>
        <w:t xml:space="preserve"> </w:t>
      </w:r>
      <w:r>
        <w:t xml:space="preserve">as</w:t>
      </w:r>
      <w:r>
        <w:t xml:space="preserve"> </w:t>
      </w:r>
      <w:r>
        <w:t xml:space="preserve">well</w:t>
      </w:r>
      <w:r>
        <w:t xml:space="preserve"> </w:t>
      </w:r>
      <w:r>
        <w:t xml:space="preserve">as</w:t>
      </w:r>
      <w:r>
        <w:t xml:space="preserve"> </w:t>
      </w:r>
      <w:r>
        <w:t xml:space="preserve">probable</w:t>
      </w:r>
      <w:r>
        <w:t xml:space="preserve"> </w:t>
      </w:r>
      <w:r>
        <w:t xml:space="preserve">classification.</w:t>
      </w:r>
      <w:r>
        <w:t xml:space="preserve"> </w:t>
      </w:r>
      <w:r>
        <w:t xml:space="preserve">We</w:t>
      </w:r>
      <w:r>
        <w:t xml:space="preserve"> </w:t>
      </w:r>
      <w:r>
        <w:t xml:space="preserve">observed</w:t>
      </w:r>
      <w:r>
        <w:t xml:space="preserve"> </w:t>
      </w:r>
      <w:r>
        <w:t xml:space="preserve">a</w:t>
      </w:r>
      <w:r>
        <w:t xml:space="preserve"> </w:t>
      </w:r>
      <w:r>
        <w:t xml:space="preserve">similar</w:t>
      </w:r>
      <w:r>
        <w:t xml:space="preserve"> </w:t>
      </w:r>
      <w:r>
        <w:t xml:space="preserve">trend</w:t>
      </w:r>
      <w:r>
        <w:t xml:space="preserve"> </w:t>
      </w:r>
      <w:r>
        <w:t xml:space="preserve">in</w:t>
      </w:r>
      <w:r>
        <w:t xml:space="preserve"> </w:t>
      </w:r>
      <w:r>
        <w:t xml:space="preserve">the</w:t>
      </w:r>
      <w:r>
        <w:t xml:space="preserve"> </w:t>
      </w:r>
      <w:r>
        <w:t xml:space="preserve">results.</w:t>
      </w:r>
    </w:p>
    <w:p>
      <w:pPr>
        <w:pStyle w:val="Heading1"/>
      </w:pPr>
      <w:bookmarkStart w:id="20" w:name="introduction"/>
      <w:r>
        <w:t xml:space="preserve">Introduction</w:t>
      </w:r>
      <w:bookmarkEnd w:id="20"/>
    </w:p>
    <w:p>
      <w:pPr>
        <w:pStyle w:val="FirstParagraph"/>
      </w:pPr>
      <w:r>
        <w:t xml:space="preserve">Nonalcoholic fatty liver disease (NAFLD) is a condition in which excess</w:t>
      </w:r>
      <w:r>
        <w:t xml:space="preserve"> </w:t>
      </w:r>
      <w:r>
        <w:t xml:space="preserve">fat is stored in the liver but not caused by heavy alcohol use. About</w:t>
      </w:r>
      <w:r>
        <w:t xml:space="preserve"> </w:t>
      </w:r>
      <w:r>
        <w:t xml:space="preserve">20% of NAFLD cases progress to nonalcoholic steatohepatitis (NASH)</w:t>
      </w:r>
      <w:r>
        <w:t xml:space="preserve"> </w:t>
      </w:r>
      <w:r>
        <w:t xml:space="preserve">characterized by inflammation of the liver and liver cell damage, in</w:t>
      </w:r>
      <w:r>
        <w:t xml:space="preserve"> </w:t>
      </w:r>
      <w:r>
        <w:t xml:space="preserve">addition to fat deposits in the liver. This in turn can cause fibrosis,</w:t>
      </w:r>
      <w:r>
        <w:t xml:space="preserve"> </w:t>
      </w:r>
      <w:r>
        <w:t xml:space="preserve">or scarring, of the liver. NASH is definitively diagnosed by biopsy or</w:t>
      </w:r>
      <w:r>
        <w:t xml:space="preserve"> </w:t>
      </w:r>
      <w:r>
        <w:t xml:space="preserve">fibroscan. In the absence of such results NASH is suspected if the</w:t>
      </w:r>
      <w:r>
        <w:t xml:space="preserve"> </w:t>
      </w:r>
      <w:r>
        <w:t xml:space="preserve">clinical diagnosis of NAFLD is accompanied by elevated liver enzymes,</w:t>
      </w:r>
      <w:r>
        <w:t xml:space="preserve"> </w:t>
      </w:r>
      <w:r>
        <w:t xml:space="preserve">CT/USG imaging reports mentioning fibrosis, and cluster of related</w:t>
      </w:r>
      <w:r>
        <w:t xml:space="preserve"> </w:t>
      </w:r>
      <w:r>
        <w:t xml:space="preserve">conditions such as diabetes (DM), hypertension, MetSyn.</w:t>
      </w:r>
    </w:p>
    <w:p>
      <w:pPr>
        <w:pStyle w:val="Compact"/>
        <w:pStyle w:val="Bnote2self"/>
        <w:numPr>
          <w:numId w:val="1001"/>
          <w:ilvl w:val="0"/>
        </w:numPr>
      </w:pPr>
      <w:r>
        <w:t xml:space="preserve">NASH is a good case study</w:t>
      </w:r>
    </w:p>
    <w:p>
      <w:pPr>
        <w:pStyle w:val="Compact"/>
        <w:pStyle w:val="Bnote2self"/>
        <w:numPr>
          <w:numId w:val="1002"/>
          <w:ilvl w:val="1"/>
        </w:numPr>
      </w:pPr>
      <w:r>
        <w:t xml:space="preserve">No ICD9</w:t>
      </w:r>
    </w:p>
    <w:p>
      <w:pPr>
        <w:pStyle w:val="Compact"/>
        <w:pStyle w:val="Bnote2self"/>
        <w:numPr>
          <w:numId w:val="1002"/>
          <w:ilvl w:val="1"/>
        </w:numPr>
      </w:pPr>
      <w:r>
        <w:t xml:space="preserve">Biopsy confirmatory – cost, peads</w:t>
      </w:r>
    </w:p>
    <w:p>
      <w:pPr>
        <w:pStyle w:val="Compact"/>
        <w:pStyle w:val="Bnote2self"/>
        <w:numPr>
          <w:numId w:val="1002"/>
          <w:ilvl w:val="1"/>
        </w:numPr>
      </w:pPr>
      <w:r>
        <w:t xml:space="preserve">Treatment</w:t>
      </w:r>
    </w:p>
    <w:p>
      <w:pPr>
        <w:pStyle w:val="Compact"/>
        <w:pStyle w:val="Bnote2self"/>
        <w:numPr>
          <w:numId w:val="1002"/>
          <w:ilvl w:val="1"/>
        </w:numPr>
      </w:pPr>
      <w:r>
        <w:t xml:space="preserve">Need for Clinical Trials</w:t>
      </w:r>
    </w:p>
    <w:p>
      <w:pPr>
        <w:pStyle w:val="Compact"/>
        <w:pStyle w:val="Bnote2self"/>
        <w:numPr>
          <w:numId w:val="1001"/>
          <w:ilvl w:val="0"/>
        </w:numPr>
      </w:pPr>
      <w:r>
        <w:t xml:space="preserve">Search Strategy: for search in case of say DM vs NASH</w:t>
      </w:r>
    </w:p>
    <w:p>
      <w:pPr>
        <w:pStyle w:val="Compact"/>
        <w:pStyle w:val="Bnote2self"/>
        <w:numPr>
          <w:numId w:val="1001"/>
          <w:ilvl w:val="0"/>
        </w:numPr>
      </w:pPr>
      <w:r>
        <w:t xml:space="preserve">Some background on each of the 4 approaches</w:t>
      </w:r>
    </w:p>
    <w:p>
      <w:pPr>
        <w:pStyle w:val="Compact"/>
        <w:pStyle w:val="Bnote2self"/>
        <w:numPr>
          <w:numId w:val="1003"/>
          <w:ilvl w:val="1"/>
        </w:numPr>
      </w:pPr>
      <w:r>
        <w:t xml:space="preserve">Time</w:t>
      </w:r>
    </w:p>
    <w:p>
      <w:pPr>
        <w:pStyle w:val="Compact"/>
        <w:pStyle w:val="Bnote2self"/>
        <w:numPr>
          <w:numId w:val="1003"/>
          <w:ilvl w:val="1"/>
        </w:numPr>
      </w:pPr>
      <w:r>
        <w:t xml:space="preserve">Effort</w:t>
      </w:r>
    </w:p>
    <w:p>
      <w:pPr>
        <w:pStyle w:val="Compact"/>
        <w:pStyle w:val="Bnote2self"/>
        <w:numPr>
          <w:numId w:val="1003"/>
          <w:ilvl w:val="1"/>
        </w:numPr>
      </w:pPr>
      <w:r>
        <w:t xml:space="preserve">Funding / pilot</w:t>
      </w:r>
    </w:p>
    <w:p>
      <w:pPr>
        <w:pStyle w:val="Compact"/>
        <w:pStyle w:val="Bnote2self"/>
        <w:numPr>
          <w:numId w:val="1001"/>
          <w:ilvl w:val="0"/>
        </w:numPr>
      </w:pPr>
      <w:r>
        <w:t xml:space="preserve">Discussion:</w:t>
      </w:r>
    </w:p>
    <w:p>
      <w:pPr>
        <w:pStyle w:val="Compact"/>
        <w:pStyle w:val="Bnote2self"/>
        <w:numPr>
          <w:numId w:val="1004"/>
          <w:ilvl w:val="1"/>
        </w:numPr>
      </w:pPr>
      <w:r>
        <w:t xml:space="preserve">Address Bias</w:t>
      </w:r>
    </w:p>
    <w:p>
      <w:pPr>
        <w:pStyle w:val="Heading1"/>
      </w:pPr>
      <w:bookmarkStart w:id="21" w:name="materials-and-methods"/>
      <w:r>
        <w:t xml:space="preserve">Materials and Methods</w:t>
      </w:r>
      <w:bookmarkEnd w:id="21"/>
    </w:p>
    <w:p>
      <w:pPr>
        <w:pStyle w:val="Heading2"/>
      </w:pPr>
      <w:bookmarkStart w:id="22" w:name="patient-cohort"/>
      <w:r>
        <w:t xml:space="preserve">Patient Cohort</w:t>
      </w:r>
      <w:bookmarkEnd w:id="22"/>
    </w:p>
    <w:p>
      <w:pPr>
        <w:pStyle w:val="FirstParagraph"/>
      </w:pPr>
      <w:r>
        <w:t xml:space="preserve">A sample of 286 patients seen at the MARC Bariatric Surgery Clinic from</w:t>
      </w:r>
      <w:r>
        <w:t xml:space="preserve"> </w:t>
      </w:r>
      <w:r>
        <w:t xml:space="preserve">January 1 2019 through</w:t>
      </w:r>
      <w:r>
        <w:t xml:space="preserve"> </w:t>
      </w:r>
      <w:r>
        <w:rPr>
          <w:rStyle w:val="Note2self"/>
        </w:rPr>
        <w:t xml:space="preserve">[???]</w:t>
      </w:r>
      <w:r>
        <w:t xml:space="preserve"> </w:t>
      </w:r>
      <w:r>
        <w:t xml:space="preserve">was randomly selected.</w:t>
      </w:r>
    </w:p>
    <w:p>
      <w:pPr>
        <w:pStyle w:val="Heading2"/>
      </w:pPr>
      <w:bookmarkStart w:id="23" w:name="chart-review"/>
      <w:r>
        <w:t xml:space="preserve">Chart Review</w:t>
      </w:r>
      <w:bookmarkEnd w:id="23"/>
    </w:p>
    <w:p>
      <w:pPr>
        <w:pStyle w:val="FirstParagraph"/>
      </w:pPr>
      <w:r>
        <w:t xml:space="preserve">We used a combination of a resident, medical student/s and graduate</w:t>
      </w:r>
      <w:r>
        <w:t xml:space="preserve"> </w:t>
      </w:r>
      <w:r>
        <w:t xml:space="preserve">student/s to conduct chart review of sequential cases at the Bariatric</w:t>
      </w:r>
      <w:r>
        <w:t xml:space="preserve"> </w:t>
      </w:r>
      <w:r>
        <w:t xml:space="preserve">Surgery Clinic to identify NASH / hepatic fibrosis cases. For each</w:t>
      </w:r>
      <w:r>
        <w:t xml:space="preserve"> </w:t>
      </w:r>
      <w:r>
        <w:t xml:space="preserve">patient, each of the reviewers read the</w:t>
      </w:r>
      <w:r>
        <w:t xml:space="preserve"> </w:t>
      </w:r>
      <w:r>
        <w:rPr>
          <w:rStyle w:val="Note2self"/>
        </w:rPr>
        <w:t xml:space="preserve">[X, Y, and Z]</w:t>
      </w:r>
      <w:r>
        <w:t xml:space="preserve"> </w:t>
      </w:r>
      <w:r>
        <w:t xml:space="preserve">panels in the</w:t>
      </w:r>
      <w:r>
        <w:t xml:space="preserve"> </w:t>
      </w:r>
      <w:r>
        <w:t xml:space="preserve">Epic Hyperspace EHR system. IRR was required to be greater than 0.95 to</w:t>
      </w:r>
      <w:r>
        <w:t xml:space="preserve"> </w:t>
      </w:r>
      <w:r>
        <w:t xml:space="preserve">maintain consistent standard of evaluation. Reviewers that did not meet</w:t>
      </w:r>
      <w:r>
        <w:t xml:space="preserve"> </w:t>
      </w:r>
      <w:r>
        <w:t xml:space="preserve">this threshold were trained or replaced.</w:t>
      </w:r>
    </w:p>
    <w:p>
      <w:pPr>
        <w:pStyle w:val="Heading3"/>
      </w:pPr>
      <w:bookmarkStart w:id="24" w:name="expert-chart-review-gold-standard"/>
      <w:r>
        <w:t xml:space="preserve">Expert Chart Review (Gold Standard)</w:t>
      </w:r>
      <w:bookmarkEnd w:id="24"/>
    </w:p>
    <w:p>
      <w:pPr>
        <w:pStyle w:val="FirstParagraph"/>
      </w:pPr>
      <w:r>
        <w:t xml:space="preserve">Any patient who was screened as a case of NASH / hepatic fibrosis by at</w:t>
      </w:r>
      <w:r>
        <w:t xml:space="preserve"> </w:t>
      </w:r>
      <w:r>
        <w:t xml:space="preserve">least one of the screening methods was included in the expert review.</w:t>
      </w:r>
      <w:r>
        <w:t xml:space="preserve"> </w:t>
      </w:r>
      <w:r>
        <w:t xml:space="preserve">Additionally, a random sequential sample of 10% of all cases were</w:t>
      </w:r>
      <w:r>
        <w:t xml:space="preserve"> </w:t>
      </w:r>
      <w:r>
        <w:t xml:space="preserve">included in the expert review to address verification bias. The</w:t>
      </w:r>
      <w:r>
        <w:t xml:space="preserve"> </w:t>
      </w:r>
      <w:r>
        <w:t xml:space="preserve">diagnosis status of the patients not identified as cases by any of the</w:t>
      </w:r>
      <w:r>
        <w:t xml:space="preserve"> </w:t>
      </w:r>
      <w:r>
        <w:t xml:space="preserve">screening methods and also not included in the 10% random sequential</w:t>
      </w:r>
      <w:r>
        <w:t xml:space="preserve"> </w:t>
      </w:r>
      <w:r>
        <w:t xml:space="preserve">expert review were imputed based on lab results, billing and treatment</w:t>
      </w:r>
      <w:r>
        <w:t xml:space="preserve"> </w:t>
      </w:r>
      <w:r>
        <w:t xml:space="preserve">variables for FibroTest, hepatitis B/C, alcoholic liver disease,</w:t>
      </w:r>
      <w:r>
        <w:t xml:space="preserve"> </w:t>
      </w:r>
      <w:r>
        <w:t xml:space="preserve">cirrhosis, etc. using random forest or other statistical methods.</w:t>
      </w:r>
    </w:p>
    <w:p>
      <w:pPr>
        <w:pStyle w:val="Heading3"/>
      </w:pPr>
      <w:bookmarkStart w:id="25" w:name="section"/>
      <w:bookmarkEnd w:id="25"/>
    </w:p>
    <w:p>
      <w:pPr>
        <w:pStyle w:val="Heading3"/>
      </w:pPr>
      <w:bookmarkStart w:id="26" w:name="clinithink-nlp"/>
      <w:r>
        <w:t xml:space="preserve">Clinithink NLP</w:t>
      </w:r>
      <w:bookmarkEnd w:id="26"/>
    </w:p>
    <w:p>
      <w:pPr>
        <w:pStyle w:val="FirstParagraph"/>
      </w:pPr>
      <w:r>
        <w:rPr>
          <w:rStyle w:val="Note2self"/>
        </w:rPr>
        <w:t xml:space="preserve">[describe Clinithink method]</w:t>
      </w:r>
    </w:p>
    <w:p>
      <w:pPr>
        <w:pStyle w:val="Heading3"/>
      </w:pPr>
      <w:bookmarkStart w:id="27" w:name="icd10-codes"/>
      <w:r>
        <w:t xml:space="preserve">ICD10 Codes</w:t>
      </w:r>
      <w:bookmarkEnd w:id="27"/>
    </w:p>
    <w:p>
      <w:pPr>
        <w:pStyle w:val="FirstParagraph"/>
      </w:pPr>
      <w:r>
        <w:t xml:space="preserve">Patients with any ICD10 code in K75.81, XX, or YY were judged positive</w:t>
      </w:r>
      <w:r>
        <w:t xml:space="preserve"> </w:t>
      </w:r>
      <w:r>
        <w:t xml:space="preserve">for NASH or hepatic fibrosis.</w:t>
      </w:r>
    </w:p>
    <w:p>
      <w:pPr>
        <w:pStyle w:val="Heading1"/>
      </w:pPr>
      <w:bookmarkStart w:id="28" w:name="results"/>
      <w:r>
        <w:t xml:space="preserve">Results</w:t>
      </w:r>
      <w:bookmarkEnd w:id="28"/>
    </w:p>
    <w:p>
      <w:pPr>
        <w:pStyle w:val="FirstParagraph"/>
      </w:pPr>
      <w:r>
        <w:t xml:space="preserve">For each of the three screening methods only the definitive verdicts are</w:t>
      </w:r>
      <w:r>
        <w:t xml:space="preserve"> </w:t>
      </w:r>
      <w:r>
        <w:t xml:space="preserve">shown. For the ICD10 screen there were no probable verdicts.</w:t>
      </w:r>
    </w:p>
    <w:p>
      <w:pPr>
        <w:pStyle w:val="Heading2"/>
      </w:pPr>
      <w:bookmarkStart w:id="29" w:name="chart-review-1"/>
      <w:r>
        <w:t xml:space="preserve">Chart Review</w:t>
      </w:r>
      <w:bookmarkEnd w:id="29"/>
    </w:p>
    <w:tbl>
      <w:tblPr>
        <w:tblStyle w:val="Table"/>
        <w:tblW w:type="pct" w:w="3333.3333333333335"/>
        <w:tblLook w:firstRow="1"/>
      </w:tblPr>
      <w:tblGrid>
        <w:gridCol w:w="2310"/>
        <w:gridCol w:w="990"/>
        <w:gridCol w:w="990"/>
        <w:gridCol w:w="99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Total</w:t>
            </w:r>
          </w:p>
        </w:tc>
      </w:tr>
      <w:tr>
        <w:tc>
          <w:p>
            <w:pPr>
              <w:pStyle w:val="Compact"/>
              <w:jc w:val="right"/>
            </w:pPr>
            <w:r>
              <w:rPr>
                <w:b/>
              </w:rPr>
              <w:t xml:space="preserve">Chart Review +</w:t>
            </w:r>
          </w:p>
        </w:tc>
        <w:tc>
          <w:p>
            <w:pPr>
              <w:pStyle w:val="Compact"/>
              <w:jc w:val="right"/>
            </w:pPr>
            <w:r>
              <w:t xml:space="preserve">8</w:t>
            </w:r>
          </w:p>
        </w:tc>
        <w:tc>
          <w:p>
            <w:pPr>
              <w:pStyle w:val="Compact"/>
              <w:jc w:val="right"/>
            </w:pPr>
            <w:r>
              <w:t xml:space="preserve">11</w:t>
            </w:r>
          </w:p>
        </w:tc>
        <w:tc>
          <w:p>
            <w:pPr>
              <w:pStyle w:val="Compact"/>
              <w:jc w:val="right"/>
            </w:pPr>
            <w:r>
              <w:t xml:space="preserve">19</w:t>
            </w:r>
          </w:p>
        </w:tc>
      </w:tr>
      <w:tr>
        <w:tc>
          <w:p>
            <w:pPr>
              <w:pStyle w:val="Compact"/>
              <w:jc w:val="right"/>
            </w:pPr>
            <w:r>
              <w:rPr>
                <w:b/>
              </w:rPr>
              <w:t xml:space="preserve">Chart Review -</w:t>
            </w:r>
          </w:p>
        </w:tc>
        <w:tc>
          <w:p>
            <w:pPr>
              <w:pStyle w:val="Compact"/>
              <w:jc w:val="right"/>
            </w:pPr>
            <w:r>
              <w:t xml:space="preserve">3</w:t>
            </w:r>
          </w:p>
        </w:tc>
        <w:tc>
          <w:p>
            <w:pPr>
              <w:pStyle w:val="Compact"/>
              <w:jc w:val="right"/>
            </w:pPr>
            <w:r>
              <w:t xml:space="preserve">264</w:t>
            </w:r>
          </w:p>
        </w:tc>
        <w:tc>
          <w:p>
            <w:pPr>
              <w:pStyle w:val="Compact"/>
              <w:jc w:val="right"/>
            </w:pPr>
            <w:r>
              <w:t xml:space="preserve">267</w:t>
            </w:r>
          </w:p>
        </w:tc>
      </w:tr>
      <w:tr>
        <w:tc>
          <w:p>
            <w:pPr>
              <w:pStyle w:val="Compact"/>
              <w:jc w:val="right"/>
            </w:pPr>
            <w:r>
              <w:rPr>
                <w:b/>
              </w:rPr>
              <w:t xml:space="preserve">Total</w:t>
            </w:r>
          </w:p>
        </w:tc>
        <w:tc>
          <w:p>
            <w:pPr>
              <w:pStyle w:val="Compact"/>
              <w:jc w:val="right"/>
            </w:pPr>
            <w:r>
              <w:t xml:space="preserve">11</w:t>
            </w:r>
          </w:p>
        </w:tc>
        <w:tc>
          <w:p>
            <w:pPr>
              <w:pStyle w:val="Compact"/>
              <w:jc w:val="right"/>
            </w:pPr>
            <w:r>
              <w:t xml:space="preserve">275</w:t>
            </w:r>
          </w:p>
        </w:tc>
        <w:tc>
          <w:p>
            <w:pPr>
              <w:pStyle w:val="Compact"/>
              <w:jc w:val="right"/>
            </w:pPr>
            <w:r>
              <w:t xml:space="preserve">286</w:t>
            </w:r>
          </w:p>
        </w:tc>
      </w:tr>
    </w:tbl>
    <w:tbl>
      <w:tblPr>
        <w:tblStyle w:val="Table"/>
        <w:tblW w:type="pct" w:w="3819.444444444445"/>
        <w:tblLook w:firstRow="1"/>
      </w:tblPr>
      <w:tblGrid>
        <w:gridCol w:w="3080"/>
        <w:gridCol w:w="1210"/>
        <w:gridCol w:w="176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CI</w:t>
            </w:r>
          </w:p>
        </w:tc>
      </w:tr>
      <w:tr>
        <w:tc>
          <w:p>
            <w:pPr>
              <w:pStyle w:val="Compact"/>
              <w:jc w:val="right"/>
            </w:pPr>
            <w:r>
              <w:t xml:space="preserve">Apparent prevalence</w:t>
            </w:r>
          </w:p>
        </w:tc>
        <w:tc>
          <w:p>
            <w:pPr>
              <w:pStyle w:val="Compact"/>
              <w:jc w:val="right"/>
            </w:pPr>
            <w:r>
              <w:t xml:space="preserve">0.07</w:t>
            </w:r>
          </w:p>
        </w:tc>
        <w:tc>
          <w:p>
            <w:pPr>
              <w:pStyle w:val="Compact"/>
              <w:jc w:val="right"/>
            </w:pPr>
            <w:r>
              <w:t xml:space="preserve">(0.04, 0.10)</w:t>
            </w:r>
          </w:p>
        </w:tc>
      </w:tr>
      <w:tr>
        <w:tc>
          <w:p>
            <w:pPr>
              <w:pStyle w:val="Compact"/>
              <w:jc w:val="right"/>
            </w:pPr>
            <w:r>
              <w:t xml:space="preserve">True prevalence</w:t>
            </w:r>
          </w:p>
        </w:tc>
        <w:tc>
          <w:p>
            <w:pPr>
              <w:pStyle w:val="Compact"/>
              <w:jc w:val="right"/>
            </w:pPr>
            <w:r>
              <w:t xml:space="preserve">0.04</w:t>
            </w:r>
          </w:p>
        </w:tc>
        <w:tc>
          <w:p>
            <w:pPr>
              <w:pStyle w:val="Compact"/>
              <w:jc w:val="right"/>
            </w:pPr>
            <w:r>
              <w:t xml:space="preserve">(0.02, 0.07)</w:t>
            </w:r>
          </w:p>
        </w:tc>
      </w:tr>
      <w:tr>
        <w:tc>
          <w:p>
            <w:pPr>
              <w:pStyle w:val="Compact"/>
              <w:jc w:val="right"/>
            </w:pPr>
            <w:r>
              <w:t xml:space="preserve">Sensitivity</w:t>
            </w:r>
          </w:p>
        </w:tc>
        <w:tc>
          <w:p>
            <w:pPr>
              <w:pStyle w:val="Compact"/>
              <w:jc w:val="right"/>
            </w:pPr>
            <w:r>
              <w:t xml:space="preserve">0.73</w:t>
            </w:r>
          </w:p>
        </w:tc>
        <w:tc>
          <w:p>
            <w:pPr>
              <w:pStyle w:val="Compact"/>
              <w:jc w:val="right"/>
            </w:pPr>
            <w:r>
              <w:t xml:space="preserve">(0.39, 0.94)</w:t>
            </w:r>
          </w:p>
        </w:tc>
      </w:tr>
      <w:tr>
        <w:tc>
          <w:p>
            <w:pPr>
              <w:pStyle w:val="Compact"/>
              <w:jc w:val="right"/>
            </w:pPr>
            <w:r>
              <w:t xml:space="preserve">Specificity</w:t>
            </w:r>
          </w:p>
        </w:tc>
        <w:tc>
          <w:p>
            <w:pPr>
              <w:pStyle w:val="Compact"/>
              <w:jc w:val="right"/>
            </w:pPr>
            <w:r>
              <w:t xml:space="preserve">0.96</w:t>
            </w:r>
          </w:p>
        </w:tc>
        <w:tc>
          <w:p>
            <w:pPr>
              <w:pStyle w:val="Compact"/>
              <w:jc w:val="right"/>
            </w:pPr>
            <w:r>
              <w:t xml:space="preserve">(0.93, 0.98)</w:t>
            </w:r>
          </w:p>
        </w:tc>
      </w:tr>
      <w:tr>
        <w:tc>
          <w:p>
            <w:pPr>
              <w:pStyle w:val="Compact"/>
              <w:jc w:val="right"/>
            </w:pPr>
            <w:r>
              <w:t xml:space="preserve">Positive predictive value</w:t>
            </w:r>
          </w:p>
        </w:tc>
        <w:tc>
          <w:p>
            <w:pPr>
              <w:pStyle w:val="Compact"/>
              <w:jc w:val="right"/>
            </w:pPr>
            <w:r>
              <w:t xml:space="preserve">0.42</w:t>
            </w:r>
          </w:p>
        </w:tc>
        <w:tc>
          <w:p>
            <w:pPr>
              <w:pStyle w:val="Compact"/>
              <w:jc w:val="right"/>
            </w:pPr>
            <w:r>
              <w:t xml:space="preserve">(0.20, 0.67)</w:t>
            </w:r>
          </w:p>
        </w:tc>
      </w:tr>
      <w:tr>
        <w:tc>
          <w:p>
            <w:pPr>
              <w:pStyle w:val="Compact"/>
              <w:jc w:val="right"/>
            </w:pPr>
            <w:r>
              <w:t xml:space="preserve">Negative predictive value</w:t>
            </w:r>
          </w:p>
        </w:tc>
        <w:tc>
          <w:p>
            <w:pPr>
              <w:pStyle w:val="Compact"/>
              <w:jc w:val="right"/>
            </w:pPr>
            <w:r>
              <w:t xml:space="preserve">0.99</w:t>
            </w:r>
          </w:p>
        </w:tc>
        <w:tc>
          <w:p>
            <w:pPr>
              <w:pStyle w:val="Compact"/>
              <w:jc w:val="right"/>
            </w:pPr>
            <w:r>
              <w:t xml:space="preserve">(0.97, 1.00)</w:t>
            </w:r>
          </w:p>
        </w:tc>
      </w:tr>
      <w:tr>
        <w:tc>
          <w:p>
            <w:pPr>
              <w:pStyle w:val="Compact"/>
              <w:jc w:val="right"/>
            </w:pPr>
            <w:r>
              <w:t xml:space="preserve">Positive likelihood ratio</w:t>
            </w:r>
          </w:p>
        </w:tc>
        <w:tc>
          <w:p>
            <w:pPr>
              <w:pStyle w:val="Compact"/>
              <w:jc w:val="right"/>
            </w:pPr>
            <w:r>
              <w:t xml:space="preserve">18.18</w:t>
            </w:r>
          </w:p>
        </w:tc>
        <w:tc>
          <w:p>
            <w:pPr>
              <w:pStyle w:val="Compact"/>
              <w:jc w:val="right"/>
            </w:pPr>
            <w:r>
              <w:t xml:space="preserve">(9.19, 35.99)</w:t>
            </w:r>
          </w:p>
        </w:tc>
      </w:tr>
      <w:tr>
        <w:tc>
          <w:p>
            <w:pPr>
              <w:pStyle w:val="Compact"/>
              <w:jc w:val="right"/>
            </w:pPr>
            <w:r>
              <w:t xml:space="preserve">Negative likelihood ratio</w:t>
            </w:r>
          </w:p>
        </w:tc>
        <w:tc>
          <w:p>
            <w:pPr>
              <w:pStyle w:val="Compact"/>
              <w:jc w:val="right"/>
            </w:pPr>
            <w:r>
              <w:t xml:space="preserve">0.28</w:t>
            </w:r>
          </w:p>
        </w:tc>
        <w:tc>
          <w:p>
            <w:pPr>
              <w:pStyle w:val="Compact"/>
              <w:jc w:val="right"/>
            </w:pPr>
            <w:r>
              <w:t xml:space="preserve">(0.11, 0.75)</w:t>
            </w:r>
          </w:p>
        </w:tc>
      </w:tr>
    </w:tbl>
    <w:p>
      <w:pPr>
        <w:pStyle w:val="Heading3"/>
      </w:pPr>
      <w:bookmarkStart w:id="30" w:name="inter-rater-reliability"/>
      <w:r>
        <w:t xml:space="preserve">Inter-rater reliability</w:t>
      </w:r>
      <w:bookmarkEnd w:id="30"/>
    </w:p>
    <w:p>
      <w:pPr>
        <w:pStyle w:val="Heading3"/>
      </w:pPr>
      <w:bookmarkStart w:id="31" w:name="personnel-hours"/>
      <w:r>
        <w:t xml:space="preserve">Personnel-hours</w:t>
      </w:r>
      <w:bookmarkEnd w:id="31"/>
    </w:p>
    <w:p>
      <w:pPr>
        <w:pStyle w:val="Heading2"/>
      </w:pPr>
      <w:bookmarkStart w:id="32" w:name="diagnosis-codes"/>
      <w:r>
        <w:t xml:space="preserve">Diagnosis Codes</w:t>
      </w:r>
      <w:bookmarkEnd w:id="32"/>
    </w:p>
    <w:tbl>
      <w:tblPr>
        <w:tblStyle w:val="Table"/>
        <w:tblW w:type="pct" w:w="3541.6666666666665"/>
        <w:tblLook w:firstRow="1"/>
      </w:tblPr>
      <w:tblGrid>
        <w:gridCol w:w="2640"/>
        <w:gridCol w:w="990"/>
        <w:gridCol w:w="990"/>
        <w:gridCol w:w="99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Total</w:t>
            </w:r>
          </w:p>
        </w:tc>
      </w:tr>
      <w:tr>
        <w:tc>
          <w:p>
            <w:pPr>
              <w:pStyle w:val="Compact"/>
              <w:jc w:val="right"/>
            </w:pPr>
            <w:r>
              <w:rPr>
                <w:b/>
              </w:rPr>
              <w:t xml:space="preserve">Diagnosis Codes +</w:t>
            </w:r>
          </w:p>
        </w:tc>
        <w:tc>
          <w:p>
            <w:pPr>
              <w:pStyle w:val="Compact"/>
              <w:jc w:val="right"/>
            </w:pPr>
            <w:r>
              <w:t xml:space="preserve">6</w:t>
            </w:r>
          </w:p>
        </w:tc>
        <w:tc>
          <w:p>
            <w:pPr>
              <w:pStyle w:val="Compact"/>
              <w:jc w:val="right"/>
            </w:pPr>
            <w:r>
              <w:t xml:space="preserve">19</w:t>
            </w:r>
          </w:p>
        </w:tc>
        <w:tc>
          <w:p>
            <w:pPr>
              <w:pStyle w:val="Compact"/>
              <w:jc w:val="right"/>
            </w:pPr>
            <w:r>
              <w:t xml:space="preserve">25</w:t>
            </w:r>
          </w:p>
        </w:tc>
      </w:tr>
      <w:tr>
        <w:tc>
          <w:p>
            <w:pPr>
              <w:pStyle w:val="Compact"/>
              <w:jc w:val="right"/>
            </w:pPr>
            <w:r>
              <w:rPr>
                <w:b/>
              </w:rPr>
              <w:t xml:space="preserve">Diagnosis Codes -</w:t>
            </w:r>
          </w:p>
        </w:tc>
        <w:tc>
          <w:p>
            <w:pPr>
              <w:pStyle w:val="Compact"/>
              <w:jc w:val="right"/>
            </w:pPr>
            <w:r>
              <w:t xml:space="preserve">5</w:t>
            </w:r>
          </w:p>
        </w:tc>
        <w:tc>
          <w:p>
            <w:pPr>
              <w:pStyle w:val="Compact"/>
              <w:jc w:val="right"/>
            </w:pPr>
            <w:r>
              <w:t xml:space="preserve">256</w:t>
            </w:r>
          </w:p>
        </w:tc>
        <w:tc>
          <w:p>
            <w:pPr>
              <w:pStyle w:val="Compact"/>
              <w:jc w:val="right"/>
            </w:pPr>
            <w:r>
              <w:t xml:space="preserve">261</w:t>
            </w:r>
          </w:p>
        </w:tc>
      </w:tr>
      <w:tr>
        <w:tc>
          <w:p>
            <w:pPr>
              <w:pStyle w:val="Compact"/>
              <w:jc w:val="right"/>
            </w:pPr>
            <w:r>
              <w:rPr>
                <w:b/>
              </w:rPr>
              <w:t xml:space="preserve">Total</w:t>
            </w:r>
          </w:p>
        </w:tc>
        <w:tc>
          <w:p>
            <w:pPr>
              <w:pStyle w:val="Compact"/>
              <w:jc w:val="right"/>
            </w:pPr>
            <w:r>
              <w:t xml:space="preserve">11</w:t>
            </w:r>
          </w:p>
        </w:tc>
        <w:tc>
          <w:p>
            <w:pPr>
              <w:pStyle w:val="Compact"/>
              <w:jc w:val="right"/>
            </w:pPr>
            <w:r>
              <w:t xml:space="preserve">275</w:t>
            </w:r>
          </w:p>
        </w:tc>
        <w:tc>
          <w:p>
            <w:pPr>
              <w:pStyle w:val="Compact"/>
              <w:jc w:val="right"/>
            </w:pPr>
            <w:r>
              <w:t xml:space="preserve">286</w:t>
            </w:r>
          </w:p>
        </w:tc>
      </w:tr>
    </w:tbl>
    <w:tbl>
      <w:tblPr>
        <w:tblStyle w:val="Table"/>
        <w:tblW w:type="pct" w:w="3819.444444444445"/>
        <w:tblLook w:firstRow="1"/>
      </w:tblPr>
      <w:tblGrid>
        <w:gridCol w:w="3080"/>
        <w:gridCol w:w="1210"/>
        <w:gridCol w:w="176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CI</w:t>
            </w:r>
          </w:p>
        </w:tc>
      </w:tr>
      <w:tr>
        <w:tc>
          <w:p>
            <w:pPr>
              <w:pStyle w:val="Compact"/>
              <w:jc w:val="right"/>
            </w:pPr>
            <w:r>
              <w:t xml:space="preserve">Apparent prevalence</w:t>
            </w:r>
          </w:p>
        </w:tc>
        <w:tc>
          <w:p>
            <w:pPr>
              <w:pStyle w:val="Compact"/>
              <w:jc w:val="right"/>
            </w:pPr>
            <w:r>
              <w:t xml:space="preserve">0.09</w:t>
            </w:r>
          </w:p>
        </w:tc>
        <w:tc>
          <w:p>
            <w:pPr>
              <w:pStyle w:val="Compact"/>
              <w:jc w:val="right"/>
            </w:pPr>
            <w:r>
              <w:t xml:space="preserve">(0.06, 0.13)</w:t>
            </w:r>
          </w:p>
        </w:tc>
      </w:tr>
      <w:tr>
        <w:tc>
          <w:p>
            <w:pPr>
              <w:pStyle w:val="Compact"/>
              <w:jc w:val="right"/>
            </w:pPr>
            <w:r>
              <w:t xml:space="preserve">True prevalence</w:t>
            </w:r>
          </w:p>
        </w:tc>
        <w:tc>
          <w:p>
            <w:pPr>
              <w:pStyle w:val="Compact"/>
              <w:jc w:val="right"/>
            </w:pPr>
            <w:r>
              <w:t xml:space="preserve">0.04</w:t>
            </w:r>
          </w:p>
        </w:tc>
        <w:tc>
          <w:p>
            <w:pPr>
              <w:pStyle w:val="Compact"/>
              <w:jc w:val="right"/>
            </w:pPr>
            <w:r>
              <w:t xml:space="preserve">(0.02, 0.07)</w:t>
            </w:r>
          </w:p>
        </w:tc>
      </w:tr>
      <w:tr>
        <w:tc>
          <w:p>
            <w:pPr>
              <w:pStyle w:val="Compact"/>
              <w:jc w:val="right"/>
            </w:pPr>
            <w:r>
              <w:t xml:space="preserve">Sensitivity</w:t>
            </w:r>
          </w:p>
        </w:tc>
        <w:tc>
          <w:p>
            <w:pPr>
              <w:pStyle w:val="Compact"/>
              <w:jc w:val="right"/>
            </w:pPr>
            <w:r>
              <w:t xml:space="preserve">0.55</w:t>
            </w:r>
          </w:p>
        </w:tc>
        <w:tc>
          <w:p>
            <w:pPr>
              <w:pStyle w:val="Compact"/>
              <w:jc w:val="right"/>
            </w:pPr>
            <w:r>
              <w:t xml:space="preserve">(0.23, 0.83)</w:t>
            </w:r>
          </w:p>
        </w:tc>
      </w:tr>
      <w:tr>
        <w:tc>
          <w:p>
            <w:pPr>
              <w:pStyle w:val="Compact"/>
              <w:jc w:val="right"/>
            </w:pPr>
            <w:r>
              <w:t xml:space="preserve">Specificity</w:t>
            </w:r>
          </w:p>
        </w:tc>
        <w:tc>
          <w:p>
            <w:pPr>
              <w:pStyle w:val="Compact"/>
              <w:jc w:val="right"/>
            </w:pPr>
            <w:r>
              <w:t xml:space="preserve">0.93</w:t>
            </w:r>
          </w:p>
        </w:tc>
        <w:tc>
          <w:p>
            <w:pPr>
              <w:pStyle w:val="Compact"/>
              <w:jc w:val="right"/>
            </w:pPr>
            <w:r>
              <w:t xml:space="preserve">(0.89, 0.96)</w:t>
            </w:r>
          </w:p>
        </w:tc>
      </w:tr>
      <w:tr>
        <w:tc>
          <w:p>
            <w:pPr>
              <w:pStyle w:val="Compact"/>
              <w:jc w:val="right"/>
            </w:pPr>
            <w:r>
              <w:t xml:space="preserve">Positive predictive value</w:t>
            </w:r>
          </w:p>
        </w:tc>
        <w:tc>
          <w:p>
            <w:pPr>
              <w:pStyle w:val="Compact"/>
              <w:jc w:val="right"/>
            </w:pPr>
            <w:r>
              <w:t xml:space="preserve">0.24</w:t>
            </w:r>
          </w:p>
        </w:tc>
        <w:tc>
          <w:p>
            <w:pPr>
              <w:pStyle w:val="Compact"/>
              <w:jc w:val="right"/>
            </w:pPr>
            <w:r>
              <w:t xml:space="preserve">(0.09, 0.45)</w:t>
            </w:r>
          </w:p>
        </w:tc>
      </w:tr>
      <w:tr>
        <w:tc>
          <w:p>
            <w:pPr>
              <w:pStyle w:val="Compact"/>
              <w:jc w:val="right"/>
            </w:pPr>
            <w:r>
              <w:t xml:space="preserve">Negative predictive value</w:t>
            </w:r>
          </w:p>
        </w:tc>
        <w:tc>
          <w:p>
            <w:pPr>
              <w:pStyle w:val="Compact"/>
              <w:jc w:val="right"/>
            </w:pPr>
            <w:r>
              <w:t xml:space="preserve">0.98</w:t>
            </w:r>
          </w:p>
        </w:tc>
        <w:tc>
          <w:p>
            <w:pPr>
              <w:pStyle w:val="Compact"/>
              <w:jc w:val="right"/>
            </w:pPr>
            <w:r>
              <w:t xml:space="preserve">(0.96, 0.99)</w:t>
            </w:r>
          </w:p>
        </w:tc>
      </w:tr>
      <w:tr>
        <w:tc>
          <w:p>
            <w:pPr>
              <w:pStyle w:val="Compact"/>
              <w:jc w:val="right"/>
            </w:pPr>
            <w:r>
              <w:t xml:space="preserve">Positive likelihood ratio</w:t>
            </w:r>
          </w:p>
        </w:tc>
        <w:tc>
          <w:p>
            <w:pPr>
              <w:pStyle w:val="Compact"/>
              <w:jc w:val="right"/>
            </w:pPr>
            <w:r>
              <w:t xml:space="preserve">7.89</w:t>
            </w:r>
          </w:p>
        </w:tc>
        <w:tc>
          <w:p>
            <w:pPr>
              <w:pStyle w:val="Compact"/>
              <w:jc w:val="right"/>
            </w:pPr>
            <w:r>
              <w:t xml:space="preserve">(3.95, 15.78)</w:t>
            </w:r>
          </w:p>
        </w:tc>
      </w:tr>
      <w:tr>
        <w:tc>
          <w:p>
            <w:pPr>
              <w:pStyle w:val="Compact"/>
              <w:jc w:val="right"/>
            </w:pPr>
            <w:r>
              <w:t xml:space="preserve">Negative likelihood ratio</w:t>
            </w:r>
          </w:p>
        </w:tc>
        <w:tc>
          <w:p>
            <w:pPr>
              <w:pStyle w:val="Compact"/>
              <w:jc w:val="right"/>
            </w:pPr>
            <w:r>
              <w:t xml:space="preserve">0.49</w:t>
            </w:r>
          </w:p>
        </w:tc>
        <w:tc>
          <w:p>
            <w:pPr>
              <w:pStyle w:val="Compact"/>
              <w:jc w:val="right"/>
            </w:pPr>
            <w:r>
              <w:t xml:space="preserve">(0.26, 0.93)</w:t>
            </w:r>
          </w:p>
        </w:tc>
      </w:tr>
    </w:tbl>
    <w:p>
      <w:pPr>
        <w:pStyle w:val="Heading2"/>
      </w:pPr>
      <w:bookmarkStart w:id="33" w:name="clinithink-nlp-1"/>
      <w:r>
        <w:t xml:space="preserve">Clinithink NLP</w:t>
      </w:r>
      <w:bookmarkEnd w:id="33"/>
    </w:p>
    <w:tbl>
      <w:tblPr>
        <w:tblStyle w:val="Table"/>
        <w:tblW w:type="pct" w:w="3541.6666666666665"/>
        <w:tblLook w:firstRow="1"/>
      </w:tblPr>
      <w:tblGrid>
        <w:gridCol w:w="2640"/>
        <w:gridCol w:w="990"/>
        <w:gridCol w:w="990"/>
        <w:gridCol w:w="99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NASH -</w:t>
            </w:r>
          </w:p>
        </w:tc>
        <w:tc>
          <w:tcPr>
            <w:tcBorders>
              <w:bottom w:val="single"/>
            </w:tcBorders>
            <w:vAlign w:val="bottom"/>
          </w:tcPr>
          <w:p>
            <w:pPr>
              <w:pStyle w:val="Compact"/>
              <w:jc w:val="right"/>
            </w:pPr>
            <w:r>
              <w:t xml:space="preserve">Total</w:t>
            </w:r>
          </w:p>
        </w:tc>
      </w:tr>
      <w:tr>
        <w:tc>
          <w:p>
            <w:pPr>
              <w:pStyle w:val="Compact"/>
              <w:jc w:val="right"/>
            </w:pPr>
            <w:r>
              <w:rPr>
                <w:b/>
              </w:rPr>
              <w:t xml:space="preserve">Diagnosis Codes +</w:t>
            </w:r>
          </w:p>
        </w:tc>
        <w:tc>
          <w:p>
            <w:pPr>
              <w:pStyle w:val="Compact"/>
              <w:jc w:val="right"/>
            </w:pPr>
            <w:r>
              <w:t xml:space="preserve">8</w:t>
            </w:r>
          </w:p>
        </w:tc>
        <w:tc>
          <w:p>
            <w:pPr>
              <w:pStyle w:val="Compact"/>
              <w:jc w:val="right"/>
            </w:pPr>
            <w:r>
              <w:t xml:space="preserve">13</w:t>
            </w:r>
          </w:p>
        </w:tc>
        <w:tc>
          <w:p>
            <w:pPr>
              <w:pStyle w:val="Compact"/>
              <w:jc w:val="right"/>
            </w:pPr>
            <w:r>
              <w:t xml:space="preserve">21</w:t>
            </w:r>
          </w:p>
        </w:tc>
      </w:tr>
      <w:tr>
        <w:tc>
          <w:p>
            <w:pPr>
              <w:pStyle w:val="Compact"/>
              <w:jc w:val="right"/>
            </w:pPr>
            <w:r>
              <w:rPr>
                <w:b/>
              </w:rPr>
              <w:t xml:space="preserve">Diagnosis Codes -</w:t>
            </w:r>
          </w:p>
        </w:tc>
        <w:tc>
          <w:p>
            <w:pPr>
              <w:pStyle w:val="Compact"/>
              <w:jc w:val="right"/>
            </w:pPr>
            <w:r>
              <w:t xml:space="preserve">3</w:t>
            </w:r>
          </w:p>
        </w:tc>
        <w:tc>
          <w:p>
            <w:pPr>
              <w:pStyle w:val="Compact"/>
              <w:jc w:val="right"/>
            </w:pPr>
            <w:r>
              <w:t xml:space="preserve">262</w:t>
            </w:r>
          </w:p>
        </w:tc>
        <w:tc>
          <w:p>
            <w:pPr>
              <w:pStyle w:val="Compact"/>
              <w:jc w:val="right"/>
            </w:pPr>
            <w:r>
              <w:t xml:space="preserve">265</w:t>
            </w:r>
          </w:p>
        </w:tc>
      </w:tr>
      <w:tr>
        <w:tc>
          <w:p>
            <w:pPr>
              <w:pStyle w:val="Compact"/>
              <w:jc w:val="right"/>
            </w:pPr>
            <w:r>
              <w:rPr>
                <w:b/>
              </w:rPr>
              <w:t xml:space="preserve">Total</w:t>
            </w:r>
          </w:p>
        </w:tc>
        <w:tc>
          <w:p>
            <w:pPr>
              <w:pStyle w:val="Compact"/>
              <w:jc w:val="right"/>
            </w:pPr>
            <w:r>
              <w:t xml:space="preserve">11</w:t>
            </w:r>
          </w:p>
        </w:tc>
        <w:tc>
          <w:p>
            <w:pPr>
              <w:pStyle w:val="Compact"/>
              <w:jc w:val="right"/>
            </w:pPr>
            <w:r>
              <w:t xml:space="preserve">275</w:t>
            </w:r>
          </w:p>
        </w:tc>
        <w:tc>
          <w:p>
            <w:pPr>
              <w:pStyle w:val="Compact"/>
              <w:jc w:val="right"/>
            </w:pPr>
            <w:r>
              <w:t xml:space="preserve">286</w:t>
            </w:r>
          </w:p>
        </w:tc>
      </w:tr>
    </w:tbl>
    <w:tbl>
      <w:tblPr>
        <w:tblStyle w:val="Table"/>
        <w:tblW w:type="pct" w:w="3819.444444444445"/>
        <w:tblLook w:firstRow="1"/>
      </w:tblPr>
      <w:tblGrid>
        <w:gridCol w:w="3080"/>
        <w:gridCol w:w="1210"/>
        <w:gridCol w:w="1760"/>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CI</w:t>
            </w:r>
          </w:p>
        </w:tc>
      </w:tr>
      <w:tr>
        <w:tc>
          <w:p>
            <w:pPr>
              <w:pStyle w:val="Compact"/>
              <w:jc w:val="right"/>
            </w:pPr>
            <w:r>
              <w:t xml:space="preserve">Apparent prevalence</w:t>
            </w:r>
          </w:p>
        </w:tc>
        <w:tc>
          <w:p>
            <w:pPr>
              <w:pStyle w:val="Compact"/>
              <w:jc w:val="right"/>
            </w:pPr>
            <w:r>
              <w:t xml:space="preserve">0.07</w:t>
            </w:r>
          </w:p>
        </w:tc>
        <w:tc>
          <w:p>
            <w:pPr>
              <w:pStyle w:val="Compact"/>
              <w:jc w:val="right"/>
            </w:pPr>
            <w:r>
              <w:t xml:space="preserve">(0.05, 0.11)</w:t>
            </w:r>
          </w:p>
        </w:tc>
      </w:tr>
      <w:tr>
        <w:tc>
          <w:p>
            <w:pPr>
              <w:pStyle w:val="Compact"/>
              <w:jc w:val="right"/>
            </w:pPr>
            <w:r>
              <w:t xml:space="preserve">True prevalence</w:t>
            </w:r>
          </w:p>
        </w:tc>
        <w:tc>
          <w:p>
            <w:pPr>
              <w:pStyle w:val="Compact"/>
              <w:jc w:val="right"/>
            </w:pPr>
            <w:r>
              <w:t xml:space="preserve">0.04</w:t>
            </w:r>
          </w:p>
        </w:tc>
        <w:tc>
          <w:p>
            <w:pPr>
              <w:pStyle w:val="Compact"/>
              <w:jc w:val="right"/>
            </w:pPr>
            <w:r>
              <w:t xml:space="preserve">(0.02, 0.07)</w:t>
            </w:r>
          </w:p>
        </w:tc>
      </w:tr>
      <w:tr>
        <w:tc>
          <w:p>
            <w:pPr>
              <w:pStyle w:val="Compact"/>
              <w:jc w:val="right"/>
            </w:pPr>
            <w:r>
              <w:t xml:space="preserve">Sensitivity</w:t>
            </w:r>
          </w:p>
        </w:tc>
        <w:tc>
          <w:p>
            <w:pPr>
              <w:pStyle w:val="Compact"/>
              <w:jc w:val="right"/>
            </w:pPr>
            <w:r>
              <w:t xml:space="preserve">0.73</w:t>
            </w:r>
          </w:p>
        </w:tc>
        <w:tc>
          <w:p>
            <w:pPr>
              <w:pStyle w:val="Compact"/>
              <w:jc w:val="right"/>
            </w:pPr>
            <w:r>
              <w:t xml:space="preserve">(0.39, 0.94)</w:t>
            </w:r>
          </w:p>
        </w:tc>
      </w:tr>
      <w:tr>
        <w:tc>
          <w:p>
            <w:pPr>
              <w:pStyle w:val="Compact"/>
              <w:jc w:val="right"/>
            </w:pPr>
            <w:r>
              <w:t xml:space="preserve">Specificity</w:t>
            </w:r>
          </w:p>
        </w:tc>
        <w:tc>
          <w:p>
            <w:pPr>
              <w:pStyle w:val="Compact"/>
              <w:jc w:val="right"/>
            </w:pPr>
            <w:r>
              <w:t xml:space="preserve">0.95</w:t>
            </w:r>
          </w:p>
        </w:tc>
        <w:tc>
          <w:p>
            <w:pPr>
              <w:pStyle w:val="Compact"/>
              <w:jc w:val="right"/>
            </w:pPr>
            <w:r>
              <w:t xml:space="preserve">(0.92, 0.97)</w:t>
            </w:r>
          </w:p>
        </w:tc>
      </w:tr>
      <w:tr>
        <w:tc>
          <w:p>
            <w:pPr>
              <w:pStyle w:val="Compact"/>
              <w:jc w:val="right"/>
            </w:pPr>
            <w:r>
              <w:t xml:space="preserve">Positive predictive value</w:t>
            </w:r>
          </w:p>
        </w:tc>
        <w:tc>
          <w:p>
            <w:pPr>
              <w:pStyle w:val="Compact"/>
              <w:jc w:val="right"/>
            </w:pPr>
            <w:r>
              <w:t xml:space="preserve">0.38</w:t>
            </w:r>
          </w:p>
        </w:tc>
        <w:tc>
          <w:p>
            <w:pPr>
              <w:pStyle w:val="Compact"/>
              <w:jc w:val="right"/>
            </w:pPr>
            <w:r>
              <w:t xml:space="preserve">(0.18, 0.62)</w:t>
            </w:r>
          </w:p>
        </w:tc>
      </w:tr>
      <w:tr>
        <w:tc>
          <w:p>
            <w:pPr>
              <w:pStyle w:val="Compact"/>
              <w:jc w:val="right"/>
            </w:pPr>
            <w:r>
              <w:t xml:space="preserve">Negative predictive value</w:t>
            </w:r>
          </w:p>
        </w:tc>
        <w:tc>
          <w:p>
            <w:pPr>
              <w:pStyle w:val="Compact"/>
              <w:jc w:val="right"/>
            </w:pPr>
            <w:r>
              <w:t xml:space="preserve">0.99</w:t>
            </w:r>
          </w:p>
        </w:tc>
        <w:tc>
          <w:p>
            <w:pPr>
              <w:pStyle w:val="Compact"/>
              <w:jc w:val="right"/>
            </w:pPr>
            <w:r>
              <w:t xml:space="preserve">(0.97, 1.00)</w:t>
            </w:r>
          </w:p>
        </w:tc>
      </w:tr>
      <w:tr>
        <w:tc>
          <w:p>
            <w:pPr>
              <w:pStyle w:val="Compact"/>
              <w:jc w:val="right"/>
            </w:pPr>
            <w:r>
              <w:t xml:space="preserve">Positive likelihood ratio</w:t>
            </w:r>
          </w:p>
        </w:tc>
        <w:tc>
          <w:p>
            <w:pPr>
              <w:pStyle w:val="Compact"/>
              <w:jc w:val="right"/>
            </w:pPr>
            <w:r>
              <w:t xml:space="preserve">15.38</w:t>
            </w:r>
          </w:p>
        </w:tc>
        <w:tc>
          <w:p>
            <w:pPr>
              <w:pStyle w:val="Compact"/>
              <w:jc w:val="right"/>
            </w:pPr>
            <w:r>
              <w:t xml:space="preserve">(8.09, 29.24)</w:t>
            </w:r>
          </w:p>
        </w:tc>
      </w:tr>
      <w:tr>
        <w:tc>
          <w:p>
            <w:pPr>
              <w:pStyle w:val="Compact"/>
              <w:jc w:val="right"/>
            </w:pPr>
            <w:r>
              <w:t xml:space="preserve">Negative likelihood ratio</w:t>
            </w:r>
          </w:p>
        </w:tc>
        <w:tc>
          <w:p>
            <w:pPr>
              <w:pStyle w:val="Compact"/>
              <w:jc w:val="right"/>
            </w:pPr>
            <w:r>
              <w:t xml:space="preserve">0.29</w:t>
            </w:r>
          </w:p>
        </w:tc>
        <w:tc>
          <w:p>
            <w:pPr>
              <w:pStyle w:val="Compact"/>
              <w:jc w:val="right"/>
            </w:pPr>
            <w:r>
              <w:t xml:space="preserve">(0.11, 0.75)</w:t>
            </w:r>
          </w:p>
        </w:tc>
      </w:tr>
    </w:tbl>
    <w:p>
      <w:pPr>
        <w:pStyle w:val="Heading2"/>
      </w:pPr>
      <w:bookmarkStart w:id="34" w:name="Xf9b0df441e6ba5c57ffa16761dc7dfd9b6971ad"/>
      <w:r>
        <w:t xml:space="preserve">Agreement and disagreement between screening methods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clinithink_manuscript_draft_files/figure-docx/upset_matrix-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 UpSet diagram showing which patients were identified by which</w:t>
      </w:r>
      <w:r>
        <w:t xml:space="preserve"> </w:t>
      </w:r>
      <w:r>
        <w:t xml:space="preserve">combination of screening methods.</w:t>
      </w:r>
      <w:r>
        <w:t xml:space="preserve"> </w:t>
      </w:r>
      <w:r>
        <w:rPr>
          <w:rStyle w:val="Note2self"/>
        </w:rPr>
        <w:t xml:space="preserve">[Note that the largest single group</w:t>
      </w:r>
      <w:r>
        <w:rPr>
          <w:rStyle w:val="Note2self"/>
        </w:rPr>
        <w:t xml:space="preserve"> </w:t>
      </w:r>
      <w:r>
        <w:rPr>
          <w:rStyle w:val="Note2self"/>
        </w:rPr>
        <w:t xml:space="preserve">currently are 14 patients identified by ICD10 codes only. Note also that</w:t>
      </w:r>
      <w:r>
        <w:rPr>
          <w:rStyle w:val="Note2self"/>
        </w:rPr>
        <w:t xml:space="preserve"> </w:t>
      </w:r>
      <w:r>
        <w:rPr>
          <w:rStyle w:val="Note2self"/>
        </w:rPr>
        <w:t xml:space="preserve">there are 5 patients identified by all three screening methods and</w:t>
      </w:r>
      <w:r>
        <w:rPr>
          <w:rStyle w:val="Note2self"/>
        </w:rPr>
        <w:t xml:space="preserve"> </w:t>
      </w:r>
      <w:r>
        <w:rPr>
          <w:rStyle w:val="Note2self"/>
        </w:rPr>
        <w:t xml:space="preserve">verified. There are also 3 patients identified by all three methods but</w:t>
      </w:r>
      <w:r>
        <w:rPr>
          <w:rStyle w:val="Note2self"/>
        </w:rPr>
        <w:t xml:space="preserve"> </w:t>
      </w:r>
      <w:r>
        <w:rPr>
          <w:rStyle w:val="Note2self"/>
        </w:rPr>
        <w:t xml:space="preserve">not verified.]</w:t>
      </w:r>
    </w:p>
    <w:p>
      <w:pPr>
        <w:pStyle w:val="Heading2"/>
      </w:pPr>
      <w:bookmarkStart w:id="36" w:name="overall-performance"/>
      <w:r>
        <w:t xml:space="preserve">Overall performance</w:t>
      </w:r>
      <w:bookmarkEnd w:id="36"/>
    </w:p>
    <w:p>
      <w:pPr>
        <w:pStyle w:val="FirstParagraph"/>
      </w:pPr>
      <w:r>
        <w:drawing>
          <wp:inline>
            <wp:extent cx="5943600" cy="5943600"/>
            <wp:effectExtent b="0" l="0" r="0" t="0"/>
            <wp:docPr descr="" title="" id="1" name="Picture"/>
            <a:graphic>
              <a:graphicData uri="http://schemas.openxmlformats.org/drawingml/2006/picture">
                <pic:pic>
                  <pic:nvPicPr>
                    <pic:cNvPr descr="clinithink_manuscript_draft_files/figure-docx/overall_performance-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1"/>
      </w:pPr>
      <w:bookmarkStart w:id="38" w:name="discussion"/>
      <w:r>
        <w:t xml:space="preserve">Discussion</w:t>
      </w:r>
      <w:bookmarkEnd w:id="38"/>
    </w:p>
    <w:p>
      <w:pPr>
        <w:pStyle w:val="FirstParagraph"/>
      </w:pPr>
      <w:r>
        <w:t xml:space="preserve">Recently,</w:t>
      </w:r>
      <w:r>
        <w:t xml:space="preserve"> </w:t>
      </w:r>
      <w:r>
        <w:t xml:space="preserve">Van Vleck</w:t>
      </w:r>
      <w:r>
        <w:t xml:space="preserve"> </w:t>
      </w:r>
      <w:r>
        <w:rPr>
          <w:i/>
        </w:rPr>
        <w:t xml:space="preserve">et al.</w:t>
      </w:r>
      <w:r>
        <w:t xml:space="preserve"> </w:t>
      </w:r>
      <w:r>
        <w:t xml:space="preserve">(2019)</w:t>
      </w:r>
      <w:r>
        <w:t xml:space="preserve"> </w:t>
      </w:r>
      <w:r>
        <w:t xml:space="preserve">published results from using this algorithm to identify</w:t>
      </w:r>
      <w:r>
        <w:t xml:space="preserve"> </w:t>
      </w:r>
      <w:r>
        <w:t xml:space="preserve">NALD leaving open the question of</w:t>
      </w:r>
      <w:r>
        <w:t xml:space="preserve"> </w:t>
      </w:r>
      <w:r>
        <w:rPr>
          <w:rStyle w:val="Note2self"/>
        </w:rPr>
        <w:t xml:space="preserve">[…]</w:t>
      </w:r>
      <w:r>
        <w:t xml:space="preserve"> </w:t>
      </w:r>
      <w:r>
        <w:t xml:space="preserve">which we address by</w:t>
      </w:r>
      <w:r>
        <w:t xml:space="preserve"> </w:t>
      </w:r>
      <w:r>
        <w:rPr>
          <w:rStyle w:val="Note2self"/>
        </w:rPr>
        <w:t xml:space="preserve">[…]</w:t>
      </w:r>
      <w:r>
        <w:t xml:space="preserve"> </w:t>
      </w:r>
      <w:r>
        <w:t xml:space="preserve">.</w:t>
      </w:r>
    </w:p>
    <w:p>
      <w:pPr>
        <w:pStyle w:val="TextBody"/>
      </w:pPr>
      <w:r>
        <w:t xml:space="preserve">Our results are broadly in agreement with theirs but in addition</w:t>
      </w:r>
      <w:r>
        <w:t xml:space="preserve"> </w:t>
      </w:r>
      <w:r>
        <w:rPr>
          <w:rStyle w:val="Note2self"/>
        </w:rPr>
        <w:t xml:space="preserve">[…]</w:t>
      </w:r>
    </w:p>
    <w:p>
      <w:pPr>
        <w:pStyle w:val="Bnote2self"/>
      </w:pPr>
      <w:r>
        <w:t xml:space="preserve">We need to find a way to distinguish ourselves from Van Vleck et al.</w:t>
      </w:r>
      <w:r>
        <w:t xml:space="preserve"> </w:t>
      </w:r>
      <w:r>
        <w:t xml:space="preserve">2019, because if this is all we report it’s basically a clone of their</w:t>
      </w:r>
      <w:r>
        <w:t xml:space="preserve"> </w:t>
      </w:r>
      <w:r>
        <w:t xml:space="preserve">paper but with a smaller sample size. Possible points to develop</w:t>
      </w:r>
      <w:r>
        <w:t xml:space="preserve"> </w:t>
      </w:r>
      <w:r>
        <w:t xml:space="preserve">further:</w:t>
      </w:r>
    </w:p>
    <w:p>
      <w:pPr>
        <w:pStyle w:val="Compact"/>
        <w:pStyle w:val="Bnote2self"/>
        <w:numPr>
          <w:numId w:val="1005"/>
          <w:ilvl w:val="0"/>
        </w:numPr>
      </w:pPr>
      <w:r>
        <w:t xml:space="preserve">Staff effort</w:t>
      </w:r>
    </w:p>
    <w:p>
      <w:pPr>
        <w:pStyle w:val="Compact"/>
        <w:pStyle w:val="Bnote2self"/>
        <w:numPr>
          <w:numId w:val="1005"/>
          <w:ilvl w:val="0"/>
        </w:numPr>
      </w:pPr>
      <w:r>
        <w:t xml:space="preserve">Inter-rater reliability</w:t>
      </w:r>
    </w:p>
    <w:p>
      <w:pPr>
        <w:pStyle w:val="Compact"/>
        <w:pStyle w:val="Bnote2self"/>
        <w:numPr>
          <w:numId w:val="1005"/>
          <w:ilvl w:val="0"/>
        </w:numPr>
      </w:pPr>
      <w:r>
        <w:t xml:space="preserve">What makes it easy for abstractors to overlook patients that are</w:t>
      </w:r>
      <w:r>
        <w:t xml:space="preserve"> </w:t>
      </w:r>
      <w:r>
        <w:t xml:space="preserve">specifically coded for NASH (or, why are patients coded for NASH</w:t>
      </w:r>
      <w:r>
        <w:t xml:space="preserve"> </w:t>
      </w:r>
      <w:r>
        <w:t xml:space="preserve">erroneously)</w:t>
      </w:r>
    </w:p>
    <w:p>
      <w:pPr>
        <w:pStyle w:val="Compact"/>
        <w:pStyle w:val="Bnote2self"/>
        <w:numPr>
          <w:numId w:val="1005"/>
          <w:ilvl w:val="0"/>
        </w:numPr>
      </w:pPr>
      <w:r>
        <w:t xml:space="preserve">Technically, Van Velck et al. focus on NALD and we focus on NASH, so</w:t>
      </w:r>
      <w:r>
        <w:t xml:space="preserve"> </w:t>
      </w:r>
      <w:r>
        <w:t xml:space="preserve">this could be framed as the next logical step building on their work</w:t>
      </w:r>
      <w:r>
        <w:t xml:space="preserve"> </w:t>
      </w:r>
      <w:r>
        <w:t xml:space="preserve">instead of them simply scooping us</w:t>
      </w:r>
    </w:p>
    <w:p>
      <w:pPr>
        <w:pStyle w:val="Heading1"/>
      </w:pPr>
      <w:bookmarkStart w:id="39" w:name="conclusions"/>
      <w:r>
        <w:t xml:space="preserve">Conclusions</w:t>
      </w:r>
      <w:bookmarkEnd w:id="39"/>
    </w:p>
    <w:p>
      <w:pPr>
        <w:pStyle w:val="Heading1"/>
      </w:pPr>
      <w:bookmarkStart w:id="40" w:name="references"/>
      <w:r>
        <w:t xml:space="preserve">References</w:t>
      </w:r>
      <w:bookmarkEnd w:id="40"/>
    </w:p>
    <w:bookmarkStart w:id="43" w:name="refs"/>
    <w:bookmarkStart w:id="42" w:name="ref-vanvleck19"/>
    <w:p>
      <w:pPr>
        <w:pStyle w:val="Bibliography"/>
      </w:pPr>
      <w:r>
        <w:t xml:space="preserve">Van Vleck, T. T.</w:t>
      </w:r>
      <w:r>
        <w:t xml:space="preserve"> </w:t>
      </w:r>
      <w:r>
        <w:rPr>
          <w:i/>
        </w:rPr>
        <w:t xml:space="preserve">et al.</w:t>
      </w:r>
      <w:r>
        <w:t xml:space="preserve"> </w:t>
      </w:r>
      <w:r>
        <w:t xml:space="preserve">(2019) ‘Augmented intelligence with natural language processing applied to electronic health records for identifying patients with non-alcoholic fatty liver disease at risk for disease progression’,</w:t>
      </w:r>
      <w:r>
        <w:t xml:space="preserve"> </w:t>
      </w:r>
      <w:r>
        <w:rPr>
          <w:i/>
        </w:rPr>
        <w:t xml:space="preserve">International Journal of Medical Informatics</w:t>
      </w:r>
      <w:r>
        <w:t xml:space="preserve">, 129, pp. 334–341. doi:</w:t>
      </w:r>
      <w:r>
        <w:t xml:space="preserve"> </w:t>
      </w:r>
      <w:hyperlink r:id="rId41">
        <w:r>
          <w:rPr>
            <w:rStyle w:val="InternetLink"/>
          </w:rPr>
          <w:t xml:space="preserve">10.1016/j.ijmedinf.2019.06.028</w:t>
        </w:r>
      </w:hyperlink>
      <w:r>
        <w:t xml:space="preserve">.</w:t>
      </w:r>
    </w:p>
    <w:bookmarkEnd w:id="42"/>
    <w:bookmarkEnd w:id="43"/>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suppressAutoHyphens w:val="true"/>
      </w:pPr>
    </w:pPrDefault>
  </w:docDefaults>
  <w:style w:type="paragraph" w:styleId="Normal">
    <w:name w:val="Normal"/>
    <w:qFormat/>
    <w:pPr>
      <w:widowControl/>
      <w:suppressLineNumbers/>
      <w:suppressAutoHyphens w:val="true"/>
      <w:overflowPunct w:val="fals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Hyper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ote2self">
    <w:name w:val="note2self"/>
    <w:qFormat/>
    <w:rPr>
      <w:szCs w:val="20"/>
      <w:highlight w:val="yellow"/>
    </w:rPr>
  </w:style>
  <w:style w:type="character" w:styleId="Note2team">
    <w:name w:val="note2team"/>
    <w:basedOn w:val="Note2self"/>
    <w:qFormat/>
    <w:rPr>
      <w:highlight w:val="magenta"/>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suppressAutoHyphens w:val="true"/>
      <w:overflowPunct w:val="fals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lineRule="auto" w:line="240" w:before="36" w:after="36"/>
      <w:jc w:val="right"/>
    </w:pPr>
    <w:rPr>
      <w:sz w:val="22"/>
      <w:szCs w:val="22"/>
    </w:rPr>
  </w:style>
  <w:style w:type="paragraph" w:styleId="Author">
    <w:name w:val="Author"/>
    <w:qFormat/>
    <w:pPr>
      <w:keepNext w:val="true"/>
      <w:keepLines/>
      <w:widowControl/>
      <w:suppressLineNumbers/>
      <w:suppressAutoHyphens w:val="true"/>
      <w:overflowPunct w:val="fals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spacing w:lineRule="auto" w:line="240"/>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spacing w:lineRule="auto" w:line="240" w:before="0" w:after="0"/>
      <w:ind w:left="0" w:right="0" w:hanging="0"/>
      <w:jc w:val="center"/>
    </w:pPr>
    <w:rPr>
      <w:sz w:val="22"/>
      <w:szCs w:val="22"/>
    </w:rPr>
  </w:style>
  <w:style w:type="paragraph" w:styleId="TableHeading">
    <w:name w:val="Table Heading"/>
    <w:basedOn w:val="TableContents"/>
    <w:qFormat/>
    <w:pPr>
      <w:suppressLineNumbers/>
      <w:jc w:val="center"/>
    </w:pPr>
    <w:rPr>
      <w:b/>
      <w:bCs/>
    </w:rPr>
  </w:style>
  <w:style w:type="paragraph" w:styleId="Bnote2self" w:customStyle="1">
    <w:name w:val="bnote2self"/>
    <w:basedOn w:val="TextBody"/>
    <w:autoRedefine/>
    <w:qFormat/>
    <w:pPr/>
    <w:rPr>
      <w:highlight w:val="yellow"/>
    </w:rPr>
  </w:style>
  <w:style w:type="paragraph" w:styleId="Untitled1">
    <w:name w:val="Untitled1"/>
    <w:basedOn w:val="Bnote2self"/>
    <w:qFormat/>
    <w:pPr/>
    <w:rPr>
      <w:highlight w:val="yellow"/>
    </w:rPr>
  </w:style>
  <w:style w:type="paragraph" w:styleId="Bnote2team">
    <w:name w:val="bnote2team"/>
    <w:basedOn w:val="TextBody"/>
    <w:qFormat/>
    <w:pPr/>
    <w:rPr>
      <w:highlight w:val="magenta"/>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1" Target="https://doi.org/10.1016/j.ijmedinf.2019.06.028"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j.ijmedinf.2019.06.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3054</TotalTime>
  <Application>LibreOffice/6.4.5.2$Linux_X86_64 LibreOffice_project/40$Build-2</Application>
  <Pages>23</Pages>
  <Words>2543</Words>
  <Characters>14180</Characters>
  <CharactersWithSpaces>16436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Natural Language Processing, ICD10 codes, and manual chart abstraction for identifying patients with NASH in an EHR system.</dc:title>
  <dc:creator>Pankil Shah, Alex Bokov, Dimpy Shah, …</dc:creator>
  <cp:keywords/>
  <dcterms:created xsi:type="dcterms:W3CDTF">2020-09-27T23:53:48Z</dcterms:created>
  <dcterms:modified xsi:type="dcterms:W3CDTF">2020-09-27T23:53:48Z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present the comparative performance analysis of the NLP based CliniThink classifier in identifying patients with NASH (Non-Alcoholic SteatoHepatitis) as compared to manual chart abstraction and ICD10 based query. These methods represent three different approaches to patient cohort identification from electronic medical records. We identified the study population from a convenience sample of bariatric clinic patients. Study protocol and methods can be found here. In identifying NASH cases, the CliniThink classifier performed comparably to the manual chart review. CliniThink had similar sensitivity levels and marginally lower specificity. Yoden’s Index (expressed here on a 0 to 100 scale) was also similar; however, chart review had overall higher accuracy. Upon inspection of divergent cases, we observed that CliniThink NLP excelled at phrases matching, but fell short because its query did not account for corroborative clinical criteria (e.g. fib4 score, MetSyn, elevated LFTs). The CliniThink query took only a few minutes during the demo and had substatial time saving benefits over chart review. Both CliniThink and manual chart review performed better than ICD10 based query. This finding could be attributed to a lack of specific coding for NASH in ICD10 and inadequate coding practice as NASH was not always the principal diagnosis. None of the differences were statistically significant. The analysis was expanded to include expanded diagnostic criteria for NASH (clinical NASH) as well as probable classification. We observed a similar trend in the results.</vt:lpwstr>
  </property>
  <property fmtid="{D5CDD505-2E9C-101B-9397-08002B2CF9AE}" pid="3" name="bibliography">
    <vt:lpwstr>nlp_nash.bib</vt:lpwstr>
  </property>
  <property fmtid="{D5CDD505-2E9C-101B-9397-08002B2CF9AE}" pid="4" name="csl">
    <vt:lpwstr>harvard-cite-them-right.csl</vt:lpwstr>
  </property>
  <property fmtid="{D5CDD505-2E9C-101B-9397-08002B2CF9AE}" pid="5" name="css">
    <vt:lpwstr>production.css</vt:lpwstr>
  </property>
  <property fmtid="{D5CDD505-2E9C-101B-9397-08002B2CF9AE}" pid="6" name="documentclass">
    <vt:lpwstr>article</vt:lpwstr>
  </property>
  <property fmtid="{D5CDD505-2E9C-101B-9397-08002B2CF9AE}" pid="7" name="editor_options">
    <vt:lpwstr/>
  </property>
  <property fmtid="{D5CDD505-2E9C-101B-9397-08002B2CF9AE}" pid="8" name="output">
    <vt:lpwstr/>
  </property>
</Properties>
</file>