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17F66" w14:textId="77777777" w:rsidR="00920DE0" w:rsidRPr="00C91ADD" w:rsidRDefault="00920DE0">
      <w:pPr>
        <w:ind w:firstLine="0"/>
        <w:jc w:val="center"/>
        <w:rPr>
          <w:b/>
          <w:szCs w:val="22"/>
        </w:rPr>
      </w:pPr>
    </w:p>
    <w:p w14:paraId="343116B1" w14:textId="77777777" w:rsidR="00920DE0" w:rsidRPr="00C91ADD" w:rsidRDefault="00920DE0">
      <w:pPr>
        <w:ind w:firstLine="0"/>
        <w:jc w:val="center"/>
        <w:rPr>
          <w:b/>
          <w:szCs w:val="22"/>
        </w:rPr>
      </w:pPr>
    </w:p>
    <w:p w14:paraId="5A404556" w14:textId="77777777" w:rsidR="00920DE0" w:rsidRPr="00C91ADD" w:rsidRDefault="00920DE0">
      <w:pPr>
        <w:ind w:firstLine="0"/>
        <w:jc w:val="center"/>
        <w:rPr>
          <w:b/>
          <w:szCs w:val="22"/>
        </w:rPr>
      </w:pPr>
    </w:p>
    <w:p w14:paraId="6EB0E78E" w14:textId="77777777" w:rsidR="00920DE0" w:rsidRPr="00C91ADD" w:rsidRDefault="00920DE0">
      <w:pPr>
        <w:ind w:firstLine="0"/>
        <w:jc w:val="center"/>
        <w:rPr>
          <w:b/>
          <w:szCs w:val="22"/>
        </w:rPr>
      </w:pPr>
    </w:p>
    <w:p w14:paraId="13B02155" w14:textId="77777777" w:rsidR="00920DE0" w:rsidRPr="00C91ADD" w:rsidRDefault="00920DE0">
      <w:pPr>
        <w:ind w:firstLine="0"/>
        <w:jc w:val="center"/>
        <w:rPr>
          <w:b/>
          <w:szCs w:val="22"/>
        </w:rPr>
      </w:pPr>
    </w:p>
    <w:p w14:paraId="66FB7F56" w14:textId="77777777" w:rsidR="00920DE0" w:rsidRPr="00C91ADD" w:rsidRDefault="00920DE0">
      <w:pPr>
        <w:ind w:firstLine="0"/>
        <w:jc w:val="center"/>
        <w:rPr>
          <w:b/>
          <w:szCs w:val="22"/>
        </w:rPr>
      </w:pPr>
    </w:p>
    <w:p w14:paraId="5950EEB1" w14:textId="77777777" w:rsidR="00920DE0" w:rsidRPr="00C91ADD" w:rsidRDefault="00920DE0">
      <w:pPr>
        <w:ind w:firstLine="0"/>
        <w:jc w:val="center"/>
        <w:rPr>
          <w:b/>
          <w:szCs w:val="22"/>
        </w:rPr>
      </w:pPr>
    </w:p>
    <w:p w14:paraId="10E1DE16" w14:textId="77777777" w:rsidR="00920DE0" w:rsidRPr="00C91ADD" w:rsidRDefault="00920DE0">
      <w:pPr>
        <w:ind w:firstLine="0"/>
        <w:jc w:val="center"/>
        <w:rPr>
          <w:b/>
          <w:szCs w:val="22"/>
        </w:rPr>
      </w:pPr>
    </w:p>
    <w:p w14:paraId="4411A70B" w14:textId="77777777" w:rsidR="00920DE0" w:rsidRPr="00C91ADD" w:rsidRDefault="00920DE0">
      <w:pPr>
        <w:pStyle w:val="CenterTextBold"/>
        <w:spacing w:before="0"/>
        <w:rPr>
          <w:szCs w:val="22"/>
        </w:rPr>
      </w:pPr>
      <w:r w:rsidRPr="00C91ADD">
        <w:rPr>
          <w:szCs w:val="22"/>
        </w:rPr>
        <w:t>BYLAWS</w:t>
      </w:r>
      <w:r w:rsidR="000E7CFF" w:rsidRPr="00C91ADD">
        <w:rPr>
          <w:szCs w:val="22"/>
        </w:rPr>
        <w:t xml:space="preserve"> OF</w:t>
      </w:r>
    </w:p>
    <w:sdt>
      <w:sdtPr>
        <w:rPr>
          <w:szCs w:val="22"/>
        </w:rPr>
        <w:id w:val="-1961495816"/>
        <w:placeholder>
          <w:docPart w:val="D9A2FBB7177C49FA9C42236561D4355D"/>
        </w:placeholder>
      </w:sdtPr>
      <w:sdtContent>
        <w:p w14:paraId="74421B8C" w14:textId="7674F89B" w:rsidR="00920DE0" w:rsidRPr="00C91ADD" w:rsidRDefault="00590680">
          <w:pPr>
            <w:pStyle w:val="CenterTextBold"/>
            <w:rPr>
              <w:szCs w:val="22"/>
            </w:rPr>
          </w:pPr>
          <w:r>
            <w:rPr>
              <w:szCs w:val="22"/>
            </w:rPr>
            <w:t>[</w:t>
          </w:r>
          <w:r w:rsidRPr="00590680">
            <w:rPr>
              <w:szCs w:val="22"/>
              <w:highlight w:val="yellow"/>
            </w:rPr>
            <w:t>INSERT US SUB NAME</w:t>
          </w:r>
          <w:r>
            <w:rPr>
              <w:szCs w:val="22"/>
            </w:rPr>
            <w:t>]</w:t>
          </w:r>
        </w:p>
      </w:sdtContent>
    </w:sdt>
    <w:p w14:paraId="2727BFCC" w14:textId="77777777" w:rsidR="00920DE0" w:rsidRPr="00C91ADD" w:rsidRDefault="00920DE0">
      <w:pPr>
        <w:ind w:firstLine="0"/>
        <w:jc w:val="center"/>
        <w:rPr>
          <w:szCs w:val="22"/>
        </w:rPr>
      </w:pPr>
    </w:p>
    <w:p w14:paraId="3AF5CB5A" w14:textId="7E729B4E" w:rsidR="00920DE0" w:rsidRPr="00C91ADD" w:rsidRDefault="00A662C8">
      <w:pPr>
        <w:ind w:firstLine="0"/>
        <w:jc w:val="center"/>
        <w:rPr>
          <w:b/>
          <w:szCs w:val="22"/>
        </w:rPr>
      </w:pPr>
      <w:r w:rsidRPr="00C91ADD">
        <w:rPr>
          <w:b/>
          <w:szCs w:val="22"/>
        </w:rPr>
        <w:t xml:space="preserve">Adopted </w:t>
      </w:r>
      <w:r w:rsidRPr="00C91ADD">
        <w:rPr>
          <w:b/>
          <w:noProof/>
          <w:szCs w:val="22"/>
        </w:rPr>
        <w:t>_____</w:t>
      </w:r>
      <w:r w:rsidR="00E07C4C" w:rsidRPr="00C91ADD">
        <w:rPr>
          <w:b/>
          <w:noProof/>
          <w:szCs w:val="22"/>
        </w:rPr>
        <w:t>__________</w:t>
      </w:r>
      <w:r w:rsidRPr="00C91ADD">
        <w:rPr>
          <w:b/>
          <w:noProof/>
          <w:szCs w:val="22"/>
        </w:rPr>
        <w:t>___</w:t>
      </w:r>
      <w:r w:rsidRPr="00C91ADD">
        <w:rPr>
          <w:b/>
          <w:szCs w:val="22"/>
        </w:rPr>
        <w:t xml:space="preserve">, </w:t>
      </w:r>
      <w:r w:rsidRPr="00C91ADD">
        <w:rPr>
          <w:b/>
          <w:noProof/>
          <w:szCs w:val="22"/>
        </w:rPr>
        <w:t>20</w:t>
      </w:r>
      <w:r w:rsidR="00D95300">
        <w:rPr>
          <w:b/>
          <w:noProof/>
          <w:szCs w:val="22"/>
        </w:rPr>
        <w:t>21</w:t>
      </w:r>
    </w:p>
    <w:p w14:paraId="02871829" w14:textId="77777777" w:rsidR="00920DE0" w:rsidRPr="00C91ADD" w:rsidRDefault="00920DE0">
      <w:pPr>
        <w:ind w:firstLine="0"/>
        <w:jc w:val="center"/>
        <w:rPr>
          <w:b/>
          <w:szCs w:val="22"/>
        </w:rPr>
      </w:pPr>
    </w:p>
    <w:p w14:paraId="13B695EB" w14:textId="77777777" w:rsidR="00920DE0" w:rsidRPr="00C91ADD" w:rsidRDefault="00920DE0">
      <w:pPr>
        <w:ind w:firstLine="0"/>
        <w:jc w:val="center"/>
        <w:rPr>
          <w:b/>
          <w:szCs w:val="22"/>
        </w:rPr>
        <w:sectPr w:rsidR="00920DE0" w:rsidRPr="00C91ADD">
          <w:headerReference w:type="default" r:id="rId8"/>
          <w:footerReference w:type="default" r:id="rId9"/>
          <w:footerReference w:type="first" r:id="rId10"/>
          <w:endnotePr>
            <w:numFmt w:val="decimal"/>
          </w:endnotePr>
          <w:pgSz w:w="12240" w:h="15840" w:code="1"/>
          <w:pgMar w:top="1440" w:right="1440" w:bottom="1440" w:left="1440" w:header="1440" w:footer="1080" w:gutter="0"/>
          <w:pgNumType w:fmt="lowerRoman" w:start="1"/>
          <w:cols w:space="720"/>
          <w:titlePg/>
          <w:docGrid w:linePitch="326"/>
        </w:sectPr>
      </w:pPr>
    </w:p>
    <w:p w14:paraId="3C46632B" w14:textId="77777777" w:rsidR="00920DE0" w:rsidRPr="00C91ADD" w:rsidRDefault="00920DE0">
      <w:pPr>
        <w:ind w:firstLine="0"/>
        <w:jc w:val="center"/>
        <w:rPr>
          <w:b/>
          <w:bCs/>
          <w:szCs w:val="22"/>
        </w:rPr>
      </w:pPr>
      <w:bookmarkStart w:id="0" w:name="_Toc511045564"/>
      <w:r w:rsidRPr="00C91ADD">
        <w:rPr>
          <w:b/>
          <w:bCs/>
          <w:szCs w:val="22"/>
        </w:rPr>
        <w:lastRenderedPageBreak/>
        <w:t>BYLAWS</w:t>
      </w:r>
    </w:p>
    <w:p w14:paraId="73574AC6" w14:textId="77777777" w:rsidR="00920DE0" w:rsidRPr="00C91ADD" w:rsidRDefault="00920DE0">
      <w:pPr>
        <w:pStyle w:val="Heading1"/>
        <w:rPr>
          <w:szCs w:val="22"/>
        </w:rPr>
      </w:pPr>
      <w:bookmarkStart w:id="1" w:name="_Toc56436101"/>
      <w:r w:rsidRPr="00C91ADD">
        <w:rPr>
          <w:szCs w:val="22"/>
        </w:rPr>
        <w:t>MEETINGS OF STOCKHOLDERS</w:t>
      </w:r>
      <w:bookmarkEnd w:id="0"/>
      <w:bookmarkEnd w:id="1"/>
    </w:p>
    <w:p w14:paraId="7E3BCA47" w14:textId="77777777" w:rsidR="00C91ADD" w:rsidRPr="00C91ADD" w:rsidRDefault="00920DE0" w:rsidP="00C21E59">
      <w:pPr>
        <w:pStyle w:val="Heading2"/>
        <w:tabs>
          <w:tab w:val="clear" w:pos="1080"/>
        </w:tabs>
        <w:jc w:val="both"/>
        <w:rPr>
          <w:vanish/>
          <w:szCs w:val="22"/>
          <w:specVanish/>
        </w:rPr>
      </w:pPr>
      <w:bookmarkStart w:id="2" w:name="_Toc511045565"/>
      <w:bookmarkStart w:id="3" w:name="_Toc56436102"/>
      <w:r w:rsidRPr="00C91ADD">
        <w:rPr>
          <w:b/>
          <w:bCs/>
          <w:i/>
          <w:iCs/>
          <w:szCs w:val="22"/>
        </w:rPr>
        <w:t>Place of Meetings</w:t>
      </w:r>
      <w:bookmarkEnd w:id="2"/>
      <w:bookmarkEnd w:id="3"/>
    </w:p>
    <w:p w14:paraId="05FAC377" w14:textId="78F32E2D" w:rsidR="00920DE0" w:rsidRPr="00C91ADD" w:rsidRDefault="00920DE0" w:rsidP="001F1E13">
      <w:pPr>
        <w:pStyle w:val="BodyText"/>
        <w:rPr>
          <w:szCs w:val="22"/>
        </w:rPr>
      </w:pPr>
      <w:r w:rsidRPr="00C91ADD">
        <w:rPr>
          <w:szCs w:val="22"/>
        </w:rPr>
        <w:t xml:space="preserve">.  Meetings of stockholders of </w:t>
      </w:r>
      <w:sdt>
        <w:sdtPr>
          <w:id w:val="808598725"/>
          <w:placeholder>
            <w:docPart w:val="BB859742F1FE4283B9B571CFAC96160D"/>
          </w:placeholder>
        </w:sdtPr>
        <w:sdtContent>
          <w:r w:rsidR="00590680">
            <w:t>[</w:t>
          </w:r>
          <w:r w:rsidR="00590680" w:rsidRPr="00590680">
            <w:rPr>
              <w:highlight w:val="yellow"/>
            </w:rPr>
            <w:t>Insert US Sub Name</w:t>
          </w:r>
          <w:r w:rsidR="00590680">
            <w:t>]</w:t>
          </w:r>
        </w:sdtContent>
      </w:sdt>
      <w:r w:rsidR="00A662C8" w:rsidRPr="00C91ADD">
        <w:rPr>
          <w:szCs w:val="22"/>
        </w:rPr>
        <w:t xml:space="preserve"> </w:t>
      </w:r>
      <w:r w:rsidRPr="00C91ADD">
        <w:rPr>
          <w:szCs w:val="22"/>
        </w:rPr>
        <w:t>(the “</w:t>
      </w:r>
      <w:r w:rsidRPr="00C91ADD">
        <w:rPr>
          <w:b/>
          <w:bCs/>
          <w:szCs w:val="22"/>
        </w:rPr>
        <w:t>Company</w:t>
      </w:r>
      <w:r w:rsidRPr="00C91ADD">
        <w:rPr>
          <w:szCs w:val="22"/>
        </w:rPr>
        <w:t xml:space="preserve">”) shall be held at </w:t>
      </w:r>
      <w:r w:rsidR="008D62BD" w:rsidRPr="00C91ADD">
        <w:rPr>
          <w:szCs w:val="22"/>
        </w:rPr>
        <w:t xml:space="preserve">a </w:t>
      </w:r>
      <w:r w:rsidRPr="00C91ADD">
        <w:rPr>
          <w:szCs w:val="22"/>
        </w:rPr>
        <w:t xml:space="preserve">place, </w:t>
      </w:r>
      <w:r w:rsidR="008D62BD" w:rsidRPr="00C91ADD">
        <w:rPr>
          <w:szCs w:val="22"/>
        </w:rPr>
        <w:t xml:space="preserve">if any, </w:t>
      </w:r>
      <w:r w:rsidRPr="00C91ADD">
        <w:rPr>
          <w:szCs w:val="22"/>
        </w:rPr>
        <w:t>within or outside the State of Delaware, determined by the Company’s board of directors (the “</w:t>
      </w:r>
      <w:r w:rsidRPr="00C91ADD">
        <w:rPr>
          <w:b/>
          <w:bCs/>
          <w:szCs w:val="22"/>
        </w:rPr>
        <w:t>Board</w:t>
      </w:r>
      <w:r w:rsidRPr="00C91ADD">
        <w:rPr>
          <w:szCs w:val="22"/>
        </w:rPr>
        <w:t xml:space="preserve">”). The Board may, in its sole discretion, determine that a meeting of stockholders shall not be held at any place, but may </w:t>
      </w:r>
      <w:r w:rsidRPr="001F1E13">
        <w:t>instead</w:t>
      </w:r>
      <w:r w:rsidRPr="00C91ADD">
        <w:rPr>
          <w:szCs w:val="22"/>
        </w:rPr>
        <w:t xml:space="preserve"> be held solely by means of remote communication as authorized by Section 211(a)(2) of the Delaware General Corporation Law (the “</w:t>
      </w:r>
      <w:r w:rsidRPr="00C91ADD">
        <w:rPr>
          <w:b/>
          <w:bCs/>
          <w:szCs w:val="22"/>
        </w:rPr>
        <w:t>DGCL</w:t>
      </w:r>
      <w:r w:rsidRPr="00C91ADD">
        <w:rPr>
          <w:szCs w:val="22"/>
        </w:rPr>
        <w:t>”). In the absence of any such designation or determination, stockholders’ meetings shall be held at the Company’s principal executive office.</w:t>
      </w:r>
      <w:r w:rsidR="00113122" w:rsidRPr="00C91ADD">
        <w:rPr>
          <w:szCs w:val="22"/>
        </w:rPr>
        <w:t xml:space="preserve"> </w:t>
      </w:r>
      <w:r w:rsidR="00113122" w:rsidRPr="00C91ADD">
        <w:rPr>
          <w:kern w:val="28"/>
        </w:rPr>
        <w:t>The Board may cancel, postpone, or reschedule any previously scheduled meeting of stockholders at any time, before or after the notice for such meeting has been given to the stockholders.</w:t>
      </w:r>
    </w:p>
    <w:p w14:paraId="0CBFAF4E" w14:textId="77777777" w:rsidR="00C91ADD" w:rsidRPr="00C91ADD" w:rsidRDefault="00920DE0" w:rsidP="00C21E59">
      <w:pPr>
        <w:pStyle w:val="Heading2"/>
        <w:keepNext w:val="0"/>
        <w:keepLines w:val="0"/>
        <w:tabs>
          <w:tab w:val="clear" w:pos="1080"/>
        </w:tabs>
        <w:jc w:val="both"/>
        <w:rPr>
          <w:vanish/>
          <w:szCs w:val="22"/>
          <w:specVanish/>
        </w:rPr>
      </w:pPr>
      <w:bookmarkStart w:id="4" w:name="_Toc511045566"/>
      <w:bookmarkStart w:id="5" w:name="_Ref104634833"/>
      <w:bookmarkStart w:id="6" w:name="_Toc56436103"/>
      <w:r w:rsidRPr="00C91ADD">
        <w:rPr>
          <w:b/>
          <w:bCs/>
          <w:i/>
          <w:iCs/>
          <w:szCs w:val="22"/>
        </w:rPr>
        <w:t>Annual Meeting</w:t>
      </w:r>
      <w:bookmarkEnd w:id="4"/>
      <w:bookmarkEnd w:id="5"/>
      <w:bookmarkEnd w:id="6"/>
    </w:p>
    <w:p w14:paraId="4E15B6C1" w14:textId="2CCBB470" w:rsidR="00920DE0" w:rsidRPr="00C91ADD" w:rsidRDefault="00194C33" w:rsidP="001F1E13">
      <w:pPr>
        <w:pStyle w:val="BodyText"/>
        <w:rPr>
          <w:szCs w:val="22"/>
        </w:rPr>
      </w:pPr>
      <w:r w:rsidRPr="00C91ADD">
        <w:rPr>
          <w:szCs w:val="22"/>
        </w:rPr>
        <w:t xml:space="preserve">.  Unless directors are elected by written consent in lieu of an annual meeting as permitted by </w:t>
      </w:r>
      <w:r w:rsidR="00AC10B5" w:rsidRPr="00C91ADD">
        <w:rPr>
          <w:szCs w:val="22"/>
        </w:rPr>
        <w:t>Section 211(b</w:t>
      </w:r>
      <w:r w:rsidRPr="00C91ADD">
        <w:rPr>
          <w:szCs w:val="22"/>
        </w:rPr>
        <w:t>) of the DGCL, a</w:t>
      </w:r>
      <w:r w:rsidR="00920DE0" w:rsidRPr="00C91ADD">
        <w:rPr>
          <w:szCs w:val="22"/>
        </w:rPr>
        <w:t xml:space="preserve">n annual meeting of stockholders shall be held for the election of directors at such date and time as may be designated by resolution of the Board from time to time. </w:t>
      </w:r>
      <w:r w:rsidRPr="00C91ADD">
        <w:rPr>
          <w:szCs w:val="22"/>
        </w:rPr>
        <w:t xml:space="preserve">Stockholders may, unless the certificate of incorporation otherwise provides, act by written consent to elect directors; </w:t>
      </w:r>
      <w:r w:rsidRPr="00C91ADD">
        <w:rPr>
          <w:i/>
          <w:szCs w:val="22"/>
        </w:rPr>
        <w:t>provided, however,</w:t>
      </w:r>
      <w:r w:rsidRPr="00C91ADD">
        <w:rPr>
          <w:szCs w:val="22"/>
        </w:rPr>
        <w:t xml:space="preserve"> that, if such </w:t>
      </w:r>
      <w:r w:rsidRPr="001F1E13">
        <w:t>consent</w:t>
      </w:r>
      <w:r w:rsidRPr="00C91ADD">
        <w:rPr>
          <w:szCs w:val="22"/>
        </w:rPr>
        <w:t xml:space="preserve"> is less than unanimous, such action by written consent may be in lieu of holding an annual meeting only if all of the directorships to which directors could be elected at an annual meeting held at the effective time of such action are vacant and are filled by such action. Any other proper business may be transacted at the annual meeting.</w:t>
      </w:r>
    </w:p>
    <w:p w14:paraId="706B5A04" w14:textId="77777777" w:rsidR="000A5263" w:rsidRPr="00C91ADD" w:rsidRDefault="00920DE0" w:rsidP="000A5263">
      <w:pPr>
        <w:pStyle w:val="Heading2"/>
        <w:keepNext w:val="0"/>
        <w:keepLines w:val="0"/>
        <w:tabs>
          <w:tab w:val="clear" w:pos="1080"/>
        </w:tabs>
        <w:jc w:val="both"/>
        <w:rPr>
          <w:vanish/>
          <w:szCs w:val="22"/>
          <w:specVanish/>
        </w:rPr>
      </w:pPr>
      <w:bookmarkStart w:id="7" w:name="_Toc511045567"/>
      <w:bookmarkStart w:id="8" w:name="_Ref519419004"/>
      <w:bookmarkStart w:id="9" w:name="_Toc56436104"/>
      <w:r w:rsidRPr="00C91ADD">
        <w:rPr>
          <w:b/>
          <w:bCs/>
          <w:i/>
          <w:iCs/>
          <w:szCs w:val="22"/>
        </w:rPr>
        <w:t>Special Meeting</w:t>
      </w:r>
      <w:bookmarkEnd w:id="7"/>
      <w:bookmarkEnd w:id="8"/>
      <w:bookmarkEnd w:id="9"/>
    </w:p>
    <w:p w14:paraId="4C92ECDF" w14:textId="6C38F0AD" w:rsidR="00E40D9D" w:rsidRPr="00C91ADD" w:rsidRDefault="00920DE0" w:rsidP="001F1E13">
      <w:pPr>
        <w:pStyle w:val="BodyText"/>
        <w:rPr>
          <w:szCs w:val="22"/>
        </w:rPr>
      </w:pPr>
      <w:r w:rsidRPr="00C91ADD">
        <w:rPr>
          <w:szCs w:val="22"/>
        </w:rPr>
        <w:t>.  A special meeting of the stockholders may be called at any time by the Board, Chairperson of the Board, Chief Executive Officer or President (in the absence of a Chief Executive Officer)</w:t>
      </w:r>
      <w:r w:rsidR="00E40D9D" w:rsidRPr="00C91ADD">
        <w:rPr>
          <w:szCs w:val="22"/>
        </w:rPr>
        <w:t>.</w:t>
      </w:r>
    </w:p>
    <w:p w14:paraId="3B9606FF" w14:textId="212C8C6E" w:rsidR="00920DE0" w:rsidRPr="00C91ADD" w:rsidRDefault="00C416D9">
      <w:pPr>
        <w:rPr>
          <w:szCs w:val="22"/>
        </w:rPr>
      </w:pPr>
      <w:r w:rsidRPr="00C91ADD">
        <w:rPr>
          <w:kern w:val="28"/>
        </w:rPr>
        <w:t>If a special meeting of the stockholders has been called, the Company</w:t>
      </w:r>
      <w:r w:rsidRPr="00C91ADD">
        <w:rPr>
          <w:szCs w:val="22"/>
        </w:rPr>
        <w:t xml:space="preserve"> </w:t>
      </w:r>
      <w:r w:rsidR="00920DE0" w:rsidRPr="00C91ADD">
        <w:rPr>
          <w:szCs w:val="22"/>
        </w:rPr>
        <w:t xml:space="preserve">shall cause notice to be given to the stockholders entitled to vote at such meeting, in accordance with these bylaws, that a meeting will be held at the time requested by the person or persons calling the meeting. No business may be transacted at such special meeting other than the business specified in such notice to stockholders. Nothing contained in this paragraph of this </w:t>
      </w:r>
      <w:r w:rsidR="0052386D" w:rsidRPr="00C91ADD">
        <w:rPr>
          <w:b/>
          <w:bCs/>
          <w:szCs w:val="22"/>
        </w:rPr>
        <w:t>S</w:t>
      </w:r>
      <w:r w:rsidR="00920DE0" w:rsidRPr="00C91ADD">
        <w:rPr>
          <w:b/>
          <w:bCs/>
          <w:szCs w:val="22"/>
        </w:rPr>
        <w:t>ection </w:t>
      </w:r>
      <w:r w:rsidR="00920DE0" w:rsidRPr="00C91ADD">
        <w:rPr>
          <w:b/>
          <w:bCs/>
          <w:szCs w:val="22"/>
        </w:rPr>
        <w:fldChar w:fldCharType="begin"/>
      </w:r>
      <w:r w:rsidR="00920DE0" w:rsidRPr="00C91ADD">
        <w:rPr>
          <w:b/>
          <w:bCs/>
          <w:szCs w:val="22"/>
        </w:rPr>
        <w:instrText xml:space="preserve"> REF _Ref519419004 \r \h  \* MERGEFORMAT </w:instrText>
      </w:r>
      <w:r w:rsidR="00920DE0" w:rsidRPr="00C91ADD">
        <w:rPr>
          <w:b/>
          <w:bCs/>
          <w:szCs w:val="22"/>
        </w:rPr>
      </w:r>
      <w:r w:rsidR="00920DE0" w:rsidRPr="00C91ADD">
        <w:rPr>
          <w:b/>
          <w:bCs/>
          <w:szCs w:val="22"/>
        </w:rPr>
        <w:fldChar w:fldCharType="separate"/>
      </w:r>
      <w:r w:rsidR="0099492C" w:rsidRPr="00C91ADD">
        <w:rPr>
          <w:b/>
          <w:bCs/>
          <w:szCs w:val="22"/>
        </w:rPr>
        <w:t>1.3</w:t>
      </w:r>
      <w:r w:rsidR="00920DE0" w:rsidRPr="00C91ADD">
        <w:rPr>
          <w:b/>
          <w:bCs/>
          <w:szCs w:val="22"/>
        </w:rPr>
        <w:fldChar w:fldCharType="end"/>
      </w:r>
      <w:r w:rsidR="00920DE0" w:rsidRPr="00C91ADD">
        <w:rPr>
          <w:szCs w:val="22"/>
        </w:rPr>
        <w:t xml:space="preserve"> shall be construed as limiting, fixing, or affecting the time when a meeting of stockholders called by action of the Board may be held</w:t>
      </w:r>
      <w:r w:rsidR="006134CC" w:rsidRPr="00C91ADD">
        <w:rPr>
          <w:kern w:val="28"/>
        </w:rPr>
        <w:t xml:space="preserve"> or the business that may be transacted at such meeting</w:t>
      </w:r>
      <w:r w:rsidR="00920DE0" w:rsidRPr="00C91ADD">
        <w:rPr>
          <w:szCs w:val="22"/>
        </w:rPr>
        <w:t>.</w:t>
      </w:r>
    </w:p>
    <w:p w14:paraId="4EFE88B8" w14:textId="77777777" w:rsidR="000A5263" w:rsidRPr="00C91ADD" w:rsidRDefault="00920DE0" w:rsidP="000A5263">
      <w:pPr>
        <w:pStyle w:val="Heading2"/>
        <w:keepNext w:val="0"/>
        <w:keepLines w:val="0"/>
        <w:tabs>
          <w:tab w:val="clear" w:pos="1080"/>
        </w:tabs>
        <w:jc w:val="both"/>
        <w:rPr>
          <w:vanish/>
          <w:szCs w:val="22"/>
          <w:specVanish/>
        </w:rPr>
      </w:pPr>
      <w:bookmarkStart w:id="10" w:name="_Toc56436105"/>
      <w:bookmarkStart w:id="11" w:name="_Toc511045568"/>
      <w:bookmarkStart w:id="12" w:name="_Ref519418984"/>
      <w:r w:rsidRPr="00C91ADD">
        <w:rPr>
          <w:b/>
          <w:bCs/>
          <w:i/>
          <w:iCs/>
          <w:szCs w:val="22"/>
        </w:rPr>
        <w:t>Notice of Stockholders’ Meetings</w:t>
      </w:r>
      <w:bookmarkEnd w:id="10"/>
    </w:p>
    <w:p w14:paraId="14701513" w14:textId="5C2B43A5" w:rsidR="00920DE0" w:rsidRPr="00C91ADD" w:rsidRDefault="00920DE0" w:rsidP="001F1E13">
      <w:pPr>
        <w:pStyle w:val="BodyText"/>
        <w:rPr>
          <w:szCs w:val="22"/>
        </w:rPr>
      </w:pPr>
      <w:r w:rsidRPr="00C91ADD">
        <w:rPr>
          <w:szCs w:val="22"/>
        </w:rPr>
        <w:t>.</w:t>
      </w:r>
      <w:bookmarkEnd w:id="11"/>
      <w:bookmarkEnd w:id="12"/>
      <w:r w:rsidRPr="00C91ADD">
        <w:rPr>
          <w:szCs w:val="22"/>
        </w:rPr>
        <w:t xml:space="preserve">  Whenever stockholders are required or permitted to take any action at a meeting, a notice of the meeting </w:t>
      </w:r>
      <w:r w:rsidR="0093573C" w:rsidRPr="00C91ADD">
        <w:rPr>
          <w:szCs w:val="22"/>
        </w:rPr>
        <w:t>in the form of a wri</w:t>
      </w:r>
      <w:r w:rsidR="00E55144" w:rsidRPr="00C91ADD">
        <w:rPr>
          <w:szCs w:val="22"/>
        </w:rPr>
        <w:t xml:space="preserve">ting or electronic transmission (as defined in </w:t>
      </w:r>
      <w:r w:rsidR="0052386D" w:rsidRPr="00C91ADD">
        <w:rPr>
          <w:b/>
          <w:bCs/>
          <w:szCs w:val="22"/>
        </w:rPr>
        <w:t>Section</w:t>
      </w:r>
      <w:r w:rsidR="0052386D" w:rsidRPr="00C91ADD">
        <w:rPr>
          <w:b/>
          <w:szCs w:val="22"/>
        </w:rPr>
        <w:t xml:space="preserve"> </w:t>
      </w:r>
      <w:r w:rsidR="00E55144" w:rsidRPr="00C91ADD">
        <w:rPr>
          <w:b/>
          <w:szCs w:val="22"/>
        </w:rPr>
        <w:fldChar w:fldCharType="begin"/>
      </w:r>
      <w:r w:rsidR="00E55144" w:rsidRPr="00C91ADD">
        <w:rPr>
          <w:b/>
          <w:szCs w:val="22"/>
        </w:rPr>
        <w:instrText xml:space="preserve"> REF _Ref11843605 \r \h </w:instrText>
      </w:r>
      <w:r w:rsidR="00C91ADD">
        <w:rPr>
          <w:b/>
          <w:szCs w:val="22"/>
        </w:rPr>
        <w:instrText xml:space="preserve"> \* MERGEFORMAT </w:instrText>
      </w:r>
      <w:r w:rsidR="00E55144" w:rsidRPr="00C91ADD">
        <w:rPr>
          <w:b/>
          <w:szCs w:val="22"/>
        </w:rPr>
      </w:r>
      <w:r w:rsidR="00E55144" w:rsidRPr="00C91ADD">
        <w:rPr>
          <w:b/>
          <w:szCs w:val="22"/>
        </w:rPr>
        <w:fldChar w:fldCharType="separate"/>
      </w:r>
      <w:r w:rsidR="0099492C" w:rsidRPr="00C91ADD">
        <w:rPr>
          <w:b/>
          <w:szCs w:val="22"/>
        </w:rPr>
        <w:t>7.1</w:t>
      </w:r>
      <w:r w:rsidR="00E55144" w:rsidRPr="00C91ADD">
        <w:rPr>
          <w:b/>
          <w:szCs w:val="22"/>
        </w:rPr>
        <w:fldChar w:fldCharType="end"/>
      </w:r>
      <w:r w:rsidR="00E55144" w:rsidRPr="00C91ADD">
        <w:rPr>
          <w:szCs w:val="22"/>
        </w:rPr>
        <w:t xml:space="preserve"> of these bylaws) </w:t>
      </w:r>
      <w:r w:rsidRPr="00C91ADD">
        <w:rPr>
          <w:szCs w:val="22"/>
        </w:rPr>
        <w:t xml:space="preserve">shall be given which shall state the place, if any, date and hour of the meeting, the means of remote communications, if any, by which stockholders and proxy holders may be deemed to be present in person and vote at such meeting, the record date for determining the stockholders entitled to vote at the meeting, if such date is different from the record date for determining stockholders entitled to notice of the meeting, and, in the case of a special meeting, the purpose or purposes for which the meeting is called. Except as otherwise provided in the DGCL, the certificate of incorporation or these bylaws, the notice of any meeting of </w:t>
      </w:r>
      <w:r w:rsidRPr="001F1E13">
        <w:t>stockholders</w:t>
      </w:r>
      <w:r w:rsidRPr="00C91ADD">
        <w:rPr>
          <w:szCs w:val="22"/>
        </w:rPr>
        <w:t xml:space="preserve"> shall be given not less than 10 nor more than 60 days before the date of the meeting to each stockholder entitled to vote at such meeting as of the record date for determining the stockholders entitled to notice of the meeting.</w:t>
      </w:r>
    </w:p>
    <w:p w14:paraId="15CFE95E" w14:textId="77777777" w:rsidR="000A5263" w:rsidRPr="00C91ADD" w:rsidRDefault="00920DE0" w:rsidP="000A5263">
      <w:pPr>
        <w:pStyle w:val="Heading2"/>
        <w:keepNext w:val="0"/>
        <w:keepLines w:val="0"/>
        <w:tabs>
          <w:tab w:val="clear" w:pos="1080"/>
        </w:tabs>
        <w:jc w:val="both"/>
        <w:rPr>
          <w:vanish/>
          <w:szCs w:val="22"/>
          <w:specVanish/>
        </w:rPr>
      </w:pPr>
      <w:bookmarkStart w:id="13" w:name="_Toc56436106"/>
      <w:bookmarkStart w:id="14" w:name="_Toc511045570"/>
      <w:r w:rsidRPr="00C91ADD">
        <w:rPr>
          <w:b/>
          <w:bCs/>
          <w:i/>
          <w:iCs/>
          <w:szCs w:val="22"/>
        </w:rPr>
        <w:t>Quorum</w:t>
      </w:r>
      <w:bookmarkEnd w:id="13"/>
    </w:p>
    <w:p w14:paraId="37E7B2EF" w14:textId="332CD6B1" w:rsidR="00920DE0" w:rsidRPr="00C91ADD" w:rsidRDefault="00920DE0" w:rsidP="001F1E13">
      <w:pPr>
        <w:pStyle w:val="BodyText"/>
        <w:rPr>
          <w:szCs w:val="22"/>
        </w:rPr>
      </w:pPr>
      <w:r w:rsidRPr="00C91ADD">
        <w:rPr>
          <w:szCs w:val="22"/>
        </w:rPr>
        <w:t>. </w:t>
      </w:r>
      <w:bookmarkEnd w:id="14"/>
      <w:r w:rsidRPr="00C91ADD">
        <w:rPr>
          <w:szCs w:val="22"/>
        </w:rPr>
        <w:t xml:space="preserve"> Except as otherwise provided by law, the certificate of incorporation or these bylaws, at each meeting of stockholders the </w:t>
      </w:r>
      <w:r w:rsidRPr="001F1E13">
        <w:t>presence</w:t>
      </w:r>
      <w:r w:rsidRPr="00C91ADD">
        <w:rPr>
          <w:szCs w:val="22"/>
        </w:rPr>
        <w:t xml:space="preserve"> in person or by proxy of the holders of shares of stock </w:t>
      </w:r>
      <w:r w:rsidRPr="00C91ADD">
        <w:rPr>
          <w:szCs w:val="22"/>
        </w:rPr>
        <w:lastRenderedPageBreak/>
        <w:t>having a majority of the votes which could be cast by the holders of all outstanding shares of stock entitled to vote at the meeting shall be necessary and sufficient to constitute a quorum. Where a separate vote by a class or series or classes or series is required, a majority of the outstanding shares of such class or series or classes or series, present in person or represented by proxy, shall constitute a quorum entitled to take action with respect to that vote on that matter, except as otherwise provided by law, the certificate of incorporation or these bylaws.</w:t>
      </w:r>
    </w:p>
    <w:p w14:paraId="4EC84527" w14:textId="31C47B61" w:rsidR="00920DE0" w:rsidRPr="00C91ADD" w:rsidRDefault="00920DE0">
      <w:pPr>
        <w:rPr>
          <w:szCs w:val="22"/>
        </w:rPr>
      </w:pPr>
      <w:r w:rsidRPr="00C91ADD">
        <w:rPr>
          <w:szCs w:val="22"/>
        </w:rPr>
        <w:t xml:space="preserve">If, however, such quorum is not present or represented at any meeting of the stockholders, then either (i) the chairperson of the meeting, or (ii) the stockholders entitled to vote at the meeting, present in person or represented by proxy, shall have the power to adjourn the meeting from time to time, in the manner provided in </w:t>
      </w:r>
      <w:r w:rsidR="0052386D" w:rsidRPr="00C91ADD">
        <w:rPr>
          <w:b/>
          <w:bCs/>
          <w:szCs w:val="22"/>
        </w:rPr>
        <w:t>Section</w:t>
      </w:r>
      <w:r w:rsidR="0052386D" w:rsidRPr="00C91ADD">
        <w:rPr>
          <w:b/>
          <w:szCs w:val="22"/>
        </w:rPr>
        <w:t xml:space="preserve"> </w:t>
      </w:r>
      <w:r w:rsidRPr="00C91ADD">
        <w:rPr>
          <w:b/>
          <w:szCs w:val="22"/>
        </w:rPr>
        <w:fldChar w:fldCharType="begin"/>
      </w:r>
      <w:r w:rsidRPr="00C91ADD">
        <w:rPr>
          <w:b/>
          <w:szCs w:val="22"/>
        </w:rPr>
        <w:instrText xml:space="preserve"> REF _Ref83462018 \r \h  \* MERGEFORMAT </w:instrText>
      </w:r>
      <w:r w:rsidRPr="00C91ADD">
        <w:rPr>
          <w:b/>
          <w:szCs w:val="22"/>
        </w:rPr>
      </w:r>
      <w:r w:rsidRPr="00C91ADD">
        <w:rPr>
          <w:b/>
          <w:szCs w:val="22"/>
        </w:rPr>
        <w:fldChar w:fldCharType="separate"/>
      </w:r>
      <w:r w:rsidR="0099492C" w:rsidRPr="00C91ADD">
        <w:rPr>
          <w:b/>
          <w:szCs w:val="22"/>
        </w:rPr>
        <w:t>1.6</w:t>
      </w:r>
      <w:r w:rsidRPr="00C91ADD">
        <w:rPr>
          <w:b/>
          <w:szCs w:val="22"/>
        </w:rPr>
        <w:fldChar w:fldCharType="end"/>
      </w:r>
      <w:r w:rsidR="00D70359" w:rsidRPr="00C91ADD">
        <w:rPr>
          <w:szCs w:val="22"/>
        </w:rPr>
        <w:t xml:space="preserve"> of these bylaws</w:t>
      </w:r>
      <w:r w:rsidRPr="00C91ADD">
        <w:rPr>
          <w:szCs w:val="22"/>
        </w:rPr>
        <w:t>, until a quorum is present or represe</w:t>
      </w:r>
      <w:r w:rsidR="00507E29" w:rsidRPr="00C91ADD">
        <w:rPr>
          <w:szCs w:val="22"/>
        </w:rPr>
        <w:t>nted.</w:t>
      </w:r>
    </w:p>
    <w:p w14:paraId="64386B8D" w14:textId="77777777" w:rsidR="000A5263" w:rsidRPr="00C91ADD" w:rsidRDefault="00920DE0" w:rsidP="000A5263">
      <w:pPr>
        <w:pStyle w:val="Heading2"/>
        <w:keepNext w:val="0"/>
        <w:keepLines w:val="0"/>
        <w:tabs>
          <w:tab w:val="clear" w:pos="1080"/>
        </w:tabs>
        <w:jc w:val="both"/>
        <w:rPr>
          <w:vanish/>
          <w:szCs w:val="22"/>
          <w:specVanish/>
        </w:rPr>
      </w:pPr>
      <w:bookmarkStart w:id="15" w:name="_Toc511045571"/>
      <w:bookmarkStart w:id="16" w:name="_Ref83462018"/>
      <w:bookmarkStart w:id="17" w:name="_Toc56436107"/>
      <w:r w:rsidRPr="00C91ADD">
        <w:rPr>
          <w:b/>
          <w:bCs/>
          <w:i/>
          <w:iCs/>
          <w:szCs w:val="22"/>
        </w:rPr>
        <w:t>Adjourned Meeting; Notice</w:t>
      </w:r>
      <w:bookmarkEnd w:id="15"/>
      <w:bookmarkEnd w:id="16"/>
      <w:bookmarkEnd w:id="17"/>
    </w:p>
    <w:p w14:paraId="6986E8FB" w14:textId="386C4CF0" w:rsidR="00920DE0" w:rsidRPr="00C91ADD" w:rsidRDefault="00920DE0" w:rsidP="001F1E13">
      <w:pPr>
        <w:pStyle w:val="BodyText"/>
        <w:rPr>
          <w:szCs w:val="22"/>
        </w:rPr>
      </w:pPr>
      <w:r w:rsidRPr="00C91ADD">
        <w:rPr>
          <w:szCs w:val="22"/>
        </w:rPr>
        <w:t xml:space="preserve">.  Any meeting of stockholders, annual or special, may adjourn from time to time to reconvene at the same or some other place, and notice need not be given of the adjourned meeting if the time, place, if any, thereof, and the means of remote communications, if any, by which stockholders and proxy holders may be deemed to be present in person and vote at such adjourned meeting are </w:t>
      </w:r>
      <w:r w:rsidRPr="001F1E13">
        <w:t>announced</w:t>
      </w:r>
      <w:r w:rsidRPr="00C91ADD">
        <w:rPr>
          <w:szCs w:val="22"/>
        </w:rPr>
        <w:t xml:space="preserve"> at the meeting at which the adjournment is taken. At the adjourned meeting, the Company may transact any business which might have been transacted at the original meeting. If the adjournment is for more than 30 days, a notice of the adjourned meeting shall be given to each stockholder of record entitled to vote at the meeting. If after the adjournment a new record date for stockholders entitled to vote is fixed for the adjourned meeting, the Board shall fix a new record date for notice of such adjourned meeting in accordance with Section 213(a) of the DGCL and </w:t>
      </w:r>
      <w:r w:rsidR="00645C0A" w:rsidRPr="00C91ADD">
        <w:rPr>
          <w:b/>
          <w:szCs w:val="22"/>
        </w:rPr>
        <w:t>S</w:t>
      </w:r>
      <w:r w:rsidRPr="00C91ADD">
        <w:rPr>
          <w:b/>
          <w:szCs w:val="22"/>
        </w:rPr>
        <w:t>ection </w:t>
      </w:r>
      <w:r w:rsidRPr="00C91ADD">
        <w:rPr>
          <w:b/>
          <w:szCs w:val="22"/>
        </w:rPr>
        <w:fldChar w:fldCharType="begin"/>
      </w:r>
      <w:r w:rsidRPr="00C91ADD">
        <w:rPr>
          <w:b/>
          <w:szCs w:val="22"/>
        </w:rPr>
        <w:instrText xml:space="preserve"> REF _Ref237060849 \r \h  \* MERGEFORMAT </w:instrText>
      </w:r>
      <w:r w:rsidRPr="00C91ADD">
        <w:rPr>
          <w:b/>
          <w:szCs w:val="22"/>
        </w:rPr>
      </w:r>
      <w:r w:rsidRPr="00C91ADD">
        <w:rPr>
          <w:b/>
          <w:szCs w:val="22"/>
        </w:rPr>
        <w:fldChar w:fldCharType="separate"/>
      </w:r>
      <w:r w:rsidR="0099492C" w:rsidRPr="00C91ADD">
        <w:rPr>
          <w:b/>
          <w:szCs w:val="22"/>
        </w:rPr>
        <w:t>1.10</w:t>
      </w:r>
      <w:r w:rsidRPr="00C91ADD">
        <w:rPr>
          <w:b/>
          <w:szCs w:val="22"/>
        </w:rPr>
        <w:fldChar w:fldCharType="end"/>
      </w:r>
      <w:r w:rsidRPr="00C91ADD">
        <w:rPr>
          <w:szCs w:val="22"/>
        </w:rPr>
        <w:t xml:space="preserve"> of these bylaws, and shall give notice of the adjourned meeting to each stockholder of record entitled to vote at such adjourned meeting as of the record date fixed for notice of such adjourned meeting.</w:t>
      </w:r>
    </w:p>
    <w:p w14:paraId="6382E719" w14:textId="77777777" w:rsidR="000A5263" w:rsidRPr="00C91ADD" w:rsidRDefault="00920DE0" w:rsidP="000A5263">
      <w:pPr>
        <w:pStyle w:val="Heading2"/>
        <w:keepNext w:val="0"/>
        <w:keepLines w:val="0"/>
        <w:tabs>
          <w:tab w:val="clear" w:pos="1080"/>
        </w:tabs>
        <w:jc w:val="both"/>
        <w:rPr>
          <w:vanish/>
          <w:szCs w:val="22"/>
          <w:specVanish/>
        </w:rPr>
      </w:pPr>
      <w:bookmarkStart w:id="18" w:name="_Toc56436108"/>
      <w:bookmarkStart w:id="19" w:name="_Toc511045572"/>
      <w:r w:rsidRPr="00C91ADD">
        <w:rPr>
          <w:b/>
          <w:bCs/>
          <w:i/>
          <w:iCs/>
          <w:szCs w:val="22"/>
        </w:rPr>
        <w:t>Conduct of Business</w:t>
      </w:r>
      <w:bookmarkEnd w:id="18"/>
    </w:p>
    <w:p w14:paraId="0A296DDA" w14:textId="121392BD" w:rsidR="00920DE0" w:rsidRPr="00C91ADD" w:rsidRDefault="00920DE0" w:rsidP="001F1E13">
      <w:pPr>
        <w:pStyle w:val="BodyText"/>
        <w:rPr>
          <w:szCs w:val="22"/>
        </w:rPr>
      </w:pPr>
      <w:r w:rsidRPr="00C91ADD">
        <w:rPr>
          <w:szCs w:val="22"/>
        </w:rPr>
        <w:t>.</w:t>
      </w:r>
      <w:bookmarkEnd w:id="19"/>
      <w:r w:rsidRPr="00C91ADD">
        <w:rPr>
          <w:szCs w:val="22"/>
        </w:rPr>
        <w:t xml:space="preserve">  Meetings of stockholders shall be presided over by the Chairperson of the Board, if any, or in his or her absence by the Vice Chairperson of the Board, if any, or in the absence of the foregoing persons by the Chief Executive Officer, or in the absence of the foregoing persons by the President, or in the absence of the foregoing persons by a Vice President, or in the absence of the foregoing persons by a chairperson designated by the Board, or in the absence of such designation by a chairperson chosen at the meeting. The Secretary shall act as secretary of the meeting, but in his or her absence the chairperson of the meeting may appoint any person to act as secretary of the meeting. The chairperson of any meeting of stockholders shall determine the order of business and the procedure at the meeting, including such regulation of </w:t>
      </w:r>
      <w:r w:rsidRPr="001F1E13">
        <w:t>the</w:t>
      </w:r>
      <w:r w:rsidRPr="00C91ADD">
        <w:rPr>
          <w:szCs w:val="22"/>
        </w:rPr>
        <w:t xml:space="preserve"> manner of voting and the conduct of business</w:t>
      </w:r>
      <w:r w:rsidR="00AA3A23" w:rsidRPr="00C91ADD">
        <w:rPr>
          <w:szCs w:val="22"/>
        </w:rPr>
        <w:t>, and shall have the power to adjourn the meeting to another place, if any, date or time, whether or not a quorum is present</w:t>
      </w:r>
      <w:r w:rsidRPr="00C91ADD">
        <w:rPr>
          <w:szCs w:val="22"/>
        </w:rPr>
        <w:t>.</w:t>
      </w:r>
    </w:p>
    <w:p w14:paraId="2FE892FC" w14:textId="77777777" w:rsidR="000A5263" w:rsidRPr="00C91ADD" w:rsidRDefault="00920DE0" w:rsidP="000A5263">
      <w:pPr>
        <w:pStyle w:val="Heading2"/>
        <w:keepNext w:val="0"/>
        <w:keepLines w:val="0"/>
        <w:tabs>
          <w:tab w:val="clear" w:pos="1080"/>
        </w:tabs>
        <w:jc w:val="both"/>
        <w:rPr>
          <w:vanish/>
          <w:szCs w:val="22"/>
          <w:specVanish/>
        </w:rPr>
      </w:pPr>
      <w:bookmarkStart w:id="20" w:name="_Toc56436109"/>
      <w:bookmarkStart w:id="21" w:name="_Toc511045573"/>
      <w:r w:rsidRPr="00C91ADD">
        <w:rPr>
          <w:b/>
          <w:bCs/>
          <w:i/>
          <w:iCs/>
          <w:szCs w:val="22"/>
        </w:rPr>
        <w:t>Voting</w:t>
      </w:r>
      <w:bookmarkEnd w:id="20"/>
    </w:p>
    <w:p w14:paraId="17566D06" w14:textId="355157C0" w:rsidR="00920DE0" w:rsidRPr="00C91ADD" w:rsidRDefault="00920DE0" w:rsidP="001F1E13">
      <w:pPr>
        <w:pStyle w:val="BodyText"/>
        <w:rPr>
          <w:szCs w:val="22"/>
        </w:rPr>
      </w:pPr>
      <w:r w:rsidRPr="00C91ADD">
        <w:rPr>
          <w:szCs w:val="22"/>
        </w:rPr>
        <w:t>.</w:t>
      </w:r>
      <w:bookmarkEnd w:id="21"/>
      <w:r w:rsidRPr="00C91ADD">
        <w:rPr>
          <w:szCs w:val="22"/>
        </w:rPr>
        <w:t xml:space="preserve">  The stockholders entitled to vote at any meeting of stockholders shall be determined in accordance with the </w:t>
      </w:r>
      <w:r w:rsidRPr="001F1E13">
        <w:t>provisions</w:t>
      </w:r>
      <w:r w:rsidRPr="00C91ADD">
        <w:rPr>
          <w:szCs w:val="22"/>
        </w:rPr>
        <w:t xml:space="preserve"> of </w:t>
      </w:r>
      <w:r w:rsidR="00645C0A" w:rsidRPr="00C91ADD">
        <w:rPr>
          <w:b/>
          <w:bCs/>
          <w:szCs w:val="22"/>
        </w:rPr>
        <w:t>S</w:t>
      </w:r>
      <w:r w:rsidRPr="00C91ADD">
        <w:rPr>
          <w:b/>
          <w:bCs/>
          <w:szCs w:val="22"/>
        </w:rPr>
        <w:t>ection </w:t>
      </w:r>
      <w:r w:rsidRPr="00C91ADD">
        <w:rPr>
          <w:b/>
          <w:bCs/>
          <w:szCs w:val="22"/>
        </w:rPr>
        <w:fldChar w:fldCharType="begin"/>
      </w:r>
      <w:r w:rsidRPr="00C91ADD">
        <w:rPr>
          <w:b/>
          <w:bCs/>
          <w:szCs w:val="22"/>
        </w:rPr>
        <w:instrText xml:space="preserve"> REF _Ref520773517 \r \h  \* MERGEFORMAT </w:instrText>
      </w:r>
      <w:r w:rsidRPr="00C91ADD">
        <w:rPr>
          <w:b/>
          <w:bCs/>
          <w:szCs w:val="22"/>
        </w:rPr>
      </w:r>
      <w:r w:rsidRPr="00C91ADD">
        <w:rPr>
          <w:b/>
          <w:bCs/>
          <w:szCs w:val="22"/>
        </w:rPr>
        <w:fldChar w:fldCharType="separate"/>
      </w:r>
      <w:r w:rsidR="0099492C" w:rsidRPr="00C91ADD">
        <w:rPr>
          <w:b/>
          <w:bCs/>
          <w:szCs w:val="22"/>
        </w:rPr>
        <w:t>1.10</w:t>
      </w:r>
      <w:r w:rsidRPr="00C91ADD">
        <w:rPr>
          <w:b/>
          <w:bCs/>
          <w:szCs w:val="22"/>
        </w:rPr>
        <w:fldChar w:fldCharType="end"/>
      </w:r>
      <w:r w:rsidRPr="00C91ADD">
        <w:rPr>
          <w:szCs w:val="22"/>
        </w:rPr>
        <w:t xml:space="preserve"> of these bylaws, subject to Section 217 (relating to voting rights of fiduciaries, pledgors and joint owners of stock) and Section 218 (relating to voting trusts and other voting agreements) of the DGCL.</w:t>
      </w:r>
    </w:p>
    <w:p w14:paraId="69A144F0" w14:textId="77777777" w:rsidR="00920DE0" w:rsidRPr="00C91ADD" w:rsidRDefault="00920DE0">
      <w:pPr>
        <w:rPr>
          <w:szCs w:val="22"/>
        </w:rPr>
      </w:pPr>
      <w:r w:rsidRPr="00C91ADD">
        <w:rPr>
          <w:szCs w:val="22"/>
        </w:rPr>
        <w:t xml:space="preserve">Except as may be otherwise provided in the certificate of incorporation, each stockholder entitled to vote at any meeting of stockholders shall be entitled to one vote for each share of capital stock held by such stockholder </w:t>
      </w:r>
      <w:r w:rsidR="00035251" w:rsidRPr="00C91ADD">
        <w:rPr>
          <w:szCs w:val="22"/>
        </w:rPr>
        <w:t xml:space="preserve">as of the applicable record date </w:t>
      </w:r>
      <w:r w:rsidRPr="00C91ADD">
        <w:rPr>
          <w:szCs w:val="22"/>
        </w:rPr>
        <w:t xml:space="preserve">which has voting power upon the matter in question. Voting at meetings of stockholders need not be by written ballot and, unless otherwise required by law, need not be conducted by inspectors of election unless so determined by the holders of shares of stock having a majority of the votes which could be cast by the holders of all outstanding shares of stock entitled to vote thereon which are present in person or by proxy at such meeting. If authorized by the Board, such requirement of a written ballot shall be satisfied by a ballot submitted by electronic transmission, </w:t>
      </w:r>
      <w:r w:rsidRPr="00C91ADD">
        <w:rPr>
          <w:i/>
          <w:szCs w:val="22"/>
        </w:rPr>
        <w:t>provided</w:t>
      </w:r>
      <w:r w:rsidRPr="00C91ADD">
        <w:rPr>
          <w:szCs w:val="22"/>
        </w:rPr>
        <w:t xml:space="preserve"> </w:t>
      </w:r>
      <w:r w:rsidRPr="00C91ADD">
        <w:rPr>
          <w:szCs w:val="22"/>
        </w:rPr>
        <w:lastRenderedPageBreak/>
        <w:t>that any such electronic transmission must either set forth or be submitted with information from which it can be determined that the electronic transmission was authorized by the stockholder or proxy holder.</w:t>
      </w:r>
    </w:p>
    <w:p w14:paraId="6ADE8925" w14:textId="5D6CA289" w:rsidR="00920DE0" w:rsidRPr="00C91ADD" w:rsidRDefault="00920DE0">
      <w:pPr>
        <w:rPr>
          <w:szCs w:val="22"/>
        </w:rPr>
      </w:pPr>
      <w:r w:rsidRPr="00C91ADD">
        <w:rPr>
          <w:szCs w:val="22"/>
        </w:rPr>
        <w:t xml:space="preserve">Except as otherwise required by law, the certificate of incorporation or these bylaws, in all matters other than the election of directors, the affirmative vote of a majority of the voting power of the shares present in person or represented by proxy at the meeting and entitled to vote on the subject matter shall be the act of the stockholders. Except as otherwise required by law, the certificate of incorporation or these bylaws, directors shall be elected by a plurality of the voting power of the shares present in person or represented by proxy at the meeting and entitled to vote on the election of directors. Where a separate vote by a class or series or classes or series is required, in all matters other than the election of directors, the affirmative vote of the majority of shares of such class or series or classes or series present in person or represented by proxy at the meeting </w:t>
      </w:r>
      <w:r w:rsidR="008D62BD" w:rsidRPr="00C91ADD">
        <w:rPr>
          <w:szCs w:val="22"/>
        </w:rPr>
        <w:t xml:space="preserve">and entitled to vote on the subject matter </w:t>
      </w:r>
      <w:r w:rsidRPr="00C91ADD">
        <w:rPr>
          <w:szCs w:val="22"/>
        </w:rPr>
        <w:t>shall be the act of such class or series or classes or series, except as otherwise provided by law, the certificate of incorporation or these bylaws.</w:t>
      </w:r>
    </w:p>
    <w:p w14:paraId="085B8C6A" w14:textId="77777777" w:rsidR="000A5263" w:rsidRPr="00C91ADD" w:rsidRDefault="00920DE0" w:rsidP="000A5263">
      <w:pPr>
        <w:pStyle w:val="Heading2"/>
        <w:keepNext w:val="0"/>
        <w:keepLines w:val="0"/>
        <w:tabs>
          <w:tab w:val="clear" w:pos="1080"/>
        </w:tabs>
        <w:jc w:val="both"/>
        <w:rPr>
          <w:vanish/>
          <w:szCs w:val="22"/>
          <w:specVanish/>
        </w:rPr>
      </w:pPr>
      <w:bookmarkStart w:id="22" w:name="_Toc511045574"/>
      <w:bookmarkStart w:id="23" w:name="_Ref104634855"/>
      <w:bookmarkStart w:id="24" w:name="_Ref394069908"/>
      <w:bookmarkStart w:id="25" w:name="_Ref12360794"/>
      <w:bookmarkStart w:id="26" w:name="_Ref12360825"/>
      <w:bookmarkStart w:id="27" w:name="_Toc56436110"/>
      <w:r w:rsidRPr="00C91ADD">
        <w:rPr>
          <w:b/>
          <w:bCs/>
          <w:i/>
          <w:iCs/>
          <w:szCs w:val="22"/>
        </w:rPr>
        <w:t>Stockholder Action by Written Consent Without a Meeting</w:t>
      </w:r>
      <w:bookmarkEnd w:id="22"/>
      <w:bookmarkEnd w:id="23"/>
      <w:bookmarkEnd w:id="24"/>
      <w:bookmarkEnd w:id="25"/>
      <w:bookmarkEnd w:id="26"/>
      <w:bookmarkEnd w:id="27"/>
    </w:p>
    <w:p w14:paraId="1B1AEA6F" w14:textId="57276410" w:rsidR="00920DE0" w:rsidRPr="00C91ADD" w:rsidRDefault="00920DE0" w:rsidP="001F1E13">
      <w:pPr>
        <w:pStyle w:val="BodyText"/>
        <w:rPr>
          <w:szCs w:val="22"/>
        </w:rPr>
      </w:pPr>
      <w:r w:rsidRPr="00C91ADD">
        <w:rPr>
          <w:szCs w:val="22"/>
        </w:rPr>
        <w:t xml:space="preserve">.  Unless otherwise provided in the certificate of incorporation, any action required by the DGCL to be taken at any annual or special meeting of stockholders of a corporation, or any action which may be taken at any annual or special meeting of such stockholders, may be taken without </w:t>
      </w:r>
      <w:r w:rsidR="009E5E62" w:rsidRPr="00C91ADD">
        <w:rPr>
          <w:szCs w:val="22"/>
        </w:rPr>
        <w:t>a meeting, without prior notice</w:t>
      </w:r>
      <w:r w:rsidRPr="00C91ADD">
        <w:rPr>
          <w:szCs w:val="22"/>
        </w:rPr>
        <w:t xml:space="preserve"> and without a vote, if a consent or consents in writing, setting forth the action so taken, shall be signed by the holders of outstanding stock having not less than the minimum number of votes that would be necessary to authorize or take such action at a meeting at which all shares entitled to vote thereon were present and voted.</w:t>
      </w:r>
    </w:p>
    <w:p w14:paraId="72A067D5" w14:textId="77777777" w:rsidR="00690EC2" w:rsidRPr="00C91ADD" w:rsidRDefault="00AA5489">
      <w:pPr>
        <w:rPr>
          <w:szCs w:val="22"/>
        </w:rPr>
      </w:pPr>
      <w:r w:rsidRPr="00C91ADD">
        <w:rPr>
          <w:rFonts w:eastAsia="Calibri"/>
          <w:szCs w:val="22"/>
        </w:rPr>
        <w:t>N</w:t>
      </w:r>
      <w:r w:rsidR="00690EC2" w:rsidRPr="00C91ADD">
        <w:rPr>
          <w:rFonts w:eastAsia="Calibri"/>
          <w:szCs w:val="22"/>
        </w:rPr>
        <w:t>o written consent shall be effective to take the corporate action referred to therein unless written consents signed by a sufficient number of holders to take action are delivered to the Company</w:t>
      </w:r>
      <w:r w:rsidR="006F5FFC" w:rsidRPr="00C91ADD">
        <w:rPr>
          <w:rFonts w:eastAsia="Calibri"/>
          <w:szCs w:val="22"/>
        </w:rPr>
        <w:t xml:space="preserve"> in the manner required by Section 228 of the DGCL within 60 days of the first date on which a written consent is so delivered to the Company</w:t>
      </w:r>
      <w:r w:rsidR="00690EC2" w:rsidRPr="00C91ADD">
        <w:rPr>
          <w:rFonts w:eastAsia="Calibri"/>
          <w:szCs w:val="22"/>
        </w:rPr>
        <w:t>. Any person executing a consent may provide, whether through instruction to an agent or otherwise, that such a consent will be effective at a future time (including a time determined upon the happening of an event), no later than 60 days after such instruction is given or such provision is made, if evidence of such instruction or provision is provided to the Company. Unless otherwise provided, any such consent shall be revocable prior to its becoming effective.</w:t>
      </w:r>
    </w:p>
    <w:p w14:paraId="0EBC4979" w14:textId="434F9EA4" w:rsidR="00920DE0" w:rsidRPr="00C91ADD" w:rsidRDefault="00920DE0">
      <w:pPr>
        <w:rPr>
          <w:szCs w:val="22"/>
        </w:rPr>
      </w:pPr>
      <w:r w:rsidRPr="00C91ADD">
        <w:rPr>
          <w:szCs w:val="22"/>
        </w:rPr>
        <w:t>An electronic transmission consenting to an action to be taken and transmitted by a stockholder or proxy holder, or by a person or persons authorized to act for a stockholder or proxy holder</w:t>
      </w:r>
      <w:r w:rsidR="00BA2B06" w:rsidRPr="00C91ADD">
        <w:rPr>
          <w:szCs w:val="22"/>
        </w:rPr>
        <w:t>, shall be deemed to be written and</w:t>
      </w:r>
      <w:r w:rsidRPr="00C91ADD">
        <w:rPr>
          <w:szCs w:val="22"/>
        </w:rPr>
        <w:t xml:space="preserve"> signed for purposes of this </w:t>
      </w:r>
      <w:r w:rsidR="00645C0A" w:rsidRPr="00C91ADD">
        <w:rPr>
          <w:b/>
          <w:szCs w:val="22"/>
        </w:rPr>
        <w:t>S</w:t>
      </w:r>
      <w:r w:rsidRPr="00C91ADD">
        <w:rPr>
          <w:b/>
          <w:szCs w:val="22"/>
        </w:rPr>
        <w:t>ection</w:t>
      </w:r>
      <w:r w:rsidR="00293CA1" w:rsidRPr="00C91ADD">
        <w:rPr>
          <w:b/>
          <w:szCs w:val="22"/>
        </w:rPr>
        <w:t> </w:t>
      </w:r>
      <w:r w:rsidR="00293CA1" w:rsidRPr="00C91ADD">
        <w:rPr>
          <w:b/>
          <w:szCs w:val="22"/>
        </w:rPr>
        <w:fldChar w:fldCharType="begin"/>
      </w:r>
      <w:r w:rsidR="00293CA1" w:rsidRPr="00C91ADD">
        <w:rPr>
          <w:b/>
          <w:szCs w:val="22"/>
        </w:rPr>
        <w:instrText xml:space="preserve"> REF _Ref12360794 \r \h  \* MERGEFORMAT </w:instrText>
      </w:r>
      <w:r w:rsidR="00293CA1" w:rsidRPr="00C91ADD">
        <w:rPr>
          <w:b/>
          <w:szCs w:val="22"/>
        </w:rPr>
      </w:r>
      <w:r w:rsidR="00293CA1" w:rsidRPr="00C91ADD">
        <w:rPr>
          <w:b/>
          <w:szCs w:val="22"/>
        </w:rPr>
        <w:fldChar w:fldCharType="separate"/>
      </w:r>
      <w:r w:rsidR="0099492C" w:rsidRPr="00C91ADD">
        <w:rPr>
          <w:b/>
          <w:szCs w:val="22"/>
        </w:rPr>
        <w:t>1.9</w:t>
      </w:r>
      <w:r w:rsidR="00293CA1" w:rsidRPr="00C91ADD">
        <w:rPr>
          <w:b/>
          <w:szCs w:val="22"/>
        </w:rPr>
        <w:fldChar w:fldCharType="end"/>
      </w:r>
      <w:r w:rsidRPr="00C91ADD">
        <w:rPr>
          <w:szCs w:val="22"/>
        </w:rPr>
        <w:t xml:space="preserve">, </w:t>
      </w:r>
      <w:r w:rsidRPr="00C91ADD">
        <w:rPr>
          <w:i/>
          <w:szCs w:val="22"/>
        </w:rPr>
        <w:t>provided</w:t>
      </w:r>
      <w:r w:rsidRPr="00C91ADD">
        <w:rPr>
          <w:szCs w:val="22"/>
        </w:rPr>
        <w:t xml:space="preserve"> that any such electronic transmission sets forth or is delivered with information from which the Company can determine (i) that the electronic transmission was transmitted by the stockholder or proxy holder or by a person or persons authorized to act for the stockholder or proxy holder and (ii) the date on which such stockholder or proxy holder or authorized person or persons transmitted such electronic transmission.</w:t>
      </w:r>
    </w:p>
    <w:p w14:paraId="685B5A6E" w14:textId="0B4887D0" w:rsidR="00533B97" w:rsidRPr="00C91ADD" w:rsidRDefault="00533B97">
      <w:pPr>
        <w:rPr>
          <w:szCs w:val="22"/>
        </w:rPr>
      </w:pPr>
      <w:r w:rsidRPr="00C91ADD">
        <w:rPr>
          <w:szCs w:val="22"/>
        </w:rPr>
        <w:t xml:space="preserve">A consent given by electronic transmission is delivered to the Company upon the earliest of (i) when the consent enters an information processing system, if any, designated by the Company for receiving consents, so long as the electronic transmission is in a form capable of being processed by that system and the Company is able to retrieve that electronic transmission; (ii) when a paper reproduction of the consent is delivered to the Company’s principal place of business or an officer or agent of the Company having custody of the book in which proceedings of meetings of stockholders are recorded; (iii) when a paper reproduction of the consent is delivered to the Company’s registered office in the State of Delaware by hand or by certified or registered mail, return receipt requested; or (iv) when delivered in such other manner, if any, provided by resolution of the Board. A consent given by electronic transmission is delivered under this </w:t>
      </w:r>
      <w:r w:rsidR="00645C0A" w:rsidRPr="00C91ADD">
        <w:rPr>
          <w:b/>
          <w:szCs w:val="22"/>
        </w:rPr>
        <w:t>S</w:t>
      </w:r>
      <w:r w:rsidRPr="00C91ADD">
        <w:rPr>
          <w:b/>
          <w:szCs w:val="22"/>
        </w:rPr>
        <w:t>ection</w:t>
      </w:r>
      <w:r w:rsidR="00293CA1" w:rsidRPr="00C91ADD">
        <w:rPr>
          <w:b/>
          <w:szCs w:val="22"/>
        </w:rPr>
        <w:t> </w:t>
      </w:r>
      <w:r w:rsidR="00293CA1" w:rsidRPr="00C91ADD">
        <w:rPr>
          <w:b/>
          <w:szCs w:val="22"/>
        </w:rPr>
        <w:fldChar w:fldCharType="begin"/>
      </w:r>
      <w:r w:rsidR="00293CA1" w:rsidRPr="00C91ADD">
        <w:rPr>
          <w:b/>
          <w:szCs w:val="22"/>
        </w:rPr>
        <w:instrText xml:space="preserve"> REF _Ref12360825 \r \h  \* MERGEFORMAT </w:instrText>
      </w:r>
      <w:r w:rsidR="00293CA1" w:rsidRPr="00C91ADD">
        <w:rPr>
          <w:b/>
          <w:szCs w:val="22"/>
        </w:rPr>
      </w:r>
      <w:r w:rsidR="00293CA1" w:rsidRPr="00C91ADD">
        <w:rPr>
          <w:b/>
          <w:szCs w:val="22"/>
        </w:rPr>
        <w:fldChar w:fldCharType="separate"/>
      </w:r>
      <w:r w:rsidR="0099492C" w:rsidRPr="00C91ADD">
        <w:rPr>
          <w:b/>
          <w:szCs w:val="22"/>
        </w:rPr>
        <w:t>1.9</w:t>
      </w:r>
      <w:r w:rsidR="00293CA1" w:rsidRPr="00C91ADD">
        <w:rPr>
          <w:b/>
          <w:szCs w:val="22"/>
        </w:rPr>
        <w:fldChar w:fldCharType="end"/>
      </w:r>
      <w:r w:rsidRPr="00C91ADD">
        <w:rPr>
          <w:szCs w:val="22"/>
        </w:rPr>
        <w:t xml:space="preserve"> even if no person is aware of its receipt. Receipt of an electronic acknowledgement </w:t>
      </w:r>
      <w:r w:rsidRPr="00C91ADD">
        <w:rPr>
          <w:szCs w:val="22"/>
        </w:rPr>
        <w:lastRenderedPageBreak/>
        <w:t>from an information processing system establishes that a consent given by electronic transmission was received but, by itself, does not establish that the content sent corresponds to the content received.</w:t>
      </w:r>
    </w:p>
    <w:p w14:paraId="13A92600" w14:textId="02CF0A67" w:rsidR="00920DE0" w:rsidRPr="00C91ADD" w:rsidRDefault="00920DE0">
      <w:pPr>
        <w:rPr>
          <w:szCs w:val="22"/>
        </w:rPr>
      </w:pPr>
      <w:r w:rsidRPr="00C91ADD">
        <w:rPr>
          <w:szCs w:val="22"/>
        </w:rPr>
        <w:t>In the event that the Board shall have instructed the officers of the Company to solicit the vote or written consent of the stockholders of the Company, an electronic transmission of a stockholder written consent given pursuant to such solicitation</w:t>
      </w:r>
      <w:r w:rsidR="00AA24E3" w:rsidRPr="00C91ADD">
        <w:rPr>
          <w:szCs w:val="22"/>
        </w:rPr>
        <w:t>, to be effective,</w:t>
      </w:r>
      <w:r w:rsidRPr="00C91ADD">
        <w:rPr>
          <w:szCs w:val="22"/>
        </w:rPr>
        <w:t xml:space="preserve"> </w:t>
      </w:r>
      <w:r w:rsidR="00AA24E3" w:rsidRPr="00C91ADD">
        <w:rPr>
          <w:szCs w:val="22"/>
        </w:rPr>
        <w:t>must</w:t>
      </w:r>
      <w:r w:rsidRPr="00C91ADD">
        <w:rPr>
          <w:szCs w:val="22"/>
        </w:rPr>
        <w:t xml:space="preserve"> be delivered </w:t>
      </w:r>
      <w:r w:rsidR="004B5E75" w:rsidRPr="00C91ADD">
        <w:rPr>
          <w:szCs w:val="22"/>
        </w:rPr>
        <w:t xml:space="preserve">by electronic mail </w:t>
      </w:r>
      <w:r w:rsidR="004B5E75" w:rsidRPr="00C91ADD">
        <w:t xml:space="preserve">(as defined in </w:t>
      </w:r>
      <w:r w:rsidR="00645C0A" w:rsidRPr="00C91ADD">
        <w:rPr>
          <w:b/>
        </w:rPr>
        <w:t>S</w:t>
      </w:r>
      <w:r w:rsidR="004B5E75" w:rsidRPr="00C91ADD">
        <w:rPr>
          <w:b/>
        </w:rPr>
        <w:t>ection </w:t>
      </w:r>
      <w:r w:rsidR="004B5E75" w:rsidRPr="00C91ADD">
        <w:rPr>
          <w:b/>
        </w:rPr>
        <w:fldChar w:fldCharType="begin"/>
      </w:r>
      <w:r w:rsidR="004B5E75" w:rsidRPr="00C91ADD">
        <w:rPr>
          <w:b/>
        </w:rPr>
        <w:instrText xml:space="preserve"> REF _Ref11843640 \r \h </w:instrText>
      </w:r>
      <w:r w:rsidR="00C91ADD">
        <w:rPr>
          <w:b/>
        </w:rPr>
        <w:instrText xml:space="preserve"> \* MERGEFORMAT </w:instrText>
      </w:r>
      <w:r w:rsidR="004B5E75" w:rsidRPr="00C91ADD">
        <w:rPr>
          <w:b/>
        </w:rPr>
      </w:r>
      <w:r w:rsidR="004B5E75" w:rsidRPr="00C91ADD">
        <w:rPr>
          <w:b/>
        </w:rPr>
        <w:fldChar w:fldCharType="separate"/>
      </w:r>
      <w:r w:rsidR="0099492C" w:rsidRPr="00C91ADD">
        <w:rPr>
          <w:b/>
        </w:rPr>
        <w:t>7.1</w:t>
      </w:r>
      <w:r w:rsidR="004B5E75" w:rsidRPr="00C91ADD">
        <w:rPr>
          <w:b/>
        </w:rPr>
        <w:fldChar w:fldCharType="end"/>
      </w:r>
      <w:r w:rsidR="004B5E75" w:rsidRPr="00C91ADD">
        <w:rPr>
          <w:szCs w:val="22"/>
        </w:rPr>
        <w:t xml:space="preserve"> of these bylaws</w:t>
      </w:r>
      <w:r w:rsidR="004B5E75" w:rsidRPr="00C91ADD">
        <w:t>)</w:t>
      </w:r>
      <w:r w:rsidR="002D343E" w:rsidRPr="00C91ADD">
        <w:t xml:space="preserve"> </w:t>
      </w:r>
      <w:r w:rsidR="00A64B67" w:rsidRPr="00C91ADD">
        <w:t xml:space="preserve">or facsimile telecommunications </w:t>
      </w:r>
      <w:r w:rsidRPr="00C91ADD">
        <w:rPr>
          <w:szCs w:val="22"/>
        </w:rPr>
        <w:t>to the Secretary or the President of the Company</w:t>
      </w:r>
      <w:r w:rsidR="00DD44B9" w:rsidRPr="00C91ADD">
        <w:rPr>
          <w:szCs w:val="22"/>
        </w:rPr>
        <w:t xml:space="preserve"> or</w:t>
      </w:r>
      <w:r w:rsidRPr="00C91ADD">
        <w:rPr>
          <w:szCs w:val="22"/>
        </w:rPr>
        <w:t xml:space="preserve"> to a person designated by the </w:t>
      </w:r>
      <w:r w:rsidR="00AA24E3" w:rsidRPr="00C91ADD">
        <w:rPr>
          <w:kern w:val="28"/>
        </w:rPr>
        <w:t xml:space="preserve">Company for receiving such consent, or </w:t>
      </w:r>
      <w:r w:rsidR="00DD44B9" w:rsidRPr="00C91ADD">
        <w:rPr>
          <w:kern w:val="28"/>
        </w:rPr>
        <w:t xml:space="preserve">delivered </w:t>
      </w:r>
      <w:r w:rsidR="00AA24E3" w:rsidRPr="00C91ADD">
        <w:rPr>
          <w:kern w:val="28"/>
        </w:rPr>
        <w:t>to an information processing system designated by the Company for receiving such consent</w:t>
      </w:r>
      <w:r w:rsidRPr="00C91ADD">
        <w:rPr>
          <w:szCs w:val="22"/>
        </w:rPr>
        <w:t>.</w:t>
      </w:r>
    </w:p>
    <w:p w14:paraId="5B238106" w14:textId="77777777" w:rsidR="00920DE0" w:rsidRPr="00C91ADD" w:rsidRDefault="00920DE0">
      <w:pPr>
        <w:rPr>
          <w:szCs w:val="22"/>
        </w:rPr>
      </w:pPr>
      <w:r w:rsidRPr="00C91ADD">
        <w:rPr>
          <w:szCs w:val="22"/>
        </w:rPr>
        <w:t>Prompt notice of the taking of the corporate action without a meeting by less than unanimous written consent shall be given to those stockholders who have not consented in writing and who, if the action had been taken at a meeting, would have been entitled to notice of the meeting if the record date for notice of such meeting had been the date that written consents signed by a sufficient number of holders to take the action were delivered to the Company as provided in Section 228 of the DGCL. In the event that the action which is consented to is such as would have required the filing of a certificate under any provision of the DGCL, if such action had been voted on by stockholders at a meeting thereof, the certificate filed under such provision shall state, in lieu of any statement required by such provision concerning any vote of stockholders, that written consent has been given in accordance with Section 228 of the DGCL.</w:t>
      </w:r>
    </w:p>
    <w:p w14:paraId="3B268132" w14:textId="77777777" w:rsidR="000A5263" w:rsidRPr="00C91ADD" w:rsidRDefault="00920DE0" w:rsidP="000A5263">
      <w:pPr>
        <w:pStyle w:val="Heading2"/>
        <w:keepNext w:val="0"/>
        <w:keepLines w:val="0"/>
        <w:tabs>
          <w:tab w:val="clear" w:pos="1080"/>
        </w:tabs>
        <w:jc w:val="both"/>
        <w:rPr>
          <w:vanish/>
          <w:szCs w:val="22"/>
          <w:specVanish/>
        </w:rPr>
      </w:pPr>
      <w:bookmarkStart w:id="28" w:name="_Toc511045575"/>
      <w:bookmarkStart w:id="29" w:name="_Ref520773517"/>
      <w:bookmarkStart w:id="30" w:name="_Ref236817545"/>
      <w:bookmarkStart w:id="31" w:name="_Ref237060849"/>
      <w:bookmarkStart w:id="32" w:name="_Toc56436111"/>
      <w:r w:rsidRPr="00C91ADD">
        <w:rPr>
          <w:b/>
          <w:bCs/>
          <w:i/>
          <w:iCs/>
          <w:szCs w:val="22"/>
        </w:rPr>
        <w:t>Record Date</w:t>
      </w:r>
      <w:bookmarkEnd w:id="28"/>
      <w:bookmarkEnd w:id="29"/>
      <w:bookmarkEnd w:id="30"/>
      <w:r w:rsidRPr="00C91ADD">
        <w:rPr>
          <w:b/>
          <w:bCs/>
          <w:i/>
          <w:iCs/>
          <w:szCs w:val="22"/>
        </w:rPr>
        <w:t>s</w:t>
      </w:r>
      <w:bookmarkEnd w:id="31"/>
      <w:bookmarkEnd w:id="32"/>
    </w:p>
    <w:p w14:paraId="01ABCC53" w14:textId="1B4C419E" w:rsidR="00920DE0" w:rsidRPr="00C91ADD" w:rsidRDefault="00920DE0" w:rsidP="001F1E13">
      <w:pPr>
        <w:pStyle w:val="BodyText"/>
        <w:rPr>
          <w:b/>
          <w:bCs/>
          <w:i/>
          <w:iCs/>
          <w:szCs w:val="22"/>
        </w:rPr>
      </w:pPr>
      <w:r w:rsidRPr="00C91ADD">
        <w:rPr>
          <w:szCs w:val="22"/>
        </w:rPr>
        <w:t>.  In order that the Company may determine the stockholders entitled to notice of any meeting of stockholders or any adjournment thereof, the Board may fix a record date, which record date shall not precede the date upon which the resolution fixing the record date is adopted by the Board and which record date shall not be more than 60 nor less than 10 days before the date of such meeting. If the Board so fixes a date, such date shall also be the record date for determining the stockholders entitled to vote at such meeting unless the Board determines, at the time it fixes such record date, that a later date on or before the date of the meeting shall be the date for making such determination.</w:t>
      </w:r>
    </w:p>
    <w:p w14:paraId="36CA31D8" w14:textId="77777777" w:rsidR="00920DE0" w:rsidRPr="00C91ADD" w:rsidRDefault="00920DE0">
      <w:pPr>
        <w:rPr>
          <w:szCs w:val="22"/>
        </w:rPr>
      </w:pPr>
      <w:r w:rsidRPr="00C91ADD">
        <w:rPr>
          <w:szCs w:val="22"/>
        </w:rPr>
        <w:t>If no record date is fixed by the Board, the record date for determining stockholders entitled to notice of and to vote at a meeting of stockholders shall be at the close of business on the day next preceding the day on which notice is given, or, if notice is waived, at the close of business on the day next preceding the day on which the meeting is held.</w:t>
      </w:r>
    </w:p>
    <w:p w14:paraId="05E6ECF6" w14:textId="46244615" w:rsidR="00920DE0" w:rsidRPr="00C91ADD" w:rsidRDefault="00920DE0">
      <w:pPr>
        <w:rPr>
          <w:szCs w:val="22"/>
        </w:rPr>
      </w:pPr>
      <w:r w:rsidRPr="00C91ADD">
        <w:rPr>
          <w:szCs w:val="22"/>
        </w:rPr>
        <w:t xml:space="preserve">A determination of stockholders of record entitled to notice of or to vote at a meeting of stockholders shall apply to any adjournment of the meeting; </w:t>
      </w:r>
      <w:r w:rsidRPr="00C91ADD">
        <w:rPr>
          <w:i/>
          <w:szCs w:val="22"/>
        </w:rPr>
        <w:t>provided, however,</w:t>
      </w:r>
      <w:r w:rsidRPr="00C91ADD">
        <w:rPr>
          <w:szCs w:val="22"/>
        </w:rPr>
        <w:t xml:space="preserve"> that the Board may fix a new record date for determination of stockholders entitled to vote at the adjourned meeting, and in such case shall also fix as the record date for stockholders entitled to notice of such adjourned meeting the same or an earlier date as that fixed for determination of stockholders entitled to vote in accordance with the provisions of Section 213 of the DGCL and this </w:t>
      </w:r>
      <w:r w:rsidR="00645C0A" w:rsidRPr="00C91ADD">
        <w:rPr>
          <w:b/>
          <w:szCs w:val="22"/>
        </w:rPr>
        <w:t>S</w:t>
      </w:r>
      <w:r w:rsidRPr="00C91ADD">
        <w:rPr>
          <w:b/>
          <w:szCs w:val="22"/>
        </w:rPr>
        <w:t>ection </w:t>
      </w:r>
      <w:r w:rsidRPr="00C91ADD">
        <w:rPr>
          <w:b/>
          <w:szCs w:val="22"/>
        </w:rPr>
        <w:fldChar w:fldCharType="begin"/>
      </w:r>
      <w:r w:rsidRPr="00C91ADD">
        <w:rPr>
          <w:b/>
          <w:szCs w:val="22"/>
        </w:rPr>
        <w:instrText xml:space="preserve"> REF _Ref236817545 \r \h </w:instrText>
      </w:r>
      <w:r w:rsidR="006F2BD4" w:rsidRPr="00C91ADD">
        <w:rPr>
          <w:b/>
          <w:szCs w:val="22"/>
        </w:rPr>
        <w:instrText xml:space="preserve"> \* MERGEFORMAT </w:instrText>
      </w:r>
      <w:r w:rsidRPr="00C91ADD">
        <w:rPr>
          <w:b/>
          <w:szCs w:val="22"/>
        </w:rPr>
      </w:r>
      <w:r w:rsidRPr="00C91ADD">
        <w:rPr>
          <w:b/>
          <w:szCs w:val="22"/>
        </w:rPr>
        <w:fldChar w:fldCharType="separate"/>
      </w:r>
      <w:r w:rsidR="0099492C" w:rsidRPr="00C91ADD">
        <w:rPr>
          <w:b/>
          <w:szCs w:val="22"/>
        </w:rPr>
        <w:t>1.10</w:t>
      </w:r>
      <w:r w:rsidRPr="00C91ADD">
        <w:rPr>
          <w:b/>
          <w:szCs w:val="22"/>
        </w:rPr>
        <w:fldChar w:fldCharType="end"/>
      </w:r>
      <w:r w:rsidRPr="00C91ADD">
        <w:rPr>
          <w:szCs w:val="22"/>
        </w:rPr>
        <w:t xml:space="preserve"> at the adjourned meeting.</w:t>
      </w:r>
    </w:p>
    <w:p w14:paraId="071D5A69" w14:textId="77777777" w:rsidR="00920DE0" w:rsidRPr="00C91ADD" w:rsidRDefault="00920DE0">
      <w:pPr>
        <w:rPr>
          <w:szCs w:val="22"/>
        </w:rPr>
      </w:pPr>
      <w:r w:rsidRPr="00C91ADD">
        <w:rPr>
          <w:szCs w:val="22"/>
        </w:rPr>
        <w:t xml:space="preserve">In order that the Company may determine the stockholders entitled to consent to corporate action in writing without a meeting, the Board may fix a record date, which record date shall not precede the date upon which the resolution fixing the record date is adopted by the Board, and which date shall not be more than 10 days after the date upon which the resolution fixing the record date is adopted by the Board. If no record date has been fixed by the Board, the record date for determining stockholders entitled to consent to corporate action in writing without a meeting, when no prior action by the Board is required by law, shall be the first date on which a signed written consent setting forth the action taken or proposed to be taken is delivered to the Company in accordance with applicable law. If no record date has been fixed by the Board and prior action by the Board is required by law, the record date for determining stockholders entitled to </w:t>
      </w:r>
      <w:r w:rsidRPr="00C91ADD">
        <w:rPr>
          <w:szCs w:val="22"/>
        </w:rPr>
        <w:lastRenderedPageBreak/>
        <w:t>consent to corporate action in writing without a meeting shall be at the close of business on the day on which the Board adopts the resolution taking such prior action.</w:t>
      </w:r>
    </w:p>
    <w:p w14:paraId="0C2214BC" w14:textId="77777777" w:rsidR="00920DE0" w:rsidRPr="00C91ADD" w:rsidRDefault="00920DE0">
      <w:pPr>
        <w:rPr>
          <w:szCs w:val="22"/>
        </w:rPr>
      </w:pPr>
      <w:r w:rsidRPr="00C91ADD">
        <w:rPr>
          <w:szCs w:val="22"/>
        </w:rPr>
        <w:t>In order that the Company may determine the stockholders entitled to receive payment of any dividend or other distribution or allotment of any rights or the stockholders entitled to exercise any rights in respect of any change, conversion or exchange of stock, or for the purpose of any other lawful action, the Board may fix a record date, which record date shall not precede the date upon which the resolution fixing the record date is adopted, and which record date shall be not more than 60 days prior to such action. If no record date is fixed, the record date for determining stockholders for any such purpose shall be at the close of business on the day on which the Board adopts the resolution relating thereto.</w:t>
      </w:r>
    </w:p>
    <w:p w14:paraId="4F3727F7" w14:textId="77777777" w:rsidR="000A5263" w:rsidRPr="00C91ADD" w:rsidRDefault="00920DE0" w:rsidP="000A5263">
      <w:pPr>
        <w:pStyle w:val="Heading2"/>
        <w:keepNext w:val="0"/>
        <w:keepLines w:val="0"/>
        <w:tabs>
          <w:tab w:val="clear" w:pos="1080"/>
        </w:tabs>
        <w:jc w:val="both"/>
        <w:rPr>
          <w:vanish/>
          <w:szCs w:val="22"/>
          <w:specVanish/>
        </w:rPr>
      </w:pPr>
      <w:bookmarkStart w:id="33" w:name="_Toc511045576"/>
      <w:bookmarkStart w:id="34" w:name="_Ref519419070"/>
      <w:bookmarkStart w:id="35" w:name="_Toc56436112"/>
      <w:r w:rsidRPr="00C91ADD">
        <w:rPr>
          <w:b/>
          <w:bCs/>
          <w:i/>
          <w:iCs/>
          <w:szCs w:val="22"/>
        </w:rPr>
        <w:t>Proxies</w:t>
      </w:r>
      <w:bookmarkEnd w:id="33"/>
      <w:bookmarkEnd w:id="34"/>
      <w:bookmarkEnd w:id="35"/>
    </w:p>
    <w:p w14:paraId="28C53085" w14:textId="5BCED5C0" w:rsidR="00920DE0" w:rsidRPr="00C91ADD" w:rsidRDefault="00920DE0" w:rsidP="001F1E13">
      <w:pPr>
        <w:pStyle w:val="BodyText"/>
        <w:rPr>
          <w:szCs w:val="22"/>
        </w:rPr>
      </w:pPr>
      <w:r w:rsidRPr="00C91ADD">
        <w:rPr>
          <w:szCs w:val="22"/>
        </w:rPr>
        <w:t xml:space="preserve">.  Each stockholder entitled to vote at a meeting of stockholders or to express consent or dissent to corporate action in writing without a meeting may authorize another person or persons to act for such stockholder by proxy authorized by </w:t>
      </w:r>
      <w:r w:rsidR="009B39D1" w:rsidRPr="00C91ADD">
        <w:rPr>
          <w:szCs w:val="22"/>
        </w:rPr>
        <w:t>a document</w:t>
      </w:r>
      <w:r w:rsidRPr="00C91ADD">
        <w:rPr>
          <w:szCs w:val="22"/>
        </w:rPr>
        <w:t xml:space="preserve"> </w:t>
      </w:r>
      <w:r w:rsidR="0095046E" w:rsidRPr="00C91ADD">
        <w:rPr>
          <w:szCs w:val="22"/>
        </w:rPr>
        <w:t xml:space="preserve">(as defined in </w:t>
      </w:r>
      <w:r w:rsidR="00645C0A" w:rsidRPr="00C91ADD">
        <w:rPr>
          <w:b/>
          <w:szCs w:val="22"/>
        </w:rPr>
        <w:t>S</w:t>
      </w:r>
      <w:r w:rsidR="0095046E" w:rsidRPr="00C91ADD">
        <w:rPr>
          <w:b/>
          <w:szCs w:val="22"/>
        </w:rPr>
        <w:t>ection </w:t>
      </w:r>
      <w:r w:rsidR="0095046E" w:rsidRPr="00C91ADD">
        <w:rPr>
          <w:b/>
          <w:szCs w:val="22"/>
        </w:rPr>
        <w:fldChar w:fldCharType="begin"/>
      </w:r>
      <w:r w:rsidR="0095046E" w:rsidRPr="00C91ADD">
        <w:rPr>
          <w:b/>
          <w:szCs w:val="22"/>
        </w:rPr>
        <w:instrText xml:space="preserve"> REF _Ref11843605 \r \h </w:instrText>
      </w:r>
      <w:r w:rsidR="00C91ADD">
        <w:rPr>
          <w:b/>
          <w:szCs w:val="22"/>
        </w:rPr>
        <w:instrText xml:space="preserve"> \* MERGEFORMAT </w:instrText>
      </w:r>
      <w:r w:rsidR="0095046E" w:rsidRPr="00C91ADD">
        <w:rPr>
          <w:b/>
          <w:szCs w:val="22"/>
        </w:rPr>
      </w:r>
      <w:r w:rsidR="0095046E" w:rsidRPr="00C91ADD">
        <w:rPr>
          <w:b/>
          <w:szCs w:val="22"/>
        </w:rPr>
        <w:fldChar w:fldCharType="separate"/>
      </w:r>
      <w:r w:rsidR="0099492C" w:rsidRPr="00C91ADD">
        <w:rPr>
          <w:b/>
          <w:szCs w:val="22"/>
        </w:rPr>
        <w:t>7.1</w:t>
      </w:r>
      <w:r w:rsidR="0095046E" w:rsidRPr="00C91ADD">
        <w:rPr>
          <w:b/>
          <w:szCs w:val="22"/>
        </w:rPr>
        <w:fldChar w:fldCharType="end"/>
      </w:r>
      <w:r w:rsidR="0095046E" w:rsidRPr="00C91ADD">
        <w:rPr>
          <w:szCs w:val="22"/>
        </w:rPr>
        <w:t xml:space="preserve"> of these bylaws) </w:t>
      </w:r>
      <w:r w:rsidRPr="00C91ADD">
        <w:rPr>
          <w:szCs w:val="22"/>
        </w:rPr>
        <w:t xml:space="preserve">or by </w:t>
      </w:r>
      <w:r w:rsidR="009B39D1" w:rsidRPr="00C91ADD">
        <w:rPr>
          <w:szCs w:val="22"/>
        </w:rPr>
        <w:t xml:space="preserve">an electronic </w:t>
      </w:r>
      <w:r w:rsidRPr="00C91ADD">
        <w:rPr>
          <w:szCs w:val="22"/>
        </w:rPr>
        <w:t>transmission</w:t>
      </w:r>
      <w:r w:rsidR="00E55144" w:rsidRPr="00C91ADD">
        <w:rPr>
          <w:szCs w:val="22"/>
        </w:rPr>
        <w:t xml:space="preserve"> </w:t>
      </w:r>
      <w:r w:rsidRPr="00C91ADD">
        <w:rPr>
          <w:szCs w:val="22"/>
        </w:rPr>
        <w:t xml:space="preserve">permitted by law filed in accordance with the procedure established for the meeting, but no such proxy shall be voted or acted upon </w:t>
      </w:r>
      <w:r w:rsidRPr="001F1E13">
        <w:t>after</w:t>
      </w:r>
      <w:r w:rsidRPr="00C91ADD">
        <w:rPr>
          <w:szCs w:val="22"/>
        </w:rPr>
        <w:t xml:space="preserve"> three years from its date, unless the proxy provides for a longer period. The revocability of a proxy that states on its face that it is irrevocable shall be governed by the provisions of Section 212 of the DGCL.</w:t>
      </w:r>
    </w:p>
    <w:p w14:paraId="30B7C9BA" w14:textId="77777777" w:rsidR="000A5263" w:rsidRPr="00C91ADD" w:rsidRDefault="00920DE0" w:rsidP="000A5263">
      <w:pPr>
        <w:pStyle w:val="Heading2"/>
        <w:keepNext w:val="0"/>
        <w:keepLines w:val="0"/>
        <w:tabs>
          <w:tab w:val="clear" w:pos="1080"/>
        </w:tabs>
        <w:jc w:val="both"/>
        <w:rPr>
          <w:vanish/>
          <w:szCs w:val="22"/>
          <w:specVanish/>
        </w:rPr>
      </w:pPr>
      <w:bookmarkStart w:id="36" w:name="_Toc56436113"/>
      <w:bookmarkStart w:id="37" w:name="_Toc511045577"/>
      <w:r w:rsidRPr="00C91ADD">
        <w:rPr>
          <w:b/>
          <w:bCs/>
          <w:i/>
          <w:iCs/>
          <w:szCs w:val="22"/>
        </w:rPr>
        <w:t>List of Stockholders Entitled to Vote</w:t>
      </w:r>
      <w:bookmarkEnd w:id="36"/>
    </w:p>
    <w:p w14:paraId="16BDD851" w14:textId="60679429" w:rsidR="00920DE0" w:rsidRPr="00C91ADD" w:rsidRDefault="00920DE0" w:rsidP="002F579D">
      <w:pPr>
        <w:pStyle w:val="BodyText"/>
        <w:rPr>
          <w:szCs w:val="22"/>
        </w:rPr>
      </w:pPr>
      <w:r w:rsidRPr="00C91ADD">
        <w:rPr>
          <w:szCs w:val="22"/>
        </w:rPr>
        <w:t>.</w:t>
      </w:r>
      <w:bookmarkEnd w:id="37"/>
      <w:r w:rsidRPr="00C91ADD">
        <w:rPr>
          <w:szCs w:val="22"/>
        </w:rPr>
        <w:t xml:space="preserve">  </w:t>
      </w:r>
      <w:r w:rsidR="00EB43F8" w:rsidRPr="00C91ADD">
        <w:rPr>
          <w:szCs w:val="22"/>
        </w:rPr>
        <w:t>T</w:t>
      </w:r>
      <w:r w:rsidRPr="00C91ADD">
        <w:rPr>
          <w:szCs w:val="22"/>
        </w:rPr>
        <w:t xml:space="preserve">he Company shall prepare, at least ten days before every meeting of stockholders, a complete list of the stockholders entitled to vote at the meeting; </w:t>
      </w:r>
      <w:r w:rsidRPr="00C91ADD">
        <w:rPr>
          <w:i/>
          <w:szCs w:val="22"/>
        </w:rPr>
        <w:t>provided, however,</w:t>
      </w:r>
      <w:r w:rsidRPr="00C91ADD">
        <w:rPr>
          <w:szCs w:val="22"/>
        </w:rPr>
        <w:t xml:space="preserve"> if the record date for determining the stockholders entitled to vote is less than 10 days before the meeting date, the list shall reflect the stockholders entitled to vote as of the tenth day before the meeting date, arranged in alphabetical order, and showing the address of each stockholder and the number of shares registered in the name of each stockholder. The Company shall not be required to include electronic mail addresses or other electronic contact information on such list. Such list shall be open to the examination of any stockholder for any purpose germane to the meeting for a period of at least ten days prior to the meeting: (i) on a reasonably accessible electronic network, </w:t>
      </w:r>
      <w:r w:rsidRPr="00C91ADD">
        <w:rPr>
          <w:i/>
          <w:szCs w:val="22"/>
        </w:rPr>
        <w:t>provided</w:t>
      </w:r>
      <w:r w:rsidRPr="00C91ADD">
        <w:rPr>
          <w:szCs w:val="22"/>
        </w:rPr>
        <w:t xml:space="preserve"> that the information required to gain access to such list is provided with the notice of the meeting, or (ii) during ordinary business hours, at the Company’s principal place of business. In the event that the Company determines to make the list available on an electronic network, the Company may take reasonable steps to ensure that such information is available only to stockholders of the Company. If the meeting is to be held at a place, then </w:t>
      </w:r>
      <w:r w:rsidR="000E6629" w:rsidRPr="00C91ADD">
        <w:rPr>
          <w:szCs w:val="22"/>
        </w:rPr>
        <w:t>a list of stockholders entitled to vote at the meeting</w:t>
      </w:r>
      <w:r w:rsidRPr="00C91ADD">
        <w:rPr>
          <w:szCs w:val="22"/>
        </w:rPr>
        <w:t xml:space="preserve"> shall be produced and kept at the time and place of the meeting during the whole time thereof, and may be examined by any stockholder who is present. If the meeting is to be held solely by means of remote communication, then </w:t>
      </w:r>
      <w:r w:rsidR="000E6629" w:rsidRPr="00C91ADD">
        <w:rPr>
          <w:szCs w:val="22"/>
        </w:rPr>
        <w:t>such</w:t>
      </w:r>
      <w:r w:rsidRPr="00C91ADD">
        <w:rPr>
          <w:szCs w:val="22"/>
        </w:rPr>
        <w:t xml:space="preserve"> list shall also be open to the examination of any stockholder during the whole time of the meeting on a reasonably accessible electronic network, and the information required to access such list shall be provided </w:t>
      </w:r>
      <w:r w:rsidR="000E6629" w:rsidRPr="00C91ADD">
        <w:rPr>
          <w:szCs w:val="22"/>
        </w:rPr>
        <w:t>with the notice of the meeting.</w:t>
      </w:r>
      <w:r w:rsidR="00082831" w:rsidRPr="00C91ADD">
        <w:rPr>
          <w:szCs w:val="22"/>
        </w:rPr>
        <w:t xml:space="preserve"> </w:t>
      </w:r>
    </w:p>
    <w:sectPr w:rsidR="00920DE0" w:rsidRPr="00C91ADD">
      <w:headerReference w:type="default" r:id="rId11"/>
      <w:footerReference w:type="default" r:id="rId12"/>
      <w:headerReference w:type="first" r:id="rId13"/>
      <w:footerReference w:type="first" r:id="rId14"/>
      <w:endnotePr>
        <w:numFmt w:val="decimal"/>
      </w:endnotePr>
      <w:pgSz w:w="12240" w:h="15840" w:code="2"/>
      <w:pgMar w:top="1440" w:right="1440" w:bottom="1440" w:left="1440" w:header="1440" w:footer="108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2E47E" w14:textId="77777777" w:rsidR="00AB74EC" w:rsidRDefault="00AB74EC">
      <w:r>
        <w:separator/>
      </w:r>
    </w:p>
  </w:endnote>
  <w:endnote w:type="continuationSeparator" w:id="0">
    <w:p w14:paraId="4565CF54" w14:textId="77777777" w:rsidR="00AB74EC" w:rsidRDefault="00AB7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9A9F0" w14:textId="4B58DCEA" w:rsidR="00733C44" w:rsidRDefault="00733C44">
    <w:pPr>
      <w:pStyle w:val="Footer"/>
    </w:pPr>
    <w:r>
      <w:tab/>
      <w:t>-</w:t>
    </w:r>
    <w:r>
      <w:fldChar w:fldCharType="begin"/>
    </w:r>
    <w:r>
      <w:instrText xml:space="preserve"> PAGE  \* MERGEFORMAT </w:instrText>
    </w:r>
    <w:r>
      <w:fldChar w:fldCharType="separate"/>
    </w:r>
    <w:r>
      <w:rPr>
        <w:noProof/>
      </w:rPr>
      <w:t>ii</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75A47" w14:textId="77777777" w:rsidR="00733C44" w:rsidRDefault="00733C44">
    <w:pPr>
      <w:pStyle w:val="Footer"/>
      <w:rPr>
        <w:noProof/>
        <w:snapToGrid w:val="0"/>
        <w:sz w:val="15"/>
      </w:rPr>
    </w:pPr>
    <w:r>
      <w:rPr>
        <w:snapToGrid w:val="0"/>
        <w:sz w:val="15"/>
      </w:rPr>
      <w:tab/>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BA123" w14:textId="3FC740DC" w:rsidR="00733C44" w:rsidRDefault="00733C44" w:rsidP="001F1E13">
    <w:pPr>
      <w:pStyle w:val="Footer"/>
      <w:jc w:val="center"/>
      <w:rPr>
        <w:szCs w:val="22"/>
      </w:rPr>
    </w:pPr>
    <w:r>
      <w:rPr>
        <w:szCs w:val="22"/>
      </w:rPr>
      <w:t xml:space="preserve">- </w:t>
    </w:r>
    <w:r>
      <w:rPr>
        <w:szCs w:val="22"/>
      </w:rPr>
      <w:fldChar w:fldCharType="begin"/>
    </w:r>
    <w:r>
      <w:rPr>
        <w:szCs w:val="22"/>
      </w:rPr>
      <w:instrText xml:space="preserve"> PAGE </w:instrText>
    </w:r>
    <w:r>
      <w:rPr>
        <w:szCs w:val="22"/>
      </w:rPr>
      <w:fldChar w:fldCharType="separate"/>
    </w:r>
    <w:r>
      <w:rPr>
        <w:noProof/>
        <w:szCs w:val="22"/>
      </w:rPr>
      <w:t>4</w:t>
    </w:r>
    <w:r>
      <w:rPr>
        <w:szCs w:val="22"/>
      </w:rPr>
      <w:fldChar w:fldCharType="end"/>
    </w:r>
    <w:r>
      <w:rPr>
        <w:szCs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BA1B6" w14:textId="77777777" w:rsidR="00733C44" w:rsidRDefault="00733C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06B40" w14:textId="77777777" w:rsidR="00AB74EC" w:rsidRDefault="00AB74EC">
      <w:r>
        <w:separator/>
      </w:r>
    </w:p>
  </w:footnote>
  <w:footnote w:type="continuationSeparator" w:id="0">
    <w:p w14:paraId="54CC3F56" w14:textId="77777777" w:rsidR="00AB74EC" w:rsidRDefault="00AB74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D1506" w14:textId="77777777" w:rsidR="00733C44" w:rsidRDefault="00733C44">
    <w:pPr>
      <w:pStyle w:val="Header"/>
      <w:jc w:val="center"/>
      <w:rPr>
        <w:b/>
        <w:szCs w:val="22"/>
      </w:rPr>
    </w:pPr>
    <w:r>
      <w:rPr>
        <w:b/>
        <w:szCs w:val="22"/>
      </w:rPr>
      <w:t>TABLE OF CONTENTS</w:t>
    </w:r>
  </w:p>
  <w:p w14:paraId="4C5C460B" w14:textId="77777777" w:rsidR="00733C44" w:rsidRDefault="00733C44">
    <w:pPr>
      <w:pStyle w:val="Header"/>
      <w:jc w:val="center"/>
      <w:rPr>
        <w:b/>
        <w:szCs w:val="22"/>
      </w:rPr>
    </w:pPr>
    <w:r>
      <w:rPr>
        <w:b/>
        <w:szCs w:val="22"/>
      </w:rPr>
      <w:t>(Continued)</w:t>
    </w:r>
  </w:p>
  <w:p w14:paraId="0AF7FD0D" w14:textId="277E3A54" w:rsidR="00733C44" w:rsidRDefault="00733C44" w:rsidP="00371C6A">
    <w:pPr>
      <w:pStyle w:val="Header"/>
      <w:ind w:right="-360"/>
      <w:jc w:val="center"/>
      <w:rPr>
        <w:i/>
        <w:szCs w:val="22"/>
      </w:rPr>
    </w:pPr>
    <w:r>
      <w:rPr>
        <w:i/>
        <w:szCs w:val="22"/>
      </w:rPr>
      <w:tab/>
      <w:t xml:space="preserve">                                                                                                           Page</w:t>
    </w:r>
  </w:p>
  <w:p w14:paraId="66B38229" w14:textId="77777777" w:rsidR="00733C44" w:rsidRDefault="00733C44">
    <w:pPr>
      <w:pStyle w:val="Heade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5FF9A" w14:textId="77777777" w:rsidR="00733C44" w:rsidRDefault="00733C44">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3A7D4" w14:textId="77777777" w:rsidR="00733C44" w:rsidRDefault="00733C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E29B4"/>
    <w:multiLevelType w:val="multilevel"/>
    <w:tmpl w:val="F7088C30"/>
    <w:lvl w:ilvl="0">
      <w:start w:val="1"/>
      <w:numFmt w:val="upperRoman"/>
      <w:pStyle w:val="Heading1"/>
      <w:suff w:val="nothing"/>
      <w:lvlText w:val="ARTICLE %1 — "/>
      <w:lvlJc w:val="left"/>
      <w:pPr>
        <w:ind w:left="0" w:firstLine="0"/>
      </w:pPr>
      <w:rPr>
        <w:rFonts w:hint="default"/>
        <w:u w:val="none"/>
      </w:rPr>
    </w:lvl>
    <w:lvl w:ilvl="1">
      <w:start w:val="1"/>
      <w:numFmt w:val="decimal"/>
      <w:pStyle w:val="Heading2"/>
      <w:isLgl/>
      <w:lvlText w:val="%1.%2"/>
      <w:lvlJc w:val="left"/>
      <w:pPr>
        <w:tabs>
          <w:tab w:val="num" w:pos="1080"/>
        </w:tabs>
        <w:ind w:left="0" w:firstLine="720"/>
      </w:pPr>
      <w:rPr>
        <w:rFonts w:hint="default"/>
        <w:b w:val="0"/>
        <w:i w:val="0"/>
        <w:u w:val="none"/>
      </w:rPr>
    </w:lvl>
    <w:lvl w:ilvl="2">
      <w:start w:val="1"/>
      <w:numFmt w:val="lowerRoman"/>
      <w:pStyle w:val="Heading3"/>
      <w:lvlText w:val="(%3)"/>
      <w:lvlJc w:val="left"/>
      <w:pPr>
        <w:tabs>
          <w:tab w:val="num" w:pos="2160"/>
        </w:tabs>
        <w:ind w:left="0" w:firstLine="1440"/>
      </w:pPr>
      <w:rPr>
        <w:rFonts w:hint="default"/>
        <w:u w:val="none"/>
      </w:rPr>
    </w:lvl>
    <w:lvl w:ilvl="3">
      <w:start w:val="1"/>
      <w:numFmt w:val="lowerLetter"/>
      <w:pStyle w:val="Heading4"/>
      <w:lvlText w:val="(%4)"/>
      <w:lvlJc w:val="left"/>
      <w:pPr>
        <w:tabs>
          <w:tab w:val="num" w:pos="2520"/>
        </w:tabs>
        <w:ind w:left="0" w:firstLine="2160"/>
      </w:pPr>
      <w:rPr>
        <w:rFonts w:hint="default"/>
        <w:u w:val="none"/>
      </w:rPr>
    </w:lvl>
    <w:lvl w:ilvl="4">
      <w:start w:val="1"/>
      <w:numFmt w:val="lowerRoman"/>
      <w:lvlText w:val="(%5)"/>
      <w:lvlJc w:val="left"/>
      <w:pPr>
        <w:tabs>
          <w:tab w:val="num" w:pos="3240"/>
        </w:tabs>
        <w:ind w:left="0" w:firstLine="2880"/>
      </w:pPr>
      <w:rPr>
        <w:rFonts w:hint="default"/>
        <w:u w:val="none"/>
      </w:rPr>
    </w:lvl>
    <w:lvl w:ilvl="5">
      <w:start w:val="1"/>
      <w:numFmt w:val="lowerLetter"/>
      <w:pStyle w:val="Heading6"/>
      <w:lvlText w:val="%6)"/>
      <w:lvlJc w:val="left"/>
      <w:pPr>
        <w:tabs>
          <w:tab w:val="num" w:pos="3960"/>
        </w:tabs>
        <w:ind w:left="0" w:firstLine="3600"/>
      </w:pPr>
      <w:rPr>
        <w:rFonts w:hint="default"/>
        <w:u w:val="none"/>
      </w:rPr>
    </w:lvl>
    <w:lvl w:ilvl="6">
      <w:start w:val="1"/>
      <w:numFmt w:val="lowerRoman"/>
      <w:pStyle w:val="Heading7"/>
      <w:lvlText w:val="%7)"/>
      <w:lvlJc w:val="right"/>
      <w:pPr>
        <w:tabs>
          <w:tab w:val="num" w:pos="5040"/>
        </w:tabs>
        <w:ind w:left="0" w:firstLine="4680"/>
      </w:pPr>
      <w:rPr>
        <w:rFonts w:hint="default"/>
        <w:u w:val="none"/>
      </w:rPr>
    </w:lvl>
    <w:lvl w:ilvl="7">
      <w:start w:val="1"/>
      <w:numFmt w:val="decimal"/>
      <w:pStyle w:val="Heading8"/>
      <w:lvlText w:val="%8)"/>
      <w:lvlJc w:val="left"/>
      <w:pPr>
        <w:tabs>
          <w:tab w:val="num" w:pos="5400"/>
        </w:tabs>
        <w:ind w:left="0" w:firstLine="5040"/>
      </w:pPr>
      <w:rPr>
        <w:rFonts w:hint="default"/>
        <w:u w:val="none"/>
      </w:rPr>
    </w:lvl>
    <w:lvl w:ilvl="8">
      <w:start w:val="1"/>
      <w:numFmt w:val="lowerRoman"/>
      <w:pStyle w:val="Heading9"/>
      <w:lvlText w:val="%9."/>
      <w:lvlJc w:val="right"/>
      <w:pPr>
        <w:tabs>
          <w:tab w:val="num" w:pos="1584"/>
        </w:tabs>
        <w:ind w:left="1584" w:hanging="144"/>
      </w:pPr>
      <w:rPr>
        <w:rFonts w:hint="default"/>
        <w:u w:val="none"/>
      </w:rPr>
    </w:lvl>
  </w:abstractNum>
  <w:abstractNum w:abstractNumId="1" w15:restartNumberingAfterBreak="0">
    <w:nsid w:val="132C3341"/>
    <w:multiLevelType w:val="multilevel"/>
    <w:tmpl w:val="34F04664"/>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5"/>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2" w15:restartNumberingAfterBreak="0">
    <w:nsid w:val="359C4D38"/>
    <w:multiLevelType w:val="multilevel"/>
    <w:tmpl w:val="E15E6F24"/>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5"/>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3" w15:restartNumberingAfterBreak="0">
    <w:nsid w:val="45452E4E"/>
    <w:multiLevelType w:val="singleLevel"/>
    <w:tmpl w:val="0CC42630"/>
    <w:lvl w:ilvl="0">
      <w:start w:val="1"/>
      <w:numFmt w:val="bullet"/>
      <w:pStyle w:val="Style1"/>
      <w:lvlText w:val=""/>
      <w:lvlJc w:val="left"/>
      <w:pPr>
        <w:tabs>
          <w:tab w:val="num" w:pos="1440"/>
        </w:tabs>
        <w:ind w:left="1440" w:hanging="720"/>
      </w:pPr>
      <w:rPr>
        <w:rFonts w:ascii="Symbol" w:hAnsi="Symbol" w:hint="default"/>
        <w:sz w:val="18"/>
      </w:rPr>
    </w:lvl>
  </w:abstractNum>
  <w:abstractNum w:abstractNumId="4" w15:restartNumberingAfterBreak="0">
    <w:nsid w:val="669B19BA"/>
    <w:multiLevelType w:val="singleLevel"/>
    <w:tmpl w:val="30D6E68A"/>
    <w:lvl w:ilvl="0">
      <w:start w:val="1"/>
      <w:numFmt w:val="lowerRoman"/>
      <w:pStyle w:val="i"/>
      <w:lvlText w:val="(%1)"/>
      <w:lvlJc w:val="left"/>
      <w:pPr>
        <w:tabs>
          <w:tab w:val="num" w:pos="2160"/>
        </w:tabs>
        <w:ind w:left="144" w:firstLine="1296"/>
      </w:pPr>
    </w:lvl>
  </w:abstractNum>
  <w:num w:numId="1" w16cid:durableId="661855755">
    <w:abstractNumId w:val="1"/>
  </w:num>
  <w:num w:numId="2" w16cid:durableId="1022706937">
    <w:abstractNumId w:val="2"/>
  </w:num>
  <w:num w:numId="3" w16cid:durableId="1482963295">
    <w:abstractNumId w:val="0"/>
  </w:num>
  <w:num w:numId="4" w16cid:durableId="1923877938">
    <w:abstractNumId w:val="4"/>
  </w:num>
  <w:num w:numId="5" w16cid:durableId="800078413">
    <w:abstractNumId w:val="3"/>
  </w:num>
  <w:num w:numId="6" w16cid:durableId="10526603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415713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62558036">
    <w:abstractNumId w:val="0"/>
    <w:lvlOverride w:ilvl="0">
      <w:startOverride w:val="7"/>
    </w:lvlOverride>
    <w:lvlOverride w:ilvl="1">
      <w:startOverride w:val="1"/>
    </w:lvlOverride>
    <w:lvlOverride w:ilvl="2">
      <w:startOverride w:val="4"/>
    </w:lvlOverride>
    <w:lvlOverride w:ilvl="3">
      <w:startOverride w:val="4"/>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hideGrammaticalErrors/>
  <w:activeWritingStyle w:appName="MSWord" w:lang="en-US" w:vendorID="8" w:dllVersion="513"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numFmt w:val="decimal"/>
    <w:endnote w:id="-1"/>
    <w:endnote w:id="0"/>
  </w:endnotePr>
  <w:compat>
    <w:suppressBottomSpacing/>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ieldRemovalRan" w:val="Yes"/>
  </w:docVars>
  <w:rsids>
    <w:rsidRoot w:val="005B4D38"/>
    <w:rsid w:val="00001262"/>
    <w:rsid w:val="00022465"/>
    <w:rsid w:val="00035251"/>
    <w:rsid w:val="00035291"/>
    <w:rsid w:val="000412EE"/>
    <w:rsid w:val="00043AEC"/>
    <w:rsid w:val="00045B7E"/>
    <w:rsid w:val="00046256"/>
    <w:rsid w:val="000547E9"/>
    <w:rsid w:val="000555B1"/>
    <w:rsid w:val="00056736"/>
    <w:rsid w:val="00065649"/>
    <w:rsid w:val="000705E5"/>
    <w:rsid w:val="00082831"/>
    <w:rsid w:val="00084707"/>
    <w:rsid w:val="000938BB"/>
    <w:rsid w:val="000A5263"/>
    <w:rsid w:val="000A7BD0"/>
    <w:rsid w:val="000B2090"/>
    <w:rsid w:val="000C6953"/>
    <w:rsid w:val="000E344E"/>
    <w:rsid w:val="000E49A6"/>
    <w:rsid w:val="000E6629"/>
    <w:rsid w:val="000E7CFF"/>
    <w:rsid w:val="000F2B36"/>
    <w:rsid w:val="000F4530"/>
    <w:rsid w:val="000F69E8"/>
    <w:rsid w:val="00105AF5"/>
    <w:rsid w:val="001106C8"/>
    <w:rsid w:val="001126D8"/>
    <w:rsid w:val="00113122"/>
    <w:rsid w:val="00115B82"/>
    <w:rsid w:val="00130705"/>
    <w:rsid w:val="0013270C"/>
    <w:rsid w:val="001370D4"/>
    <w:rsid w:val="00147D93"/>
    <w:rsid w:val="001530E6"/>
    <w:rsid w:val="0016178F"/>
    <w:rsid w:val="00164782"/>
    <w:rsid w:val="00166FD6"/>
    <w:rsid w:val="00167B3E"/>
    <w:rsid w:val="00180292"/>
    <w:rsid w:val="00182A2B"/>
    <w:rsid w:val="00186560"/>
    <w:rsid w:val="00190500"/>
    <w:rsid w:val="00194C33"/>
    <w:rsid w:val="001973AE"/>
    <w:rsid w:val="001A340E"/>
    <w:rsid w:val="001A561C"/>
    <w:rsid w:val="001B0240"/>
    <w:rsid w:val="001B03E9"/>
    <w:rsid w:val="001B1E7C"/>
    <w:rsid w:val="001C692F"/>
    <w:rsid w:val="001E7FB9"/>
    <w:rsid w:val="001F1E13"/>
    <w:rsid w:val="001F40BF"/>
    <w:rsid w:val="0020055A"/>
    <w:rsid w:val="00215280"/>
    <w:rsid w:val="002205FF"/>
    <w:rsid w:val="00222CAC"/>
    <w:rsid w:val="00224731"/>
    <w:rsid w:val="00235243"/>
    <w:rsid w:val="002610B6"/>
    <w:rsid w:val="00266E14"/>
    <w:rsid w:val="0028016F"/>
    <w:rsid w:val="00280C1C"/>
    <w:rsid w:val="00280D16"/>
    <w:rsid w:val="00287986"/>
    <w:rsid w:val="002913D5"/>
    <w:rsid w:val="002936ED"/>
    <w:rsid w:val="00293CA1"/>
    <w:rsid w:val="002951AA"/>
    <w:rsid w:val="002A5BF2"/>
    <w:rsid w:val="002B215E"/>
    <w:rsid w:val="002B4EC4"/>
    <w:rsid w:val="002C2BD2"/>
    <w:rsid w:val="002D343E"/>
    <w:rsid w:val="002D7A37"/>
    <w:rsid w:val="002E3B17"/>
    <w:rsid w:val="002E6578"/>
    <w:rsid w:val="002F567E"/>
    <w:rsid w:val="002F579D"/>
    <w:rsid w:val="002F5B9A"/>
    <w:rsid w:val="002F7869"/>
    <w:rsid w:val="003019A7"/>
    <w:rsid w:val="0030757A"/>
    <w:rsid w:val="00312FE6"/>
    <w:rsid w:val="00322F6B"/>
    <w:rsid w:val="0032374F"/>
    <w:rsid w:val="00325C6E"/>
    <w:rsid w:val="00335CDA"/>
    <w:rsid w:val="00335F42"/>
    <w:rsid w:val="00341DE8"/>
    <w:rsid w:val="00342DB9"/>
    <w:rsid w:val="003607D9"/>
    <w:rsid w:val="00361316"/>
    <w:rsid w:val="0036455C"/>
    <w:rsid w:val="003659A3"/>
    <w:rsid w:val="00365B39"/>
    <w:rsid w:val="00365FF8"/>
    <w:rsid w:val="00371C6A"/>
    <w:rsid w:val="00371F04"/>
    <w:rsid w:val="003864C3"/>
    <w:rsid w:val="00386ABA"/>
    <w:rsid w:val="003A3B33"/>
    <w:rsid w:val="003A3B86"/>
    <w:rsid w:val="003A66F5"/>
    <w:rsid w:val="003B2DE7"/>
    <w:rsid w:val="003B5FA6"/>
    <w:rsid w:val="003C6E0E"/>
    <w:rsid w:val="003D3C89"/>
    <w:rsid w:val="003D4ECA"/>
    <w:rsid w:val="003D51E9"/>
    <w:rsid w:val="003D5B53"/>
    <w:rsid w:val="003E6E3E"/>
    <w:rsid w:val="003F4750"/>
    <w:rsid w:val="00411B89"/>
    <w:rsid w:val="0041415C"/>
    <w:rsid w:val="004146B8"/>
    <w:rsid w:val="00422533"/>
    <w:rsid w:val="00423D58"/>
    <w:rsid w:val="00446234"/>
    <w:rsid w:val="004539DA"/>
    <w:rsid w:val="0046090E"/>
    <w:rsid w:val="004734A3"/>
    <w:rsid w:val="0047634C"/>
    <w:rsid w:val="00482CE3"/>
    <w:rsid w:val="00486CCF"/>
    <w:rsid w:val="00493023"/>
    <w:rsid w:val="0049456E"/>
    <w:rsid w:val="004A061B"/>
    <w:rsid w:val="004A397F"/>
    <w:rsid w:val="004A5CFD"/>
    <w:rsid w:val="004B3675"/>
    <w:rsid w:val="004B5E75"/>
    <w:rsid w:val="004C5255"/>
    <w:rsid w:val="004D0E39"/>
    <w:rsid w:val="004D45DB"/>
    <w:rsid w:val="004E2EBA"/>
    <w:rsid w:val="004F65FA"/>
    <w:rsid w:val="00506C41"/>
    <w:rsid w:val="0050728B"/>
    <w:rsid w:val="00507E29"/>
    <w:rsid w:val="0052141A"/>
    <w:rsid w:val="0052386D"/>
    <w:rsid w:val="005262B2"/>
    <w:rsid w:val="00532FF0"/>
    <w:rsid w:val="00533B97"/>
    <w:rsid w:val="00544422"/>
    <w:rsid w:val="00544990"/>
    <w:rsid w:val="005545EB"/>
    <w:rsid w:val="005554F3"/>
    <w:rsid w:val="005610F5"/>
    <w:rsid w:val="00567D8F"/>
    <w:rsid w:val="0057049D"/>
    <w:rsid w:val="0057330A"/>
    <w:rsid w:val="00574A84"/>
    <w:rsid w:val="005818AF"/>
    <w:rsid w:val="005829E0"/>
    <w:rsid w:val="00590680"/>
    <w:rsid w:val="00594CD7"/>
    <w:rsid w:val="005B2FBA"/>
    <w:rsid w:val="005B4D38"/>
    <w:rsid w:val="005D4C22"/>
    <w:rsid w:val="005D5B0A"/>
    <w:rsid w:val="005D5EC9"/>
    <w:rsid w:val="005D7D19"/>
    <w:rsid w:val="005E1089"/>
    <w:rsid w:val="005E1F9A"/>
    <w:rsid w:val="005E23A3"/>
    <w:rsid w:val="005E50EE"/>
    <w:rsid w:val="005F1CE4"/>
    <w:rsid w:val="005F4E77"/>
    <w:rsid w:val="00605688"/>
    <w:rsid w:val="00606C99"/>
    <w:rsid w:val="00610872"/>
    <w:rsid w:val="00612FE0"/>
    <w:rsid w:val="006134CC"/>
    <w:rsid w:val="00621B1B"/>
    <w:rsid w:val="00625FA3"/>
    <w:rsid w:val="00645C0A"/>
    <w:rsid w:val="00660730"/>
    <w:rsid w:val="00664793"/>
    <w:rsid w:val="006830FB"/>
    <w:rsid w:val="00687266"/>
    <w:rsid w:val="00687A04"/>
    <w:rsid w:val="00690EC2"/>
    <w:rsid w:val="00691093"/>
    <w:rsid w:val="00694FF3"/>
    <w:rsid w:val="006A001F"/>
    <w:rsid w:val="006A19CE"/>
    <w:rsid w:val="006A32C3"/>
    <w:rsid w:val="006B133D"/>
    <w:rsid w:val="006C1580"/>
    <w:rsid w:val="006D4529"/>
    <w:rsid w:val="006E06F8"/>
    <w:rsid w:val="006E5F7F"/>
    <w:rsid w:val="006F2BD4"/>
    <w:rsid w:val="006F5FFC"/>
    <w:rsid w:val="00705E3E"/>
    <w:rsid w:val="007117F8"/>
    <w:rsid w:val="00713B97"/>
    <w:rsid w:val="00715C7C"/>
    <w:rsid w:val="00724F07"/>
    <w:rsid w:val="007267B7"/>
    <w:rsid w:val="00730C42"/>
    <w:rsid w:val="00732F78"/>
    <w:rsid w:val="00733C44"/>
    <w:rsid w:val="007624F2"/>
    <w:rsid w:val="00764AEE"/>
    <w:rsid w:val="007700F7"/>
    <w:rsid w:val="00777CBE"/>
    <w:rsid w:val="007832C3"/>
    <w:rsid w:val="0078506A"/>
    <w:rsid w:val="00790275"/>
    <w:rsid w:val="00790FE5"/>
    <w:rsid w:val="00797611"/>
    <w:rsid w:val="00797CF9"/>
    <w:rsid w:val="007A3448"/>
    <w:rsid w:val="007B049E"/>
    <w:rsid w:val="007B102C"/>
    <w:rsid w:val="007B2A6A"/>
    <w:rsid w:val="007B33FE"/>
    <w:rsid w:val="007D1CFD"/>
    <w:rsid w:val="007F417E"/>
    <w:rsid w:val="00801A08"/>
    <w:rsid w:val="00805381"/>
    <w:rsid w:val="0082150F"/>
    <w:rsid w:val="0082554D"/>
    <w:rsid w:val="00833A1D"/>
    <w:rsid w:val="0084007B"/>
    <w:rsid w:val="0084318E"/>
    <w:rsid w:val="0085025F"/>
    <w:rsid w:val="00850EF6"/>
    <w:rsid w:val="0086122F"/>
    <w:rsid w:val="00873805"/>
    <w:rsid w:val="00873ABD"/>
    <w:rsid w:val="00873D5B"/>
    <w:rsid w:val="008760AC"/>
    <w:rsid w:val="00876826"/>
    <w:rsid w:val="00877117"/>
    <w:rsid w:val="00881971"/>
    <w:rsid w:val="0088742C"/>
    <w:rsid w:val="00894F4B"/>
    <w:rsid w:val="008B240C"/>
    <w:rsid w:val="008B51A3"/>
    <w:rsid w:val="008C2447"/>
    <w:rsid w:val="008C5ECF"/>
    <w:rsid w:val="008D164C"/>
    <w:rsid w:val="008D62BD"/>
    <w:rsid w:val="008E390E"/>
    <w:rsid w:val="008E548F"/>
    <w:rsid w:val="00904522"/>
    <w:rsid w:val="009076B8"/>
    <w:rsid w:val="00920DE0"/>
    <w:rsid w:val="00924DBD"/>
    <w:rsid w:val="0093573C"/>
    <w:rsid w:val="0095046E"/>
    <w:rsid w:val="00952C10"/>
    <w:rsid w:val="009577FB"/>
    <w:rsid w:val="009649F3"/>
    <w:rsid w:val="00965A5E"/>
    <w:rsid w:val="00965DEF"/>
    <w:rsid w:val="009700F6"/>
    <w:rsid w:val="0099492C"/>
    <w:rsid w:val="009A58D1"/>
    <w:rsid w:val="009B1BE0"/>
    <w:rsid w:val="009B39D1"/>
    <w:rsid w:val="009B4602"/>
    <w:rsid w:val="009B5BA4"/>
    <w:rsid w:val="009C778F"/>
    <w:rsid w:val="009D287E"/>
    <w:rsid w:val="009D641A"/>
    <w:rsid w:val="009D644A"/>
    <w:rsid w:val="009E5E62"/>
    <w:rsid w:val="009F3B4C"/>
    <w:rsid w:val="00A07D1C"/>
    <w:rsid w:val="00A11320"/>
    <w:rsid w:val="00A12349"/>
    <w:rsid w:val="00A165B2"/>
    <w:rsid w:val="00A35062"/>
    <w:rsid w:val="00A35A5E"/>
    <w:rsid w:val="00A36AEE"/>
    <w:rsid w:val="00A435E8"/>
    <w:rsid w:val="00A458D5"/>
    <w:rsid w:val="00A5130C"/>
    <w:rsid w:val="00A60E69"/>
    <w:rsid w:val="00A62B82"/>
    <w:rsid w:val="00A63D14"/>
    <w:rsid w:val="00A64B67"/>
    <w:rsid w:val="00A662C8"/>
    <w:rsid w:val="00A75F4F"/>
    <w:rsid w:val="00A90AD0"/>
    <w:rsid w:val="00AA0AFE"/>
    <w:rsid w:val="00AA24E3"/>
    <w:rsid w:val="00AA3A23"/>
    <w:rsid w:val="00AA5489"/>
    <w:rsid w:val="00AA7FBE"/>
    <w:rsid w:val="00AB04DA"/>
    <w:rsid w:val="00AB74EC"/>
    <w:rsid w:val="00AB76D0"/>
    <w:rsid w:val="00AC10B5"/>
    <w:rsid w:val="00AD5CFA"/>
    <w:rsid w:val="00AF3DA9"/>
    <w:rsid w:val="00AF55C9"/>
    <w:rsid w:val="00B05049"/>
    <w:rsid w:val="00B1170A"/>
    <w:rsid w:val="00B130F1"/>
    <w:rsid w:val="00B20341"/>
    <w:rsid w:val="00B22428"/>
    <w:rsid w:val="00B255A7"/>
    <w:rsid w:val="00B61B43"/>
    <w:rsid w:val="00B70D29"/>
    <w:rsid w:val="00B81272"/>
    <w:rsid w:val="00B8401A"/>
    <w:rsid w:val="00B96714"/>
    <w:rsid w:val="00BA2B06"/>
    <w:rsid w:val="00BA41EB"/>
    <w:rsid w:val="00BA4E51"/>
    <w:rsid w:val="00BC7DE9"/>
    <w:rsid w:val="00BC7EA1"/>
    <w:rsid w:val="00BF50E8"/>
    <w:rsid w:val="00C11F9C"/>
    <w:rsid w:val="00C2142E"/>
    <w:rsid w:val="00C21E59"/>
    <w:rsid w:val="00C32683"/>
    <w:rsid w:val="00C416D9"/>
    <w:rsid w:val="00C83FCF"/>
    <w:rsid w:val="00C91ADD"/>
    <w:rsid w:val="00CA5140"/>
    <w:rsid w:val="00CA5296"/>
    <w:rsid w:val="00CA6408"/>
    <w:rsid w:val="00CD27BE"/>
    <w:rsid w:val="00CE45CC"/>
    <w:rsid w:val="00CF24B3"/>
    <w:rsid w:val="00D0344D"/>
    <w:rsid w:val="00D144A7"/>
    <w:rsid w:val="00D26A82"/>
    <w:rsid w:val="00D34043"/>
    <w:rsid w:val="00D448CD"/>
    <w:rsid w:val="00D45DEA"/>
    <w:rsid w:val="00D4713F"/>
    <w:rsid w:val="00D605E4"/>
    <w:rsid w:val="00D61D6F"/>
    <w:rsid w:val="00D70359"/>
    <w:rsid w:val="00D7233F"/>
    <w:rsid w:val="00D740F2"/>
    <w:rsid w:val="00D80E0B"/>
    <w:rsid w:val="00D8538C"/>
    <w:rsid w:val="00D86999"/>
    <w:rsid w:val="00D9168F"/>
    <w:rsid w:val="00D92F76"/>
    <w:rsid w:val="00D95300"/>
    <w:rsid w:val="00DA67D9"/>
    <w:rsid w:val="00DB20E9"/>
    <w:rsid w:val="00DB5903"/>
    <w:rsid w:val="00DC5F85"/>
    <w:rsid w:val="00DD1389"/>
    <w:rsid w:val="00DD25C0"/>
    <w:rsid w:val="00DD289A"/>
    <w:rsid w:val="00DD44B9"/>
    <w:rsid w:val="00DD7CDC"/>
    <w:rsid w:val="00DE78DC"/>
    <w:rsid w:val="00DF5752"/>
    <w:rsid w:val="00DF5DC4"/>
    <w:rsid w:val="00E00116"/>
    <w:rsid w:val="00E0470C"/>
    <w:rsid w:val="00E07C4C"/>
    <w:rsid w:val="00E102BD"/>
    <w:rsid w:val="00E15038"/>
    <w:rsid w:val="00E166FC"/>
    <w:rsid w:val="00E17F31"/>
    <w:rsid w:val="00E22833"/>
    <w:rsid w:val="00E40D9D"/>
    <w:rsid w:val="00E4410F"/>
    <w:rsid w:val="00E55144"/>
    <w:rsid w:val="00E5636D"/>
    <w:rsid w:val="00E56E96"/>
    <w:rsid w:val="00E574F4"/>
    <w:rsid w:val="00E65F44"/>
    <w:rsid w:val="00E749C5"/>
    <w:rsid w:val="00E776CB"/>
    <w:rsid w:val="00E8325C"/>
    <w:rsid w:val="00E86F4E"/>
    <w:rsid w:val="00E9107B"/>
    <w:rsid w:val="00E965B4"/>
    <w:rsid w:val="00E96B44"/>
    <w:rsid w:val="00EB1EA0"/>
    <w:rsid w:val="00EB2E25"/>
    <w:rsid w:val="00EB43F8"/>
    <w:rsid w:val="00EB606C"/>
    <w:rsid w:val="00ED0179"/>
    <w:rsid w:val="00ED1CAE"/>
    <w:rsid w:val="00ED2642"/>
    <w:rsid w:val="00EE241B"/>
    <w:rsid w:val="00EE4D70"/>
    <w:rsid w:val="00EE78A3"/>
    <w:rsid w:val="00EF21EA"/>
    <w:rsid w:val="00EF6E3E"/>
    <w:rsid w:val="00EF7065"/>
    <w:rsid w:val="00F01FCF"/>
    <w:rsid w:val="00F07A35"/>
    <w:rsid w:val="00F23DCA"/>
    <w:rsid w:val="00F24276"/>
    <w:rsid w:val="00F377D5"/>
    <w:rsid w:val="00F40E64"/>
    <w:rsid w:val="00F53A88"/>
    <w:rsid w:val="00F65255"/>
    <w:rsid w:val="00F676B8"/>
    <w:rsid w:val="00F90C2A"/>
    <w:rsid w:val="00F94796"/>
    <w:rsid w:val="00FA13F5"/>
    <w:rsid w:val="00FA387A"/>
    <w:rsid w:val="00FA47A9"/>
    <w:rsid w:val="00FC1CBF"/>
    <w:rsid w:val="00FC63D0"/>
    <w:rsid w:val="00FD4E5E"/>
    <w:rsid w:val="00FE36D7"/>
    <w:rsid w:val="00FE6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7AFC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7C4C"/>
    <w:pPr>
      <w:spacing w:before="240"/>
      <w:ind w:firstLine="720"/>
      <w:jc w:val="both"/>
    </w:pPr>
    <w:rPr>
      <w:sz w:val="22"/>
      <w:lang w:eastAsia="en-US"/>
    </w:rPr>
  </w:style>
  <w:style w:type="paragraph" w:styleId="Heading1">
    <w:name w:val="heading 1"/>
    <w:basedOn w:val="Normal"/>
    <w:next w:val="Normal"/>
    <w:qFormat/>
    <w:pPr>
      <w:keepNext/>
      <w:keepLines/>
      <w:numPr>
        <w:numId w:val="3"/>
      </w:numPr>
      <w:spacing w:before="480"/>
      <w:jc w:val="center"/>
      <w:outlineLvl w:val="0"/>
    </w:pPr>
    <w:rPr>
      <w:rFonts w:ascii="Times New Roman Bold" w:hAnsi="Times New Roman Bold"/>
      <w:b/>
      <w:kern w:val="28"/>
    </w:rPr>
  </w:style>
  <w:style w:type="paragraph" w:styleId="Heading2">
    <w:name w:val="heading 2"/>
    <w:basedOn w:val="Normal"/>
    <w:next w:val="Normal"/>
    <w:link w:val="Heading2Char"/>
    <w:qFormat/>
    <w:pPr>
      <w:keepNext/>
      <w:keepLines/>
      <w:numPr>
        <w:ilvl w:val="1"/>
        <w:numId w:val="3"/>
      </w:numPr>
      <w:jc w:val="left"/>
      <w:outlineLvl w:val="1"/>
    </w:pPr>
  </w:style>
  <w:style w:type="paragraph" w:styleId="Heading3">
    <w:name w:val="heading 3"/>
    <w:basedOn w:val="Normal"/>
    <w:next w:val="Normal"/>
    <w:qFormat/>
    <w:pPr>
      <w:numPr>
        <w:ilvl w:val="2"/>
        <w:numId w:val="3"/>
      </w:numPr>
      <w:outlineLvl w:val="2"/>
    </w:pPr>
  </w:style>
  <w:style w:type="paragraph" w:styleId="Heading4">
    <w:name w:val="heading 4"/>
    <w:basedOn w:val="Normal"/>
    <w:next w:val="Normal"/>
    <w:qFormat/>
    <w:pPr>
      <w:numPr>
        <w:ilvl w:val="3"/>
        <w:numId w:val="3"/>
      </w:numPr>
      <w:outlineLvl w:val="3"/>
    </w:pPr>
  </w:style>
  <w:style w:type="paragraph" w:styleId="Heading5">
    <w:name w:val="heading 5"/>
    <w:basedOn w:val="Normal"/>
    <w:next w:val="Normal"/>
    <w:qFormat/>
    <w:pPr>
      <w:ind w:firstLine="0"/>
      <w:outlineLvl w:val="4"/>
    </w:pPr>
  </w:style>
  <w:style w:type="paragraph" w:styleId="Heading6">
    <w:name w:val="heading 6"/>
    <w:basedOn w:val="Normal"/>
    <w:next w:val="Normal"/>
    <w:qFormat/>
    <w:pPr>
      <w:numPr>
        <w:ilvl w:val="5"/>
        <w:numId w:val="3"/>
      </w:numPr>
      <w:outlineLvl w:val="5"/>
    </w:pPr>
  </w:style>
  <w:style w:type="paragraph" w:styleId="Heading7">
    <w:name w:val="heading 7"/>
    <w:basedOn w:val="Normal"/>
    <w:next w:val="Normal"/>
    <w:qFormat/>
    <w:pPr>
      <w:numPr>
        <w:ilvl w:val="6"/>
        <w:numId w:val="3"/>
      </w:numPr>
      <w:outlineLvl w:val="6"/>
    </w:pPr>
  </w:style>
  <w:style w:type="paragraph" w:styleId="Heading8">
    <w:name w:val="heading 8"/>
    <w:basedOn w:val="Normal"/>
    <w:next w:val="Normal"/>
    <w:qFormat/>
    <w:pPr>
      <w:numPr>
        <w:ilvl w:val="7"/>
        <w:numId w:val="3"/>
      </w:numPr>
      <w:outlineLvl w:val="7"/>
    </w:pPr>
  </w:style>
  <w:style w:type="paragraph" w:styleId="Heading9">
    <w:name w:val="heading 9"/>
    <w:basedOn w:val="Normal"/>
    <w:next w:val="Normal"/>
    <w:qFormat/>
    <w:pPr>
      <w:numPr>
        <w:ilvl w:val="8"/>
        <w:numId w:val="3"/>
      </w:numPr>
      <w:spacing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before="0"/>
      <w:ind w:firstLine="0"/>
    </w:pPr>
  </w:style>
  <w:style w:type="paragraph" w:styleId="Footer">
    <w:name w:val="footer"/>
    <w:basedOn w:val="Normal"/>
    <w:pPr>
      <w:tabs>
        <w:tab w:val="center" w:pos="5040"/>
        <w:tab w:val="right" w:pos="9720"/>
      </w:tabs>
      <w:spacing w:before="0"/>
      <w:ind w:firstLine="0"/>
    </w:pPr>
  </w:style>
  <w:style w:type="paragraph" w:styleId="TOC1">
    <w:name w:val="toc 1"/>
    <w:basedOn w:val="Normal"/>
    <w:next w:val="Normal"/>
    <w:uiPriority w:val="39"/>
    <w:pPr>
      <w:keepNext/>
      <w:widowControl w:val="0"/>
      <w:tabs>
        <w:tab w:val="right" w:pos="720"/>
        <w:tab w:val="right" w:leader="dot" w:pos="9706"/>
      </w:tabs>
      <w:spacing w:before="120" w:after="120"/>
      <w:ind w:left="720" w:right="720" w:hanging="720"/>
      <w:jc w:val="left"/>
    </w:pPr>
    <w:rPr>
      <w:snapToGrid w:val="0"/>
    </w:rPr>
  </w:style>
  <w:style w:type="paragraph" w:styleId="TOC2">
    <w:name w:val="toc 2"/>
    <w:basedOn w:val="Normal"/>
    <w:next w:val="Normal"/>
    <w:autoRedefine/>
    <w:uiPriority w:val="39"/>
    <w:pPr>
      <w:widowControl w:val="0"/>
      <w:tabs>
        <w:tab w:val="left" w:pos="720"/>
        <w:tab w:val="left" w:pos="1440"/>
        <w:tab w:val="right" w:leader="dot" w:pos="9706"/>
      </w:tabs>
      <w:spacing w:before="0"/>
      <w:ind w:left="1440" w:right="720" w:hanging="720"/>
      <w:jc w:val="left"/>
    </w:pPr>
    <w:rPr>
      <w:noProof/>
      <w:snapToGrid w:val="0"/>
    </w:rPr>
  </w:style>
  <w:style w:type="character" w:styleId="PageNumber">
    <w:name w:val="page number"/>
    <w:rPr>
      <w:rFonts w:ascii="Times New Roman" w:hAnsi="Times New Roman"/>
      <w:sz w:val="24"/>
    </w:rPr>
  </w:style>
  <w:style w:type="paragraph" w:customStyle="1" w:styleId="CenterText">
    <w:name w:val="Center Text"/>
    <w:basedOn w:val="Normal"/>
    <w:next w:val="Normal"/>
    <w:pPr>
      <w:ind w:firstLine="0"/>
      <w:jc w:val="center"/>
    </w:pPr>
  </w:style>
  <w:style w:type="paragraph" w:styleId="FootnoteText">
    <w:name w:val="footnote text"/>
    <w:basedOn w:val="Normal"/>
    <w:semiHidden/>
    <w:pPr>
      <w:tabs>
        <w:tab w:val="left" w:pos="360"/>
      </w:tabs>
      <w:spacing w:before="120" w:after="120"/>
      <w:ind w:firstLine="360"/>
    </w:pPr>
  </w:style>
  <w:style w:type="paragraph" w:styleId="EndnoteText">
    <w:name w:val="endnote text"/>
    <w:basedOn w:val="Normal"/>
    <w:semiHidden/>
    <w:pPr>
      <w:tabs>
        <w:tab w:val="left" w:pos="360"/>
      </w:tabs>
      <w:spacing w:before="120" w:after="120"/>
      <w:ind w:firstLine="360"/>
    </w:pPr>
    <w:rPr>
      <w:sz w:val="20"/>
    </w:rPr>
  </w:style>
  <w:style w:type="character" w:styleId="FootnoteReference">
    <w:name w:val="footnote reference"/>
    <w:semiHidden/>
    <w:rPr>
      <w:rFonts w:ascii="Times New Roman" w:hAnsi="Times New Roman"/>
      <w:sz w:val="24"/>
      <w:vertAlign w:val="superscript"/>
    </w:rPr>
  </w:style>
  <w:style w:type="paragraph" w:styleId="EnvelopeAddress">
    <w:name w:val="envelope address"/>
    <w:basedOn w:val="Normal"/>
    <w:pPr>
      <w:framePr w:w="7920" w:h="1980" w:hRule="exact" w:hSpace="180" w:wrap="auto" w:hAnchor="page" w:xAlign="center" w:yAlign="bottom"/>
      <w:spacing w:before="0"/>
      <w:ind w:left="2880" w:firstLine="0"/>
    </w:pPr>
  </w:style>
  <w:style w:type="paragraph" w:customStyle="1" w:styleId="CenterTextBold">
    <w:name w:val="Center Text Bold"/>
    <w:basedOn w:val="CenterText"/>
    <w:next w:val="Normal"/>
    <w:uiPriority w:val="99"/>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1"/>
      </w:numPr>
      <w:tabs>
        <w:tab w:val="clear" w:pos="1080"/>
      </w:tabs>
    </w:pPr>
  </w:style>
  <w:style w:type="paragraph" w:customStyle="1" w:styleId="Def2Heading2">
    <w:name w:val="Def2 Heading 2"/>
    <w:basedOn w:val="Normal"/>
    <w:next w:val="Normal"/>
    <w:pPr>
      <w:numPr>
        <w:ilvl w:val="1"/>
        <w:numId w:val="1"/>
      </w:numPr>
      <w:tabs>
        <w:tab w:val="clear" w:pos="1800"/>
      </w:tabs>
    </w:pPr>
  </w:style>
  <w:style w:type="paragraph" w:customStyle="1" w:styleId="Def2Heading3">
    <w:name w:val="Def2 Heading 3"/>
    <w:basedOn w:val="Normal"/>
    <w:next w:val="Normal"/>
    <w:pPr>
      <w:ind w:firstLine="2520"/>
    </w:pPr>
  </w:style>
  <w:style w:type="paragraph" w:customStyle="1" w:styleId="Def2Heading4">
    <w:name w:val="Def2 Heading 4"/>
    <w:basedOn w:val="Normal"/>
    <w:next w:val="Normal"/>
    <w:pPr>
      <w:ind w:firstLine="2880"/>
    </w:pPr>
  </w:style>
  <w:style w:type="paragraph" w:customStyle="1" w:styleId="Def2Heading5">
    <w:name w:val="Def2 Heading 5"/>
    <w:basedOn w:val="Normal"/>
    <w:next w:val="Normal"/>
    <w:pPr>
      <w:numPr>
        <w:ilvl w:val="4"/>
        <w:numId w:val="1"/>
      </w:numPr>
      <w:tabs>
        <w:tab w:val="clear" w:pos="3960"/>
      </w:tabs>
    </w:pPr>
  </w:style>
  <w:style w:type="paragraph" w:customStyle="1" w:styleId="ExAHeading1">
    <w:name w:val="ExA Heading 1"/>
    <w:basedOn w:val="Normal"/>
    <w:next w:val="Normal"/>
    <w:pPr>
      <w:numPr>
        <w:numId w:val="2"/>
      </w:numPr>
      <w:tabs>
        <w:tab w:val="clear" w:pos="1080"/>
      </w:tabs>
    </w:pPr>
  </w:style>
  <w:style w:type="paragraph" w:customStyle="1" w:styleId="ExAHeading2">
    <w:name w:val="ExA Heading 2"/>
    <w:basedOn w:val="Normal"/>
    <w:next w:val="Normal"/>
    <w:pPr>
      <w:numPr>
        <w:ilvl w:val="1"/>
        <w:numId w:val="2"/>
      </w:numPr>
      <w:tabs>
        <w:tab w:val="clear" w:pos="1800"/>
      </w:tabs>
    </w:pPr>
  </w:style>
  <w:style w:type="paragraph" w:customStyle="1" w:styleId="ExAHeading3">
    <w:name w:val="ExA Heading 3"/>
    <w:basedOn w:val="Normal"/>
    <w:next w:val="Normal"/>
    <w:pPr>
      <w:ind w:firstLine="2520"/>
    </w:pPr>
  </w:style>
  <w:style w:type="paragraph" w:customStyle="1" w:styleId="ExAHeading4">
    <w:name w:val="ExA Heading 4"/>
    <w:basedOn w:val="Normal"/>
    <w:next w:val="Normal"/>
    <w:pPr>
      <w:ind w:firstLine="2880"/>
    </w:pPr>
  </w:style>
  <w:style w:type="paragraph" w:customStyle="1" w:styleId="ExAHeading5">
    <w:name w:val="ExA Heading 5"/>
    <w:basedOn w:val="Normal"/>
    <w:next w:val="Normal"/>
    <w:pPr>
      <w:numPr>
        <w:ilvl w:val="4"/>
        <w:numId w:val="2"/>
      </w:numPr>
      <w:tabs>
        <w:tab w:val="clear" w:pos="3960"/>
      </w:tabs>
    </w:pPr>
  </w:style>
  <w:style w:type="paragraph" w:customStyle="1" w:styleId="FlushRight">
    <w:name w:val="Flush Right"/>
    <w:basedOn w:val="Normal"/>
    <w:next w:val="Normal"/>
    <w:pPr>
      <w:tabs>
        <w:tab w:val="right" w:pos="9648"/>
      </w:tabs>
      <w:ind w:firstLine="0"/>
    </w:pPr>
  </w:style>
  <w:style w:type="paragraph" w:customStyle="1" w:styleId="SignatureLine">
    <w:name w:val="Signature Line"/>
    <w:basedOn w:val="Normal"/>
    <w:pPr>
      <w:tabs>
        <w:tab w:val="left" w:pos="5472"/>
        <w:tab w:val="left" w:pos="9648"/>
      </w:tabs>
      <w:ind w:left="5040" w:firstLine="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TableStyle">
    <w:name w:val="Table Style"/>
    <w:basedOn w:val="Normal"/>
    <w:pPr>
      <w:spacing w:before="0"/>
      <w:ind w:firstLine="0"/>
    </w:pPr>
  </w:style>
  <w:style w:type="character" w:styleId="CommentReference">
    <w:name w:val="annotation reference"/>
    <w:semiHidden/>
    <w:rPr>
      <w:sz w:val="16"/>
    </w:rPr>
  </w:style>
  <w:style w:type="paragraph" w:styleId="EnvelopeReturn">
    <w:name w:val="envelope return"/>
    <w:basedOn w:val="Normal"/>
    <w:pPr>
      <w:spacing w:before="0"/>
      <w:ind w:firstLine="0"/>
    </w:pPr>
  </w:style>
  <w:style w:type="paragraph" w:styleId="CommentText">
    <w:name w:val="annotation text"/>
    <w:basedOn w:val="Normal"/>
    <w:semiHidden/>
    <w:rPr>
      <w:sz w:val="20"/>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Label">
    <w:name w:val="Label"/>
    <w:basedOn w:val="Normal"/>
    <w:pPr>
      <w:spacing w:before="0"/>
      <w:ind w:firstLine="0"/>
    </w:pPr>
  </w:style>
  <w:style w:type="paragraph" w:styleId="Signature">
    <w:name w:val="Signature"/>
    <w:basedOn w:val="Normal"/>
    <w:pPr>
      <w:ind w:left="4320"/>
    </w:pPr>
  </w:style>
  <w:style w:type="paragraph" w:styleId="BodyTextIndent">
    <w:name w:val="Body Text Indent"/>
    <w:basedOn w:val="Normal"/>
    <w:pPr>
      <w:keepLines/>
    </w:pPr>
  </w:style>
  <w:style w:type="paragraph" w:styleId="BodyTextIndent2">
    <w:name w:val="Body Text Indent 2"/>
    <w:basedOn w:val="Normal"/>
    <w:pPr>
      <w:tabs>
        <w:tab w:val="left" w:pos="-692"/>
        <w:tab w:val="left" w:pos="28"/>
        <w:tab w:val="left" w:pos="748"/>
        <w:tab w:val="left" w:pos="1468"/>
        <w:tab w:val="right" w:pos="1900"/>
        <w:tab w:val="left" w:pos="2188"/>
        <w:tab w:val="left" w:pos="2908"/>
        <w:tab w:val="left" w:pos="3628"/>
        <w:tab w:val="left" w:pos="4348"/>
        <w:tab w:val="left" w:pos="5068"/>
        <w:tab w:val="left" w:pos="5788"/>
        <w:tab w:val="left" w:pos="6508"/>
        <w:tab w:val="left" w:pos="7228"/>
        <w:tab w:val="left" w:pos="7948"/>
        <w:tab w:val="left" w:pos="8668"/>
        <w:tab w:val="left" w:pos="9388"/>
      </w:tabs>
      <w:ind w:firstLine="28"/>
    </w:pPr>
  </w:style>
  <w:style w:type="paragraph" w:styleId="BodyTextIndent3">
    <w:name w:val="Body Text Indent 3"/>
    <w:basedOn w:val="Normal"/>
  </w:style>
  <w:style w:type="character" w:styleId="EndnoteReference">
    <w:name w:val="endnote reference"/>
    <w:semiHidden/>
    <w:rPr>
      <w:vertAlign w:val="superscript"/>
    </w:rPr>
  </w:style>
  <w:style w:type="paragraph" w:customStyle="1" w:styleId="i">
    <w:name w:val="(i)"/>
    <w:basedOn w:val="Normal"/>
    <w:pPr>
      <w:numPr>
        <w:numId w:val="4"/>
      </w:numPr>
    </w:pPr>
  </w:style>
  <w:style w:type="paragraph" w:customStyle="1" w:styleId="Style1">
    <w:name w:val="Style1"/>
    <w:basedOn w:val="Normal"/>
    <w:pPr>
      <w:numPr>
        <w:numId w:val="5"/>
      </w:numPr>
    </w:pPr>
  </w:style>
  <w:style w:type="paragraph" w:styleId="CommentSubject">
    <w:name w:val="annotation subject"/>
    <w:basedOn w:val="CommentText"/>
    <w:next w:val="CommentText"/>
    <w:semiHidden/>
    <w:rPr>
      <w:b/>
      <w:bCs/>
    </w:rPr>
  </w:style>
  <w:style w:type="paragraph" w:customStyle="1" w:styleId="Char">
    <w:name w:val="Char"/>
    <w:basedOn w:val="Normal"/>
    <w:pPr>
      <w:spacing w:before="0" w:after="160" w:line="240" w:lineRule="exact"/>
      <w:ind w:firstLine="0"/>
      <w:jc w:val="left"/>
    </w:pPr>
    <w:rPr>
      <w:rFonts w:ascii="Verdana" w:hAnsi="Verdana" w:cs="Verdana"/>
      <w:sz w:val="20"/>
    </w:rPr>
  </w:style>
  <w:style w:type="paragraph" w:styleId="BodyText">
    <w:name w:val="Body Text"/>
    <w:basedOn w:val="Normal"/>
    <w:rsid w:val="001F1E13"/>
    <w:pPr>
      <w:ind w:firstLine="0"/>
    </w:pPr>
  </w:style>
  <w:style w:type="paragraph" w:customStyle="1" w:styleId="section-para">
    <w:name w:val="section-para"/>
    <w:basedOn w:val="Normal"/>
    <w:pPr>
      <w:spacing w:before="100" w:beforeAutospacing="1" w:after="100" w:afterAutospacing="1"/>
      <w:ind w:firstLine="0"/>
      <w:jc w:val="left"/>
    </w:pPr>
    <w:rPr>
      <w:szCs w:val="24"/>
    </w:rPr>
  </w:style>
  <w:style w:type="paragraph" w:styleId="BalloonText">
    <w:name w:val="Balloon Text"/>
    <w:basedOn w:val="Normal"/>
    <w:link w:val="BalloonTextChar"/>
    <w:pPr>
      <w:spacing w:before="0"/>
    </w:pPr>
    <w:rPr>
      <w:rFonts w:ascii="Tahoma" w:hAnsi="Tahoma" w:cs="Tahoma"/>
      <w:sz w:val="16"/>
      <w:szCs w:val="16"/>
    </w:rPr>
  </w:style>
  <w:style w:type="character" w:customStyle="1" w:styleId="BalloonTextChar">
    <w:name w:val="Balloon Text Char"/>
    <w:link w:val="BalloonText"/>
    <w:rPr>
      <w:rFonts w:ascii="Tahoma" w:hAnsi="Tahoma" w:cs="Tahoma"/>
      <w:sz w:val="16"/>
      <w:szCs w:val="16"/>
    </w:rPr>
  </w:style>
  <w:style w:type="character" w:styleId="PlaceholderText">
    <w:name w:val="Placeholder Text"/>
    <w:basedOn w:val="DefaultParagraphFont"/>
    <w:uiPriority w:val="99"/>
    <w:semiHidden/>
    <w:rsid w:val="00E07C4C"/>
    <w:rPr>
      <w:color w:val="808080"/>
    </w:rPr>
  </w:style>
  <w:style w:type="character" w:customStyle="1" w:styleId="Heading2Char">
    <w:name w:val="Heading 2 Char"/>
    <w:basedOn w:val="DefaultParagraphFont"/>
    <w:link w:val="Heading2"/>
    <w:rsid w:val="000A5263"/>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62107">
      <w:bodyDiv w:val="1"/>
      <w:marLeft w:val="0"/>
      <w:marRight w:val="0"/>
      <w:marTop w:val="0"/>
      <w:marBottom w:val="0"/>
      <w:divBdr>
        <w:top w:val="none" w:sz="0" w:space="0" w:color="auto"/>
        <w:left w:val="none" w:sz="0" w:space="0" w:color="auto"/>
        <w:bottom w:val="none" w:sz="0" w:space="0" w:color="auto"/>
        <w:right w:val="none" w:sz="0" w:space="0" w:color="auto"/>
      </w:divBdr>
    </w:div>
    <w:div w:id="1118259637">
      <w:bodyDiv w:val="1"/>
      <w:marLeft w:val="0"/>
      <w:marRight w:val="0"/>
      <w:marTop w:val="0"/>
      <w:marBottom w:val="0"/>
      <w:divBdr>
        <w:top w:val="none" w:sz="0" w:space="0" w:color="auto"/>
        <w:left w:val="none" w:sz="0" w:space="0" w:color="auto"/>
        <w:bottom w:val="none" w:sz="0" w:space="0" w:color="auto"/>
        <w:right w:val="none" w:sz="0" w:space="0" w:color="auto"/>
      </w:divBdr>
    </w:div>
    <w:div w:id="188674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A2FBB7177C49FA9C42236561D4355D"/>
        <w:category>
          <w:name w:val="General"/>
          <w:gallery w:val="placeholder"/>
        </w:category>
        <w:types>
          <w:type w:val="bbPlcHdr"/>
        </w:types>
        <w:behaviors>
          <w:behavior w:val="content"/>
        </w:behaviors>
        <w:guid w:val="{32678F42-B897-4A09-A98F-7AA39AB0D652}"/>
      </w:docPartPr>
      <w:docPartBody>
        <w:p w:rsidR="008D7D67" w:rsidRDefault="003C1AC2" w:rsidP="003C1AC2">
          <w:pPr>
            <w:pStyle w:val="D9A2FBB7177C49FA9C42236561D4355D"/>
          </w:pPr>
          <w:r>
            <w:rPr>
              <w:rStyle w:val="PlaceholderText"/>
            </w:rPr>
            <w:t>[</w:t>
          </w:r>
          <w:r w:rsidRPr="007267B7">
            <w:rPr>
              <w:rStyle w:val="PlaceholderText"/>
              <w:color w:val="auto"/>
              <w:highlight w:val="yellow"/>
            </w:rPr>
            <w:t>SUBSIDIARY NAME]</w:t>
          </w:r>
        </w:p>
      </w:docPartBody>
    </w:docPart>
    <w:docPart>
      <w:docPartPr>
        <w:name w:val="BB859742F1FE4283B9B571CFAC96160D"/>
        <w:category>
          <w:name w:val="General"/>
          <w:gallery w:val="placeholder"/>
        </w:category>
        <w:types>
          <w:type w:val="bbPlcHdr"/>
        </w:types>
        <w:behaviors>
          <w:behavior w:val="content"/>
        </w:behaviors>
        <w:guid w:val="{C4310C18-3AEC-46C6-A76A-59A1C295E52B}"/>
      </w:docPartPr>
      <w:docPartBody>
        <w:p w:rsidR="008D7D67" w:rsidRDefault="003C1AC2" w:rsidP="003C1AC2">
          <w:pPr>
            <w:pStyle w:val="BB859742F1FE4283B9B571CFAC96160D"/>
          </w:pPr>
          <w:r w:rsidRPr="007D1CFD">
            <w:rPr>
              <w:rStyle w:val="PlaceholderText"/>
              <w:color w:val="auto"/>
              <w:highlight w:val="yellow"/>
            </w:rPr>
            <w:t>[Name of Subsidiary]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AC2"/>
    <w:rsid w:val="00272CEF"/>
    <w:rsid w:val="003C1AC2"/>
    <w:rsid w:val="00826A73"/>
    <w:rsid w:val="00832211"/>
    <w:rsid w:val="00885FBA"/>
    <w:rsid w:val="008D7D67"/>
    <w:rsid w:val="00CE51B4"/>
    <w:rsid w:val="00E4064A"/>
    <w:rsid w:val="00E607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1AC2"/>
    <w:rPr>
      <w:color w:val="808080"/>
    </w:rPr>
  </w:style>
  <w:style w:type="paragraph" w:customStyle="1" w:styleId="D9A2FBB7177C49FA9C42236561D4355D">
    <w:name w:val="D9A2FBB7177C49FA9C42236561D4355D"/>
    <w:rsid w:val="003C1AC2"/>
    <w:pPr>
      <w:spacing w:before="240" w:after="0" w:line="240" w:lineRule="auto"/>
      <w:jc w:val="center"/>
    </w:pPr>
    <w:rPr>
      <w:rFonts w:ascii="Times New Roman" w:eastAsia="Times New Roman" w:hAnsi="Times New Roman" w:cs="Times New Roman"/>
      <w:b/>
      <w:szCs w:val="20"/>
    </w:rPr>
  </w:style>
  <w:style w:type="paragraph" w:customStyle="1" w:styleId="BB859742F1FE4283B9B571CFAC96160D">
    <w:name w:val="BB859742F1FE4283B9B571CFAC96160D"/>
    <w:rsid w:val="003C1AC2"/>
    <w:pPr>
      <w:spacing w:before="240" w:after="0" w:line="240" w:lineRule="auto"/>
      <w:ind w:firstLine="720"/>
      <w:jc w:val="both"/>
    </w:pPr>
    <w:rPr>
      <w:rFonts w:ascii="Times New Roman" w:eastAsia="Times New Roman" w:hAnsi="Times New Roman" w:cs="Times New Roman"/>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83BE0-E9BF-4A00-BFE5-244CC45DB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3157</Words>
  <Characters>17996</Characters>
  <Application>Microsoft Office Word</Application>
  <DocSecurity>0</DocSecurity>
  <Lines>149</Lines>
  <Paragraphs>42</Paragraphs>
  <ScaleCrop>false</ScaleCrop>
  <Company/>
  <LinksUpToDate>false</LinksUpToDate>
  <CharactersWithSpaces>21111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2019-11-19T18:24:00Z</dcterms:created>
  <dcterms:modified xsi:type="dcterms:W3CDTF">2022-10-24T20:41:00Z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XDOCID">
    <vt:lpwstr>Block DocID</vt:lpwstr>
  </property>
</Properties>
</file>