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52D282" w14:textId="77777777" w:rsidR="00821FA6" w:rsidRDefault="00821FA6" w:rsidP="00821FA6">
      <w:pPr>
        <w:spacing w:after="60" w:line="276" w:lineRule="auto"/>
        <w:jc w:val="center"/>
        <w:rPr>
          <w:b/>
          <w:bCs/>
          <w:sz w:val="28"/>
          <w:szCs w:val="28"/>
        </w:rPr>
      </w:pPr>
      <w:r w:rsidRPr="00821FA6">
        <w:rPr>
          <w:b/>
          <w:bCs/>
          <w:sz w:val="28"/>
          <w:szCs w:val="28"/>
        </w:rPr>
        <w:t>Global Economic and Geopolitical Impact of a Strait of Hormuz Blockade in an Iran–US–Israel Conflict</w:t>
      </w:r>
    </w:p>
    <w:p w14:paraId="363A9011" w14:textId="48A78980" w:rsidR="00E50E3E" w:rsidRDefault="00000000" w:rsidP="00821FA6">
      <w:pPr>
        <w:spacing w:after="60" w:line="276" w:lineRule="auto"/>
        <w:jc w:val="center"/>
      </w:pPr>
      <w:r>
        <w:rPr>
          <w:i/>
          <w:iCs/>
        </w:rPr>
        <w:t>Tejas Raghav</w:t>
      </w:r>
    </w:p>
    <w:p w14:paraId="7FB59B57" w14:textId="77777777" w:rsidR="00E50E3E" w:rsidRDefault="00000000" w:rsidP="00821FA6">
      <w:pPr>
        <w:spacing w:after="40" w:line="276" w:lineRule="auto"/>
        <w:jc w:val="center"/>
      </w:pPr>
      <w:r>
        <w:rPr>
          <w:sz w:val="18"/>
          <w:szCs w:val="18"/>
        </w:rPr>
        <w:t>Department of Computer Science and Engineering (AI &amp; ML)</w:t>
      </w:r>
    </w:p>
    <w:p w14:paraId="75154E2A" w14:textId="77777777" w:rsidR="00E50E3E" w:rsidRDefault="00000000" w:rsidP="00821FA6">
      <w:pPr>
        <w:spacing w:after="40" w:line="276" w:lineRule="auto"/>
        <w:jc w:val="center"/>
      </w:pPr>
      <w:r>
        <w:rPr>
          <w:sz w:val="18"/>
          <w:szCs w:val="18"/>
        </w:rPr>
        <w:t>K.R. Mangalam University, Gurugram, Haryana, India</w:t>
      </w:r>
    </w:p>
    <w:p w14:paraId="4D64A14F" w14:textId="77777777" w:rsidR="00E50E3E" w:rsidRDefault="00000000" w:rsidP="00821FA6">
      <w:pPr>
        <w:spacing w:after="200" w:line="276" w:lineRule="auto"/>
        <w:jc w:val="center"/>
      </w:pPr>
      <w:r>
        <w:rPr>
          <w:sz w:val="18"/>
          <w:szCs w:val="18"/>
        </w:rPr>
        <w:t>Email: tejasraghav251@gmail.com</w:t>
      </w:r>
    </w:p>
    <w:p w14:paraId="288D3DE0" w14:textId="77777777" w:rsidR="00E50E3E" w:rsidRDefault="00000000" w:rsidP="00821FA6">
      <w:pPr>
        <w:spacing w:before="160" w:after="100" w:line="276" w:lineRule="auto"/>
        <w:jc w:val="center"/>
      </w:pPr>
      <w:r>
        <w:rPr>
          <w:b/>
          <w:bCs/>
          <w:i/>
          <w:iCs/>
          <w:sz w:val="22"/>
          <w:szCs w:val="22"/>
        </w:rPr>
        <w:t>Abstract</w:t>
      </w:r>
    </w:p>
    <w:p w14:paraId="20B833C8" w14:textId="61482B15" w:rsidR="00821FA6" w:rsidRDefault="00000000" w:rsidP="00821FA6">
      <w:pPr>
        <w:spacing w:after="200" w:line="276" w:lineRule="auto"/>
        <w:ind w:left="720" w:right="720"/>
        <w:jc w:val="both"/>
        <w:rPr>
          <w:sz w:val="18"/>
          <w:szCs w:val="18"/>
        </w:rPr>
      </w:pPr>
      <w:r>
        <w:rPr>
          <w:sz w:val="18"/>
          <w:szCs w:val="18"/>
        </w:rPr>
        <w:t xml:space="preserve">The Strait of Hormuz remains the world's most consequential maritime energy corridor, </w:t>
      </w:r>
      <w:r w:rsidR="000828E3">
        <w:rPr>
          <w:sz w:val="18"/>
          <w:szCs w:val="18"/>
        </w:rPr>
        <w:t>channelling</w:t>
      </w:r>
      <w:r>
        <w:rPr>
          <w:sz w:val="18"/>
          <w:szCs w:val="18"/>
        </w:rPr>
        <w:t xml:space="preserve"> approximately 21 million barrels of oil per day</w:t>
      </w:r>
      <w:r w:rsidR="00821FA6">
        <w:rPr>
          <w:sz w:val="18"/>
          <w:szCs w:val="18"/>
        </w:rPr>
        <w:t xml:space="preserve"> [1]</w:t>
      </w:r>
      <w:r>
        <w:rPr>
          <w:sz w:val="18"/>
          <w:szCs w:val="18"/>
        </w:rPr>
        <w:t xml:space="preserve">—nearly one-fifth of global petroleum consumption. This paper examines the economic and geopolitical ramifications of a hypothetical blockade of the strait precipitated by an escalation of hostilities among Iran, the United States, and Israel. Drawing on global oil trade statistics, historical price-shock analyses, and geopolitical scenario </w:t>
      </w:r>
      <w:r w:rsidR="000828E3">
        <w:rPr>
          <w:sz w:val="18"/>
          <w:szCs w:val="18"/>
        </w:rPr>
        <w:t>modelling</w:t>
      </w:r>
      <w:r>
        <w:rPr>
          <w:sz w:val="18"/>
          <w:szCs w:val="18"/>
        </w:rPr>
        <w:t xml:space="preserve">, we construct three escalation scenarios—temporary disruption, medium-term conflict, and prolonged regional war—and quantify their projected effects on crude prices, global GDP, inflation, and supply chain integrity. Our findings indicate that even a one-week closure could push Brent crude above USD 130 per barrel, while a sustained three-month blockade risks triggering a global recession, with Asian economies bearing disproportionate burden. We further assess military response dynamics and offer policy recommendations spanning strategic reserve activation, energy-supply diversification, and multilateral diplomatic frameworks. </w:t>
      </w:r>
      <w:r w:rsidR="00821FA6" w:rsidRPr="00821FA6">
        <w:rPr>
          <w:sz w:val="18"/>
          <w:szCs w:val="18"/>
        </w:rPr>
        <w:t>The findings highlight the structural vulnerability created by dependence on a single maritime energy chokepoint.</w:t>
      </w:r>
    </w:p>
    <w:p w14:paraId="1C95C1EE" w14:textId="6E99C39A" w:rsidR="00622BA8" w:rsidRDefault="00821FA6" w:rsidP="00821FA6">
      <w:pPr>
        <w:spacing w:after="200" w:line="276" w:lineRule="auto"/>
        <w:ind w:left="720" w:right="720"/>
        <w:jc w:val="both"/>
        <w:rPr>
          <w:b/>
          <w:bCs/>
          <w:i/>
          <w:iCs/>
          <w:sz w:val="18"/>
          <w:szCs w:val="18"/>
        </w:rPr>
      </w:pPr>
      <w:r w:rsidRPr="00821FA6">
        <w:rPr>
          <w:b/>
          <w:bCs/>
          <w:i/>
          <w:iCs/>
          <w:sz w:val="18"/>
          <w:szCs w:val="18"/>
        </w:rPr>
        <w:t>Index Terms—Strait of Hormuz, energy security, geopolitical risk, oil price shock, maritime chokepoints.</w:t>
      </w:r>
    </w:p>
    <w:p w14:paraId="6F37F307" w14:textId="77777777" w:rsidR="000828E3" w:rsidRDefault="000828E3" w:rsidP="00821FA6">
      <w:pPr>
        <w:pStyle w:val="Heading1"/>
        <w:spacing w:line="276" w:lineRule="auto"/>
        <w:rPr>
          <w:caps/>
        </w:rPr>
      </w:pPr>
    </w:p>
    <w:p w14:paraId="3C3D3B80" w14:textId="6810FFF3" w:rsidR="00E50E3E" w:rsidRDefault="00000000" w:rsidP="00821FA6">
      <w:pPr>
        <w:pStyle w:val="Heading1"/>
        <w:spacing w:line="276" w:lineRule="auto"/>
      </w:pPr>
      <w:r>
        <w:rPr>
          <w:caps/>
        </w:rPr>
        <w:t>I. Introduction</w:t>
      </w:r>
    </w:p>
    <w:p w14:paraId="142068F5" w14:textId="7DFB0E8B" w:rsidR="00E50E3E" w:rsidRDefault="00000000" w:rsidP="00821FA6">
      <w:pPr>
        <w:spacing w:after="120" w:line="276" w:lineRule="auto"/>
        <w:ind w:firstLine="720"/>
        <w:jc w:val="both"/>
      </w:pPr>
      <w:r>
        <w:rPr>
          <w:color w:val="000000"/>
        </w:rPr>
        <w:t xml:space="preserve">The Middle East has long occupied a paradoxical position in the architecture of international relations: simultaneously indispensable to global economic stability and chronically prone to instability. Nowhere is this paradox more sharply concentrated than at the Strait of Hormuz, a narrow waterway separating the Omani coast from the Iranian mainland at its narrowest point of just 33 </w:t>
      </w:r>
      <w:r w:rsidR="000828E3">
        <w:rPr>
          <w:color w:val="000000"/>
        </w:rPr>
        <w:t>kilometres</w:t>
      </w:r>
      <w:r>
        <w:rPr>
          <w:color w:val="000000"/>
        </w:rPr>
        <w:t>. Through this constriction flows a staggering proportion of the world's daily petroleum—crude oil, refined products, and liquefied natural gas (LNG)—making it, by any quantitative measure, the most strategically sensitive maritime passage on Earth.</w:t>
      </w:r>
    </w:p>
    <w:p w14:paraId="3A672F1C" w14:textId="77777777" w:rsidR="00E50E3E" w:rsidRDefault="00000000" w:rsidP="00821FA6">
      <w:pPr>
        <w:spacing w:after="120" w:line="276" w:lineRule="auto"/>
        <w:ind w:firstLine="720"/>
        <w:jc w:val="both"/>
      </w:pPr>
      <w:r>
        <w:rPr>
          <w:color w:val="000000"/>
        </w:rPr>
        <w:t>The geopolitical environment surrounding the strait has grown increasingly volatile. Iran's nuclear program has advanced significantly since the collapse of the Joint Comprehensive Plan of Action (JCPOA) in 2018, provoking repeated cycles of sanctions, covert sabotage operations attributed to Israel, and reciprocal threats from Tehran. The Islamic Revolutionary Guard Corps Navy (IRGCN) has conducted increasingly provocative exercises in the Persian Gulf, and senior Iranian officials have on multiple occasions threatened to close the strait in the event of a military confrontation. Israel, for its part, has declared Iran's nuclear and ballistic missile capabilities an existential threat, and has conducted numerous airstrikes against Iranian-linked targets in Syria, Iraq, and potentially Iran itself.</w:t>
      </w:r>
    </w:p>
    <w:p w14:paraId="2387102D" w14:textId="110AD21C" w:rsidR="00E50E3E" w:rsidRDefault="00000000" w:rsidP="00821FA6">
      <w:pPr>
        <w:spacing w:after="120" w:line="276" w:lineRule="auto"/>
        <w:ind w:firstLine="720"/>
        <w:jc w:val="both"/>
      </w:pPr>
      <w:r>
        <w:rPr>
          <w:color w:val="000000"/>
        </w:rPr>
        <w:t xml:space="preserve">Against this backdrop, the question of what a Strait of Hormuz blockade would mean for the global economy is not a theoretical exercise—it is a live policy question. The disruption of even a fraction of daily petroleum flows through the strait could cascade across energy markets, transportation networks, industrial supply chains, and consumer price indices worldwide. This paper undertakes a structured analysis of that scenario, combining quantitative data on oil trade volumes with historical analogues from prior energy crises and contemporary geopolitical scenario </w:t>
      </w:r>
      <w:r w:rsidR="000828E3">
        <w:rPr>
          <w:color w:val="000000"/>
        </w:rPr>
        <w:t>modelling</w:t>
      </w:r>
      <w:r>
        <w:rPr>
          <w:color w:val="000000"/>
        </w:rPr>
        <w:t>.</w:t>
      </w:r>
    </w:p>
    <w:p w14:paraId="0F84615F" w14:textId="7177EE1E" w:rsidR="00E50E3E" w:rsidRDefault="00000000" w:rsidP="00821FA6">
      <w:pPr>
        <w:spacing w:after="120" w:line="276" w:lineRule="auto"/>
        <w:ind w:firstLine="720"/>
        <w:jc w:val="both"/>
        <w:rPr>
          <w:color w:val="000000"/>
        </w:rPr>
      </w:pPr>
      <w:r>
        <w:rPr>
          <w:color w:val="000000"/>
        </w:rPr>
        <w:lastRenderedPageBreak/>
        <w:t xml:space="preserve">The paper proceeds as follows: Section II establishes the geographic and strategic significance of the strait; Section III reviews the relevant literature; Section IV describes methodology; Sections V through X </w:t>
      </w:r>
      <w:r w:rsidR="000828E3">
        <w:rPr>
          <w:color w:val="000000"/>
        </w:rPr>
        <w:t>analyse</w:t>
      </w:r>
      <w:r>
        <w:rPr>
          <w:color w:val="000000"/>
        </w:rPr>
        <w:t xml:space="preserve"> energy, economic, regional, and military impacts; Sections XI and XII present future scenarios and policy recommendations; and Section XIII concludes.</w:t>
      </w:r>
    </w:p>
    <w:p w14:paraId="0DB64A0A" w14:textId="77777777" w:rsidR="00622BA8" w:rsidRDefault="00622BA8" w:rsidP="00821FA6">
      <w:pPr>
        <w:spacing w:after="120" w:line="276" w:lineRule="auto"/>
        <w:ind w:firstLine="720"/>
        <w:jc w:val="both"/>
      </w:pPr>
    </w:p>
    <w:p w14:paraId="649836E0" w14:textId="77777777" w:rsidR="00E50E3E" w:rsidRDefault="00000000" w:rsidP="00821FA6">
      <w:pPr>
        <w:pStyle w:val="Heading1"/>
        <w:spacing w:line="276" w:lineRule="auto"/>
      </w:pPr>
      <w:r>
        <w:rPr>
          <w:caps/>
        </w:rPr>
        <w:t>II. Strategic Importance of the Strait of Hormuz</w:t>
      </w:r>
    </w:p>
    <w:p w14:paraId="3E7E2683" w14:textId="70048CA9" w:rsidR="00E50E3E" w:rsidRDefault="00000000" w:rsidP="00821FA6">
      <w:pPr>
        <w:spacing w:after="120" w:line="276" w:lineRule="auto"/>
        <w:ind w:firstLine="720"/>
        <w:jc w:val="both"/>
      </w:pPr>
      <w:r>
        <w:rPr>
          <w:color w:val="000000"/>
        </w:rPr>
        <w:t xml:space="preserve">Measuring roughly 167 </w:t>
      </w:r>
      <w:r w:rsidR="000828E3">
        <w:rPr>
          <w:color w:val="000000"/>
        </w:rPr>
        <w:t>kilometres</w:t>
      </w:r>
      <w:r>
        <w:rPr>
          <w:color w:val="000000"/>
        </w:rPr>
        <w:t xml:space="preserve"> in length, the Strait of Hormuz connects the Persian Gulf—home to the world's highest concentration of proven oil reserves—with the Gulf of Oman and, by extension, the broader Indian Ocean basin. Its navigable shipping lanes are just 3.2 </w:t>
      </w:r>
      <w:r w:rsidR="000828E3">
        <w:rPr>
          <w:color w:val="000000"/>
        </w:rPr>
        <w:t>kilometres</w:t>
      </w:r>
      <w:r>
        <w:rPr>
          <w:color w:val="000000"/>
        </w:rPr>
        <w:t xml:space="preserve"> wide in each direction, rendering them extraordinarily susceptible to interdiction by a state actor in possession of anti-ship missiles, naval mines, and fast-attack craft.</w:t>
      </w:r>
    </w:p>
    <w:p w14:paraId="08984217" w14:textId="3389D9B0" w:rsidR="00E50E3E" w:rsidRDefault="00000000" w:rsidP="00821FA6">
      <w:pPr>
        <w:spacing w:after="120" w:line="276" w:lineRule="auto"/>
        <w:ind w:firstLine="720"/>
        <w:jc w:val="both"/>
        <w:rPr>
          <w:color w:val="000000"/>
        </w:rPr>
      </w:pPr>
      <w:r>
        <w:rPr>
          <w:color w:val="000000"/>
        </w:rPr>
        <w:t xml:space="preserve">According to the U.S. Energy Information Administration (EIA), approximately 20–21 million barrels per day (mb/d) of crude oil, petroleum products, and liquefied natural gas passed through the strait in 2023, representing roughly 20 percent of global petroleum consumption and 30 percent of seaborne-traded crude. The strait handles exports from Saudi Arabia (the world's largest crude exporter), the United Arab Emirates, Kuwait, Iraq, Qatar, and Iran itself. Qatar is also the world's second-largest LNG producer, with virtually </w:t>
      </w:r>
      <w:proofErr w:type="gramStart"/>
      <w:r>
        <w:rPr>
          <w:color w:val="000000"/>
        </w:rPr>
        <w:t>all of</w:t>
      </w:r>
      <w:proofErr w:type="gramEnd"/>
      <w:r>
        <w:rPr>
          <w:color w:val="000000"/>
        </w:rPr>
        <w:t xml:space="preserve"> its exports transiting the strait.</w:t>
      </w:r>
    </w:p>
    <w:p w14:paraId="33C4A4D8" w14:textId="26F7D5B3" w:rsidR="00821FA6" w:rsidRDefault="00821FA6" w:rsidP="00821FA6">
      <w:pPr>
        <w:spacing w:after="120" w:line="276" w:lineRule="auto"/>
        <w:jc w:val="both"/>
        <w:rPr>
          <w:color w:val="000000"/>
        </w:rPr>
      </w:pPr>
      <w:r w:rsidRPr="00821FA6">
        <w:rPr>
          <w:color w:val="000000"/>
        </w:rPr>
        <w:t>The distribution of petroleum and LNG exports transiting the Strait of Hormuz by major exporting countries is illustrated in Fig. 1.</w:t>
      </w:r>
    </w:p>
    <w:p w14:paraId="45CC0999" w14:textId="4A70F23B" w:rsidR="00622BA8" w:rsidRDefault="00622BA8" w:rsidP="00821FA6">
      <w:pPr>
        <w:spacing w:after="120" w:line="276" w:lineRule="auto"/>
        <w:ind w:firstLine="720"/>
        <w:jc w:val="both"/>
        <w:rPr>
          <w:color w:val="000000"/>
        </w:rPr>
      </w:pPr>
      <w:r>
        <w:rPr>
          <w:noProof/>
        </w:rPr>
        <w:drawing>
          <wp:anchor distT="0" distB="0" distL="114300" distR="114300" simplePos="0" relativeHeight="251658240" behindDoc="0" locked="0" layoutInCell="1" allowOverlap="1" wp14:anchorId="1D926261" wp14:editId="6A098B3C">
            <wp:simplePos x="0" y="0"/>
            <wp:positionH relativeFrom="margin">
              <wp:align>center</wp:align>
            </wp:positionH>
            <wp:positionV relativeFrom="paragraph">
              <wp:posOffset>170815</wp:posOffset>
            </wp:positionV>
            <wp:extent cx="3263900" cy="2447925"/>
            <wp:effectExtent l="0" t="0" r="0" b="9525"/>
            <wp:wrapTopAndBottom/>
            <wp:docPr id="1774377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377534" name="Picture 1774377534"/>
                    <pic:cNvPicPr/>
                  </pic:nvPicPr>
                  <pic:blipFill>
                    <a:blip r:embed="rId5">
                      <a:extLst>
                        <a:ext uri="{28A0092B-C50C-407E-A947-70E740481C1C}">
                          <a14:useLocalDpi xmlns:a14="http://schemas.microsoft.com/office/drawing/2010/main" val="0"/>
                        </a:ext>
                      </a:extLst>
                    </a:blip>
                    <a:stretch>
                      <a:fillRect/>
                    </a:stretch>
                  </pic:blipFill>
                  <pic:spPr>
                    <a:xfrm>
                      <a:off x="0" y="0"/>
                      <a:ext cx="3263900" cy="2447925"/>
                    </a:xfrm>
                    <a:prstGeom prst="rect">
                      <a:avLst/>
                    </a:prstGeom>
                  </pic:spPr>
                </pic:pic>
              </a:graphicData>
            </a:graphic>
            <wp14:sizeRelH relativeFrom="margin">
              <wp14:pctWidth>0</wp14:pctWidth>
            </wp14:sizeRelH>
            <wp14:sizeRelV relativeFrom="margin">
              <wp14:pctHeight>0</wp14:pctHeight>
            </wp14:sizeRelV>
          </wp:anchor>
        </w:drawing>
      </w:r>
    </w:p>
    <w:p w14:paraId="488C66B1" w14:textId="23E278E3" w:rsidR="00622BA8" w:rsidRDefault="00622BA8" w:rsidP="00821FA6">
      <w:pPr>
        <w:pStyle w:val="Heading1"/>
        <w:spacing w:line="276" w:lineRule="auto"/>
        <w:rPr>
          <w:b w:val="0"/>
          <w:bCs w:val="0"/>
          <w:i/>
          <w:iCs/>
          <w:color w:val="555555"/>
          <w:sz w:val="16"/>
          <w:szCs w:val="16"/>
        </w:rPr>
      </w:pPr>
      <w:r>
        <w:rPr>
          <w:b w:val="0"/>
          <w:bCs w:val="0"/>
          <w:i/>
          <w:iCs/>
          <w:color w:val="555555"/>
          <w:sz w:val="16"/>
          <w:szCs w:val="16"/>
        </w:rPr>
        <w:t xml:space="preserve">                            </w:t>
      </w:r>
      <w:r w:rsidRPr="00622BA8">
        <w:rPr>
          <w:b w:val="0"/>
          <w:bCs w:val="0"/>
          <w:i/>
          <w:iCs/>
          <w:color w:val="555555"/>
          <w:sz w:val="16"/>
          <w:szCs w:val="16"/>
        </w:rPr>
        <w:t>Fig. 1. Daily petroleum and LNG throughput through the Strait of Hormuz by exporting country (2023, mb/d).</w:t>
      </w:r>
    </w:p>
    <w:p w14:paraId="6FB4A36D" w14:textId="4B4A4F22" w:rsidR="00622BA8" w:rsidRDefault="00622BA8" w:rsidP="00821FA6">
      <w:pPr>
        <w:spacing w:after="120" w:line="276" w:lineRule="auto"/>
        <w:ind w:firstLine="720"/>
        <w:jc w:val="both"/>
      </w:pPr>
    </w:p>
    <w:p w14:paraId="542C1F4E" w14:textId="77777777" w:rsidR="00E50E3E" w:rsidRDefault="00000000" w:rsidP="00821FA6">
      <w:pPr>
        <w:spacing w:after="120" w:line="276" w:lineRule="auto"/>
        <w:ind w:firstLine="720"/>
        <w:jc w:val="both"/>
        <w:rPr>
          <w:color w:val="000000"/>
        </w:rPr>
      </w:pPr>
      <w:r>
        <w:rPr>
          <w:color w:val="000000"/>
        </w:rPr>
        <w:t>The strait's singular importance is further underscored by the absence of fully adequate alternative routing. The East–West Pipeline in Saudi Arabia (capacity: ~5 mb/d) and the Abu Dhabi Crude Oil Pipeline (capacity: ~1.5 mb/d) together could bypass only a fraction of normal throughput. Iraq lacks functional non-Gulf export infrastructure at the scale required. These structural constraints mean that a sustained closure would be effectively irreplaceable by existing bypass options within a short time horizon.</w:t>
      </w:r>
    </w:p>
    <w:p w14:paraId="16840DAC" w14:textId="77777777" w:rsidR="00622BA8" w:rsidRDefault="00622BA8" w:rsidP="00821FA6">
      <w:pPr>
        <w:spacing w:after="120" w:line="276" w:lineRule="auto"/>
        <w:jc w:val="both"/>
      </w:pPr>
    </w:p>
    <w:p w14:paraId="69810739" w14:textId="77777777" w:rsidR="000828E3" w:rsidRDefault="000828E3" w:rsidP="00821FA6">
      <w:pPr>
        <w:pStyle w:val="Heading1"/>
        <w:spacing w:line="276" w:lineRule="auto"/>
        <w:rPr>
          <w:caps/>
        </w:rPr>
      </w:pPr>
    </w:p>
    <w:p w14:paraId="15611158" w14:textId="79952388" w:rsidR="00E50E3E" w:rsidRDefault="00000000" w:rsidP="00821FA6">
      <w:pPr>
        <w:pStyle w:val="Heading1"/>
        <w:spacing w:line="276" w:lineRule="auto"/>
      </w:pPr>
      <w:r>
        <w:rPr>
          <w:caps/>
        </w:rPr>
        <w:lastRenderedPageBreak/>
        <w:t>III. Literature Review</w:t>
      </w:r>
    </w:p>
    <w:p w14:paraId="47E31B02" w14:textId="77777777" w:rsidR="00E50E3E" w:rsidRDefault="00000000" w:rsidP="00821FA6">
      <w:pPr>
        <w:spacing w:after="120" w:line="276" w:lineRule="auto"/>
        <w:ind w:firstLine="720"/>
        <w:jc w:val="both"/>
      </w:pPr>
      <w:r>
        <w:rPr>
          <w:color w:val="000000"/>
        </w:rPr>
        <w:t>The academic treatment of maritime chokepoints as instruments of geopolitical leverage has a substantial lineage. Modelski and Thompson (1988) established foundational frameworks linking sea-lane control to hegemonic power cycles, while Corbett's classical theory of maritime strategy—updated by Till (2013)—positions chokepoint denial as among the most cost-effective asymmetric strategies available to weaker naval powers. These theoretical contributions are directly applicable to Iran's posture: an adversary unable to defeat U.S. carrier groups in open-ocean engagement can nonetheless impose severe economic costs by denying passage through the strait.</w:t>
      </w:r>
    </w:p>
    <w:p w14:paraId="6E9004D9" w14:textId="77777777" w:rsidR="00E50E3E" w:rsidRDefault="00000000" w:rsidP="00821FA6">
      <w:pPr>
        <w:spacing w:after="120" w:line="276" w:lineRule="auto"/>
        <w:ind w:firstLine="720"/>
        <w:jc w:val="both"/>
      </w:pPr>
      <w:r>
        <w:rPr>
          <w:color w:val="000000"/>
        </w:rPr>
        <w:t>Energy security literature has similarly grappled with the Hormuz question. Yergin (2011) argued that the global energy system had become structurally dependent on a handful of vulnerable nodes, of which the strait was the most critical, and recommended a combination of strategic reserves and supply diversification as systemic hedges. The International Energy Agency's (IEA) annual World Energy Outlook consistently identifies the strait among the highest-priority physical vulnerabilities in global energy infrastructure.</w:t>
      </w:r>
    </w:p>
    <w:p w14:paraId="2616F2F8" w14:textId="77777777" w:rsidR="00E50E3E" w:rsidRDefault="00000000" w:rsidP="00821FA6">
      <w:pPr>
        <w:spacing w:after="120" w:line="276" w:lineRule="auto"/>
        <w:ind w:firstLine="720"/>
        <w:jc w:val="both"/>
      </w:pPr>
      <w:r>
        <w:rPr>
          <w:color w:val="000000"/>
        </w:rPr>
        <w:t>Empirical analyses of previous oil shocks provide useful benchmarks. Hamilton (2009) demonstrated that every major U.S. recession since 1947 had been preceded by a significant oil price increase, with a rigorous econometric framework suggesting elasticities of roughly -0.05 GDP percentage points per 10-percent sustained oil price increase. Kilian (2014) refined this by distinguishing supply-shock effects from demand-driven price increases, finding that supply disruptions—precisely the scenario a blockade would create—carry larger and more durable macroeconomic impacts.</w:t>
      </w:r>
    </w:p>
    <w:p w14:paraId="5973CA91" w14:textId="4A9E517F" w:rsidR="00E50E3E" w:rsidRDefault="00000000" w:rsidP="00821FA6">
      <w:pPr>
        <w:spacing w:after="120" w:line="276" w:lineRule="auto"/>
        <w:ind w:firstLine="720"/>
        <w:jc w:val="both"/>
      </w:pPr>
      <w:r>
        <w:rPr>
          <w:color w:val="000000"/>
        </w:rPr>
        <w:t xml:space="preserve">More recently, Bahgat (2019) examined the Iran nuclear crisis and its implications for energy security, while </w:t>
      </w:r>
      <w:proofErr w:type="spellStart"/>
      <w:r>
        <w:rPr>
          <w:color w:val="000000"/>
        </w:rPr>
        <w:t>Gholz</w:t>
      </w:r>
      <w:proofErr w:type="spellEnd"/>
      <w:r>
        <w:rPr>
          <w:color w:val="000000"/>
        </w:rPr>
        <w:t xml:space="preserve"> and Press (2010) challenged the conventional wisdom of military intervention as the optimal response to energy supply threats, arguing instead for economic hedging instruments. Saul and Lawler (2019) studied Iranian threats to the strait in historical context, documenting how Tehran has calibrated threat rhetoric to sanction cycles. Critically, existing literature largely stops short of </w:t>
      </w:r>
      <w:r w:rsidR="000828E3">
        <w:rPr>
          <w:color w:val="000000"/>
        </w:rPr>
        <w:t>modelling</w:t>
      </w:r>
      <w:r>
        <w:rPr>
          <w:color w:val="000000"/>
        </w:rPr>
        <w:t xml:space="preserve"> the full second-order effects—inflation transmission, GDP cascades, and supply chain fractures—that a prolonged, rather than episodic, blockade would generate. This paper addresses that gap.</w:t>
      </w:r>
    </w:p>
    <w:p w14:paraId="4A2EF88A" w14:textId="77777777" w:rsidR="00E50E3E" w:rsidRDefault="00000000" w:rsidP="00821FA6">
      <w:pPr>
        <w:pStyle w:val="Heading1"/>
        <w:spacing w:line="276" w:lineRule="auto"/>
      </w:pPr>
      <w:r>
        <w:rPr>
          <w:caps/>
        </w:rPr>
        <w:t>IV. Methodology</w:t>
      </w:r>
    </w:p>
    <w:p w14:paraId="07019423" w14:textId="77777777" w:rsidR="00E50E3E" w:rsidRDefault="00000000" w:rsidP="00821FA6">
      <w:pPr>
        <w:spacing w:after="120" w:line="276" w:lineRule="auto"/>
        <w:ind w:firstLine="720"/>
        <w:jc w:val="both"/>
      </w:pPr>
      <w:r>
        <w:rPr>
          <w:color w:val="000000"/>
        </w:rPr>
        <w:t>This study employs a multi-method analytical framework integrating four complementary approaches. First, we use global oil trade statistics from the IEA, OPEC Annual Statistical Bulletins, and the EIA to establish baseline volumetric data on Hormuz throughput and country-level import dependencies. These figures anchor our quantitative impact projections.</w:t>
      </w:r>
    </w:p>
    <w:p w14:paraId="629CB990" w14:textId="77777777" w:rsidR="00E50E3E" w:rsidRDefault="00000000" w:rsidP="00821FA6">
      <w:pPr>
        <w:spacing w:after="120" w:line="276" w:lineRule="auto"/>
        <w:ind w:firstLine="720"/>
        <w:jc w:val="both"/>
      </w:pPr>
      <w:r>
        <w:rPr>
          <w:color w:val="000000"/>
        </w:rPr>
        <w:t>Second, we apply economic impact analysis using the standard oil-price-to-GDP transmission model developed in Hamilton (2009) and calibrated with IMF World Economic Outlook data. Specifically, for each scenario we estimate: (a) the oil price spike magnitude using historical supply-shock analogues, (b) the resulting change in global petroleum import bills, (c) inflation pass-through coefficients drawn from recent empirical work on commodity price-to-CPI transmission, and (d) the GDP impact using the consensus elasticity estimate of approximately -0.5 percentage points of global GDP growth per USD 20/barrel sustained oil price increase.</w:t>
      </w:r>
    </w:p>
    <w:p w14:paraId="3187A1A7" w14:textId="64BB21BA" w:rsidR="00E50E3E" w:rsidRDefault="00000000" w:rsidP="00821FA6">
      <w:pPr>
        <w:spacing w:after="120" w:line="276" w:lineRule="auto"/>
        <w:ind w:firstLine="720"/>
        <w:jc w:val="both"/>
      </w:pPr>
      <w:r>
        <w:rPr>
          <w:color w:val="000000"/>
        </w:rPr>
        <w:t xml:space="preserve">Third, we use geopolitical scenario </w:t>
      </w:r>
      <w:r w:rsidR="000828E3">
        <w:rPr>
          <w:color w:val="000000"/>
        </w:rPr>
        <w:t>modelling</w:t>
      </w:r>
      <w:r>
        <w:rPr>
          <w:color w:val="000000"/>
        </w:rPr>
        <w:t xml:space="preserve"> structured around three escalation pathways: a temporary disruption of up to one week, a medium-term conflict lasting 2–4 weeks to three months, and a prolonged regional war exceeding three months. Each scenario is calibrated against historical precedent—the 1973 Arab Oil Embargo, the 1980 Iranian Revolution, the 1990 Gulf War, and the 2019 Abqaiq–</w:t>
      </w:r>
      <w:proofErr w:type="spellStart"/>
      <w:r>
        <w:rPr>
          <w:color w:val="000000"/>
        </w:rPr>
        <w:t>Khurais</w:t>
      </w:r>
      <w:proofErr w:type="spellEnd"/>
      <w:r>
        <w:rPr>
          <w:color w:val="000000"/>
        </w:rPr>
        <w:t xml:space="preserve"> attacks—to bound plausible price and volume outcomes.</w:t>
      </w:r>
    </w:p>
    <w:p w14:paraId="3B51636D" w14:textId="77777777" w:rsidR="00E50E3E" w:rsidRDefault="00000000" w:rsidP="00821FA6">
      <w:pPr>
        <w:spacing w:after="120" w:line="276" w:lineRule="auto"/>
        <w:ind w:firstLine="720"/>
        <w:jc w:val="both"/>
      </w:pPr>
      <w:r>
        <w:rPr>
          <w:color w:val="000000"/>
        </w:rPr>
        <w:t xml:space="preserve">Fourth, qualitative geopolitical analysis draws on strategic assessments from RAND Corporation, the International Crisis Group, and peer-reviewed international security journals to evaluate military response dynamics </w:t>
      </w:r>
      <w:r>
        <w:rPr>
          <w:color w:val="000000"/>
        </w:rPr>
        <w:lastRenderedPageBreak/>
        <w:t>and escalation risk. The integration of these four approaches allows us to move from raw volumetric disruption estimates to actionable policy insights.</w:t>
      </w:r>
    </w:p>
    <w:p w14:paraId="3C602BAF" w14:textId="77777777" w:rsidR="00E50E3E" w:rsidRDefault="00000000" w:rsidP="00821FA6">
      <w:pPr>
        <w:pStyle w:val="Heading1"/>
        <w:spacing w:line="276" w:lineRule="auto"/>
      </w:pPr>
      <w:r>
        <w:rPr>
          <w:caps/>
        </w:rPr>
        <w:t>V. Global Energy Market Impact</w:t>
      </w:r>
    </w:p>
    <w:p w14:paraId="50789F4E" w14:textId="77777777" w:rsidR="00E50E3E" w:rsidRDefault="00000000" w:rsidP="00821FA6">
      <w:pPr>
        <w:spacing w:after="120" w:line="276" w:lineRule="auto"/>
        <w:ind w:firstLine="720"/>
        <w:jc w:val="both"/>
      </w:pPr>
      <w:r>
        <w:rPr>
          <w:color w:val="000000"/>
        </w:rPr>
        <w:t>A blockade of the Strait of Hormuz would constitute the largest single supply disruption in the history of petroleum markets. For context: the 1973 Arab Oil Embargo removed approximately 5 mb/d from global supply over five months, triggering a 400-percent increase in crude prices. The 1979 Iranian Revolution removed roughly 5.5 mb/d. A Hormuz closure of even partial scope—say, a reduction of 10–12 mb/d representing approximately half of normal throughput due to rerouting and tanker standoffs—would dwarf these precedents in sheer volumetric terms.</w:t>
      </w:r>
    </w:p>
    <w:p w14:paraId="3E845F28" w14:textId="77777777" w:rsidR="00E50E3E" w:rsidRDefault="00000000" w:rsidP="00821FA6">
      <w:pPr>
        <w:spacing w:after="120" w:line="276" w:lineRule="auto"/>
        <w:ind w:firstLine="720"/>
        <w:jc w:val="both"/>
      </w:pPr>
      <w:r>
        <w:rPr>
          <w:color w:val="000000"/>
        </w:rPr>
        <w:t xml:space="preserve">Oil price dynamics would respond with unusual speed. Unlike most commodity markets, crude oil is characterized by near-zero short-run supply and demand elasticity, meaning price must absorb virtually </w:t>
      </w:r>
      <w:proofErr w:type="gramStart"/>
      <w:r>
        <w:rPr>
          <w:color w:val="000000"/>
        </w:rPr>
        <w:t>all of</w:t>
      </w:r>
      <w:proofErr w:type="gramEnd"/>
      <w:r>
        <w:rPr>
          <w:color w:val="000000"/>
        </w:rPr>
        <w:t xml:space="preserve"> any quantity shock. The futures market would likely gap upward upon credible confirmation of a blockade, with spot Brent crude potentially exceeding USD 120–130/barrel within 72 hours. If the disruption extended beyond two weeks—the approximate depletion timeline for typical commercially held refined product stocks in major importing nations—price pressure would intensify further, with estimates from comparable historical disruptions suggesting a range of USD 150–200/barrel for a complete, sustained closure.</w:t>
      </w:r>
    </w:p>
    <w:p w14:paraId="774369FA" w14:textId="77777777" w:rsidR="00E50E3E" w:rsidRDefault="00000000" w:rsidP="00821FA6">
      <w:pPr>
        <w:spacing w:after="120" w:line="276" w:lineRule="auto"/>
        <w:ind w:firstLine="720"/>
        <w:jc w:val="both"/>
      </w:pPr>
      <w:r>
        <w:rPr>
          <w:color w:val="000000"/>
        </w:rPr>
        <w:t>LNG trade would face distinct but equally severe disruption. Qatar alone accounts for approximately 20 percent of global LNG trade; South Korea, Japan, and India collectively absorb roughly 45 percent of Qatari LNG exports. A closure would force these buyers into the spot LNG market simultaneously, driving Asian spot LNG prices from their current range of USD 8–12/MMBtu to potentially USD 30–50/MMBtu—levels that would necessitate fuel-switching, industrial curtailment, and residential energy rationing in some importing nations.</w:t>
      </w:r>
    </w:p>
    <w:p w14:paraId="7045A3F6" w14:textId="77777777" w:rsidR="00E50E3E" w:rsidRDefault="00000000" w:rsidP="00821FA6">
      <w:pPr>
        <w:spacing w:after="120" w:line="276" w:lineRule="auto"/>
        <w:ind w:firstLine="720"/>
        <w:jc w:val="both"/>
      </w:pPr>
      <w:r>
        <w:rPr>
          <w:color w:val="000000"/>
        </w:rPr>
        <w:t>Tanker shipping would be immediately affected. The Hormuz transit accounts for the majority of Very Large Crude Carrier (VLCC) routes from the Persian Gulf to Asia. Rerouting around the Cape of Good Hope would add 6,000–8,000 nautical miles to voyages from the Gulf to East Asia, increasing voyage times by 10–15 days and freight costs by an estimated 300–400 percent under emergency conditions. Insurance markets (war risk premiums) would simultaneously spike, further inflating the effective landed cost of any oil that did move.</w:t>
      </w:r>
    </w:p>
    <w:p w14:paraId="3AB01638" w14:textId="77777777" w:rsidR="00E50E3E" w:rsidRDefault="00E50E3E" w:rsidP="00821FA6">
      <w:pPr>
        <w:spacing w:after="80" w:line="276" w:lineRule="auto"/>
      </w:pPr>
    </w:p>
    <w:p w14:paraId="105133F2" w14:textId="2C62DEFB" w:rsidR="00E50E3E" w:rsidRPr="000828E3" w:rsidRDefault="000828E3" w:rsidP="000828E3">
      <w:pPr>
        <w:spacing w:before="120" w:after="60" w:line="276" w:lineRule="auto"/>
        <w:rPr>
          <w:b/>
          <w:bCs/>
          <w:sz w:val="18"/>
          <w:szCs w:val="18"/>
        </w:rPr>
      </w:pPr>
      <w:r>
        <w:rPr>
          <w:b/>
          <w:bCs/>
          <w:sz w:val="18"/>
          <w:szCs w:val="18"/>
        </w:rPr>
        <w:t xml:space="preserve">        </w:t>
      </w:r>
      <w:r w:rsidRPr="000828E3">
        <w:rPr>
          <w:b/>
          <w:bCs/>
          <w:sz w:val="18"/>
          <w:szCs w:val="18"/>
        </w:rPr>
        <w:t>TABLE I</w:t>
      </w:r>
      <w:r>
        <w:rPr>
          <w:b/>
          <w:bCs/>
          <w:sz w:val="18"/>
          <w:szCs w:val="18"/>
        </w:rPr>
        <w:t xml:space="preserve">: </w:t>
      </w:r>
      <w:r w:rsidRPr="000828E3">
        <w:rPr>
          <w:b/>
          <w:bCs/>
          <w:sz w:val="18"/>
          <w:szCs w:val="18"/>
        </w:rPr>
        <w:t>TOP COUNTRIES DEPENDENT ON OIL TRANSITING THE STRAIT OF HORMUZ (2023)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800"/>
        <w:gridCol w:w="1980"/>
        <w:gridCol w:w="1980"/>
      </w:tblGrid>
      <w:tr w:rsidR="00E50E3E" w14:paraId="1A289EDA"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64276FA" w14:textId="77777777" w:rsidR="00E50E3E" w:rsidRDefault="00000000" w:rsidP="00821FA6">
            <w:pPr>
              <w:spacing w:line="276" w:lineRule="auto"/>
              <w:jc w:val="center"/>
            </w:pPr>
            <w:r>
              <w:rPr>
                <w:b/>
                <w:bCs/>
                <w:color w:val="FFFFFF"/>
                <w:sz w:val="18"/>
                <w:szCs w:val="18"/>
              </w:rPr>
              <w:t>Country</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EDB00CE" w14:textId="77777777" w:rsidR="00E50E3E" w:rsidRDefault="00000000" w:rsidP="00821FA6">
            <w:pPr>
              <w:spacing w:line="276" w:lineRule="auto"/>
              <w:jc w:val="center"/>
            </w:pPr>
            <w:r>
              <w:rPr>
                <w:b/>
                <w:bCs/>
                <w:color w:val="FFFFFF"/>
                <w:sz w:val="18"/>
                <w:szCs w:val="18"/>
              </w:rPr>
              <w:t>% Imports via Hormuz</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02BAAA38" w14:textId="77777777" w:rsidR="00E50E3E" w:rsidRDefault="00000000" w:rsidP="00821FA6">
            <w:pPr>
              <w:spacing w:line="276" w:lineRule="auto"/>
              <w:jc w:val="center"/>
            </w:pPr>
            <w:r>
              <w:rPr>
                <w:b/>
                <w:bCs/>
                <w:color w:val="FFFFFF"/>
                <w:sz w:val="18"/>
                <w:szCs w:val="18"/>
              </w:rPr>
              <w:t>Daily Volume (mb/d)</w:t>
            </w:r>
          </w:p>
        </w:tc>
        <w:tc>
          <w:tcPr>
            <w:tcW w:w="19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E20CF7B" w14:textId="77777777" w:rsidR="00E50E3E" w:rsidRDefault="00000000" w:rsidP="00821FA6">
            <w:pPr>
              <w:spacing w:line="276" w:lineRule="auto"/>
              <w:jc w:val="center"/>
            </w:pPr>
            <w:r>
              <w:rPr>
                <w:b/>
                <w:bCs/>
                <w:color w:val="FFFFFF"/>
                <w:sz w:val="18"/>
                <w:szCs w:val="18"/>
              </w:rPr>
              <w:t>Primary Suppliers</w:t>
            </w:r>
          </w:p>
        </w:tc>
        <w:tc>
          <w:tcPr>
            <w:tcW w:w="19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BC470CF" w14:textId="77777777" w:rsidR="00E50E3E" w:rsidRDefault="00000000" w:rsidP="00821FA6">
            <w:pPr>
              <w:spacing w:line="276" w:lineRule="auto"/>
              <w:jc w:val="center"/>
            </w:pPr>
            <w:r>
              <w:rPr>
                <w:b/>
                <w:bCs/>
                <w:color w:val="FFFFFF"/>
                <w:sz w:val="18"/>
                <w:szCs w:val="18"/>
              </w:rPr>
              <w:t>Vulnerability Index</w:t>
            </w:r>
          </w:p>
        </w:tc>
      </w:tr>
      <w:tr w:rsidR="00E50E3E" w14:paraId="684D80CF"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362C905" w14:textId="77777777" w:rsidR="00E50E3E" w:rsidRDefault="00000000" w:rsidP="00821FA6">
            <w:pPr>
              <w:spacing w:line="276" w:lineRule="auto"/>
              <w:jc w:val="center"/>
            </w:pPr>
            <w:r>
              <w:rPr>
                <w:color w:val="000000"/>
                <w:sz w:val="18"/>
                <w:szCs w:val="18"/>
              </w:rPr>
              <w:t>China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C684A8" w14:textId="77777777" w:rsidR="00E50E3E" w:rsidRDefault="00000000" w:rsidP="00821FA6">
            <w:pPr>
              <w:spacing w:line="276" w:lineRule="auto"/>
              <w:jc w:val="center"/>
            </w:pPr>
            <w:r>
              <w:rPr>
                <w:color w:val="000000"/>
                <w:sz w:val="18"/>
                <w:szCs w:val="18"/>
              </w:rPr>
              <w:t>~76%</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DDBF195" w14:textId="77777777" w:rsidR="00E50E3E" w:rsidRDefault="00000000" w:rsidP="00821FA6">
            <w:pPr>
              <w:spacing w:line="276" w:lineRule="auto"/>
              <w:jc w:val="center"/>
            </w:pPr>
            <w:r>
              <w:rPr>
                <w:color w:val="000000"/>
                <w:sz w:val="18"/>
                <w:szCs w:val="18"/>
              </w:rPr>
              <w:t>~9.5</w:t>
            </w:r>
          </w:p>
        </w:tc>
        <w:tc>
          <w:tcPr>
            <w:tcW w:w="1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9CF9EB9" w14:textId="77777777" w:rsidR="00E50E3E" w:rsidRDefault="00000000" w:rsidP="00821FA6">
            <w:pPr>
              <w:spacing w:line="276" w:lineRule="auto"/>
              <w:jc w:val="center"/>
            </w:pPr>
            <w:r>
              <w:rPr>
                <w:color w:val="000000"/>
                <w:sz w:val="18"/>
                <w:szCs w:val="18"/>
              </w:rPr>
              <w:t>Saudi, Iraq, UAE, Iran</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D08DE85" w14:textId="77777777" w:rsidR="00E50E3E" w:rsidRDefault="00000000" w:rsidP="00821FA6">
            <w:pPr>
              <w:spacing w:line="276" w:lineRule="auto"/>
              <w:jc w:val="center"/>
            </w:pPr>
            <w:r>
              <w:rPr>
                <w:color w:val="000000"/>
                <w:sz w:val="18"/>
                <w:szCs w:val="18"/>
              </w:rPr>
              <w:t>Very High</w:t>
            </w:r>
          </w:p>
        </w:tc>
      </w:tr>
      <w:tr w:rsidR="00E50E3E" w14:paraId="4BA99BB2"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0538601" w14:textId="77777777" w:rsidR="00E50E3E" w:rsidRDefault="00000000" w:rsidP="00821FA6">
            <w:pPr>
              <w:spacing w:line="276" w:lineRule="auto"/>
              <w:jc w:val="center"/>
            </w:pPr>
            <w:r>
              <w:rPr>
                <w:color w:val="000000"/>
                <w:sz w:val="18"/>
                <w:szCs w:val="18"/>
              </w:rPr>
              <w:t>India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F48910F" w14:textId="77777777" w:rsidR="00E50E3E" w:rsidRDefault="00000000" w:rsidP="00821FA6">
            <w:pPr>
              <w:spacing w:line="276" w:lineRule="auto"/>
              <w:jc w:val="center"/>
            </w:pPr>
            <w:r>
              <w:rPr>
                <w:color w:val="000000"/>
                <w:sz w:val="18"/>
                <w:szCs w:val="18"/>
              </w:rPr>
              <w:t>~70%</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DF1A4DF" w14:textId="77777777" w:rsidR="00E50E3E" w:rsidRDefault="00000000" w:rsidP="00821FA6">
            <w:pPr>
              <w:spacing w:line="276" w:lineRule="auto"/>
              <w:jc w:val="center"/>
            </w:pPr>
            <w:r>
              <w:rPr>
                <w:color w:val="000000"/>
                <w:sz w:val="18"/>
                <w:szCs w:val="18"/>
              </w:rPr>
              <w:t>~3.8</w:t>
            </w:r>
          </w:p>
        </w:tc>
        <w:tc>
          <w:tcPr>
            <w:tcW w:w="1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A4EDE9E" w14:textId="77777777" w:rsidR="00E50E3E" w:rsidRDefault="00000000" w:rsidP="00821FA6">
            <w:pPr>
              <w:spacing w:line="276" w:lineRule="auto"/>
              <w:jc w:val="center"/>
            </w:pPr>
            <w:r>
              <w:rPr>
                <w:color w:val="000000"/>
                <w:sz w:val="18"/>
                <w:szCs w:val="18"/>
              </w:rPr>
              <w:t>Iraq, Saudi, UAE</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EBF4AE9" w14:textId="77777777" w:rsidR="00E50E3E" w:rsidRDefault="00000000" w:rsidP="00821FA6">
            <w:pPr>
              <w:spacing w:line="276" w:lineRule="auto"/>
              <w:jc w:val="center"/>
            </w:pPr>
            <w:r>
              <w:rPr>
                <w:color w:val="000000"/>
                <w:sz w:val="18"/>
                <w:szCs w:val="18"/>
              </w:rPr>
              <w:t>High</w:t>
            </w:r>
          </w:p>
        </w:tc>
      </w:tr>
      <w:tr w:rsidR="00E50E3E" w14:paraId="7968F41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4C6C757" w14:textId="77777777" w:rsidR="00E50E3E" w:rsidRDefault="00000000" w:rsidP="00821FA6">
            <w:pPr>
              <w:spacing w:line="276" w:lineRule="auto"/>
              <w:jc w:val="center"/>
            </w:pPr>
            <w:r>
              <w:rPr>
                <w:color w:val="000000"/>
                <w:sz w:val="18"/>
                <w:szCs w:val="18"/>
              </w:rPr>
              <w:t>Japan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8DA3FFB" w14:textId="77777777" w:rsidR="00E50E3E" w:rsidRDefault="00000000" w:rsidP="00821FA6">
            <w:pPr>
              <w:spacing w:line="276" w:lineRule="auto"/>
              <w:jc w:val="center"/>
            </w:pPr>
            <w:r>
              <w:rPr>
                <w:color w:val="000000"/>
                <w:sz w:val="18"/>
                <w:szCs w:val="18"/>
              </w:rPr>
              <w:t>~88%</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7D53ED4" w14:textId="77777777" w:rsidR="00E50E3E" w:rsidRDefault="00000000" w:rsidP="00821FA6">
            <w:pPr>
              <w:spacing w:line="276" w:lineRule="auto"/>
              <w:jc w:val="center"/>
            </w:pPr>
            <w:r>
              <w:rPr>
                <w:color w:val="000000"/>
                <w:sz w:val="18"/>
                <w:szCs w:val="18"/>
              </w:rPr>
              <w:t>~2.9</w:t>
            </w:r>
          </w:p>
        </w:tc>
        <w:tc>
          <w:tcPr>
            <w:tcW w:w="1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AD7F8CD" w14:textId="77777777" w:rsidR="00E50E3E" w:rsidRDefault="00000000" w:rsidP="00821FA6">
            <w:pPr>
              <w:spacing w:line="276" w:lineRule="auto"/>
              <w:jc w:val="center"/>
            </w:pPr>
            <w:r>
              <w:rPr>
                <w:color w:val="000000"/>
                <w:sz w:val="18"/>
                <w:szCs w:val="18"/>
              </w:rPr>
              <w:t>Saudi, UAE, Kuwait</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A708346" w14:textId="77777777" w:rsidR="00E50E3E" w:rsidRDefault="00000000" w:rsidP="00821FA6">
            <w:pPr>
              <w:spacing w:line="276" w:lineRule="auto"/>
              <w:jc w:val="center"/>
            </w:pPr>
            <w:r>
              <w:rPr>
                <w:color w:val="000000"/>
                <w:sz w:val="18"/>
                <w:szCs w:val="18"/>
              </w:rPr>
              <w:t>Very High</w:t>
            </w:r>
          </w:p>
        </w:tc>
      </w:tr>
      <w:tr w:rsidR="00E50E3E" w14:paraId="0ED5E909"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A69D4A7" w14:textId="77777777" w:rsidR="00E50E3E" w:rsidRDefault="00000000" w:rsidP="00821FA6">
            <w:pPr>
              <w:spacing w:line="276" w:lineRule="auto"/>
              <w:jc w:val="center"/>
            </w:pPr>
            <w:r>
              <w:rPr>
                <w:color w:val="000000"/>
                <w:sz w:val="18"/>
                <w:szCs w:val="18"/>
              </w:rPr>
              <w:t>South Korea</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0FD585" w14:textId="77777777" w:rsidR="00E50E3E" w:rsidRDefault="00000000" w:rsidP="00821FA6">
            <w:pPr>
              <w:spacing w:line="276" w:lineRule="auto"/>
              <w:jc w:val="center"/>
            </w:pPr>
            <w:r>
              <w:rPr>
                <w:color w:val="000000"/>
                <w:sz w:val="18"/>
                <w:szCs w:val="18"/>
              </w:rPr>
              <w:t>~72%</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F7F3AC3" w14:textId="77777777" w:rsidR="00E50E3E" w:rsidRDefault="00000000" w:rsidP="00821FA6">
            <w:pPr>
              <w:spacing w:line="276" w:lineRule="auto"/>
              <w:jc w:val="center"/>
            </w:pPr>
            <w:r>
              <w:rPr>
                <w:color w:val="000000"/>
                <w:sz w:val="18"/>
                <w:szCs w:val="18"/>
              </w:rPr>
              <w:t>~2.2</w:t>
            </w:r>
          </w:p>
        </w:tc>
        <w:tc>
          <w:tcPr>
            <w:tcW w:w="1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EFE36CF" w14:textId="77777777" w:rsidR="00E50E3E" w:rsidRDefault="00000000" w:rsidP="00821FA6">
            <w:pPr>
              <w:spacing w:line="276" w:lineRule="auto"/>
              <w:jc w:val="center"/>
            </w:pPr>
            <w:r>
              <w:rPr>
                <w:color w:val="000000"/>
                <w:sz w:val="18"/>
                <w:szCs w:val="18"/>
              </w:rPr>
              <w:t>Saudi, Iraq, Kuwait</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9899996" w14:textId="77777777" w:rsidR="00E50E3E" w:rsidRDefault="00000000" w:rsidP="00821FA6">
            <w:pPr>
              <w:spacing w:line="276" w:lineRule="auto"/>
              <w:jc w:val="center"/>
            </w:pPr>
            <w:r>
              <w:rPr>
                <w:color w:val="000000"/>
                <w:sz w:val="18"/>
                <w:szCs w:val="18"/>
              </w:rPr>
              <w:t>High</w:t>
            </w:r>
          </w:p>
        </w:tc>
      </w:tr>
      <w:tr w:rsidR="00E50E3E" w14:paraId="7524C0CC"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F59B412" w14:textId="77777777" w:rsidR="00E50E3E" w:rsidRDefault="00000000" w:rsidP="00821FA6">
            <w:pPr>
              <w:spacing w:line="276" w:lineRule="auto"/>
              <w:jc w:val="center"/>
            </w:pPr>
            <w:r>
              <w:rPr>
                <w:color w:val="000000"/>
                <w:sz w:val="18"/>
                <w:szCs w:val="18"/>
              </w:rPr>
              <w:t>European Union</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F5DDA0C" w14:textId="77777777" w:rsidR="00E50E3E" w:rsidRDefault="00000000" w:rsidP="00821FA6">
            <w:pPr>
              <w:spacing w:line="276" w:lineRule="auto"/>
              <w:jc w:val="center"/>
            </w:pPr>
            <w:r>
              <w:rPr>
                <w:color w:val="000000"/>
                <w:sz w:val="18"/>
                <w:szCs w:val="18"/>
              </w:rPr>
              <w:t>~18%</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E82F172" w14:textId="77777777" w:rsidR="00E50E3E" w:rsidRDefault="00000000" w:rsidP="00821FA6">
            <w:pPr>
              <w:spacing w:line="276" w:lineRule="auto"/>
              <w:jc w:val="center"/>
            </w:pPr>
            <w:r>
              <w:rPr>
                <w:color w:val="000000"/>
                <w:sz w:val="18"/>
                <w:szCs w:val="18"/>
              </w:rPr>
              <w:t>~1.6</w:t>
            </w:r>
          </w:p>
        </w:tc>
        <w:tc>
          <w:tcPr>
            <w:tcW w:w="1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75A29F" w14:textId="77777777" w:rsidR="00E50E3E" w:rsidRDefault="00000000" w:rsidP="00821FA6">
            <w:pPr>
              <w:spacing w:line="276" w:lineRule="auto"/>
              <w:jc w:val="center"/>
            </w:pPr>
            <w:r>
              <w:rPr>
                <w:color w:val="000000"/>
                <w:sz w:val="18"/>
                <w:szCs w:val="18"/>
              </w:rPr>
              <w:t>Iraq, Saudi, UAE</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BEC5925" w14:textId="77777777" w:rsidR="00E50E3E" w:rsidRDefault="00000000" w:rsidP="00821FA6">
            <w:pPr>
              <w:spacing w:line="276" w:lineRule="auto"/>
              <w:jc w:val="center"/>
            </w:pPr>
            <w:r>
              <w:rPr>
                <w:color w:val="000000"/>
                <w:sz w:val="18"/>
                <w:szCs w:val="18"/>
              </w:rPr>
              <w:t>Moderate</w:t>
            </w:r>
          </w:p>
        </w:tc>
      </w:tr>
      <w:tr w:rsidR="00E50E3E" w14:paraId="4198B223" w14:textId="77777777">
        <w:tblPrEx>
          <w:tblCellMar>
            <w:top w:w="0" w:type="dxa"/>
            <w:bottom w:w="0" w:type="dxa"/>
          </w:tblCellMar>
        </w:tblPrEx>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E054E0B" w14:textId="77777777" w:rsidR="00E50E3E" w:rsidRDefault="00000000" w:rsidP="00821FA6">
            <w:pPr>
              <w:spacing w:line="276" w:lineRule="auto"/>
              <w:jc w:val="center"/>
            </w:pPr>
            <w:r>
              <w:rPr>
                <w:color w:val="000000"/>
                <w:sz w:val="18"/>
                <w:szCs w:val="18"/>
              </w:rPr>
              <w:t>United States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C8FC041" w14:textId="77777777" w:rsidR="00E50E3E" w:rsidRDefault="00000000" w:rsidP="00821FA6">
            <w:pPr>
              <w:spacing w:line="276" w:lineRule="auto"/>
              <w:jc w:val="center"/>
            </w:pPr>
            <w:r>
              <w:rPr>
                <w:color w:val="000000"/>
                <w:sz w:val="18"/>
                <w:szCs w:val="18"/>
              </w:rPr>
              <w:t>~8%</w:t>
            </w:r>
          </w:p>
        </w:tc>
        <w:tc>
          <w:tcPr>
            <w:tcW w:w="18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1CF69A9" w14:textId="77777777" w:rsidR="00E50E3E" w:rsidRDefault="00000000" w:rsidP="00821FA6">
            <w:pPr>
              <w:spacing w:line="276" w:lineRule="auto"/>
              <w:jc w:val="center"/>
            </w:pPr>
            <w:r>
              <w:rPr>
                <w:color w:val="000000"/>
                <w:sz w:val="18"/>
                <w:szCs w:val="18"/>
              </w:rPr>
              <w:t>~0.9</w:t>
            </w:r>
          </w:p>
        </w:tc>
        <w:tc>
          <w:tcPr>
            <w:tcW w:w="198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D154F63" w14:textId="77777777" w:rsidR="00E50E3E" w:rsidRDefault="00000000" w:rsidP="00821FA6">
            <w:pPr>
              <w:spacing w:line="276" w:lineRule="auto"/>
              <w:jc w:val="center"/>
            </w:pPr>
            <w:r>
              <w:rPr>
                <w:color w:val="000000"/>
                <w:sz w:val="18"/>
                <w:szCs w:val="18"/>
              </w:rPr>
              <w:t>Saudi, Kuwait, Iraq</w:t>
            </w:r>
          </w:p>
        </w:tc>
        <w:tc>
          <w:tcPr>
            <w:tcW w:w="19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5935E62" w14:textId="77777777" w:rsidR="00E50E3E" w:rsidRDefault="00000000" w:rsidP="00821FA6">
            <w:pPr>
              <w:spacing w:line="276" w:lineRule="auto"/>
              <w:jc w:val="center"/>
            </w:pPr>
            <w:r>
              <w:rPr>
                <w:color w:val="000000"/>
                <w:sz w:val="18"/>
                <w:szCs w:val="18"/>
              </w:rPr>
              <w:t>Low–Moderate</w:t>
            </w:r>
          </w:p>
        </w:tc>
      </w:tr>
    </w:tbl>
    <w:p w14:paraId="19F6CF12" w14:textId="77777777" w:rsidR="00E50E3E" w:rsidRDefault="00E50E3E" w:rsidP="00821FA6">
      <w:pPr>
        <w:spacing w:after="80" w:line="276" w:lineRule="auto"/>
      </w:pPr>
    </w:p>
    <w:p w14:paraId="65FA5A06" w14:textId="77777777" w:rsidR="000828E3" w:rsidRDefault="000828E3" w:rsidP="00821FA6">
      <w:pPr>
        <w:pStyle w:val="Heading1"/>
        <w:spacing w:line="276" w:lineRule="auto"/>
        <w:rPr>
          <w:caps/>
        </w:rPr>
      </w:pPr>
    </w:p>
    <w:p w14:paraId="09325197" w14:textId="77777777" w:rsidR="000828E3" w:rsidRDefault="000828E3" w:rsidP="00821FA6">
      <w:pPr>
        <w:pStyle w:val="Heading1"/>
        <w:spacing w:line="276" w:lineRule="auto"/>
        <w:rPr>
          <w:caps/>
        </w:rPr>
      </w:pPr>
    </w:p>
    <w:p w14:paraId="2C729DA9" w14:textId="505C8A4B" w:rsidR="00E50E3E" w:rsidRDefault="00000000" w:rsidP="00821FA6">
      <w:pPr>
        <w:pStyle w:val="Heading1"/>
        <w:spacing w:line="276" w:lineRule="auto"/>
      </w:pPr>
      <w:r>
        <w:rPr>
          <w:caps/>
        </w:rPr>
        <w:lastRenderedPageBreak/>
        <w:t>VI. Economic Impact Analysis</w:t>
      </w:r>
    </w:p>
    <w:p w14:paraId="4417381B" w14:textId="77777777" w:rsidR="00E50E3E" w:rsidRDefault="00000000" w:rsidP="00821FA6">
      <w:pPr>
        <w:spacing w:after="120" w:line="276" w:lineRule="auto"/>
        <w:ind w:firstLine="720"/>
        <w:jc w:val="both"/>
      </w:pPr>
      <w:r>
        <w:rPr>
          <w:color w:val="000000"/>
        </w:rPr>
        <w:t>The macroeconomic transmission of an oil supply shock operates through several distinct channels. The most direct is the terms-of-trade effect: oil-importing nations must transfer additional real income to oil exporters (or, during a blockade, simply absorb the cost without obtaining the oil), depressing domestic consumption and investment. Secondary transmission occurs through inflation: energy prices permeate virtually every production process, raising input costs for manufacturing, agriculture, transport, and services, which in turn drives wage pressures and central bank responses. Tertiary effects include financial market volatility, currency depreciation in energy-importing emerging markets, and sovereign credit rating downgrades.</w:t>
      </w:r>
    </w:p>
    <w:p w14:paraId="49D04A3C" w14:textId="77777777" w:rsidR="00E50E3E" w:rsidRDefault="00000000" w:rsidP="00821FA6">
      <w:pPr>
        <w:spacing w:after="120" w:line="276" w:lineRule="auto"/>
        <w:ind w:firstLine="720"/>
        <w:jc w:val="both"/>
      </w:pPr>
      <w:r>
        <w:rPr>
          <w:color w:val="000000"/>
        </w:rPr>
        <w:t>The three scenarios below illustrate projected economic outcomes using the methodology described in Section IV. Oil price projections are grounded in historical supply-disruption analogues, adjusted for current market conditions including OPEC+ spare capacity (approximately 4–5 mb/d, largely concentrated in Saudi Arabia), strategic petroleum reserve (SPR) release capacity (approximately 4 mb/d combined from IEA member countries), and the inelastic short-run demand characteristic of current global consumption patterns.</w:t>
      </w:r>
    </w:p>
    <w:p w14:paraId="56BCC540" w14:textId="77777777" w:rsidR="00E50E3E" w:rsidRDefault="00E50E3E" w:rsidP="00821FA6">
      <w:pPr>
        <w:spacing w:after="80" w:line="276" w:lineRule="auto"/>
      </w:pPr>
    </w:p>
    <w:p w14:paraId="22E7FFD8" w14:textId="77777777" w:rsidR="00E50E3E" w:rsidRDefault="00000000" w:rsidP="00821FA6">
      <w:pPr>
        <w:spacing w:before="120" w:after="60" w:line="276" w:lineRule="auto"/>
        <w:jc w:val="center"/>
      </w:pPr>
      <w:r>
        <w:rPr>
          <w:b/>
          <w:bCs/>
          <w:sz w:val="18"/>
          <w:szCs w:val="18"/>
        </w:rPr>
        <w:t>Table II. Projected Economic Impact Scenarios of a Strait of Hormuz Blockade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40"/>
        <w:gridCol w:w="1680"/>
        <w:gridCol w:w="1800"/>
        <w:gridCol w:w="1560"/>
        <w:gridCol w:w="1320"/>
      </w:tblGrid>
      <w:tr w:rsidR="00E50E3E" w14:paraId="3E472E9A"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94EC1E8" w14:textId="77777777" w:rsidR="00E50E3E" w:rsidRDefault="00000000" w:rsidP="00821FA6">
            <w:pPr>
              <w:spacing w:line="276" w:lineRule="auto"/>
              <w:jc w:val="center"/>
            </w:pPr>
            <w:r>
              <w:rPr>
                <w:b/>
                <w:bCs/>
                <w:color w:val="FFFFFF"/>
                <w:sz w:val="18"/>
                <w:szCs w:val="18"/>
              </w:rPr>
              <w:t>Scenario</w:t>
            </w:r>
          </w:p>
        </w:tc>
        <w:tc>
          <w:tcPr>
            <w:tcW w:w="14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D71C337" w14:textId="77777777" w:rsidR="00E50E3E" w:rsidRDefault="00000000" w:rsidP="00821FA6">
            <w:pPr>
              <w:spacing w:line="276" w:lineRule="auto"/>
              <w:jc w:val="center"/>
            </w:pPr>
            <w:r>
              <w:rPr>
                <w:b/>
                <w:bCs/>
                <w:color w:val="FFFFFF"/>
                <w:sz w:val="18"/>
                <w:szCs w:val="18"/>
              </w:rPr>
              <w:t>Duration</w:t>
            </w:r>
          </w:p>
        </w:tc>
        <w:tc>
          <w:tcPr>
            <w:tcW w:w="1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305AD7F8" w14:textId="77777777" w:rsidR="00E50E3E" w:rsidRDefault="00000000" w:rsidP="00821FA6">
            <w:pPr>
              <w:spacing w:line="276" w:lineRule="auto"/>
              <w:jc w:val="center"/>
            </w:pPr>
            <w:r>
              <w:rPr>
                <w:b/>
                <w:bCs/>
                <w:color w:val="FFFFFF"/>
                <w:sz w:val="18"/>
                <w:szCs w:val="18"/>
              </w:rPr>
              <w:t>Brent Crude (USD/</w:t>
            </w:r>
            <w:proofErr w:type="spellStart"/>
            <w:r>
              <w:rPr>
                <w:b/>
                <w:bCs/>
                <w:color w:val="FFFFFF"/>
                <w:sz w:val="18"/>
                <w:szCs w:val="18"/>
              </w:rPr>
              <w:t>bbl</w:t>
            </w:r>
            <w:proofErr w:type="spellEnd"/>
            <w:r>
              <w:rPr>
                <w:b/>
                <w:bCs/>
                <w:color w:val="FFFFFF"/>
                <w:sz w:val="18"/>
                <w:szCs w:val="18"/>
              </w:rPr>
              <w:t>)</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81C0768" w14:textId="77777777" w:rsidR="00E50E3E" w:rsidRDefault="00000000" w:rsidP="00821FA6">
            <w:pPr>
              <w:spacing w:line="276" w:lineRule="auto"/>
              <w:jc w:val="center"/>
            </w:pPr>
            <w:r>
              <w:rPr>
                <w:b/>
                <w:bCs/>
                <w:color w:val="FFFFFF"/>
                <w:sz w:val="18"/>
                <w:szCs w:val="18"/>
              </w:rPr>
              <w:t>Global GDP Impact</w:t>
            </w:r>
          </w:p>
        </w:tc>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5654F11A" w14:textId="77777777" w:rsidR="00E50E3E" w:rsidRDefault="00000000" w:rsidP="00821FA6">
            <w:pPr>
              <w:spacing w:line="276" w:lineRule="auto"/>
              <w:jc w:val="center"/>
            </w:pPr>
            <w:r>
              <w:rPr>
                <w:b/>
                <w:bCs/>
                <w:color w:val="FFFFFF"/>
                <w:sz w:val="18"/>
                <w:szCs w:val="18"/>
              </w:rPr>
              <w:t>Inflation Effect</w:t>
            </w:r>
          </w:p>
        </w:tc>
        <w:tc>
          <w:tcPr>
            <w:tcW w:w="132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3B267DC" w14:textId="77777777" w:rsidR="00E50E3E" w:rsidRDefault="00000000" w:rsidP="00821FA6">
            <w:pPr>
              <w:spacing w:line="276" w:lineRule="auto"/>
              <w:jc w:val="center"/>
            </w:pPr>
            <w:r>
              <w:rPr>
                <w:b/>
                <w:bCs/>
                <w:color w:val="FFFFFF"/>
                <w:sz w:val="18"/>
                <w:szCs w:val="18"/>
              </w:rPr>
              <w:t>Recession Risk</w:t>
            </w:r>
          </w:p>
        </w:tc>
      </w:tr>
      <w:tr w:rsidR="00E50E3E" w14:paraId="00055F97"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BD38EF4" w14:textId="77777777" w:rsidR="00E50E3E" w:rsidRDefault="00000000" w:rsidP="00821FA6">
            <w:pPr>
              <w:spacing w:line="276" w:lineRule="auto"/>
              <w:jc w:val="center"/>
            </w:pPr>
            <w:r>
              <w:rPr>
                <w:color w:val="000000"/>
                <w:sz w:val="18"/>
                <w:szCs w:val="18"/>
              </w:rPr>
              <w:t>1 – Temporary</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E200BA6" w14:textId="77777777" w:rsidR="00E50E3E" w:rsidRDefault="00000000" w:rsidP="00821FA6">
            <w:pPr>
              <w:spacing w:line="276" w:lineRule="auto"/>
              <w:jc w:val="center"/>
            </w:pPr>
            <w:r>
              <w:rPr>
                <w:color w:val="000000"/>
                <w:sz w:val="18"/>
                <w:szCs w:val="18"/>
              </w:rPr>
              <w:t>1 week</w:t>
            </w:r>
          </w:p>
        </w:tc>
        <w:tc>
          <w:tcPr>
            <w:tcW w:w="1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E6B8D15" w14:textId="77777777" w:rsidR="00E50E3E" w:rsidRDefault="00000000" w:rsidP="00821FA6">
            <w:pPr>
              <w:spacing w:line="276" w:lineRule="auto"/>
              <w:jc w:val="center"/>
            </w:pPr>
            <w:r>
              <w:rPr>
                <w:color w:val="000000"/>
                <w:sz w:val="18"/>
                <w:szCs w:val="18"/>
              </w:rPr>
              <w:t>USD 110–130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F105E27" w14:textId="77777777" w:rsidR="00E50E3E" w:rsidRDefault="00000000" w:rsidP="00821FA6">
            <w:pPr>
              <w:spacing w:line="276" w:lineRule="auto"/>
              <w:jc w:val="center"/>
            </w:pPr>
            <w:r>
              <w:rPr>
                <w:color w:val="000000"/>
                <w:sz w:val="18"/>
                <w:szCs w:val="18"/>
              </w:rPr>
              <w:t>-0.3% to -0.5%</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1F9045E" w14:textId="77777777" w:rsidR="00E50E3E" w:rsidRDefault="00000000" w:rsidP="00821FA6">
            <w:pPr>
              <w:spacing w:line="276" w:lineRule="auto"/>
              <w:jc w:val="center"/>
            </w:pPr>
            <w:r>
              <w:rPr>
                <w:color w:val="000000"/>
                <w:sz w:val="18"/>
                <w:szCs w:val="18"/>
              </w:rPr>
              <w:t>+1.5–2.5%</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92949EA" w14:textId="77777777" w:rsidR="00E50E3E" w:rsidRDefault="00000000" w:rsidP="00821FA6">
            <w:pPr>
              <w:spacing w:line="276" w:lineRule="auto"/>
              <w:jc w:val="center"/>
            </w:pPr>
            <w:r>
              <w:rPr>
                <w:color w:val="000000"/>
                <w:sz w:val="18"/>
                <w:szCs w:val="18"/>
              </w:rPr>
              <w:t>Low</w:t>
            </w:r>
          </w:p>
        </w:tc>
      </w:tr>
      <w:tr w:rsidR="00E50E3E" w14:paraId="5F5E1FE6"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930E591" w14:textId="77777777" w:rsidR="00E50E3E" w:rsidRDefault="00000000" w:rsidP="00821FA6">
            <w:pPr>
              <w:spacing w:line="276" w:lineRule="auto"/>
              <w:jc w:val="center"/>
            </w:pPr>
            <w:r>
              <w:rPr>
                <w:color w:val="000000"/>
                <w:sz w:val="18"/>
                <w:szCs w:val="18"/>
              </w:rPr>
              <w:t>2 – Medium</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3E3D0FC" w14:textId="77777777" w:rsidR="00E50E3E" w:rsidRDefault="00000000" w:rsidP="00821FA6">
            <w:pPr>
              <w:spacing w:line="276" w:lineRule="auto"/>
              <w:jc w:val="center"/>
            </w:pPr>
            <w:r>
              <w:rPr>
                <w:color w:val="000000"/>
                <w:sz w:val="18"/>
                <w:szCs w:val="18"/>
              </w:rPr>
              <w:t>1 month</w:t>
            </w:r>
          </w:p>
        </w:tc>
        <w:tc>
          <w:tcPr>
            <w:tcW w:w="1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5D504B4" w14:textId="77777777" w:rsidR="00E50E3E" w:rsidRDefault="00000000" w:rsidP="00821FA6">
            <w:pPr>
              <w:spacing w:line="276" w:lineRule="auto"/>
              <w:jc w:val="center"/>
            </w:pPr>
            <w:r>
              <w:rPr>
                <w:color w:val="000000"/>
                <w:sz w:val="18"/>
                <w:szCs w:val="18"/>
              </w:rPr>
              <w:t>USD 140–165</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782226DC" w14:textId="77777777" w:rsidR="00E50E3E" w:rsidRDefault="00000000" w:rsidP="00821FA6">
            <w:pPr>
              <w:spacing w:line="276" w:lineRule="auto"/>
              <w:jc w:val="center"/>
            </w:pPr>
            <w:r>
              <w:rPr>
                <w:color w:val="000000"/>
                <w:sz w:val="18"/>
                <w:szCs w:val="18"/>
              </w:rPr>
              <w:t>-1.2% to -1.8%</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139ABF9" w14:textId="77777777" w:rsidR="00E50E3E" w:rsidRDefault="00000000" w:rsidP="00821FA6">
            <w:pPr>
              <w:spacing w:line="276" w:lineRule="auto"/>
              <w:jc w:val="center"/>
            </w:pPr>
            <w:r>
              <w:rPr>
                <w:color w:val="000000"/>
                <w:sz w:val="18"/>
                <w:szCs w:val="18"/>
              </w:rPr>
              <w:t>+3–5%</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C875895" w14:textId="77777777" w:rsidR="00E50E3E" w:rsidRDefault="00000000" w:rsidP="00821FA6">
            <w:pPr>
              <w:spacing w:line="276" w:lineRule="auto"/>
              <w:jc w:val="center"/>
            </w:pPr>
            <w:r>
              <w:rPr>
                <w:color w:val="000000"/>
                <w:sz w:val="18"/>
                <w:szCs w:val="18"/>
              </w:rPr>
              <w:t>Moderate</w:t>
            </w:r>
          </w:p>
        </w:tc>
      </w:tr>
      <w:tr w:rsidR="00E50E3E" w14:paraId="4DA50A21"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38FA973E" w14:textId="77777777" w:rsidR="00E50E3E" w:rsidRDefault="00000000" w:rsidP="00821FA6">
            <w:pPr>
              <w:spacing w:line="276" w:lineRule="auto"/>
              <w:jc w:val="center"/>
            </w:pPr>
            <w:r>
              <w:rPr>
                <w:color w:val="000000"/>
                <w:sz w:val="18"/>
                <w:szCs w:val="18"/>
              </w:rPr>
              <w:t>3 – Prolonged</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088F374" w14:textId="77777777" w:rsidR="00E50E3E" w:rsidRDefault="00000000" w:rsidP="00821FA6">
            <w:pPr>
              <w:spacing w:line="276" w:lineRule="auto"/>
              <w:jc w:val="center"/>
            </w:pPr>
            <w:r>
              <w:rPr>
                <w:color w:val="000000"/>
                <w:sz w:val="18"/>
                <w:szCs w:val="18"/>
              </w:rPr>
              <w:t>3+ months</w:t>
            </w:r>
          </w:p>
        </w:tc>
        <w:tc>
          <w:tcPr>
            <w:tcW w:w="1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0F05906" w14:textId="77777777" w:rsidR="00E50E3E" w:rsidRDefault="00000000" w:rsidP="00821FA6">
            <w:pPr>
              <w:spacing w:line="276" w:lineRule="auto"/>
              <w:jc w:val="center"/>
            </w:pPr>
            <w:r>
              <w:rPr>
                <w:color w:val="000000"/>
                <w:sz w:val="18"/>
                <w:szCs w:val="18"/>
              </w:rPr>
              <w:t>USD 180–200+</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F93F148" w14:textId="77777777" w:rsidR="00E50E3E" w:rsidRDefault="00000000" w:rsidP="00821FA6">
            <w:pPr>
              <w:spacing w:line="276" w:lineRule="auto"/>
              <w:jc w:val="center"/>
            </w:pPr>
            <w:r>
              <w:rPr>
                <w:color w:val="000000"/>
                <w:sz w:val="18"/>
                <w:szCs w:val="18"/>
              </w:rPr>
              <w:t>-3.5% to -5%</w:t>
            </w:r>
          </w:p>
        </w:tc>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99C1BAE" w14:textId="77777777" w:rsidR="00E50E3E" w:rsidRDefault="00000000" w:rsidP="00821FA6">
            <w:pPr>
              <w:spacing w:line="276" w:lineRule="auto"/>
              <w:jc w:val="center"/>
            </w:pPr>
            <w:r>
              <w:rPr>
                <w:color w:val="000000"/>
                <w:sz w:val="18"/>
                <w:szCs w:val="18"/>
              </w:rPr>
              <w:t>+7–12%</w:t>
            </w:r>
          </w:p>
        </w:tc>
        <w:tc>
          <w:tcPr>
            <w:tcW w:w="132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4DEAD23" w14:textId="77777777" w:rsidR="00E50E3E" w:rsidRDefault="00000000" w:rsidP="00821FA6">
            <w:pPr>
              <w:spacing w:line="276" w:lineRule="auto"/>
              <w:jc w:val="center"/>
            </w:pPr>
            <w:r>
              <w:rPr>
                <w:color w:val="000000"/>
                <w:sz w:val="18"/>
                <w:szCs w:val="18"/>
              </w:rPr>
              <w:t>High–Severe</w:t>
            </w:r>
          </w:p>
        </w:tc>
      </w:tr>
    </w:tbl>
    <w:p w14:paraId="4F827BD7" w14:textId="77777777" w:rsidR="00E50E3E" w:rsidRDefault="00E50E3E" w:rsidP="00821FA6">
      <w:pPr>
        <w:spacing w:after="80" w:line="276" w:lineRule="auto"/>
      </w:pPr>
    </w:p>
    <w:p w14:paraId="5BD5B781" w14:textId="77777777" w:rsidR="00E50E3E" w:rsidRDefault="00000000" w:rsidP="00821FA6">
      <w:pPr>
        <w:spacing w:after="120" w:line="276" w:lineRule="auto"/>
        <w:ind w:firstLine="720"/>
        <w:jc w:val="both"/>
      </w:pPr>
      <w:r>
        <w:rPr>
          <w:color w:val="000000"/>
        </w:rPr>
        <w:t>Under Scenario 1, the one-week disruption would likely be contained by coordinated IEA SPR releases and OPEC+ production increases. Oil would spike sharply but return partially as market participants priced in a diplomatic resolution. The effect would be comparable to the 2019 Abqaiq attacks (which removed 5.7 mb/d briefly), during which Brent rose by 15 percent before retreating within two weeks.</w:t>
      </w:r>
    </w:p>
    <w:p w14:paraId="30EDA5E2" w14:textId="77777777" w:rsidR="00E50E3E" w:rsidRDefault="00000000" w:rsidP="00821FA6">
      <w:pPr>
        <w:spacing w:after="120" w:line="276" w:lineRule="auto"/>
        <w:ind w:firstLine="720"/>
        <w:jc w:val="both"/>
      </w:pPr>
      <w:r>
        <w:rPr>
          <w:color w:val="000000"/>
        </w:rPr>
        <w:t>Scenario 2, a sustained one-month blockade, approaches the severity of the 1979 Iranian Revolution disruption. SPR drawdowns could not fully compensate for the volumetric loss; oil above USD 140/barrel would accelerate a demand-destruction dynamic while simultaneously imposing severe balance-of-payments pressures on Asian importers. Global GDP growth, currently projected at approximately 3.0–3.2 percent for 2024–2025, would likely contract by 1.5 percentage points, and inflation in energy-dependent economies could exceed 5 percent.</w:t>
      </w:r>
    </w:p>
    <w:p w14:paraId="280196A9" w14:textId="77777777" w:rsidR="00E50E3E" w:rsidRDefault="00000000" w:rsidP="00821FA6">
      <w:pPr>
        <w:spacing w:after="120" w:line="276" w:lineRule="auto"/>
        <w:ind w:firstLine="720"/>
        <w:jc w:val="both"/>
      </w:pPr>
      <w:r>
        <w:rPr>
          <w:color w:val="000000"/>
        </w:rPr>
        <w:t>Scenario 3, a three-month or longer conflict, falls into the category of systemic crisis. At USD 180–200/barrel, airline and shipping industries would face insolvency cascades, food prices would surge due to fertilizer and freight cost increases, and central banks would confront an impossible policy triad of inflation, recession, and currency instability simultaneously. Several emerging market economies—Pakistan, Sri Lanka, Bangladesh—which import close to 100 percent of their oil needs, could face fiscal collapse.</w:t>
      </w:r>
    </w:p>
    <w:p w14:paraId="5FFD96C7" w14:textId="77777777" w:rsidR="00E50E3E" w:rsidRDefault="00000000" w:rsidP="00821FA6">
      <w:pPr>
        <w:pStyle w:val="Heading1"/>
        <w:spacing w:line="276" w:lineRule="auto"/>
      </w:pPr>
      <w:r>
        <w:rPr>
          <w:caps/>
        </w:rPr>
        <w:t>VII. Impact on Asian Economies</w:t>
      </w:r>
    </w:p>
    <w:p w14:paraId="1E8E31C7" w14:textId="77777777" w:rsidR="00E50E3E" w:rsidRDefault="00000000" w:rsidP="00821FA6">
      <w:pPr>
        <w:spacing w:after="120" w:line="276" w:lineRule="auto"/>
        <w:ind w:firstLine="720"/>
        <w:jc w:val="both"/>
      </w:pPr>
      <w:r>
        <w:rPr>
          <w:color w:val="000000"/>
        </w:rPr>
        <w:t>No region faces greater structural exposure to a Hormuz closure than East and South Asia. Japan imports approximately 88 percent of its oil from the Middle East, virtually all of it transiting the strait; South Korea's figure stands at around 72 percent; India at 70 percent; and China—the world's largest crude importer—at roughly 76 percent of its seaborne crude imports. Together, these four nations account for approximately 20 mb/d of Hormuz-transiting oil, or nearly the entire daily volume.</w:t>
      </w:r>
    </w:p>
    <w:p w14:paraId="50185ED5" w14:textId="77777777" w:rsidR="00E50E3E" w:rsidRDefault="00000000" w:rsidP="00821FA6">
      <w:pPr>
        <w:spacing w:after="120" w:line="276" w:lineRule="auto"/>
        <w:ind w:firstLine="720"/>
        <w:jc w:val="both"/>
      </w:pPr>
      <w:r>
        <w:rPr>
          <w:color w:val="000000"/>
        </w:rPr>
        <w:lastRenderedPageBreak/>
        <w:t xml:space="preserve">For Japan, the vulnerabilities are acute and historically resonant. Japan has no domestic oil production of consequence; its entire industrial metabolism depends on imported energy. A prolonged blockade would quickly exhaust its statutory 90-day SPR, after which energy rationing analogous to the post-1973 experience would be unavoidable. The Bank of Japan would face severe </w:t>
      </w:r>
      <w:proofErr w:type="spellStart"/>
      <w:r>
        <w:rPr>
          <w:color w:val="000000"/>
        </w:rPr>
        <w:t>stagflationary</w:t>
      </w:r>
      <w:proofErr w:type="spellEnd"/>
      <w:r>
        <w:rPr>
          <w:color w:val="000000"/>
        </w:rPr>
        <w:t xml:space="preserve"> pressure precisely as Japan remains highly indebted and demographically constrained in its growth capacity.</w:t>
      </w:r>
    </w:p>
    <w:p w14:paraId="51FAEC6A" w14:textId="77777777" w:rsidR="00E50E3E" w:rsidRDefault="00000000" w:rsidP="00821FA6">
      <w:pPr>
        <w:spacing w:after="120" w:line="276" w:lineRule="auto"/>
        <w:ind w:firstLine="720"/>
        <w:jc w:val="both"/>
      </w:pPr>
      <w:r>
        <w:rPr>
          <w:color w:val="000000"/>
        </w:rPr>
        <w:t xml:space="preserve">China's exposure, while similarly large in absolute terms, is somewhat mitigated by its strategic diversification over the past decade. Beijing has invested heavily in pipeline infrastructure from Russia (the Power of Siberia), Central Asia (Kazakhstan), and Myanmar, which together could offset roughly 4–5 mb/d of Gulf imports. Nevertheless, China's refinery infrastructure is predominantly calibrated for the specific gravity and </w:t>
      </w:r>
      <w:proofErr w:type="spellStart"/>
      <w:r>
        <w:rPr>
          <w:color w:val="000000"/>
        </w:rPr>
        <w:t>sulfur</w:t>
      </w:r>
      <w:proofErr w:type="spellEnd"/>
      <w:r>
        <w:rPr>
          <w:color w:val="000000"/>
        </w:rPr>
        <w:t xml:space="preserve"> content of Middle Eastern crudes, meaning rapid substitution remains technically complex. Moreover, China's strategic petroleum reserves—estimated at 80–90 days of net imports—would provide a meaningful but finite buffer.</w:t>
      </w:r>
    </w:p>
    <w:p w14:paraId="224C92F3" w14:textId="77777777" w:rsidR="00E50E3E" w:rsidRDefault="00000000" w:rsidP="00821FA6">
      <w:pPr>
        <w:spacing w:after="120" w:line="276" w:lineRule="auto"/>
        <w:ind w:firstLine="720"/>
        <w:jc w:val="both"/>
      </w:pPr>
      <w:r>
        <w:rPr>
          <w:color w:val="000000"/>
        </w:rPr>
        <w:t>India would face a uniquely severe combination of pressures. Unlike China, India has limited pipeline access to alternative suppliers and a significantly smaller SPR (approximately 9.5 days of imports in government-controlled reserves, supplemented by some commercial stocks). The rupee, already sensitive to current account dynamics, would depreciate sharply, compounding inflation. India's government subsidizes fuel prices domestically, meaning a prolonged crisis would rapidly create unsustainable fiscal pressure.</w:t>
      </w:r>
    </w:p>
    <w:p w14:paraId="6EAE3217" w14:textId="77777777" w:rsidR="00E50E3E" w:rsidRDefault="00E50E3E" w:rsidP="00821FA6">
      <w:pPr>
        <w:spacing w:after="80" w:line="276" w:lineRule="auto"/>
      </w:pPr>
    </w:p>
    <w:p w14:paraId="2BC496F1" w14:textId="77777777" w:rsidR="00E50E3E" w:rsidRDefault="00000000" w:rsidP="00821FA6">
      <w:pPr>
        <w:spacing w:before="120" w:after="60" w:line="276" w:lineRule="auto"/>
        <w:jc w:val="center"/>
      </w:pPr>
      <w:r>
        <w:rPr>
          <w:b/>
          <w:bCs/>
          <w:sz w:val="18"/>
          <w:szCs w:val="18"/>
        </w:rPr>
        <w:t>Table III. Comparative Energy Dependency Profile: Major Asian Importers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60"/>
        <w:gridCol w:w="1440"/>
        <w:gridCol w:w="1440"/>
        <w:gridCol w:w="1440"/>
        <w:gridCol w:w="1680"/>
        <w:gridCol w:w="1800"/>
      </w:tblGrid>
      <w:tr w:rsidR="00E50E3E" w14:paraId="4E497CE7"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FDF5552" w14:textId="77777777" w:rsidR="00E50E3E" w:rsidRDefault="00000000" w:rsidP="00821FA6">
            <w:pPr>
              <w:spacing w:line="276" w:lineRule="auto"/>
              <w:jc w:val="center"/>
            </w:pPr>
            <w:r>
              <w:rPr>
                <w:b/>
                <w:bCs/>
                <w:color w:val="FFFFFF"/>
                <w:sz w:val="18"/>
                <w:szCs w:val="18"/>
              </w:rPr>
              <w:t>Country</w:t>
            </w:r>
          </w:p>
        </w:tc>
        <w:tc>
          <w:tcPr>
            <w:tcW w:w="14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25D9065A" w14:textId="77777777" w:rsidR="00E50E3E" w:rsidRDefault="00000000" w:rsidP="00821FA6">
            <w:pPr>
              <w:spacing w:line="276" w:lineRule="auto"/>
              <w:jc w:val="center"/>
            </w:pPr>
            <w:r>
              <w:rPr>
                <w:b/>
                <w:bCs/>
                <w:color w:val="FFFFFF"/>
                <w:sz w:val="18"/>
                <w:szCs w:val="18"/>
              </w:rPr>
              <w:t>Total Imports (mb/d)</w:t>
            </w:r>
          </w:p>
        </w:tc>
        <w:tc>
          <w:tcPr>
            <w:tcW w:w="14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11D58330" w14:textId="77777777" w:rsidR="00E50E3E" w:rsidRDefault="00000000" w:rsidP="00821FA6">
            <w:pPr>
              <w:spacing w:line="276" w:lineRule="auto"/>
              <w:jc w:val="center"/>
            </w:pPr>
            <w:r>
              <w:rPr>
                <w:b/>
                <w:bCs/>
                <w:color w:val="FFFFFF"/>
                <w:sz w:val="18"/>
                <w:szCs w:val="18"/>
              </w:rPr>
              <w:t>% via Hormuz</w:t>
            </w:r>
          </w:p>
        </w:tc>
        <w:tc>
          <w:tcPr>
            <w:tcW w:w="14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7168FC5" w14:textId="77777777" w:rsidR="00E50E3E" w:rsidRDefault="00000000" w:rsidP="00821FA6">
            <w:pPr>
              <w:spacing w:line="276" w:lineRule="auto"/>
              <w:jc w:val="center"/>
            </w:pPr>
            <w:r>
              <w:rPr>
                <w:b/>
                <w:bCs/>
                <w:color w:val="FFFFFF"/>
                <w:sz w:val="18"/>
                <w:szCs w:val="18"/>
              </w:rPr>
              <w:t>SPR (days)</w:t>
            </w:r>
          </w:p>
        </w:tc>
        <w:tc>
          <w:tcPr>
            <w:tcW w:w="16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47964F68" w14:textId="77777777" w:rsidR="00E50E3E" w:rsidRDefault="00000000" w:rsidP="00821FA6">
            <w:pPr>
              <w:spacing w:line="276" w:lineRule="auto"/>
              <w:jc w:val="center"/>
            </w:pPr>
            <w:r>
              <w:rPr>
                <w:b/>
                <w:bCs/>
                <w:color w:val="FFFFFF"/>
                <w:sz w:val="18"/>
                <w:szCs w:val="18"/>
              </w:rPr>
              <w:t>Alternative Routes</w:t>
            </w:r>
          </w:p>
        </w:tc>
        <w:tc>
          <w:tcPr>
            <w:tcW w:w="18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vAlign w:val="center"/>
          </w:tcPr>
          <w:p w14:paraId="6C7136A0" w14:textId="77777777" w:rsidR="00E50E3E" w:rsidRDefault="00000000" w:rsidP="00821FA6">
            <w:pPr>
              <w:spacing w:line="276" w:lineRule="auto"/>
              <w:jc w:val="center"/>
            </w:pPr>
            <w:r>
              <w:rPr>
                <w:b/>
                <w:bCs/>
                <w:color w:val="FFFFFF"/>
                <w:sz w:val="18"/>
                <w:szCs w:val="18"/>
              </w:rPr>
              <w:t>Overall Risk</w:t>
            </w:r>
          </w:p>
        </w:tc>
      </w:tr>
      <w:tr w:rsidR="00E50E3E" w14:paraId="44A71E98"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74498F98" w14:textId="77777777" w:rsidR="00E50E3E" w:rsidRDefault="00000000" w:rsidP="00821FA6">
            <w:pPr>
              <w:spacing w:line="276" w:lineRule="auto"/>
              <w:jc w:val="center"/>
            </w:pPr>
            <w:r>
              <w:rPr>
                <w:color w:val="000000"/>
                <w:sz w:val="18"/>
                <w:szCs w:val="18"/>
              </w:rPr>
              <w:t>China</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516A6B7" w14:textId="77777777" w:rsidR="00E50E3E" w:rsidRDefault="00000000" w:rsidP="00821FA6">
            <w:pPr>
              <w:spacing w:line="276" w:lineRule="auto"/>
              <w:jc w:val="center"/>
            </w:pPr>
            <w:r>
              <w:rPr>
                <w:color w:val="000000"/>
                <w:sz w:val="18"/>
                <w:szCs w:val="18"/>
              </w:rPr>
              <w:t>11.3</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10694EC" w14:textId="77777777" w:rsidR="00E50E3E" w:rsidRDefault="00000000" w:rsidP="00821FA6">
            <w:pPr>
              <w:spacing w:line="276" w:lineRule="auto"/>
              <w:jc w:val="center"/>
            </w:pPr>
            <w:r>
              <w:rPr>
                <w:color w:val="000000"/>
                <w:sz w:val="18"/>
                <w:szCs w:val="18"/>
              </w:rPr>
              <w:t>~76%</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8BDE6D" w14:textId="77777777" w:rsidR="00E50E3E" w:rsidRDefault="00000000" w:rsidP="00821FA6">
            <w:pPr>
              <w:spacing w:line="276" w:lineRule="auto"/>
              <w:jc w:val="center"/>
            </w:pPr>
            <w:r>
              <w:rPr>
                <w:color w:val="000000"/>
                <w:sz w:val="18"/>
                <w:szCs w:val="18"/>
              </w:rPr>
              <w:t>~80–90</w:t>
            </w:r>
          </w:p>
        </w:tc>
        <w:tc>
          <w:tcPr>
            <w:tcW w:w="1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44E0DA62" w14:textId="77777777" w:rsidR="00E50E3E" w:rsidRDefault="00000000" w:rsidP="00821FA6">
            <w:pPr>
              <w:spacing w:line="276" w:lineRule="auto"/>
              <w:jc w:val="center"/>
            </w:pPr>
            <w:r>
              <w:rPr>
                <w:color w:val="000000"/>
                <w:sz w:val="18"/>
                <w:szCs w:val="18"/>
              </w:rPr>
              <w:t>Russia, Kazakhstan pipelines</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126B2D4" w14:textId="77777777" w:rsidR="00E50E3E" w:rsidRDefault="00000000" w:rsidP="00821FA6">
            <w:pPr>
              <w:spacing w:line="276" w:lineRule="auto"/>
              <w:jc w:val="center"/>
            </w:pPr>
            <w:r>
              <w:rPr>
                <w:color w:val="000000"/>
                <w:sz w:val="18"/>
                <w:szCs w:val="18"/>
              </w:rPr>
              <w:t>High</w:t>
            </w:r>
          </w:p>
        </w:tc>
      </w:tr>
      <w:tr w:rsidR="00E50E3E" w14:paraId="73CC7A84"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A4D942C" w14:textId="77777777" w:rsidR="00E50E3E" w:rsidRDefault="00000000" w:rsidP="00821FA6">
            <w:pPr>
              <w:spacing w:line="276" w:lineRule="auto"/>
              <w:jc w:val="center"/>
            </w:pPr>
            <w:r>
              <w:rPr>
                <w:color w:val="000000"/>
                <w:sz w:val="18"/>
                <w:szCs w:val="18"/>
              </w:rPr>
              <w:t>India</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D3A30F3" w14:textId="77777777" w:rsidR="00E50E3E" w:rsidRDefault="00000000" w:rsidP="00821FA6">
            <w:pPr>
              <w:spacing w:line="276" w:lineRule="auto"/>
              <w:jc w:val="center"/>
            </w:pPr>
            <w:r>
              <w:rPr>
                <w:color w:val="000000"/>
                <w:sz w:val="18"/>
                <w:szCs w:val="18"/>
              </w:rPr>
              <w:t>5.5</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6C74D9BA" w14:textId="77777777" w:rsidR="00E50E3E" w:rsidRDefault="00000000" w:rsidP="00821FA6">
            <w:pPr>
              <w:spacing w:line="276" w:lineRule="auto"/>
              <w:jc w:val="center"/>
            </w:pPr>
            <w:r>
              <w:rPr>
                <w:color w:val="000000"/>
                <w:sz w:val="18"/>
                <w:szCs w:val="18"/>
              </w:rPr>
              <w:t>~70%</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9D1B3B9" w14:textId="77777777" w:rsidR="00E50E3E" w:rsidRDefault="00000000" w:rsidP="00821FA6">
            <w:pPr>
              <w:spacing w:line="276" w:lineRule="auto"/>
              <w:jc w:val="center"/>
            </w:pPr>
            <w:r>
              <w:rPr>
                <w:color w:val="000000"/>
                <w:sz w:val="18"/>
                <w:szCs w:val="18"/>
              </w:rPr>
              <w:t>~9–14</w:t>
            </w:r>
          </w:p>
        </w:tc>
        <w:tc>
          <w:tcPr>
            <w:tcW w:w="1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5CE8A37C" w14:textId="77777777" w:rsidR="00E50E3E" w:rsidRDefault="00000000" w:rsidP="00821FA6">
            <w:pPr>
              <w:spacing w:line="276" w:lineRule="auto"/>
              <w:jc w:val="center"/>
            </w:pPr>
            <w:r>
              <w:rPr>
                <w:color w:val="000000"/>
                <w:sz w:val="18"/>
                <w:szCs w:val="18"/>
              </w:rPr>
              <w:t>Very limited</w:t>
            </w:r>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63D4BFBC" w14:textId="77777777" w:rsidR="00E50E3E" w:rsidRDefault="00000000" w:rsidP="00821FA6">
            <w:pPr>
              <w:spacing w:line="276" w:lineRule="auto"/>
              <w:jc w:val="center"/>
            </w:pPr>
            <w:r>
              <w:rPr>
                <w:color w:val="000000"/>
                <w:sz w:val="18"/>
                <w:szCs w:val="18"/>
              </w:rPr>
              <w:t>Very High</w:t>
            </w:r>
          </w:p>
        </w:tc>
      </w:tr>
      <w:tr w:rsidR="00E50E3E" w14:paraId="31A7D640"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6851763" w14:textId="77777777" w:rsidR="00E50E3E" w:rsidRDefault="00000000" w:rsidP="00821FA6">
            <w:pPr>
              <w:spacing w:line="276" w:lineRule="auto"/>
              <w:jc w:val="center"/>
            </w:pPr>
            <w:r>
              <w:rPr>
                <w:color w:val="000000"/>
                <w:sz w:val="18"/>
                <w:szCs w:val="18"/>
              </w:rPr>
              <w:t>Japan</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3ADEE723" w14:textId="77777777" w:rsidR="00E50E3E" w:rsidRDefault="00000000" w:rsidP="00821FA6">
            <w:pPr>
              <w:spacing w:line="276" w:lineRule="auto"/>
              <w:jc w:val="center"/>
            </w:pPr>
            <w:r>
              <w:rPr>
                <w:color w:val="000000"/>
                <w:sz w:val="18"/>
                <w:szCs w:val="18"/>
              </w:rPr>
              <w:t>3.3</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14561012" w14:textId="77777777" w:rsidR="00E50E3E" w:rsidRDefault="00000000" w:rsidP="00821FA6">
            <w:pPr>
              <w:spacing w:line="276" w:lineRule="auto"/>
              <w:jc w:val="center"/>
            </w:pPr>
            <w:r>
              <w:rPr>
                <w:color w:val="000000"/>
                <w:sz w:val="18"/>
                <w:szCs w:val="18"/>
              </w:rPr>
              <w:t>~88%</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44B33AA9" w14:textId="77777777" w:rsidR="00E50E3E" w:rsidRDefault="00000000" w:rsidP="00821FA6">
            <w:pPr>
              <w:spacing w:line="276" w:lineRule="auto"/>
              <w:jc w:val="center"/>
            </w:pPr>
            <w:r>
              <w:rPr>
                <w:color w:val="000000"/>
                <w:sz w:val="18"/>
                <w:szCs w:val="18"/>
              </w:rPr>
              <w:t>~145</w:t>
            </w:r>
          </w:p>
        </w:tc>
        <w:tc>
          <w:tcPr>
            <w:tcW w:w="1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2ADE411C" w14:textId="77777777" w:rsidR="00E50E3E" w:rsidRDefault="00000000" w:rsidP="00821FA6">
            <w:pPr>
              <w:spacing w:line="276" w:lineRule="auto"/>
              <w:jc w:val="center"/>
            </w:pPr>
            <w:proofErr w:type="gramStart"/>
            <w:r>
              <w:rPr>
                <w:color w:val="000000"/>
                <w:sz w:val="18"/>
                <w:szCs w:val="18"/>
              </w:rPr>
              <w:t>None meaningful</w:t>
            </w:r>
            <w:proofErr w:type="gram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2B748F3D" w14:textId="77777777" w:rsidR="00E50E3E" w:rsidRDefault="00000000" w:rsidP="00821FA6">
            <w:pPr>
              <w:spacing w:line="276" w:lineRule="auto"/>
              <w:jc w:val="center"/>
            </w:pPr>
            <w:r>
              <w:rPr>
                <w:color w:val="000000"/>
                <w:sz w:val="18"/>
                <w:szCs w:val="18"/>
              </w:rPr>
              <w:t>Very High</w:t>
            </w:r>
          </w:p>
        </w:tc>
      </w:tr>
      <w:tr w:rsidR="00E50E3E" w14:paraId="1339CCDD" w14:textId="77777777">
        <w:tblPrEx>
          <w:tblCellMar>
            <w:top w:w="0" w:type="dxa"/>
            <w:bottom w:w="0" w:type="dxa"/>
          </w:tblCellMar>
        </w:tblPrEx>
        <w:tc>
          <w:tcPr>
            <w:tcW w:w="15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ED32CD8" w14:textId="77777777" w:rsidR="00E50E3E" w:rsidRDefault="00000000" w:rsidP="00821FA6">
            <w:pPr>
              <w:spacing w:line="276" w:lineRule="auto"/>
              <w:jc w:val="center"/>
            </w:pPr>
            <w:r>
              <w:rPr>
                <w:color w:val="000000"/>
                <w:sz w:val="18"/>
                <w:szCs w:val="18"/>
              </w:rPr>
              <w:t>South Korea</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566C1AE8" w14:textId="77777777" w:rsidR="00E50E3E" w:rsidRDefault="00000000" w:rsidP="00821FA6">
            <w:pPr>
              <w:spacing w:line="276" w:lineRule="auto"/>
              <w:jc w:val="center"/>
            </w:pPr>
            <w:r>
              <w:rPr>
                <w:color w:val="000000"/>
                <w:sz w:val="18"/>
                <w:szCs w:val="18"/>
              </w:rPr>
              <w:t>3.1</w:t>
            </w:r>
          </w:p>
        </w:tc>
        <w:tc>
          <w:tcPr>
            <w:tcW w:w="144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C511837" w14:textId="77777777" w:rsidR="00E50E3E" w:rsidRDefault="00000000" w:rsidP="00821FA6">
            <w:pPr>
              <w:spacing w:line="276" w:lineRule="auto"/>
              <w:jc w:val="center"/>
            </w:pPr>
            <w:r>
              <w:rPr>
                <w:color w:val="000000"/>
                <w:sz w:val="18"/>
                <w:szCs w:val="18"/>
              </w:rPr>
              <w:t>~72%</w:t>
            </w:r>
          </w:p>
        </w:tc>
        <w:tc>
          <w:tcPr>
            <w:tcW w:w="144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1E1AB8F8" w14:textId="77777777" w:rsidR="00E50E3E" w:rsidRDefault="00000000" w:rsidP="00821FA6">
            <w:pPr>
              <w:spacing w:line="276" w:lineRule="auto"/>
              <w:jc w:val="center"/>
            </w:pPr>
            <w:r>
              <w:rPr>
                <w:color w:val="000000"/>
                <w:sz w:val="18"/>
                <w:szCs w:val="18"/>
              </w:rPr>
              <w:t>~100</w:t>
            </w:r>
          </w:p>
        </w:tc>
        <w:tc>
          <w:tcPr>
            <w:tcW w:w="168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vAlign w:val="center"/>
          </w:tcPr>
          <w:p w14:paraId="0236C469" w14:textId="77777777" w:rsidR="00E50E3E" w:rsidRDefault="00000000" w:rsidP="00821FA6">
            <w:pPr>
              <w:spacing w:line="276" w:lineRule="auto"/>
              <w:jc w:val="center"/>
            </w:pPr>
            <w:proofErr w:type="gramStart"/>
            <w:r>
              <w:rPr>
                <w:color w:val="000000"/>
                <w:sz w:val="18"/>
                <w:szCs w:val="18"/>
              </w:rPr>
              <w:t>None meaningful</w:t>
            </w:r>
            <w:proofErr w:type="gramEnd"/>
          </w:p>
        </w:tc>
        <w:tc>
          <w:tcPr>
            <w:tcW w:w="1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vAlign w:val="center"/>
          </w:tcPr>
          <w:p w14:paraId="0A199A1C" w14:textId="77777777" w:rsidR="00E50E3E" w:rsidRDefault="00000000" w:rsidP="00821FA6">
            <w:pPr>
              <w:spacing w:line="276" w:lineRule="auto"/>
              <w:jc w:val="center"/>
            </w:pPr>
            <w:r>
              <w:rPr>
                <w:color w:val="000000"/>
                <w:sz w:val="18"/>
                <w:szCs w:val="18"/>
              </w:rPr>
              <w:t>High</w:t>
            </w:r>
          </w:p>
        </w:tc>
      </w:tr>
    </w:tbl>
    <w:p w14:paraId="2B74F698" w14:textId="77777777" w:rsidR="00E50E3E" w:rsidRDefault="00E50E3E" w:rsidP="00821FA6">
      <w:pPr>
        <w:spacing w:after="80" w:line="276" w:lineRule="auto"/>
      </w:pPr>
    </w:p>
    <w:p w14:paraId="4124F847" w14:textId="77777777" w:rsidR="00E50E3E" w:rsidRDefault="00000000" w:rsidP="00821FA6">
      <w:pPr>
        <w:pStyle w:val="Heading1"/>
        <w:spacing w:line="276" w:lineRule="auto"/>
      </w:pPr>
      <w:r>
        <w:rPr>
          <w:caps/>
        </w:rPr>
        <w:t>VIII. Military and Geopolitical Implications</w:t>
      </w:r>
    </w:p>
    <w:p w14:paraId="42558FD3" w14:textId="77777777" w:rsidR="00E50E3E" w:rsidRDefault="00000000" w:rsidP="00821FA6">
      <w:pPr>
        <w:spacing w:after="120" w:line="276" w:lineRule="auto"/>
        <w:ind w:firstLine="720"/>
        <w:jc w:val="both"/>
      </w:pPr>
      <w:r>
        <w:rPr>
          <w:color w:val="000000"/>
        </w:rPr>
        <w:t>Any Iranian attempt to close the Strait of Hormuz would trigger a near-immediate military response from the United States. The Fifth Fleet, headquartered in Bahrain, maintains a persistent presence in the Persian Gulf specifically to deter this contingency. U.S. Navy doctrine for strait protection would involve a combination of minesweeping operations, anti-ship missile suppression using carrier-based aviation, and amphibious-capable forces positioned to neutralize Iranian coastal batteries on the northern shore.</w:t>
      </w:r>
    </w:p>
    <w:p w14:paraId="677B7382" w14:textId="77777777" w:rsidR="00E50E3E" w:rsidRDefault="00000000" w:rsidP="00821FA6">
      <w:pPr>
        <w:spacing w:after="120" w:line="276" w:lineRule="auto"/>
        <w:ind w:firstLine="720"/>
        <w:jc w:val="both"/>
      </w:pPr>
      <w:r>
        <w:rPr>
          <w:color w:val="000000"/>
        </w:rPr>
        <w:t xml:space="preserve">Iran's asymmetric naval strategy is nonetheless capable of imposing significant costs. The IRGCN's inventory includes a substantial arsenal of domestically produced anti-ship missiles (including the Noor, Nasr, and </w:t>
      </w:r>
      <w:proofErr w:type="spellStart"/>
      <w:r>
        <w:rPr>
          <w:color w:val="000000"/>
        </w:rPr>
        <w:t>Khalij</w:t>
      </w:r>
      <w:proofErr w:type="spellEnd"/>
      <w:r>
        <w:rPr>
          <w:color w:val="000000"/>
        </w:rPr>
        <w:t xml:space="preserve"> Fars classes), a large fleet of fast-attack craft capable of swarming operations, and an extensive mine warfare capability. The strait's geographic confinement severely constrains the operational space available to larger U.S. warships, and Iran has practiced intensive mine-laying exercises in the Gulf. The 1987–1988 Tanker War, during which Iranian-</w:t>
      </w:r>
      <w:proofErr w:type="spellStart"/>
      <w:r>
        <w:rPr>
          <w:color w:val="000000"/>
        </w:rPr>
        <w:t>laid</w:t>
      </w:r>
      <w:proofErr w:type="spellEnd"/>
      <w:r>
        <w:rPr>
          <w:color w:val="000000"/>
        </w:rPr>
        <w:t xml:space="preserve"> mines struck multiple vessels, demonstrated the viability of this approach.</w:t>
      </w:r>
    </w:p>
    <w:p w14:paraId="060B249C" w14:textId="77777777" w:rsidR="00E50E3E" w:rsidRDefault="00000000" w:rsidP="00821FA6">
      <w:pPr>
        <w:spacing w:after="120" w:line="276" w:lineRule="auto"/>
        <w:ind w:firstLine="720"/>
        <w:jc w:val="both"/>
      </w:pPr>
      <w:r>
        <w:rPr>
          <w:color w:val="000000"/>
        </w:rPr>
        <w:t xml:space="preserve">Israel's military role would most likely be limited to airstrikes against Iranian nuclear and missile facilities, which could either precipitate or accompany an Iranian decision to close the strait as a retaliatory measure. Israel lacks naval assets capable of operating effectively in the Persian Gulf, and its involvement would primarily serve to expand </w:t>
      </w:r>
      <w:r>
        <w:rPr>
          <w:color w:val="000000"/>
        </w:rPr>
        <w:lastRenderedPageBreak/>
        <w:t xml:space="preserve">the conflict </w:t>
      </w:r>
      <w:proofErr w:type="gramStart"/>
      <w:r>
        <w:rPr>
          <w:color w:val="000000"/>
        </w:rPr>
        <w:t>politically—drawing</w:t>
      </w:r>
      <w:proofErr w:type="gramEnd"/>
      <w:r>
        <w:rPr>
          <w:color w:val="000000"/>
        </w:rPr>
        <w:t xml:space="preserve"> in Hezbollah in Lebanon, Hamas in Gaza, and potentially Houthi forces in Yemen, all of which could open additional fronts and further complicate the diplomatic landscape.</w:t>
      </w:r>
    </w:p>
    <w:p w14:paraId="722475AE" w14:textId="205A6CC8" w:rsidR="00821FA6" w:rsidRDefault="00000000" w:rsidP="00821FA6">
      <w:pPr>
        <w:spacing w:after="120" w:line="276" w:lineRule="auto"/>
        <w:ind w:firstLine="720"/>
        <w:jc w:val="both"/>
        <w:rPr>
          <w:color w:val="000000"/>
        </w:rPr>
      </w:pPr>
      <w:r>
        <w:rPr>
          <w:color w:val="000000"/>
        </w:rPr>
        <w:t xml:space="preserve">The risk of escalation to a broader regional war is genuine and has been </w:t>
      </w:r>
      <w:r w:rsidR="000828E3">
        <w:rPr>
          <w:color w:val="000000"/>
        </w:rPr>
        <w:t>modelled</w:t>
      </w:r>
      <w:r>
        <w:rPr>
          <w:color w:val="000000"/>
        </w:rPr>
        <w:t xml:space="preserve"> by several strategic assessment institutions. A direct U.S.–Iran exchange in the strait could trigger Iranian proxy activations across the region, potentially leading to Israeli strikes on Iranian soil, Hezbollah rocket barrages on northern Israel, and regional energy infrastructure attacks extending to Saudi Arabian and UAE facilities. Such a scenario would compound the oil supply shock </w:t>
      </w:r>
      <w:r w:rsidR="000828E3">
        <w:rPr>
          <w:color w:val="000000"/>
        </w:rPr>
        <w:t>analysed</w:t>
      </w:r>
      <w:r>
        <w:rPr>
          <w:color w:val="000000"/>
        </w:rPr>
        <w:t xml:space="preserve"> above with additional disruptions to Gulf production and export infrastructure.</w:t>
      </w:r>
      <w:r w:rsidR="00496821">
        <w:rPr>
          <w:color w:val="000000"/>
        </w:rPr>
        <w:t xml:space="preserve"> </w:t>
      </w:r>
      <w:proofErr w:type="gramStart"/>
      <w:r w:rsidR="00821FA6" w:rsidRPr="00821FA6">
        <w:rPr>
          <w:color w:val="000000"/>
        </w:rPr>
        <w:t>The</w:t>
      </w:r>
      <w:proofErr w:type="gramEnd"/>
      <w:r w:rsidR="00821FA6" w:rsidRPr="00821FA6">
        <w:rPr>
          <w:color w:val="000000"/>
        </w:rPr>
        <w:t xml:space="preserve"> principal maritime oil transport routes and alternative bypass infrastructure are illustrated in Fig. 2.</w:t>
      </w:r>
    </w:p>
    <w:p w14:paraId="0850C720" w14:textId="1AD1BC49" w:rsidR="00E50E3E" w:rsidRPr="00622BA8" w:rsidRDefault="00622BA8" w:rsidP="00821FA6">
      <w:pPr>
        <w:spacing w:after="120" w:line="276" w:lineRule="auto"/>
        <w:ind w:left="720"/>
        <w:jc w:val="both"/>
      </w:pPr>
      <w:r>
        <w:rPr>
          <w:noProof/>
        </w:rPr>
        <w:drawing>
          <wp:anchor distT="0" distB="0" distL="114300" distR="114300" simplePos="0" relativeHeight="251660288" behindDoc="0" locked="0" layoutInCell="1" allowOverlap="1" wp14:anchorId="0BE11015" wp14:editId="35AC8753">
            <wp:simplePos x="0" y="0"/>
            <wp:positionH relativeFrom="margin">
              <wp:align>center</wp:align>
            </wp:positionH>
            <wp:positionV relativeFrom="paragraph">
              <wp:posOffset>0</wp:posOffset>
            </wp:positionV>
            <wp:extent cx="3495600" cy="2329200"/>
            <wp:effectExtent l="0" t="0" r="0" b="0"/>
            <wp:wrapTopAndBottom/>
            <wp:docPr id="37720496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204961" name="Picture 377204961"/>
                    <pic:cNvPicPr/>
                  </pic:nvPicPr>
                  <pic:blipFill>
                    <a:blip r:embed="rId6" cstate="print">
                      <a:extLst>
                        <a:ext uri="{28A0092B-C50C-407E-A947-70E740481C1C}">
                          <a14:useLocalDpi xmlns:a14="http://schemas.microsoft.com/office/drawing/2010/main" val="0"/>
                        </a:ext>
                      </a:extLst>
                    </a:blip>
                    <a:stretch>
                      <a:fillRect/>
                    </a:stretch>
                  </pic:blipFill>
                  <pic:spPr>
                    <a:xfrm>
                      <a:off x="0" y="0"/>
                      <a:ext cx="3495600" cy="2329200"/>
                    </a:xfrm>
                    <a:prstGeom prst="rect">
                      <a:avLst/>
                    </a:prstGeom>
                  </pic:spPr>
                </pic:pic>
              </a:graphicData>
            </a:graphic>
            <wp14:sizeRelH relativeFrom="margin">
              <wp14:pctWidth>0</wp14:pctWidth>
            </wp14:sizeRelH>
            <wp14:sizeRelV relativeFrom="margin">
              <wp14:pctHeight>0</wp14:pctHeight>
            </wp14:sizeRelV>
          </wp:anchor>
        </w:drawing>
      </w:r>
      <w:r>
        <w:rPr>
          <w:sz w:val="16"/>
          <w:szCs w:val="16"/>
        </w:rPr>
        <w:t xml:space="preserve">  </w:t>
      </w:r>
      <w:r w:rsidR="00821FA6">
        <w:rPr>
          <w:sz w:val="16"/>
          <w:szCs w:val="16"/>
        </w:rPr>
        <w:t xml:space="preserve">  </w:t>
      </w:r>
      <w:r>
        <w:rPr>
          <w:sz w:val="16"/>
          <w:szCs w:val="16"/>
        </w:rPr>
        <w:t xml:space="preserve">                                                      </w:t>
      </w:r>
      <w:r w:rsidR="00821FA6">
        <w:rPr>
          <w:sz w:val="16"/>
          <w:szCs w:val="16"/>
        </w:rPr>
        <w:tab/>
      </w:r>
      <w:r w:rsidR="00821FA6">
        <w:rPr>
          <w:sz w:val="16"/>
          <w:szCs w:val="16"/>
        </w:rPr>
        <w:tab/>
      </w:r>
      <w:r w:rsidR="00821FA6">
        <w:rPr>
          <w:sz w:val="16"/>
          <w:szCs w:val="16"/>
        </w:rPr>
        <w:tab/>
      </w:r>
      <w:r w:rsidR="00821FA6">
        <w:rPr>
          <w:sz w:val="16"/>
          <w:szCs w:val="16"/>
        </w:rPr>
        <w:tab/>
      </w:r>
      <w:r w:rsidR="00821FA6">
        <w:rPr>
          <w:sz w:val="16"/>
          <w:szCs w:val="16"/>
        </w:rPr>
        <w:tab/>
      </w:r>
      <w:r w:rsidR="00821FA6">
        <w:rPr>
          <w:sz w:val="16"/>
          <w:szCs w:val="16"/>
        </w:rPr>
        <w:tab/>
      </w:r>
      <w:r w:rsidR="00821FA6">
        <w:rPr>
          <w:sz w:val="16"/>
          <w:szCs w:val="16"/>
        </w:rPr>
        <w:tab/>
      </w:r>
      <w:r w:rsidR="00821FA6">
        <w:rPr>
          <w:sz w:val="16"/>
          <w:szCs w:val="16"/>
        </w:rPr>
        <w:tab/>
      </w:r>
      <w:r w:rsidR="00821FA6">
        <w:rPr>
          <w:sz w:val="16"/>
          <w:szCs w:val="16"/>
        </w:rPr>
        <w:tab/>
      </w:r>
      <w:r w:rsidR="00821FA6">
        <w:rPr>
          <w:sz w:val="16"/>
          <w:szCs w:val="16"/>
        </w:rPr>
        <w:tab/>
        <w:t xml:space="preserve">               </w:t>
      </w:r>
      <w:r w:rsidR="00000000">
        <w:rPr>
          <w:sz w:val="16"/>
          <w:szCs w:val="16"/>
        </w:rPr>
        <w:t>Fig. 2. Major global oil shipping routes and alternative bypass infrastructure.</w:t>
      </w:r>
    </w:p>
    <w:p w14:paraId="496C3BF4" w14:textId="77777777" w:rsidR="00622BA8" w:rsidRDefault="00622BA8" w:rsidP="00821FA6">
      <w:pPr>
        <w:spacing w:after="80" w:line="276" w:lineRule="auto"/>
        <w:jc w:val="center"/>
      </w:pPr>
    </w:p>
    <w:p w14:paraId="1DF3D784" w14:textId="001347DF" w:rsidR="00E50E3E" w:rsidRDefault="00000000" w:rsidP="00821FA6">
      <w:pPr>
        <w:pStyle w:val="Heading1"/>
        <w:spacing w:line="276" w:lineRule="auto"/>
      </w:pPr>
      <w:r>
        <w:rPr>
          <w:caps/>
        </w:rPr>
        <w:t>IX. Future Strategic Scenarios</w:t>
      </w:r>
    </w:p>
    <w:p w14:paraId="2E9FA1F8" w14:textId="77777777" w:rsidR="00E50E3E" w:rsidRDefault="00000000" w:rsidP="00821FA6">
      <w:pPr>
        <w:spacing w:before="120" w:after="60" w:line="276" w:lineRule="auto"/>
      </w:pPr>
      <w:r>
        <w:rPr>
          <w:b/>
          <w:bCs/>
        </w:rPr>
        <w:t>Scenario 1: Temporary Disruption (up to 1 week)</w:t>
      </w:r>
    </w:p>
    <w:p w14:paraId="3D1577B8" w14:textId="77777777" w:rsidR="00E50E3E" w:rsidRDefault="00000000" w:rsidP="00821FA6">
      <w:pPr>
        <w:spacing w:after="120" w:line="276" w:lineRule="auto"/>
        <w:ind w:firstLine="720"/>
        <w:jc w:val="both"/>
      </w:pPr>
      <w:r>
        <w:rPr>
          <w:color w:val="000000"/>
        </w:rPr>
        <w:t>In this scenario, hostilities between Iran and either the U.S. or Israel trigger a brief Iranian attempt to restrict tanker movements through the strait—potentially through mine deployment or anti-ship missile threats—before U.S. naval intervention restores freedom of navigation within days. Iran, calculating that a brief threat maximizes diplomatic leverage without provoking the full weight of U.S. military response, backs down when faced with credible escalation. Global oil markets spike but partially recover within two weeks as IEA SPR releases and OPEC+ emergency production offsets take effect. This scenario is the most historically analogous to prior Hormuz crises and carries a reasonably high prior probability given the current pattern of calibrated Iranian brinkmanship.</w:t>
      </w:r>
    </w:p>
    <w:p w14:paraId="7B9E9266" w14:textId="77777777" w:rsidR="00E50E3E" w:rsidRDefault="00000000" w:rsidP="00821FA6">
      <w:pPr>
        <w:spacing w:before="120" w:after="60" w:line="276" w:lineRule="auto"/>
      </w:pPr>
      <w:r>
        <w:rPr>
          <w:b/>
          <w:bCs/>
        </w:rPr>
        <w:t>Scenario 2: Medium-Term Conflict (1 month to 3 months)</w:t>
      </w:r>
    </w:p>
    <w:p w14:paraId="0D635AFA" w14:textId="77777777" w:rsidR="00E50E3E" w:rsidRDefault="00000000" w:rsidP="00821FA6">
      <w:pPr>
        <w:spacing w:after="120" w:line="276" w:lineRule="auto"/>
        <w:ind w:firstLine="720"/>
        <w:jc w:val="both"/>
      </w:pPr>
      <w:r>
        <w:rPr>
          <w:color w:val="000000"/>
        </w:rPr>
        <w:t>This scenario posits a more sustained military exchange—possibly triggered by Israeli strikes on Iranian nuclear facilities, which Iran responds to with both strait closure and proxy escalation across the region. U.S. forces engage in sustained minesweeping and air suppression operations, gradually reopening the strait over a period of four to twelve weeks. During this period, global oil supply is reduced by 8–12 mb/d, energy prices remain elevated at USD 140–165/barrel, and significant economic damage accumulates across oil-importing nations. Diplomatic resolution is eventually achieved through a combination of Russian and Chinese mediation, but the geopolitical landscape is permanently altered, with Iran's nuclear program likely accelerated and U.S. regional credibility tested.</w:t>
      </w:r>
    </w:p>
    <w:p w14:paraId="0CB28812" w14:textId="77777777" w:rsidR="000828E3" w:rsidRDefault="000828E3" w:rsidP="00821FA6">
      <w:pPr>
        <w:spacing w:before="120" w:after="60" w:line="276" w:lineRule="auto"/>
        <w:rPr>
          <w:b/>
          <w:bCs/>
        </w:rPr>
      </w:pPr>
    </w:p>
    <w:p w14:paraId="75BD73E0" w14:textId="77777777" w:rsidR="000828E3" w:rsidRDefault="000828E3" w:rsidP="00821FA6">
      <w:pPr>
        <w:spacing w:before="120" w:after="60" w:line="276" w:lineRule="auto"/>
        <w:rPr>
          <w:b/>
          <w:bCs/>
        </w:rPr>
      </w:pPr>
    </w:p>
    <w:p w14:paraId="37A5EF7B" w14:textId="381AC327" w:rsidR="00E50E3E" w:rsidRDefault="00000000" w:rsidP="00821FA6">
      <w:pPr>
        <w:spacing w:before="120" w:after="60" w:line="276" w:lineRule="auto"/>
      </w:pPr>
      <w:r>
        <w:rPr>
          <w:b/>
          <w:bCs/>
        </w:rPr>
        <w:lastRenderedPageBreak/>
        <w:t>Scenario 3: Prolonged Regional War (3+ months)</w:t>
      </w:r>
    </w:p>
    <w:p w14:paraId="73E1002C" w14:textId="4E6E2EB5" w:rsidR="00E50E3E" w:rsidRDefault="00000000" w:rsidP="00821FA6">
      <w:pPr>
        <w:spacing w:after="120" w:line="276" w:lineRule="auto"/>
        <w:ind w:firstLine="720"/>
        <w:jc w:val="both"/>
        <w:rPr>
          <w:color w:val="000000"/>
        </w:rPr>
      </w:pPr>
      <w:r>
        <w:rPr>
          <w:color w:val="000000"/>
        </w:rPr>
        <w:t xml:space="preserve">The most severe scenario involves a full regional conflict in which Israeli </w:t>
      </w:r>
      <w:proofErr w:type="spellStart"/>
      <w:r>
        <w:rPr>
          <w:color w:val="000000"/>
        </w:rPr>
        <w:t>preemptive</w:t>
      </w:r>
      <w:proofErr w:type="spellEnd"/>
      <w:r>
        <w:rPr>
          <w:color w:val="000000"/>
        </w:rPr>
        <w:t xml:space="preserve"> strikes, Iranian retaliation, U.S. military involvement, and proxy escalations converge into a multi-front war. The strait remains effectively closed for three or more months. Oil prices exceed USD 200/barrel, triggering global recession, food insecurity (via fertilizer and shipping cost inflation), and political instability in vulnerable emerging market economies. The international order faces a fundamental stress test: China must choose between its partnership with Iran and its dependence on Middle Eastern oil; Russia may benefit from energy price windfalls but faces severe global economic contraction; and the United States navigates the dual pressures of military engagement and domestic energy policy.</w:t>
      </w:r>
    </w:p>
    <w:p w14:paraId="155754EC" w14:textId="77777777" w:rsidR="00821FA6" w:rsidRDefault="00622BA8" w:rsidP="00821FA6">
      <w:pPr>
        <w:spacing w:after="120" w:line="276" w:lineRule="auto"/>
        <w:jc w:val="both"/>
        <w:rPr>
          <w:i/>
          <w:iCs/>
          <w:color w:val="555555"/>
          <w:sz w:val="16"/>
          <w:szCs w:val="16"/>
        </w:rPr>
      </w:pPr>
      <w:r>
        <w:rPr>
          <w:noProof/>
          <w:color w:val="000000"/>
        </w:rPr>
        <w:drawing>
          <wp:anchor distT="0" distB="0" distL="114300" distR="114300" simplePos="0" relativeHeight="251659264" behindDoc="0" locked="0" layoutInCell="1" allowOverlap="1" wp14:anchorId="37A5B551" wp14:editId="7303B460">
            <wp:simplePos x="0" y="0"/>
            <wp:positionH relativeFrom="margin">
              <wp:align>center</wp:align>
            </wp:positionH>
            <wp:positionV relativeFrom="paragraph">
              <wp:posOffset>0</wp:posOffset>
            </wp:positionV>
            <wp:extent cx="3136900" cy="2352675"/>
            <wp:effectExtent l="0" t="0" r="6350" b="9525"/>
            <wp:wrapTopAndBottom/>
            <wp:docPr id="11455978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97872" name="Picture 1145597872"/>
                    <pic:cNvPicPr/>
                  </pic:nvPicPr>
                  <pic:blipFill>
                    <a:blip r:embed="rId7" cstate="print">
                      <a:extLst>
                        <a:ext uri="{28A0092B-C50C-407E-A947-70E740481C1C}">
                          <a14:useLocalDpi xmlns:a14="http://schemas.microsoft.com/office/drawing/2010/main" val="0"/>
                        </a:ext>
                      </a:extLst>
                    </a:blip>
                    <a:stretch>
                      <a:fillRect/>
                    </a:stretch>
                  </pic:blipFill>
                  <pic:spPr>
                    <a:xfrm>
                      <a:off x="0" y="0"/>
                      <a:ext cx="3136900" cy="2352675"/>
                    </a:xfrm>
                    <a:prstGeom prst="rect">
                      <a:avLst/>
                    </a:prstGeom>
                  </pic:spPr>
                </pic:pic>
              </a:graphicData>
            </a:graphic>
            <wp14:sizeRelH relativeFrom="margin">
              <wp14:pctWidth>0</wp14:pctWidth>
            </wp14:sizeRelH>
            <wp14:sizeRelV relativeFrom="margin">
              <wp14:pctHeight>0</wp14:pctHeight>
            </wp14:sizeRelV>
          </wp:anchor>
        </w:drawing>
      </w:r>
      <w:r w:rsidR="00821FA6">
        <w:rPr>
          <w:i/>
          <w:iCs/>
          <w:color w:val="555555"/>
          <w:sz w:val="16"/>
          <w:szCs w:val="16"/>
        </w:rPr>
        <w:t xml:space="preserve">     </w:t>
      </w:r>
    </w:p>
    <w:p w14:paraId="07D69DCF" w14:textId="2140A2E2" w:rsidR="00622BA8" w:rsidRPr="00821FA6" w:rsidRDefault="00821FA6" w:rsidP="00821FA6">
      <w:pPr>
        <w:spacing w:after="120" w:line="276" w:lineRule="auto"/>
        <w:jc w:val="both"/>
        <w:rPr>
          <w:color w:val="000000"/>
        </w:rPr>
      </w:pPr>
      <w:r>
        <w:rPr>
          <w:i/>
          <w:iCs/>
          <w:color w:val="555555"/>
          <w:sz w:val="16"/>
          <w:szCs w:val="16"/>
        </w:rPr>
        <w:t xml:space="preserve">                                                             </w:t>
      </w:r>
      <w:r w:rsidR="00622BA8" w:rsidRPr="00622BA8">
        <w:rPr>
          <w:i/>
          <w:iCs/>
          <w:color w:val="555555"/>
          <w:sz w:val="16"/>
          <w:szCs w:val="16"/>
        </w:rPr>
        <w:t>Fig. 3. Historical oil price spikes during major geopolitical crises.</w:t>
      </w:r>
    </w:p>
    <w:p w14:paraId="33418157" w14:textId="77777777" w:rsidR="00622BA8" w:rsidRDefault="00622BA8" w:rsidP="00821FA6">
      <w:pPr>
        <w:pStyle w:val="Heading1"/>
        <w:spacing w:line="276" w:lineRule="auto"/>
        <w:rPr>
          <w:b w:val="0"/>
          <w:bCs w:val="0"/>
          <w:i/>
          <w:iCs/>
          <w:color w:val="555555"/>
          <w:sz w:val="16"/>
          <w:szCs w:val="16"/>
        </w:rPr>
      </w:pPr>
    </w:p>
    <w:p w14:paraId="3AB9FB14" w14:textId="4F70BE4D" w:rsidR="00E50E3E" w:rsidRDefault="00000000" w:rsidP="00821FA6">
      <w:pPr>
        <w:pStyle w:val="Heading1"/>
        <w:spacing w:line="276" w:lineRule="auto"/>
      </w:pPr>
      <w:r>
        <w:rPr>
          <w:caps/>
        </w:rPr>
        <w:t>X. Policy Recommendations</w:t>
      </w:r>
    </w:p>
    <w:p w14:paraId="0BE2094F" w14:textId="77777777" w:rsidR="00E50E3E" w:rsidRDefault="00000000" w:rsidP="00821FA6">
      <w:pPr>
        <w:spacing w:after="120" w:line="276" w:lineRule="auto"/>
        <w:ind w:firstLine="720"/>
        <w:jc w:val="both"/>
      </w:pPr>
      <w:r>
        <w:rPr>
          <w:color w:val="000000"/>
        </w:rPr>
        <w:t>The analysis presented in this paper yields several actionable policy implications for governments, international organizations, and energy companies operating in the current geopolitical environment.</w:t>
      </w:r>
    </w:p>
    <w:p w14:paraId="798BC368" w14:textId="77777777" w:rsidR="00E50E3E" w:rsidRDefault="00000000" w:rsidP="00821FA6">
      <w:pPr>
        <w:spacing w:before="120" w:after="40" w:line="276" w:lineRule="auto"/>
      </w:pPr>
      <w:r>
        <w:rPr>
          <w:b/>
          <w:bCs/>
          <w:i/>
          <w:iCs/>
        </w:rPr>
        <w:t>A. Strategic Petroleum Reserve Modernization</w:t>
      </w:r>
    </w:p>
    <w:p w14:paraId="01D47754" w14:textId="77777777" w:rsidR="00E50E3E" w:rsidRDefault="00000000" w:rsidP="00821FA6">
      <w:pPr>
        <w:spacing w:after="120" w:line="276" w:lineRule="auto"/>
        <w:ind w:firstLine="720"/>
        <w:jc w:val="both"/>
      </w:pPr>
      <w:r>
        <w:rPr>
          <w:color w:val="000000"/>
        </w:rPr>
        <w:t xml:space="preserve">The effectiveness of IEA strategic reserves was demonstrated during the 2022 post-Ukraine release, but the 2021–2022 drawdowns have left several member states below recommended 90-day minimum coverage. Japan, South Korea, and EU member states should rebuild SPR levels immediately, with a target of 120 days as a buffer against a prolonged Hormuz disruption. India, </w:t>
      </w:r>
      <w:proofErr w:type="gramStart"/>
      <w:r>
        <w:rPr>
          <w:color w:val="000000"/>
        </w:rPr>
        <w:t>whose</w:t>
      </w:r>
      <w:proofErr w:type="gramEnd"/>
      <w:r>
        <w:rPr>
          <w:color w:val="000000"/>
        </w:rPr>
        <w:t xml:space="preserve"> governmental SPR is critically underdeveloped, should accelerate its planned expansion from 9 to 30 days of coverage using a combination of government-funded cavern storage and public-private commercial stock obligations.</w:t>
      </w:r>
    </w:p>
    <w:p w14:paraId="4EF27F72" w14:textId="77777777" w:rsidR="00E50E3E" w:rsidRDefault="00000000" w:rsidP="00821FA6">
      <w:pPr>
        <w:spacing w:before="120" w:after="40" w:line="276" w:lineRule="auto"/>
      </w:pPr>
      <w:r>
        <w:rPr>
          <w:b/>
          <w:bCs/>
          <w:i/>
          <w:iCs/>
        </w:rPr>
        <w:t>B. Energy Supply Diversification</w:t>
      </w:r>
    </w:p>
    <w:p w14:paraId="48101F84" w14:textId="77777777" w:rsidR="00E50E3E" w:rsidRDefault="00000000" w:rsidP="00821FA6">
      <w:pPr>
        <w:spacing w:after="120" w:line="276" w:lineRule="auto"/>
        <w:ind w:firstLine="720"/>
        <w:jc w:val="both"/>
      </w:pPr>
      <w:r>
        <w:rPr>
          <w:color w:val="000000"/>
        </w:rPr>
        <w:t>Asian importers should pursue diversified supply portfolios with urgency rather than complacency. For Japan and South Korea, this means expanding spot and term LNG contracts with non-Gulf suppliers (U.S. LNG, Australian LNG, Mozambique, East Africa), accelerating offshore wind and nuclear capacity additions, and investing in hydrogen-ready port infrastructure. China should continue expanding pipeline capacity from Russia and Central Asia while reducing the share of Middle Eastern crude processed in coastal refineries that are exclusively dependent on VLCC routing.</w:t>
      </w:r>
    </w:p>
    <w:p w14:paraId="2D95F966" w14:textId="77777777" w:rsidR="00E50E3E" w:rsidRDefault="00000000" w:rsidP="00821FA6">
      <w:pPr>
        <w:spacing w:before="120" w:after="40" w:line="276" w:lineRule="auto"/>
      </w:pPr>
      <w:r>
        <w:rPr>
          <w:b/>
          <w:bCs/>
          <w:i/>
          <w:iCs/>
        </w:rPr>
        <w:lastRenderedPageBreak/>
        <w:t>C. Maritime Security Cooperation</w:t>
      </w:r>
    </w:p>
    <w:p w14:paraId="6D8D8DDA" w14:textId="77777777" w:rsidR="00E50E3E" w:rsidRDefault="00000000" w:rsidP="00821FA6">
      <w:pPr>
        <w:spacing w:after="120" w:line="276" w:lineRule="auto"/>
        <w:ind w:firstLine="720"/>
        <w:jc w:val="both"/>
      </w:pPr>
      <w:r>
        <w:rPr>
          <w:color w:val="000000"/>
        </w:rPr>
        <w:t>The European Maritime Awareness in the Strait of Hormuz (EMASOH) mission established in 2020 represents a constructive model but requires significant capability expansion. A multilateral naval coalition inclusive of India, Japan, South Korea, and Australia—all of which have both the naval capacity and the economic stakes to justify participation—would more effectively distribute the burden of strait protection and reduce the bilateral U.S.–Iran framing that elevates escalation risk. The development of an international strait transit notification protocol, analogous to existing mechanisms in the Turkish Straits, should be explored through the International Maritime Organization (IMO).</w:t>
      </w:r>
    </w:p>
    <w:p w14:paraId="6A87CF31" w14:textId="77777777" w:rsidR="00E50E3E" w:rsidRDefault="00000000" w:rsidP="00821FA6">
      <w:pPr>
        <w:spacing w:before="120" w:after="40" w:line="276" w:lineRule="auto"/>
      </w:pPr>
      <w:r>
        <w:rPr>
          <w:b/>
          <w:bCs/>
          <w:i/>
          <w:iCs/>
        </w:rPr>
        <w:t>D. Diplomatic Conflict Mitigation</w:t>
      </w:r>
    </w:p>
    <w:p w14:paraId="77247353" w14:textId="77777777" w:rsidR="00E50E3E" w:rsidRDefault="00000000" w:rsidP="00821FA6">
      <w:pPr>
        <w:spacing w:after="120" w:line="276" w:lineRule="auto"/>
        <w:ind w:firstLine="720"/>
        <w:jc w:val="both"/>
      </w:pPr>
      <w:r>
        <w:rPr>
          <w:color w:val="000000"/>
        </w:rPr>
        <w:t>Ultimately, the most effective insurance against a Hormuz blockade is the prevention of the conflict that would precipitate one. This requires renewed engagement on the Iran nuclear question. The collapse of JCPOA negotiations creates persistent risk; a structured framework—potentially involving a step-by-step reciprocal de-escalation process brokered by EU, Chinese, and Russian intermediaries alongside American principals—remains the most viable path to reducing the probability of military confrontation. Parallel track-two diplomatic engagement between Iranian and Israeli officials, hosted by neutral parties, could reduce the risk of miscalculation.</w:t>
      </w:r>
    </w:p>
    <w:p w14:paraId="4C691FE7" w14:textId="77777777" w:rsidR="00E50E3E" w:rsidRDefault="00000000" w:rsidP="00821FA6">
      <w:pPr>
        <w:pStyle w:val="Heading1"/>
        <w:spacing w:line="276" w:lineRule="auto"/>
      </w:pPr>
      <w:r>
        <w:rPr>
          <w:caps/>
        </w:rPr>
        <w:t>XI. Conclusion</w:t>
      </w:r>
    </w:p>
    <w:p w14:paraId="77F9B85B" w14:textId="77777777" w:rsidR="00E50E3E" w:rsidRDefault="00000000" w:rsidP="00821FA6">
      <w:pPr>
        <w:spacing w:after="120" w:line="276" w:lineRule="auto"/>
        <w:ind w:firstLine="720"/>
        <w:jc w:val="both"/>
      </w:pPr>
      <w:r>
        <w:rPr>
          <w:color w:val="000000"/>
        </w:rPr>
        <w:t>The Strait of Hormuz stands at the intersection of physical geography and global geopolitics in a manner that admits no easy redundancy. Twenty-one million barrels of daily petroleum flow through a 33-kilometer channel guarded by a state—Iran—that has demonstrated both the capability and the willingness to threaten interdiction as an instrument of coercive statecraft. The analysis presented in this paper establishes that the economic consequences of even a brief closure would be severe by historical standards, and that a prolonged blockade would constitute one of the most disruptive events in the post-World War II global economy.</w:t>
      </w:r>
    </w:p>
    <w:p w14:paraId="42227A49" w14:textId="71387871" w:rsidR="00E50E3E" w:rsidRDefault="00000000" w:rsidP="00821FA6">
      <w:pPr>
        <w:spacing w:after="120" w:line="276" w:lineRule="auto"/>
        <w:ind w:firstLine="720"/>
        <w:jc w:val="both"/>
      </w:pPr>
      <w:r>
        <w:rPr>
          <w:color w:val="000000"/>
        </w:rPr>
        <w:t xml:space="preserve">The quantitative </w:t>
      </w:r>
      <w:r w:rsidR="000828E3">
        <w:rPr>
          <w:color w:val="000000"/>
        </w:rPr>
        <w:t>modelling</w:t>
      </w:r>
      <w:r>
        <w:rPr>
          <w:color w:val="000000"/>
        </w:rPr>
        <w:t xml:space="preserve"> indicates that a one-week disruption would push Brent crude to USD 110–130/barrel and reduce global GDP growth by 0.3–0.5 percentage points. A one-month blockade would approach recession-inducing severity at USD 140–165/barrel, with inflation effects of 3–5 percent in energy-import-dependent economies. A sustained three-month closure would be genuinely catastrophic, with oil potentially exceeding USD 180–200/barrel, global recession highly probable, and secondary effects on food security, sovereign creditworthiness, and political stability extending well beyond the immediate conflict zone.</w:t>
      </w:r>
    </w:p>
    <w:p w14:paraId="3FBA2CD8" w14:textId="77777777" w:rsidR="00E50E3E" w:rsidRDefault="00000000" w:rsidP="00821FA6">
      <w:pPr>
        <w:spacing w:after="120" w:line="276" w:lineRule="auto"/>
        <w:ind w:firstLine="720"/>
        <w:jc w:val="both"/>
      </w:pPr>
      <w:r>
        <w:rPr>
          <w:color w:val="000000"/>
        </w:rPr>
        <w:t>Asian economies—China, India, Japan, and South Korea—face the greatest structural exposure, collectively importing close to 20 mb/d through the strait with limited short-run substitution options. Their governments would face simultaneous inflation, currency depreciation, and growth contraction at a time when several carry significant public debt burdens. The resilience of these economies to a sustained disruption depends heavily on SPR depth and the speed with which alternative supply arrangements could be activated.</w:t>
      </w:r>
    </w:p>
    <w:p w14:paraId="64572AA4" w14:textId="77777777" w:rsidR="00E50E3E" w:rsidRDefault="00000000" w:rsidP="00821FA6">
      <w:pPr>
        <w:spacing w:after="120" w:line="276" w:lineRule="auto"/>
        <w:ind w:firstLine="720"/>
        <w:jc w:val="both"/>
      </w:pPr>
      <w:r>
        <w:rPr>
          <w:color w:val="000000"/>
        </w:rPr>
        <w:t>The military dynamics of such a scenario introduce further uncertainty. Iran's asymmetric capabilities—mines, anti-ship missiles, fast-attack swarms—could impose significant costs even against a superior U.S. naval force, and the risk of horizontal escalation into a broader regional conflict is non-trivial. The involvement of Israel, Hezbollah, and Houthi forces could extend the disruption well beyond the strait itself, affecting Saudi and UAE production infrastructure.</w:t>
      </w:r>
    </w:p>
    <w:p w14:paraId="7F0BBD0D" w14:textId="4340AD44" w:rsidR="00E50E3E" w:rsidRDefault="00000000" w:rsidP="00821FA6">
      <w:pPr>
        <w:spacing w:after="120" w:line="276" w:lineRule="auto"/>
        <w:ind w:firstLine="720"/>
        <w:jc w:val="both"/>
      </w:pPr>
      <w:r>
        <w:rPr>
          <w:color w:val="000000"/>
        </w:rPr>
        <w:t xml:space="preserve">The policy agenda that emerges from this analysis is urgent. Strategic reserves need to be rebuilt and diversified. Energy supply portfolios need to reduce their concentration risk. Maritime security cooperation needs to be </w:t>
      </w:r>
      <w:proofErr w:type="spellStart"/>
      <w:r w:rsidR="000828E3">
        <w:rPr>
          <w:color w:val="000000"/>
        </w:rPr>
        <w:t>multilateralized</w:t>
      </w:r>
      <w:proofErr w:type="spellEnd"/>
      <w:r>
        <w:rPr>
          <w:color w:val="000000"/>
        </w:rPr>
        <w:t xml:space="preserve">. And the diplomatic architecture for managing Iran–Israel–U.S. tensions </w:t>
      </w:r>
      <w:proofErr w:type="gramStart"/>
      <w:r>
        <w:rPr>
          <w:color w:val="000000"/>
        </w:rPr>
        <w:t>needs</w:t>
      </w:r>
      <w:proofErr w:type="gramEnd"/>
      <w:r>
        <w:rPr>
          <w:color w:val="000000"/>
        </w:rPr>
        <w:t xml:space="preserve"> serious reinvestment. The Strait of Hormuz will remain a chokepoint indefinitely; the task of statecraft is to ensure that its disruption remains a theoretical rather than realized crisis.</w:t>
      </w:r>
    </w:p>
    <w:p w14:paraId="01F7EA74" w14:textId="77777777" w:rsidR="00E50E3E" w:rsidRDefault="00000000" w:rsidP="00821FA6">
      <w:pPr>
        <w:pStyle w:val="Heading1"/>
        <w:spacing w:line="276" w:lineRule="auto"/>
      </w:pPr>
      <w:r>
        <w:rPr>
          <w:caps/>
        </w:rPr>
        <w:lastRenderedPageBreak/>
        <w:t>References</w:t>
      </w:r>
    </w:p>
    <w:p w14:paraId="1EEA1273" w14:textId="77777777" w:rsidR="00E50E3E" w:rsidRDefault="00000000" w:rsidP="00821FA6">
      <w:pPr>
        <w:spacing w:after="80" w:line="276" w:lineRule="auto"/>
        <w:ind w:left="360" w:hanging="360"/>
        <w:jc w:val="both"/>
      </w:pPr>
      <w:r>
        <w:rPr>
          <w:sz w:val="18"/>
          <w:szCs w:val="18"/>
        </w:rPr>
        <w:t>[1] U.S. Energy Information Administration (EIA), "World Oil Transit Chokepoints," EIA, Washington, D.C., July 2023. [Online]. Available: https://www.eia.gov/international/analysis/special-topics/World_Oil_Transit_Chokepoints</w:t>
      </w:r>
    </w:p>
    <w:p w14:paraId="14D28300" w14:textId="77777777" w:rsidR="00E50E3E" w:rsidRDefault="00000000" w:rsidP="00821FA6">
      <w:pPr>
        <w:spacing w:after="80" w:line="276" w:lineRule="auto"/>
        <w:ind w:left="360" w:hanging="360"/>
        <w:jc w:val="both"/>
      </w:pPr>
      <w:r>
        <w:rPr>
          <w:sz w:val="18"/>
          <w:szCs w:val="18"/>
        </w:rPr>
        <w:t>[2] International Energy Agency (IEA), "Oil Market Report – Annual Statistical Supplement," IEA, Paris, 2023.</w:t>
      </w:r>
    </w:p>
    <w:p w14:paraId="6AF84A79" w14:textId="77777777" w:rsidR="00E50E3E" w:rsidRDefault="00000000" w:rsidP="00821FA6">
      <w:pPr>
        <w:spacing w:after="80" w:line="276" w:lineRule="auto"/>
        <w:ind w:left="360" w:hanging="360"/>
        <w:jc w:val="both"/>
      </w:pPr>
      <w:r>
        <w:rPr>
          <w:sz w:val="18"/>
          <w:szCs w:val="18"/>
        </w:rPr>
        <w:t>[3] OPEC, "Annual Statistical Bulletin 2023," Organization of the Petroleum Exporting Countries, Vienna, 2023.</w:t>
      </w:r>
    </w:p>
    <w:p w14:paraId="524DFBFE" w14:textId="77777777" w:rsidR="00E50E3E" w:rsidRDefault="00000000" w:rsidP="00821FA6">
      <w:pPr>
        <w:spacing w:after="80" w:line="276" w:lineRule="auto"/>
        <w:ind w:left="360" w:hanging="360"/>
        <w:jc w:val="both"/>
      </w:pPr>
      <w:r>
        <w:rPr>
          <w:sz w:val="18"/>
          <w:szCs w:val="18"/>
        </w:rPr>
        <w:t>[4] J. D. Hamilton, "Causes and Consequences of the Oil Shock of 2007–08," Brookings Papers on Economic Activity, vol. 40, no. 1, pp. 215–261, 2009.</w:t>
      </w:r>
    </w:p>
    <w:p w14:paraId="14C918D1" w14:textId="77777777" w:rsidR="00E50E3E" w:rsidRDefault="00000000" w:rsidP="00821FA6">
      <w:pPr>
        <w:spacing w:after="80" w:line="276" w:lineRule="auto"/>
        <w:ind w:left="360" w:hanging="360"/>
        <w:jc w:val="both"/>
      </w:pPr>
      <w:r>
        <w:rPr>
          <w:sz w:val="18"/>
          <w:szCs w:val="18"/>
        </w:rPr>
        <w:t>[5] L. Kilian, "Oil Price Shocks: Causes and Consequences," Annual Review of Resource Economics, vol. 6, pp. 133–154, 2014.</w:t>
      </w:r>
    </w:p>
    <w:p w14:paraId="01C9BFBA" w14:textId="77777777" w:rsidR="00E50E3E" w:rsidRDefault="00000000" w:rsidP="00821FA6">
      <w:pPr>
        <w:spacing w:after="80" w:line="276" w:lineRule="auto"/>
        <w:ind w:left="360" w:hanging="360"/>
        <w:jc w:val="both"/>
      </w:pPr>
      <w:r>
        <w:rPr>
          <w:sz w:val="18"/>
          <w:szCs w:val="18"/>
        </w:rPr>
        <w:t>[6] D. Yergin, The Quest: Energy, Security, and the Remaking of the Modern World. New York, NY: Penguin Press, 2011.</w:t>
      </w:r>
    </w:p>
    <w:p w14:paraId="33CD0615" w14:textId="6FD33121" w:rsidR="00E50E3E" w:rsidRDefault="00000000" w:rsidP="00821FA6">
      <w:pPr>
        <w:spacing w:after="80" w:line="276" w:lineRule="auto"/>
        <w:ind w:left="360" w:hanging="360"/>
        <w:jc w:val="both"/>
      </w:pPr>
      <w:r>
        <w:rPr>
          <w:sz w:val="18"/>
          <w:szCs w:val="18"/>
        </w:rPr>
        <w:t xml:space="preserve">[7] G. Till, </w:t>
      </w:r>
      <w:r w:rsidR="000828E3">
        <w:rPr>
          <w:sz w:val="18"/>
          <w:szCs w:val="18"/>
        </w:rPr>
        <w:t>Sea power</w:t>
      </w:r>
      <w:r>
        <w:rPr>
          <w:sz w:val="18"/>
          <w:szCs w:val="18"/>
        </w:rPr>
        <w:t>: A Guide for the Twenty-First Century, 3rd ed. London, UK: Routledge, 2013.</w:t>
      </w:r>
    </w:p>
    <w:p w14:paraId="5B6F205B" w14:textId="77777777" w:rsidR="00E50E3E" w:rsidRDefault="00000000" w:rsidP="00821FA6">
      <w:pPr>
        <w:spacing w:after="80" w:line="276" w:lineRule="auto"/>
        <w:ind w:left="360" w:hanging="360"/>
        <w:jc w:val="both"/>
      </w:pPr>
      <w:r>
        <w:rPr>
          <w:sz w:val="18"/>
          <w:szCs w:val="18"/>
        </w:rPr>
        <w:t>[8] G. Bahgat, "Iran, the United States, and the Persian Gulf: The Geopolitics of Energy," Journal of the Middle East and Africa, vol. 10, no. 3, pp. 223–241, 2019.</w:t>
      </w:r>
    </w:p>
    <w:p w14:paraId="513933E6" w14:textId="77777777" w:rsidR="00E50E3E" w:rsidRDefault="00000000" w:rsidP="00821FA6">
      <w:pPr>
        <w:spacing w:after="80" w:line="276" w:lineRule="auto"/>
        <w:ind w:left="360" w:hanging="360"/>
        <w:jc w:val="both"/>
      </w:pPr>
      <w:r>
        <w:rPr>
          <w:sz w:val="18"/>
          <w:szCs w:val="18"/>
        </w:rPr>
        <w:t xml:space="preserve">[9] E. </w:t>
      </w:r>
      <w:proofErr w:type="spellStart"/>
      <w:r>
        <w:rPr>
          <w:sz w:val="18"/>
          <w:szCs w:val="18"/>
        </w:rPr>
        <w:t>Gholz</w:t>
      </w:r>
      <w:proofErr w:type="spellEnd"/>
      <w:r>
        <w:rPr>
          <w:sz w:val="18"/>
          <w:szCs w:val="18"/>
        </w:rPr>
        <w:t xml:space="preserve"> and D. Press, "Protecting 'The Prize': Oil and the U.S. National Interest," Security Studies, vol. 19, no. 3, pp. 453–485, 2010.</w:t>
      </w:r>
    </w:p>
    <w:p w14:paraId="1A88ED87" w14:textId="77777777" w:rsidR="00E50E3E" w:rsidRDefault="00000000" w:rsidP="00821FA6">
      <w:pPr>
        <w:spacing w:after="80" w:line="276" w:lineRule="auto"/>
        <w:ind w:left="360" w:hanging="360"/>
        <w:jc w:val="both"/>
      </w:pPr>
      <w:r>
        <w:rPr>
          <w:sz w:val="18"/>
          <w:szCs w:val="18"/>
        </w:rPr>
        <w:t>[10] J. Saul and R. Lawler, "Tanker Wars: Iran's Threat to the Strait of Hormuz in Historical Context," Middle East Journal, vol. 73, no. 2, pp. 177–196, 2019.</w:t>
      </w:r>
    </w:p>
    <w:p w14:paraId="120D07E5" w14:textId="77777777" w:rsidR="00E50E3E" w:rsidRDefault="00000000" w:rsidP="00821FA6">
      <w:pPr>
        <w:spacing w:after="80" w:line="276" w:lineRule="auto"/>
        <w:ind w:left="360" w:hanging="360"/>
        <w:jc w:val="both"/>
      </w:pPr>
      <w:r>
        <w:rPr>
          <w:sz w:val="18"/>
          <w:szCs w:val="18"/>
        </w:rPr>
        <w:t>[11] International Monetary Fund (IMF), "World Economic Outlook: Navigating Global Divergences," IMF, Washington, D.C., October 2023.</w:t>
      </w:r>
    </w:p>
    <w:p w14:paraId="18F4AA58" w14:textId="77777777" w:rsidR="00E50E3E" w:rsidRDefault="00000000" w:rsidP="00821FA6">
      <w:pPr>
        <w:spacing w:after="80" w:line="276" w:lineRule="auto"/>
        <w:ind w:left="360" w:hanging="360"/>
        <w:jc w:val="both"/>
      </w:pPr>
      <w:r>
        <w:rPr>
          <w:sz w:val="18"/>
          <w:szCs w:val="18"/>
        </w:rPr>
        <w:t>[12] World Bank, "Commodity Markets Outlook: Under the Shadow of Geopolitical Risks," World Bank Group, Washington, D.C., April 2024.</w:t>
      </w:r>
    </w:p>
    <w:p w14:paraId="7D37B6C0" w14:textId="77777777" w:rsidR="00E50E3E" w:rsidRDefault="00000000" w:rsidP="00821FA6">
      <w:pPr>
        <w:spacing w:after="80" w:line="276" w:lineRule="auto"/>
        <w:ind w:left="360" w:hanging="360"/>
        <w:jc w:val="both"/>
      </w:pPr>
      <w:r>
        <w:rPr>
          <w:sz w:val="18"/>
          <w:szCs w:val="18"/>
        </w:rPr>
        <w:t>[13] RAND Corporation, "Blowing Up the Strait: Weighing the Consequences of a Conflict over Iran's Nuclear Program," RAND, Santa Monica, CA, 2021.</w:t>
      </w:r>
    </w:p>
    <w:p w14:paraId="5D6ADA36" w14:textId="77777777" w:rsidR="00E50E3E" w:rsidRDefault="00000000" w:rsidP="00821FA6">
      <w:pPr>
        <w:spacing w:after="80" w:line="276" w:lineRule="auto"/>
        <w:ind w:left="360" w:hanging="360"/>
        <w:jc w:val="both"/>
      </w:pPr>
      <w:r>
        <w:rPr>
          <w:sz w:val="18"/>
          <w:szCs w:val="18"/>
        </w:rPr>
        <w:t>[14] International Crisis Group, "Iran-Israel Direct Confrontation: Managing Escalation Risk," Crisis Group Middle East Report No. 238, March 2024.</w:t>
      </w:r>
    </w:p>
    <w:p w14:paraId="67422A33" w14:textId="77777777" w:rsidR="00E50E3E" w:rsidRDefault="00000000" w:rsidP="00821FA6">
      <w:pPr>
        <w:spacing w:after="80" w:line="276" w:lineRule="auto"/>
        <w:ind w:left="360" w:hanging="360"/>
        <w:jc w:val="both"/>
      </w:pPr>
      <w:r>
        <w:rPr>
          <w:sz w:val="18"/>
          <w:szCs w:val="18"/>
        </w:rPr>
        <w:t>[15] G. Modelski and W. R. Thompson, Sea Power in Global Politics, 1494–1993. London, UK: Macmillan, 1988.</w:t>
      </w:r>
    </w:p>
    <w:p w14:paraId="7059C589" w14:textId="77777777" w:rsidR="00E50E3E" w:rsidRDefault="00000000" w:rsidP="00821FA6">
      <w:pPr>
        <w:spacing w:after="80" w:line="276" w:lineRule="auto"/>
        <w:ind w:left="360" w:hanging="360"/>
        <w:jc w:val="both"/>
      </w:pPr>
      <w:r>
        <w:rPr>
          <w:sz w:val="18"/>
          <w:szCs w:val="18"/>
        </w:rPr>
        <w:t xml:space="preserve">[16] K. Crane, A. </w:t>
      </w:r>
      <w:proofErr w:type="spellStart"/>
      <w:r>
        <w:rPr>
          <w:sz w:val="18"/>
          <w:szCs w:val="18"/>
        </w:rPr>
        <w:t>Goldthau</w:t>
      </w:r>
      <w:proofErr w:type="spellEnd"/>
      <w:r>
        <w:rPr>
          <w:sz w:val="18"/>
          <w:szCs w:val="18"/>
        </w:rPr>
        <w:t xml:space="preserve">, M. Toman, T. Light, S. Johnson, A. Nader, A. Rabasa, and H. </w:t>
      </w:r>
      <w:proofErr w:type="spellStart"/>
      <w:r>
        <w:rPr>
          <w:sz w:val="18"/>
          <w:szCs w:val="18"/>
        </w:rPr>
        <w:t>Dogo</w:t>
      </w:r>
      <w:proofErr w:type="spellEnd"/>
      <w:r>
        <w:rPr>
          <w:sz w:val="18"/>
          <w:szCs w:val="18"/>
        </w:rPr>
        <w:t>, Imported Oil and U.S. National Security. Santa Monica, CA: RAND Corporation, 2009.</w:t>
      </w:r>
    </w:p>
    <w:p w14:paraId="3EFBFEE6" w14:textId="77777777" w:rsidR="00E50E3E" w:rsidRDefault="00000000" w:rsidP="00821FA6">
      <w:pPr>
        <w:spacing w:after="80" w:line="276" w:lineRule="auto"/>
        <w:ind w:left="360" w:hanging="360"/>
        <w:jc w:val="both"/>
      </w:pPr>
      <w:r>
        <w:rPr>
          <w:sz w:val="18"/>
          <w:szCs w:val="18"/>
        </w:rPr>
        <w:t xml:space="preserve">[17] S. </w:t>
      </w:r>
      <w:proofErr w:type="spellStart"/>
      <w:r>
        <w:rPr>
          <w:sz w:val="18"/>
          <w:szCs w:val="18"/>
        </w:rPr>
        <w:t>Yetiv</w:t>
      </w:r>
      <w:proofErr w:type="spellEnd"/>
      <w:r>
        <w:rPr>
          <w:sz w:val="18"/>
          <w:szCs w:val="18"/>
        </w:rPr>
        <w:t>, Crude Awakenings: Global Oil Security and American Foreign Policy. Ithaca, NY: Cornell University Press, 2011.</w:t>
      </w:r>
    </w:p>
    <w:p w14:paraId="646E8735" w14:textId="77777777" w:rsidR="00E50E3E" w:rsidRDefault="00000000" w:rsidP="00821FA6">
      <w:pPr>
        <w:spacing w:after="80" w:line="276" w:lineRule="auto"/>
        <w:ind w:left="360" w:hanging="360"/>
        <w:jc w:val="both"/>
      </w:pPr>
      <w:r>
        <w:rPr>
          <w:sz w:val="18"/>
          <w:szCs w:val="18"/>
        </w:rPr>
        <w:t>[18] International Energy Agency, "Energy Security in a Volatile World: 2024 Special Report," IEA, Paris, 2024.</w:t>
      </w:r>
    </w:p>
    <w:p w14:paraId="7F45EB4B" w14:textId="77777777" w:rsidR="00E50E3E" w:rsidRDefault="00000000" w:rsidP="00821FA6">
      <w:pPr>
        <w:spacing w:after="80" w:line="276" w:lineRule="auto"/>
        <w:ind w:left="360" w:hanging="360"/>
        <w:jc w:val="both"/>
      </w:pPr>
      <w:r>
        <w:rPr>
          <w:sz w:val="18"/>
          <w:szCs w:val="18"/>
        </w:rPr>
        <w:t>[19] Congressional Research Service (CRS), "Iran: Threats to Close the Strait of Hormuz," CRS Report R42335, Washington, D.C., March 2023.</w:t>
      </w:r>
    </w:p>
    <w:p w14:paraId="3860A3CB" w14:textId="77777777" w:rsidR="00E50E3E" w:rsidRDefault="00000000" w:rsidP="00821FA6">
      <w:pPr>
        <w:spacing w:after="80" w:line="276" w:lineRule="auto"/>
        <w:ind w:left="360" w:hanging="360"/>
        <w:jc w:val="both"/>
      </w:pPr>
      <w:r>
        <w:rPr>
          <w:sz w:val="18"/>
          <w:szCs w:val="18"/>
        </w:rPr>
        <w:t xml:space="preserve">[20] K. A. Maugeri, "The Shale Oil Boom: A U.S. Phenomenon," Discussion Paper 2013-05, Harvard Kennedy School Belfer </w:t>
      </w:r>
      <w:proofErr w:type="spellStart"/>
      <w:r>
        <w:rPr>
          <w:sz w:val="18"/>
          <w:szCs w:val="18"/>
        </w:rPr>
        <w:t>Center</w:t>
      </w:r>
      <w:proofErr w:type="spellEnd"/>
      <w:r>
        <w:rPr>
          <w:sz w:val="18"/>
          <w:szCs w:val="18"/>
        </w:rPr>
        <w:t>, Cambridge, MA, 2013.</w:t>
      </w:r>
    </w:p>
    <w:sectPr w:rsidR="00E50E3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F092C"/>
    <w:multiLevelType w:val="hybridMultilevel"/>
    <w:tmpl w:val="05C0F9DC"/>
    <w:lvl w:ilvl="0" w:tplc="16BA5F80">
      <w:start w:val="1"/>
      <w:numFmt w:val="decimal"/>
      <w:lvlText w:val="%1."/>
      <w:lvlJc w:val="left"/>
      <w:pPr>
        <w:ind w:left="720" w:hanging="360"/>
      </w:pPr>
    </w:lvl>
    <w:lvl w:ilvl="1" w:tplc="4CC8F6F4">
      <w:numFmt w:val="decimal"/>
      <w:lvlText w:val=""/>
      <w:lvlJc w:val="left"/>
    </w:lvl>
    <w:lvl w:ilvl="2" w:tplc="A1A6FAC6">
      <w:numFmt w:val="decimal"/>
      <w:lvlText w:val=""/>
      <w:lvlJc w:val="left"/>
    </w:lvl>
    <w:lvl w:ilvl="3" w:tplc="101696FA">
      <w:numFmt w:val="decimal"/>
      <w:lvlText w:val=""/>
      <w:lvlJc w:val="left"/>
    </w:lvl>
    <w:lvl w:ilvl="4" w:tplc="8D94D9AE">
      <w:numFmt w:val="decimal"/>
      <w:lvlText w:val=""/>
      <w:lvlJc w:val="left"/>
    </w:lvl>
    <w:lvl w:ilvl="5" w:tplc="91749B8E">
      <w:numFmt w:val="decimal"/>
      <w:lvlText w:val=""/>
      <w:lvlJc w:val="left"/>
    </w:lvl>
    <w:lvl w:ilvl="6" w:tplc="0C2661BE">
      <w:numFmt w:val="decimal"/>
      <w:lvlText w:val=""/>
      <w:lvlJc w:val="left"/>
    </w:lvl>
    <w:lvl w:ilvl="7" w:tplc="505E850A">
      <w:numFmt w:val="decimal"/>
      <w:lvlText w:val=""/>
      <w:lvlJc w:val="left"/>
    </w:lvl>
    <w:lvl w:ilvl="8" w:tplc="45F8D286">
      <w:numFmt w:val="decimal"/>
      <w:lvlText w:val=""/>
      <w:lvlJc w:val="left"/>
    </w:lvl>
  </w:abstractNum>
  <w:abstractNum w:abstractNumId="1" w15:restartNumberingAfterBreak="0">
    <w:nsid w:val="70B10CC5"/>
    <w:multiLevelType w:val="hybridMultilevel"/>
    <w:tmpl w:val="1AD4BED0"/>
    <w:lvl w:ilvl="0" w:tplc="C386735A">
      <w:start w:val="1"/>
      <w:numFmt w:val="bullet"/>
      <w:lvlText w:val="●"/>
      <w:lvlJc w:val="left"/>
      <w:pPr>
        <w:ind w:left="720" w:hanging="360"/>
      </w:pPr>
    </w:lvl>
    <w:lvl w:ilvl="1" w:tplc="E530EB60">
      <w:start w:val="1"/>
      <w:numFmt w:val="bullet"/>
      <w:lvlText w:val="○"/>
      <w:lvlJc w:val="left"/>
      <w:pPr>
        <w:ind w:left="1440" w:hanging="360"/>
      </w:pPr>
    </w:lvl>
    <w:lvl w:ilvl="2" w:tplc="8556D9F2">
      <w:start w:val="1"/>
      <w:numFmt w:val="bullet"/>
      <w:lvlText w:val="■"/>
      <w:lvlJc w:val="left"/>
      <w:pPr>
        <w:ind w:left="2160" w:hanging="360"/>
      </w:pPr>
    </w:lvl>
    <w:lvl w:ilvl="3" w:tplc="AA8EAFBA">
      <w:start w:val="1"/>
      <w:numFmt w:val="bullet"/>
      <w:lvlText w:val="●"/>
      <w:lvlJc w:val="left"/>
      <w:pPr>
        <w:ind w:left="2880" w:hanging="360"/>
      </w:pPr>
    </w:lvl>
    <w:lvl w:ilvl="4" w:tplc="F3DE553A">
      <w:start w:val="1"/>
      <w:numFmt w:val="bullet"/>
      <w:lvlText w:val="○"/>
      <w:lvlJc w:val="left"/>
      <w:pPr>
        <w:ind w:left="3600" w:hanging="360"/>
      </w:pPr>
    </w:lvl>
    <w:lvl w:ilvl="5" w:tplc="FF0CF354">
      <w:start w:val="1"/>
      <w:numFmt w:val="bullet"/>
      <w:lvlText w:val="■"/>
      <w:lvlJc w:val="left"/>
      <w:pPr>
        <w:ind w:left="4320" w:hanging="360"/>
      </w:pPr>
    </w:lvl>
    <w:lvl w:ilvl="6" w:tplc="71369EC4">
      <w:start w:val="1"/>
      <w:numFmt w:val="bullet"/>
      <w:lvlText w:val="●"/>
      <w:lvlJc w:val="left"/>
      <w:pPr>
        <w:ind w:left="5040" w:hanging="360"/>
      </w:pPr>
    </w:lvl>
    <w:lvl w:ilvl="7" w:tplc="542CADB8">
      <w:start w:val="1"/>
      <w:numFmt w:val="bullet"/>
      <w:lvlText w:val="●"/>
      <w:lvlJc w:val="left"/>
      <w:pPr>
        <w:ind w:left="5760" w:hanging="360"/>
      </w:pPr>
    </w:lvl>
    <w:lvl w:ilvl="8" w:tplc="ED1AA58C">
      <w:start w:val="1"/>
      <w:numFmt w:val="bullet"/>
      <w:lvlText w:val="●"/>
      <w:lvlJc w:val="left"/>
      <w:pPr>
        <w:ind w:left="6480" w:hanging="360"/>
      </w:pPr>
    </w:lvl>
  </w:abstractNum>
  <w:num w:numId="1" w16cid:durableId="732390774">
    <w:abstractNumId w:val="1"/>
    <w:lvlOverride w:ilvl="0">
      <w:startOverride w:val="1"/>
    </w:lvlOverride>
  </w:num>
  <w:num w:numId="2" w16cid:durableId="8532326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0E3E"/>
    <w:rsid w:val="000828E3"/>
    <w:rsid w:val="00496821"/>
    <w:rsid w:val="00622BA8"/>
    <w:rsid w:val="00821FA6"/>
    <w:rsid w:val="00C8204B"/>
    <w:rsid w:val="00E50E3E"/>
    <w:rsid w:val="00E77A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E50FF3"/>
  <w15:docId w15:val="{9921930A-FC83-47FA-8051-963CEC2E79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b/>
      <w:bCs/>
      <w:sz w:val="28"/>
      <w:szCs w:val="28"/>
    </w:rPr>
  </w:style>
  <w:style w:type="paragraph" w:styleId="Heading2">
    <w:name w:val="heading 2"/>
    <w:uiPriority w:val="9"/>
    <w:unhideWhenUsed/>
    <w:qFormat/>
    <w:pPr>
      <w:spacing w:before="200" w:after="100"/>
      <w:outlineLvl w:val="1"/>
    </w:pPr>
    <w:rPr>
      <w:b/>
      <w:bCs/>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10</Pages>
  <Words>4857</Words>
  <Characters>27691</Characters>
  <Application>Microsoft Office Word</Application>
  <DocSecurity>0</DocSecurity>
  <Lines>230</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TEJAS RAGHAV 2401730187</cp:lastModifiedBy>
  <cp:revision>4</cp:revision>
  <cp:lastPrinted>2026-03-04T15:10:00Z</cp:lastPrinted>
  <dcterms:created xsi:type="dcterms:W3CDTF">2026-03-04T15:29:00Z</dcterms:created>
  <dcterms:modified xsi:type="dcterms:W3CDTF">2026-03-04T15:43:00Z</dcterms:modified>
</cp:coreProperties>
</file>