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UNIVERSIDAD POLITÉCNICA ESTATAL DEL CARCHI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POSGRADO</w:t>
      </w:r>
    </w:p>
    <w:p>
      <w:pPr>
        <w:spacing w:after="280" w:before="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MAESTRÍA EN INGENIERÍA DE SOFTWARE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Módulo 8: Automatización de proceso de software</w:t>
      </w:r>
    </w:p>
    <w:p>
      <w:pPr>
        <w:spacing w:after="280" w:before="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Dossier de arquitectura — Actividad autónoma Semana 1 (SEM01)</w:t>
      </w:r>
    </w:p>
    <w:p>
      <w:pPr>
        <w:spacing w:after="280" w:before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Proyecto: Sistema de Gestión Automatizada y Auditoría para la Asociación “31 de Enero Narciza de Jesús”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Estudiantes:</w:t>
      </w:r>
    </w:p>
    <w:p>
      <w:pPr>
        <w:spacing w:after="160" w:before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Alejandra Valeria Lucero Burbano</w:t>
        <w:br/>
        <w:t>José Miguel Guerrero Tapia</w:t>
        <w:br/>
        <w:t>Bolívar Alexander Valenzuela Mejía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Docente: MSc. José Luis Rodríguez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Fecha: 18/10/2026    ·    Versión: v0.1.0 (hito H1)</w:t>
      </w:r>
    </w:p>
    <w:p>
      <w:pPr>
        <w:spacing w:after="40" w:before="0" w:line="360" w:lineRule="auto"/>
        <w:jc w:val="center"/>
      </w:pPr>
      <w:r>
        <w:rPr>
          <w:rFonts w:ascii="Times New Roman" w:hAnsi="Times New Roman"/>
          <w:b w:val="0"/>
          <w:i/>
          <w:sz w:val="20"/>
        </w:rPr>
        <w:t>Repositorio: https://github.com/bolimirme16/modulo-gestion-31-de-enero</w:t>
      </w:r>
    </w:p>
    <w:p>
      <w:r>
        <w:br w:type="page"/>
      </w:r>
    </w:p>
    <w:p>
      <w:pPr>
        <w:spacing w:after="200" w:before="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Dossier de arquitectura del Sistema de Gestión 31 de Enero</w:t>
      </w:r>
    </w:p>
    <w:p>
      <w:pPr>
        <w:spacing w:after="1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Este dossier integra las tres partes del trabajo de la unidad: levantar los drivers arquitectónicos (S1), representar y documentar la arquitectura (S2) y decidir el estilo con una matriz ponderada (S3). Todo el contenido se deriva del caso propio del equipo, según ISO/IEC/IEEE 42010:2022 e ISO/IEC 25010:2023.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Convenciones de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4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Prefijo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Significado</w:t>
            </w:r>
          </w:p>
        </w:tc>
        <w:tc>
          <w:tcPr>
            <w:tcW w:type="dxa" w:w="4819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Valores en el caso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Stakeholder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 a S6 (Paso 1)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Restricción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R1 a R6 (Paso 2)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Driver arquitectónico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 a D6 (Paso 3)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Escenario de calidad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E1 a E5 (Paso 4); E6 se incorpora en la Parte III (Paso 10)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Alternativa de estilo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A1 a A3 (Paso 11)</w:t>
            </w:r>
          </w:p>
        </w:tc>
      </w:tr>
      <w:tr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Registro de decisión arquitectónica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ADR-001 y ADR-002 (Paso 7); ADR-003 (Paso 15)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Continuidad entre las tres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Sesión</w:t>
            </w:r>
          </w:p>
        </w:tc>
        <w:tc>
          <w:tcPr>
            <w:tcW w:type="dxa" w:w="306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Pregunta que responde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Productos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Ubicación en el repositorio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 · Levantar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necesita el sistema y qué condiciona su estructura?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S, R, D y escenarios E1 a E5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docs/01-contexto-y-drivers.md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II · Representar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S2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¿Cómo se ve la arquitectura y qué se decidió?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C4 niveles 1 y 2, ADR-001 y ADR-002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docs/02-vistas-c4/ y docs/03-adr/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III · Decidir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S3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estilo sostiene mejor los escenarios?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E6, matriz ponderada, ADR-003 y C4 nivel 2 actualizado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docs/01, docs/02 y docs/03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2CC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b w:val="0"/>
                <w:i/>
                <w:sz w:val="22"/>
              </w:rPr>
              <w:t>Para opinar en clase. ¿Qué decisión de este sistema sería más difícil de cambiar una vez construido?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Times New Roman" w:hAnsi="Times New Roman"/>
          <w:b/>
          <w:i w:val="0"/>
          <w:color w:val="1F3864"/>
          <w:sz w:val="30"/>
        </w:rPr>
        <w:t>Parte I · Levantar — Práctica 01: Drivers arquitectónicos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 · El caso, stakeholders y concerns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La Asociación “31 de Enero Narciza de Jesús” es una asociación de vivienda con 69 socios como máximo. Cada último sábado del mes la secretaria toma lista, sirve el café a mitad de reunión y cobra las mensualidades al final, anotando todo a mano; esto producía deudas poco claras, comprobantes inexistentes y cortes difíciles de auditar. El sistema digitaliza ese flujo con una sola operadora, 100 % local y offline, costo cero en software y hardware. Alcance: solo socios y dinero de la asociación (sin contabilidad externa, nómina ni pagos en línea).</w:t>
      </w:r>
    </w:p>
    <w:p>
      <w:pPr>
        <w:spacing w:after="1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Casos de uso: gestionar socios; dirigir la reunión mensual (asistencia con multa, café por comisiones, mensualidades); consultar el estado de cuenta por cédula con comprobante imprimible; operar caja chica con corte; auditar movimientos; verificar integridad y respaldar; cerrar sesión y programa. Sistemas externos: impresora (comprobantes y cortes) y USB (respaldo).</w:t>
      </w:r>
    </w:p>
    <w:p>
      <w:pPr>
        <w:spacing w:after="80" w:before="0"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Un concern es un interés del stakeholder sobre el sistema, aún no un requisito ni una solución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368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Concerns principales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Influencia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Operadora única y administradora funcional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Cobrar y cerrar sin errores; saldos correctos; operar sin conocimientos técnicos; proteger datos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Socios / Asamblea (69)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Aportan dinero y reciben servicios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Que su pago quede registrado; comprobante claro; trato justo en café y multas; transparencia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Directiva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Decide y rinde cuentas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Que la caja cuadre; corte y reportes; cumplir el estatuto; costo mínimo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Comisión de vigilancia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Auditoría interna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Rastrear quién hizo qué; que no se borre el historial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Responsable de protección de datos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Vela por el cumplimiento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Uso lícito de cédulas y datos personales; trazabilidad de accesos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S6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Equipo de desarrollo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Construye y mantiene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Facilidad de cambio; despliegue sencillo; bajo costo; pocas dependencias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Conflicto de concerns: S1 prioriza rapidez al cobrar; S4/S5 priorizan trazabilidad y control. Se resuelve registrando automáticamente cada acción (auditoría) sin pasos manuales para la secretaria.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2 · Restricciones y supuestos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24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74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Restricción</w:t>
            </w:r>
          </w:p>
        </w:tc>
        <w:tc>
          <w:tcPr>
            <w:tcW w:type="dxa" w:w="204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Origen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Negociable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R1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Legal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Datos personales (cédulas, domicilio, teléfono) conforme a la LOPDP (Ecuador)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Normativa (verificar en la fuente oficial)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R2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Negocio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Una sola sesión mensual (último sábado); un cobro de café/mensualidad por socio y periodo; rotación de 10 grupos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Estatuto / Asamblea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R3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Económica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Presupuesto $0 para software y hardware (solo open-source y equipos existentes)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Directiva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Parcial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R4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Una sola PC con Windows, monousuario y sin internet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Infraestructura de la secretaría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Parcial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R5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Organizacional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Equipo pequeño (3–4 personas) y plazo del módulo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Planificación del módulo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R6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Negocio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Máximo 69 socios; no se borra historial (baja lógica)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Estatuto / Asamblea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Supuestos (a validar si cambia el contexto): la secretaria es la única operadora; no habrá pagos en línea; el respaldo se hace a un USB al cerrar cada reunión; la impresora es la de la oficina.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3 · Drivers arquitectónicos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1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Driver</w:t>
            </w:r>
          </w:p>
        </w:tc>
        <w:tc>
          <w:tcPr>
            <w:tcW w:type="dxa" w:w="170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 (ISO 25010)</w:t>
            </w:r>
          </w:p>
        </w:tc>
        <w:tc>
          <w:tcPr>
            <w:tcW w:type="dxa" w:w="124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Origen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Importancia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Dificultad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Consistencia financiera: multas, café y mensualidades exactos, con cierre que congela lo actuado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Fiabilidad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S1, S2, R2, R6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D2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Protección de datos personales y trazabilidad de accesos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S5, R1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D3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Facilidad de cambio (tarifas y reglas en un único punto) y mantenibilidad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Mantenibilidad / Flexibilidad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S6, R3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Operación local offline, de un solo usuario y sin instalar dependencias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Usabilidad / Portabilidad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S1, R4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D5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Desempeño y disponibilidad durante la reunión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Eficiencia de desempeño / Disponibilidad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S1, S3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Baja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D6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Corte de caja y comprobante imprimible con logo, firmas y sello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Adecuación funcional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S2, S3, R2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Priorización (importancia × dificultad): D1 (Alta/Alta) → D2, D4, D6 (Alta/Media) → D3 (Media/Media) → D5 (Media/Baja).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4 · Escenarios de calidad (E1 a E5)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Cada escenario tiene seis partes y una sola medida numérica comprobable. E6 se incorpora en la Parte III (Paso 10).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E1 — Consistencia financiera · driver D1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Secretaria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Cierra la sesión del último sábado del mes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Reunión mensual normal, 69 socios, sin internet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Módulo Reunión (cálculo de multas/café/mensualidades) y cierre de sesión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los totales, aplica las reglas ($5,00 falta; café $1,50 turno y $3,00 resto; cuota $25,00), guarda y bloquea la edición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 inconsistencias en el corte y 100 % de saldos exactos; cierre en ≤ 2 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E2 — Seguridad · driver D2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Usuario no autenticado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Abre el programa o solicita una ruta protegida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Operación normal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Capa de autenticación (login + login_required)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Deniega el acceso, redirige a /login y registra el intento en auditoría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100 % de accesos no autenticados denegados y registrados en ≤ 1 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E3 — Facilidad de cambio · driver D3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Directiva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Pide cambiar la cuota mensual o el monto del café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Desarrollo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Capa de reglas financieras centralizada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cambio se hace en un único punto sin tocar otras reglas ni pantallas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≤ 1 día-persona y 0 cambios en los módulos de asistencia, consulta y caja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E4 — Usabilidad / operabilidad offline · driver D4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Secretaria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Abre el sistema en una PC nueva sin internet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Sin conexión, PC con Windows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Ejecutable + splash + ventana interna (pywebview)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Abre en ventana propia, permite iniciar sesión y operar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Arranque ≤ 6 s; /login responde 200 sin internet; 0 pasos de instalación de dependencias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E5 — Desempeño · driver D5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Secretaria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Consulta por cédula en la cola final (hasta 69 consultas seguidas)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Reunión, cola final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Módulo Consulta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Muestra la ficha con lo que debe y lo pagado, más el comprobante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95 % de las consultas respondidas en ≤ 1 s con 69 socios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9 · Contraste con IA (Parte I)</w:t>
      </w:r>
    </w:p>
    <w:p>
      <w:pPr>
        <w:spacing w:after="8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Herramienta: Google Gemini (versión web, octubre de 2026). Se le entregó la descripción del caso sin datos personales ni credenciales y con el rol de revisor crítico: señalar concerns ambiguos, drivers no cubiertos por ISO/IEC 25010:2023 y escenarios sin medida verificable.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2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Qué se pidió</w:t>
            </w:r>
          </w:p>
        </w:tc>
        <w:tc>
          <w:tcPr>
            <w:tcW w:type="dxa" w:w="238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Qué respondió la IA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Aceptado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Modificado / rechazado</w:t>
            </w:r>
          </w:p>
        </w:tc>
        <w:tc>
          <w:tcPr>
            <w:tcW w:type="dxa" w:w="204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Cómo se verificó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Revisar stakeholders, restricciones, drivers y escenarios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Sugirió añadir un concern de “rendimiento perceptible” y separar la disponibilidad del desempeño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añadió D5 con desempeño/disponibilidad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rechazó “rendimiento perceptible” por no ser medible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Contraste con el caso y las medidas de E1–E5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Times New Roman" w:hAnsi="Times New Roman"/>
          <w:b/>
          <w:i w:val="0"/>
          <w:color w:val="1F3864"/>
          <w:sz w:val="30"/>
        </w:rPr>
        <w:t>Parte II · Representar — Práctica 02: Documentación de arquitectura (C4 y ADR)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5 · C4 nivel 1 — Contexto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Representa el sistema como una sola caja, con las personas y los sistemas externos que interactúan con él. No se muestran tecnologías (los contenedores viven en el nivel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4819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Secretaria (S1)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Persona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 la reunión: socios, asistencia, café, mensualidades, caja, consulta y cierre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Directiva / Comisión de vigilancia (S3, S4)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Persona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Recibe el corte y los reportes; audita los movimientos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Sistema de Gestión 31 de Enero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Sistema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Digitaliza la operación mensual y audita el dinero de la asociación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Impresora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Sistema externo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Imprime comprobantes y cortes con logo, firmas y sello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USB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Sistema externo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Recibe el respaldo del archivo de datos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imes New Roman" w:hAnsi="Times New Roman"/>
          <w:b w:val="0"/>
          <w:i/>
          <w:sz w:val="20"/>
        </w:rPr>
        <w:t>Código Mermaid (docs/02-vistas-c4/c4-nivel1-contexto.md)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secretaria["Secretaria&lt;br/&gt;[Persona]"]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directiva["Directiva / Comision de vigilancia&lt;br/&gt;[Persona]"]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sistema["Sistema de Gestion 31 de Enero&lt;br/&gt;[Sistema]"]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impresora["Impresora&lt;br/&gt;[Sistema externo]"]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usb["USB&lt;br/&gt;[Sistema externo]"]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secretaria --&gt;|"Opera la reunion mensual y consulta socios, asistencia, cafe, mensualidades y caja"| sistema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directiva --&gt;|"Revisa el corte y audita los movimientos"| sistema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sistema --&gt;|"Imprime comprobantes y cortes con logo, firmas y sello"| impresora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sistema --&gt;|"Exporta el respaldo del archivo .db con fecha"| usb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6 · C4 nivel 2 — Contenedores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Abre la caja del sistema para mostrar las aplicaciones y el almacén de datos con su tecnología, y las relaciones etiquetadas. Refleja la decisión de estilo del ADR-003 (Paso 15).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Contenedor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Tecnología</w:t>
            </w:r>
          </w:p>
        </w:tc>
        <w:tc>
          <w:tcPr>
            <w:tcW w:type="dxa" w:w="391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Atiende (driver · escenario)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Splash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tkinter fullscreen</w:t>
            </w:r>
          </w:p>
        </w:tc>
        <w:tc>
          <w:tcPr>
            <w:tcW w:type="dxa" w:w="391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Muestra el logo al arrancar y lanza el servidor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 · E4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Servidor local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waitress (:5000)</w:t>
            </w:r>
          </w:p>
        </w:tc>
        <w:tc>
          <w:tcPr>
            <w:tcW w:type="dxa" w:w="391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Sirve la aplicación en la PC, sin consola ni internet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 · E4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Aplicación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Python + Flask (app.py + Jinja2)</w:t>
            </w:r>
          </w:p>
        </w:tc>
        <w:tc>
          <w:tcPr>
            <w:tcW w:type="dxa" w:w="391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Reglas: socios, reunión, café, mensualidades, caja, auditoría, integridad, login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D1, D2, D3, D6 · E1–E6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Base de datos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SQLite (asociacion.db, 1 archivo)</w:t>
            </w:r>
          </w:p>
        </w:tc>
        <w:tc>
          <w:tcPr>
            <w:tcW w:type="dxa" w:w="391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Persistencia con UNIQUE y claves foráneas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D1, D2 · E1, E2, E6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Ventana interna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pywebview (WebView2/Edge)</w:t>
            </w:r>
          </w:p>
        </w:tc>
        <w:tc>
          <w:tcPr>
            <w:tcW w:type="dxa" w:w="391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Muestra la interfaz sin exponer URLs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 · E4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imes New Roman" w:hAnsi="Times New Roman"/>
          <w:b w:val="0"/>
          <w:i/>
          <w:sz w:val="20"/>
        </w:rPr>
        <w:t>Código Mermaid (docs/02-vistas-c4/c4-nivel2-contenedores.md)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subgraph PC ["PC Windows local - offline"]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  splash["Splash&lt;br/&gt;[Contenedor: tkinter]"]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  server["Servidor local :5000&lt;br/&gt;[Contenedor: waitress]"]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  app["Aplicacion&lt;br/&gt;[Contenedor: Python/Flask]"]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  db[("Base de datos&lt;br/&gt;[Contenedor: SQLite asociacion.db]")]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  ventana["Ventana interna&lt;br/&gt;[Contenedor: pywebview/WebView2]"]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secretaria["Secretaria&lt;br/&gt;[Persona]"]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directiva["Directiva / Comision de vigilancia&lt;br/&gt;[Persona]"]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impresora["Impresora&lt;br/&gt;[Sistema externo]"]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usb["USB&lt;br/&gt;[Sistema externo]"]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secretaria --&gt;|"Inicia el programa"| splash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secretaria --&gt;|"Opera la interfaz"| ventana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splash --&gt;|"Lanza el servidor"| server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ventana --&gt;|"Consume la UI - HTTP local"| server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server --&gt;|"Enruta las peticiones - WSGI"| 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app --&gt;|"Lee y escribe socios, asistencia, cafe, mensualidades, caja y auditoria - SQL"| 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directiva --&gt;|"Revisa el corte y audita"| ventana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app --&gt;|"Imprime comprobantes y cortes"| impresora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 xml:space="preserve">  db --&gt;|"Exporta el respaldo .db con fecha"| usb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7 · ADR-001 y ADR-002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4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86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Título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ADR-001: Persistencia en un único archivo SQLite local.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Aceptada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Sistema monousuario y 100 % offline (R4), presupuesto $0 (R3) y 69 socios (R6); requiere saldos exactos (E1, D1), trazabilidad (E2, D2) y respaldo simple (E6).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Decisión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Usar SQLite con un único archivo asociacion.db, sin ORM (sqlite3 directo), con UNIQUE(cedula, fecha) y UNIQUE(cedula, periodo), claves foráneas activas y baja lógica (estado).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Alternativas descartadas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MySQL/PostgreSQL local (exige servidor, contradice R3/R4); Excel/CSV (sin transacciones ni unicidad, riesgo de duplicados en E1).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a favor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Cero instalación; respaldo = copiar un archivo (E6); transacciones y UNIQUE garantizan E1 sin coordinar componentes; cero licencias.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en contra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Acoplamiento al motor SQLite y límite de escritura concurrente (irrelevante en monousuario); migración costosa si pasara a multiusuario o red.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Vínculo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Drivers D1, D2; escenarios E1, E2, E6; restricciones R3, R4, R6; C4 nivel 2: Aplicación → Base de datos y Base de datos → USB.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4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86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Título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ADR-002: Reglas financieras centralizadas, cierre bloqueante y auditoría.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Aceptada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Reglas determinantes y auditables: multa $5,00; café $1,50 en turno (rotación de 10 grupos) y $3,00 al resto; cuota $25,00 desde 2026-10 con abonos; cierre que congela (E1, E5, D1/D6); la comisión de vigilancia exige rastrear acciones (E2, D2).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Decisión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Centralizar las reglas en una capa de servicio única; tabla reuniones ABIERTA/CERRADA que al cerrar bloquea cargos y pagos (reapertura solo para corregir); auditoría filtrable por fecha + cédula + tipo; baja lógica y 9 chequeos de integridad.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Alternativas descartadas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Lógica dispersa en plantillas (inconsistencias); borrado físico (rompe historial); edición libre tras el cierre (invalida cortes y auditoría).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a favor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Saldos deterministas (E1); 0 comprobantes contradictorios; 100 % de acciones CERRAR/PAGO trazables (E2); errores detectables (huérfanos, sobrepagos).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en contra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Cambiar una tarifa exige migración controlada; centralizar obliga a disciplina de único punto de cambio.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Vínculo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Drivers D1, D2, D6; escenarios E1, E2, E5; restricciones R1, R2, R6; C4 nivel 2: Aplicación → Base de datos.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8 · Trazabilidad driver → vista → ADR y revisión cruzada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2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Driver · escenario</w:t>
            </w:r>
          </w:p>
        </w:tc>
        <w:tc>
          <w:tcPr>
            <w:tcW w:type="dxa" w:w="510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Vista C4 que lo atiende</w:t>
            </w:r>
          </w:p>
        </w:tc>
        <w:tc>
          <w:tcPr>
            <w:tcW w:type="dxa" w:w="187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ADR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 · E1</w:t>
            </w:r>
          </w:p>
        </w:tc>
        <w:tc>
          <w:tcPr>
            <w:tcW w:type="dxa" w:w="51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Nivel 2: Aplicación → Base de datos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ADR-001, ADR-002, ADR-003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D2 · E2</w:t>
            </w:r>
          </w:p>
        </w:tc>
        <w:tc>
          <w:tcPr>
            <w:tcW w:type="dxa" w:w="51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Nivel 1: Directiva/Comisión; Nivel 2: Aplicación (login + auditoría)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ADR-002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 · E4</w:t>
            </w:r>
          </w:p>
        </w:tc>
        <w:tc>
          <w:tcPr>
            <w:tcW w:type="dxa" w:w="51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Nivel 2: Splash → Servidor → Ventana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ADR-003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D5 · E5</w:t>
            </w:r>
          </w:p>
        </w:tc>
        <w:tc>
          <w:tcPr>
            <w:tcW w:type="dxa" w:w="51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Nivel 2: Aplicación → Impresora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ADR-002</w:t>
            </w:r>
          </w:p>
        </w:tc>
      </w:tr>
    </w:tbl>
    <w:p>
      <w:pPr>
        <w:spacing w:after="40"/>
      </w:pPr>
    </w:p>
    <w:p>
      <w:pPr>
        <w:spacing w:after="8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Revisión cruzada (intercambio entre equipos). Hallazgos y correcciones aplicadas: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1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N.º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Hallazgo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113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Decisión</w:t>
            </w:r>
          </w:p>
        </w:tc>
        <w:tc>
          <w:tcPr>
            <w:tcW w:type="dxa" w:w="260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Corrección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Relación Ventana ↔ Servidor sin protocolo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Relaciones etiquetadas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Modificar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agregó “Consume la UI - HTTP local”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 base de datos aparecía en el nivel 1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Niveles separados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Modificar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 base de datos se movió al nivel 2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usaban “App” y “Aplicación”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Nombres consistentes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Modificar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unificó a “Aplicación”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Faltaba el actor que audita (S3/S4)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Cobertura de stakeholders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agregó Directiva/Comisión de vigilancia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Times New Roman" w:hAnsi="Times New Roman"/>
          <w:b/>
          <w:i w:val="0"/>
          <w:color w:val="1F3864"/>
          <w:sz w:val="30"/>
        </w:rPr>
        <w:t>Parte III · Decidir — Práctica 03: Comparación y selección de arquitectura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10 · Escenario nuevo (E6)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Al comparar estilos aparece el riesgo de perder datos en un equipo local sin red; se registra como E6.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2E5496"/>
          <w:sz w:val="24"/>
        </w:rPr>
        <w:t>E6 — Disponibilidad / tolerancia a fallos · drivers D1, D5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708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Fuente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Fallo de energía o de disco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Estímulo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Corte durante la reunión o archivo de datos dañado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Entorno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Operación normal, sin internet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Artefacto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Persistencia SQLite + respaldo + verificación de integridad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Respuesta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 se pierden datos; al reabrir se detectan anomalías; el respaldo es restaurable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708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 registros perdidos tras el reinicio; 9 de 9 chequeos de integridad; respaldo descargado en ≤ 5 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11 · Priorización de escenarios y alternativas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2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Escenario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Driver</w:t>
            </w:r>
          </w:p>
        </w:tc>
        <w:tc>
          <w:tcPr>
            <w:tcW w:type="dxa" w:w="294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Impacto en el negocio</w:t>
            </w:r>
          </w:p>
        </w:tc>
        <w:tc>
          <w:tcPr>
            <w:tcW w:type="dxa" w:w="243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Costo de cambiarlo después</w:t>
            </w:r>
          </w:p>
        </w:tc>
        <w:tc>
          <w:tcPr>
            <w:tcW w:type="dxa" w:w="68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E1 Consistencia financiera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un saldo mal calculado rompe la confianza y el corte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atraviesa datos, reglas y comprobantes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E2 Seguridad y datos personales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D2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cédulas y datos personales; riesgo legal (LOPDP)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afecta todos los puntos de entrada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E4 Operabilidad offline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D4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si no abre sin internet, no hay reunión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Medio: depende del empaquetado y la ventana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E6 Tolerancia a fallos y respaldo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D1, D5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perder la caja del mes es inaceptable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Medio: depende de dónde y cómo se persista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E3 Facilidad de cambio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D3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Medio: cambian tarifas de vez en cuando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Bajo: se puede preparar después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E5 Desempeño de consulta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D5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Medio: molesta en la cola, pero no bloquea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Bajo: se corrige con índices</w:t>
            </w:r>
          </w:p>
        </w:tc>
        <w:tc>
          <w:tcPr>
            <w:tcW w:type="dxa" w:w="68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1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419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Costo operativo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Monolito web local monousuario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Una sola aplicación (Flask) con una sola base de datos (SQLite) y ventana interna (pywebview); 100 % offline, empaquetada como ejecutable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Bajo: un despliegue y un proceso; $0 licencias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A2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Cliente-servidor con base de datos en red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Cliente de escritorio/navegador que llama a un servidor con MySQL/PostgreSQL en la red de la asociación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Medio: requiere un servidor de base de datos y red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Microservicios en la nube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Servicios pequeños independientes, cada uno con su base de datos, desplegados en internet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Alto: varios despliegues, red entre servicios e internet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12 · Criterios y pesos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1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N.º</w:t>
            </w:r>
          </w:p>
        </w:tc>
        <w:tc>
          <w:tcPr>
            <w:tcW w:type="dxa" w:w="238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Origen</w:t>
            </w:r>
          </w:p>
        </w:tc>
        <w:tc>
          <w:tcPr>
            <w:tcW w:type="dxa" w:w="79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374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Cómo se evalúa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Consistencia financiera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E1 · D1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Garantizar 0 inconsistencias en el corte con poca complejidad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Seguridad y datos personales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E2 · D2 · R1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Puntos de control de acceso, auditoría y superficie expuesta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Operabilidad offline en PC única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E4 · D4 · R4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Funcionar sin internet ni instalar dependencias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Tolerancia a fallos y respaldo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E6 · D1/D5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Aislamiento del fallo y facilidad de respaldo/restauración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Facilidad de cambio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E3 · D3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Cambios para modificar una tarifa o una regla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Desempeño y costo operativo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E5 · D5 · R3/R5</w:t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Latencia en la consulta y carga de operación para un equipo pequeño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13 · Matriz ponderada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19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102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A1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A2</w:t>
            </w:r>
          </w:p>
        </w:tc>
        <w:tc>
          <w:tcPr>
            <w:tcW w:type="dxa" w:w="907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A3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Consistencia financiera (E1)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2. Seguridad y datos personales (E2)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 Operabilidad offline en PC única (E4)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 Tolerancia a fallos y respaldo (E6)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5. Facilidad de cambio (E3)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6. Desempeño y costo operativo (E5)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Total ponderado (de 5)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4,60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3,00</w:t>
            </w:r>
          </w:p>
        </w:tc>
        <w:tc>
          <w:tcPr>
            <w:tcW w:type="dxa" w:w="90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2,40</w:t>
            </w:r>
          </w:p>
        </w:tc>
      </w:tr>
    </w:tbl>
    <w:p>
      <w:pPr>
        <w:spacing w:after="40"/>
      </w:pPr>
    </w:p>
    <w:p>
      <w:pPr>
        <w:spacing w:after="8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Justificación observable de cada calificación: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Consistencia (E1): A1 (5) una transacción local en SQLite aplica UNIQUE y calcula saldos sin coordinar componentes; A2 (4) la base central permite transacción pero exige operar el servidor; A3 (2) exige coordinar servicios (transacción distribuida/saga).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Seguridad (E2): A1 (4) un solo punto de login y auditoría, superficie pequeña; A2 (5) control central de acceso; A3 (3) más servicios expuestos y credenciales.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Offline (E4): A1 (5) abre y opera sin internet; A2 (1) depende de la red y del servidor; A3 (1) depende de internet.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Fallos y respaldo (E6): A1 (4) respaldo = copiar 1 archivo; A2 (3) respaldo central pero un fallo detiene la operación; A3 (4) aísla fallos, pero el respaldo se reparte entre varias bases.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Facilidad de cambio (E3): A1 (4) reglas en un único app.py; A2 (3) redespliegue del servidor; A3 (5) servicio independiente por dominio.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Desempeño y costo (E5): A1 (5) consulta local indexada y $0; A2 (2) requiere servidor y su administración; A3 (1) varios servicios y habilidades que exceden al equipo.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14 · Trade-offs y análisis de sensibilidad (ATAM simplificado)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0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Riesgo de la alternativa ganadora (A1)</w:t>
            </w:r>
          </w:p>
        </w:tc>
        <w:tc>
          <w:tcPr>
            <w:tcW w:type="dxa" w:w="1134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Escenario</w:t>
            </w:r>
          </w:p>
        </w:tc>
        <w:tc>
          <w:tcPr>
            <w:tcW w:type="dxa" w:w="436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Pérdida de datos si falla el disco local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E6</w:t>
            </w:r>
          </w:p>
        </w:tc>
        <w:tc>
          <w:tcPr>
            <w:tcW w:type="dxa" w:w="436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Respaldo .db al USB al cerrar + verificación de integridad (9 chequeos)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 saldo mal cargado contamina el historial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E1</w:t>
            </w:r>
          </w:p>
        </w:tc>
        <w:tc>
          <w:tcPr>
            <w:tcW w:type="dxa" w:w="436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Cierre bloqueante con reapertura controlada + auditoría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Crecimiento a multiusuario o multi-oficina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E4</w:t>
            </w:r>
          </w:p>
        </w:tc>
        <w:tc>
          <w:tcPr>
            <w:tcW w:type="dxa" w:w="436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 revisa la decisión si cambia el contexto (ver sensibilidad)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02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Pesos base (offline 20 %, cambio 10 %)</w:t>
            </w:r>
          </w:p>
        </w:tc>
        <w:tc>
          <w:tcPr>
            <w:tcW w:type="dxa" w:w="2835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Pesos alternos (offline 5 %, cambio 25 %)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A1 Monolito local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4,60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4,45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A2 Cliente-servidor en red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3,00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3,30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A3 Microservicios en la nube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2,40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3,00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Lectura: con los pesos base gana A1 (4,60) por amplio margen. Si la asociación adoptara internet y varios dispositivos (bajando el peso de “offline” y subiendo el de “facilidad de cambio”), A1 sigue ganando (4,45), pero la ventaja se reduce de 1,60 a 1,15 puntos sobre A2. Punto de sensibilidad: la decisión depende de que la operación siga siendo local y monousuario.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Trade-off explícito: A1 sacrifica escalabilidad y cambio por dominio (que ofrecería A3) y la centralización del acceso en red (que ofrecería A2) a cambio de consistencia, operación offline y costo/operación mínimos, lo correcto para 69 socios con una sola operadora y presupuesto $0 (R3, R4, R5).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15 · ADR-003 y C4 nivel 2 actualizado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4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860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Título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ADR-003: Estilo — monolito web local monousuario de código abierto.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Aceptada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 asociación requiere 0 inconsistencias (E1, D1), protección de datos y trazabilidad (E2, D2), operación offline en una sola PC (E4, D4) y respaldo recuperable (E6), con un equipo de 3–4 personas (R5) y presupuesto $0 (R3). La matriz favorece A1 (4,60) sobre A2 (3,00) y A3 (2,40).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Decisión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Adoptar un monolito web local de código abierto: Python + Flask en un único app.py (MVC simplificado, sin ORM); waitress en hilo; pywebview fullscreen; splash tkinter; SQLite en un archivo asociacion.db; PyInstaller onedir; gráficos con CSS conic-gradient (offline).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Alternativas descartadas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A2 cliente-servidor en red (contradice R3/R4; 3,00); A3 microservicios en la nube (costo y consistencia distribuida desproporcionados; 2,40).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a favor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Protege E1 con una transacción local; E4 con operación 100 % offline; E6 con respaldo de un solo archivo; costo $0. Un solo despliegue que opera una sola persona.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Consecuencias en contra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Menor escalabilidad y sin despliegue independiente por dominio; acoplamiento de persistencia, lógica e interfaz en un ejecutable; si pasara a multiusuario/multi-oficina habría que redefinir límites y despliegue (punto de sensibilidad).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Vínculo</w:t>
            </w:r>
          </w:p>
        </w:tc>
        <w:tc>
          <w:tcPr>
            <w:tcW w:type="dxa" w:w="6860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Drivers D1, D3, D4, D6; escenarios E1, E3, E4, E6; restricciones R3, R4, R5; matriz ponderada; C4 nivel 2 (que se mantiene vigente tras la decisión).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Paso 16 · Contraste con IA (abogado del diablo)</w:t>
      </w:r>
    </w:p>
    <w:p>
      <w:pPr>
        <w:spacing w:after="8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Herramienta: Google Gemini (versión web, octubre de 2026). Se le pidió actuar como abogado del diablo de la decisión (sin proponer una arquitectura nueva) y devolver objeciones con el escenario afectado y la evidencia que cambiaría la decisión.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60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Objeción de la IA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Evidencia (escenario y medida)</w:t>
            </w:r>
          </w:p>
        </w:tc>
        <w:tc>
          <w:tcPr>
            <w:tcW w:type="dxa" w:w="238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Decisión</w:t>
            </w:r>
          </w:p>
        </w:tc>
        <w:tc>
          <w:tcPr>
            <w:tcW w:type="dxa" w:w="1701"/>
            <w:shd w:val="clear" w:fill="1F3864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equipo local puede perder datos y la caja del mes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E6: 0 registros perdidos; respaldo en ≤ 5 s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Aceptar: registrar como consecuencia en contra + respaldo .db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Prueba de respaldo/restauración y 9 chequeos de integridad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criterio “costo” favorece al monolito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E5 · R3/R5: consulta local y $0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Modificar: subir el peso de “offline” y correr sensibilidad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Recálculo de la matriz con pesos alternos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Adoptar microservicios por modernidad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E1: 0 inconsistencias en el corte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Rechazar: contradice R3/R4/R5 y ninguna medida lo respalda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Contraste con la matriz y los escenarios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Times New Roman" w:hAnsi="Times New Roman"/>
          <w:b/>
          <w:i w:val="0"/>
          <w:color w:val="1F3864"/>
          <w:sz w:val="30"/>
        </w:rPr>
        <w:t>Cierre y entregables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El dossier integra contexto, escenarios, vistas C4, ADR y matriz de decisión en el repositorio, con historial de commits y etiqueta del hito v0.1.0.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docs/01-contexto-y-drivers.md — contexto, stakeholders, restricciones, drivers y escenarios E1–E6.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docs/02-vistas-c4/ — C4 niveles 1 y 2 como código, revisión cruzada.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docs/03-adr/ — ADR-001, ADR-002, ADR-003 y matriz de decisión.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sz w:val="24"/>
        </w:rPr>
        <w:t>docs/04-registro-ia.md — registro del uso de IA (herramienta y versión, prompt resumido, salida, verificación y lo aceptado, modificado o rechazado).</w:t>
      </w:r>
    </w:p>
    <w:p>
      <w:pPr>
        <w:spacing w:after="160" w:before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Repositorio: https://github.com/bolimirme16/modulo-gestion-31-de-enero · Commit: 797e2cc · Etiqueta: v0.1.0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Registro de uso de inteligencia artificial (resumen)</w:t>
      </w:r>
    </w:p>
    <w:p>
      <w:pPr>
        <w:spacing w:after="12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Herramienta: Google Gemini (versión web, octubre de 2026). Usos: (1) borrador del código Mermaid de los diagramas C4 de los Pasos 5 y 6; (2) revisor crítico (abogado del diablo) de la decisión de estilo del Paso 15. Verificación: render del código, contraste elemento por elemento con la documentación del repositorio, revisión cruzada de nombres y niveles, y recálculo de la matriz de sensibilidad. No se ingresaron datos personales, credenciales ni información confidencial. El análisis, los pesos, las calificaciones y la decisión son de autoría del equipo.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color w:val="1F3864"/>
          <w:sz w:val="26"/>
        </w:rPr>
        <w:t>Referencias (APA 7)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Bass, L., Clements, P., &amp; Kazman, R. (2021). Software architecture in practice (4th ed.). Addison-Wesley.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Brown, S. (s. f.). The C4 model for visualising software architecture. https://c4model.com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ISO/IEC. (2023). Systems and software engineering — SQuaRE — Product quality model (ISO/IEC 25010:2023). ISO.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ISO/IEC/IEEE. (2022). Software, systems and enterprise — Architecture description (ISO/IEC/IEEE 42010:2022). ISO.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Nygard, M. (2011). Documenting architecture decisions. Cognitect Blog. https://www.cognitect.com/blog/2011/11/15/documenting-architecture-decisions</w:t>
      </w:r>
    </w:p>
    <w:p>
      <w:pPr>
        <w:spacing w:after="60" w:before="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Richards, M., &amp; Ford, N. (2020). Fundamentals of software architecture. O’Reilly Media.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