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w:t>
      </w:r>
      <w:r>
        <w:t xml:space="preserve"> </w:t>
      </w:r>
      <w:r>
        <w:t xml:space="preserve">Aim3</w:t>
      </w:r>
      <w:r>
        <w:t xml:space="preserve"> </w:t>
      </w:r>
      <w:r>
        <w:t xml:space="preserve">Leaf</w:t>
      </w:r>
      <w:r>
        <w:t xml:space="preserve"> </w:t>
      </w:r>
      <w:r>
        <w:t xml:space="preserve">Traits</w:t>
      </w:r>
    </w:p>
    <w:p>
      <w:pPr>
        <w:pStyle w:val="Author"/>
      </w:pPr>
      <w:r>
        <w:t xml:space="preserve">Bolívar</w:t>
      </w:r>
      <w:r>
        <w:t xml:space="preserve"> </w:t>
      </w:r>
      <w:r>
        <w:t xml:space="preserve">Aponte</w:t>
      </w:r>
      <w:r>
        <w:t xml:space="preserve"> </w:t>
      </w:r>
      <w:r>
        <w:t xml:space="preserve">Rolón</w:t>
      </w:r>
    </w:p>
    <w:p>
      <w:pPr>
        <w:pStyle w:val="Author"/>
      </w:pPr>
      <w:r>
        <w:t xml:space="preserve">A.</w:t>
      </w:r>
      <w:r>
        <w:t xml:space="preserve"> </w:t>
      </w:r>
      <w:r>
        <w:t xml:space="preserve">Elizabeth</w:t>
      </w:r>
      <w:r>
        <w:t xml:space="preserve"> </w:t>
      </w:r>
      <w:r>
        <w:t xml:space="preserve">Arnold</w:t>
      </w:r>
    </w:p>
    <w:p>
      <w:pPr>
        <w:pStyle w:val="Author"/>
      </w:pPr>
      <w:r>
        <w:t xml:space="preserve">Sunshine</w:t>
      </w:r>
      <w:r>
        <w:t xml:space="preserve"> </w:t>
      </w:r>
      <w:r>
        <w:t xml:space="preserve">A.</w:t>
      </w:r>
      <w:r>
        <w:t xml:space="preserve"> </w:t>
      </w:r>
      <w:r>
        <w:t xml:space="preserve">Van</w:t>
      </w:r>
      <w:r>
        <w:t xml:space="preserve"> </w:t>
      </w:r>
      <w:r>
        <w:t xml:space="preserve">Bael</w:t>
      </w:r>
    </w:p>
    <w:p>
      <w:pPr>
        <w:pStyle w:val="Date"/>
      </w:pPr>
      <w:r>
        <w:t xml:space="preserve">2023-12-04</w:t>
      </w:r>
    </w:p>
    <w:bookmarkStart w:id="20" w:name="abstract"/>
    <w:p>
      <w:pPr>
        <w:pStyle w:val="Heading1"/>
      </w:pPr>
      <w:r>
        <w:t xml:space="preserve">1. Abstract</w:t>
      </w:r>
    </w:p>
    <w:bookmarkEnd w:id="20"/>
    <w:bookmarkStart w:id="21" w:name="introduction"/>
    <w:p>
      <w:pPr>
        <w:pStyle w:val="Heading1"/>
      </w:pPr>
      <w:r>
        <w:t xml:space="preserve">2. Introduction</w:t>
      </w:r>
    </w:p>
    <w:bookmarkEnd w:id="21"/>
    <w:bookmarkStart w:id="31" w:name="methods"/>
    <w:p>
      <w:pPr>
        <w:pStyle w:val="Heading1"/>
      </w:pPr>
      <w:r>
        <w:t xml:space="preserve">3. Methods</w:t>
      </w:r>
    </w:p>
    <w:bookmarkStart w:id="24" w:name="field"/>
    <w:p>
      <w:pPr>
        <w:pStyle w:val="Heading2"/>
      </w:pPr>
      <w:r>
        <w:t xml:space="preserve">3.1 Field</w:t>
      </w:r>
    </w:p>
    <w:p>
      <w:pPr>
        <w:pStyle w:val="FirstParagraph"/>
      </w:pPr>
      <w:r>
        <w:t xml:space="preserve">Growth and host plant inoculation seven tropical tree species was conducted at the greenhouses in the Gamboa Research Station, Smithsonian Tropical Research institute, Republic of Panama. The species,</w:t>
      </w:r>
      <w:r>
        <w:t xml:space="preserve"> </w:t>
      </w:r>
      <w:r>
        <w:rPr>
          <w:iCs/>
          <w:i/>
        </w:rPr>
        <w:t xml:space="preserve">Theobroma cacao</w:t>
      </w:r>
      <w:r>
        <w:t xml:space="preserve">,</w:t>
      </w:r>
      <w:r>
        <w:t xml:space="preserve"> </w:t>
      </w:r>
      <w:r>
        <w:rPr>
          <w:iCs/>
          <w:i/>
        </w:rPr>
        <w:t xml:space="preserve">Dypterix</w:t>
      </w:r>
      <w:r>
        <w:t xml:space="preserve"> </w:t>
      </w:r>
      <w:r>
        <w:t xml:space="preserve">sp.,</w:t>
      </w:r>
      <w:r>
        <w:t xml:space="preserve"> </w:t>
      </w:r>
      <w:r>
        <w:rPr>
          <w:iCs/>
          <w:i/>
        </w:rPr>
        <w:t xml:space="preserve">Lacmellea panamensis</w:t>
      </w:r>
      <w:r>
        <w:t xml:space="preserve">,</w:t>
      </w:r>
      <w:r>
        <w:t xml:space="preserve"> </w:t>
      </w:r>
      <w:r>
        <w:rPr>
          <w:iCs/>
          <w:i/>
        </w:rPr>
        <w:t xml:space="preserve">Apeiba membranacea</w:t>
      </w:r>
      <w:r>
        <w:t xml:space="preserve">,</w:t>
      </w:r>
      <w:r>
        <w:t xml:space="preserve"> </w:t>
      </w:r>
      <w:r>
        <w:rPr>
          <w:iCs/>
          <w:i/>
        </w:rPr>
        <w:t xml:space="preserve">Heisteria concinna</w:t>
      </w:r>
      <w:r>
        <w:t xml:space="preserve">,</w:t>
      </w:r>
      <w:r>
        <w:t xml:space="preserve"> </w:t>
      </w:r>
      <w:r>
        <w:rPr>
          <w:iCs/>
          <w:i/>
        </w:rPr>
        <w:t xml:space="preserve">Chrysophyllum caimito</w:t>
      </w:r>
      <w:r>
        <w:t xml:space="preserve">, and</w:t>
      </w:r>
      <w:r>
        <w:t xml:space="preserve"> </w:t>
      </w:r>
      <w:r>
        <w:rPr>
          <w:iCs/>
          <w:i/>
        </w:rPr>
        <w:t xml:space="preserve">Cordia alliodora</w:t>
      </w:r>
      <w:r>
        <w:t xml:space="preserve"> </w:t>
      </w:r>
      <w:r>
        <w:t xml:space="preserve">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(E-) (Fig. ? MAKE A DIRAGRAM?). Plants exposed to spore fall were placed near (~10 m) the forest edge at dusk (~18:OO hours) and returned to the greenhouse at dawn (~07:00 hours) (Bittleston et al. 2011).</w:t>
      </w:r>
    </w:p>
    <w:bookmarkStart w:id="22" w:name="leaf-trait-measurements"/>
    <w:p>
      <w:pPr>
        <w:pStyle w:val="Heading3"/>
      </w:pPr>
      <w:r>
        <w:t xml:space="preserve">3.1.1 Leaf trait measurements</w:t>
      </w:r>
    </w:p>
    <w:p>
      <w:pPr>
        <w:pStyle w:val="FirstParagraph"/>
      </w:pPr>
      <w:r>
        <w:t xml:space="preserve">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w:t>
      </w:r>
      <w:r>
        <w:t xml:space="preserve"> </w:t>
      </w:r>
      <w:r>
        <w:t xml:space="preserve">(Tellez et al., 2022)</w:t>
      </w:r>
      <w:r>
        <w:t xml:space="preserve">. The ACM-200 calculates an anthocyanin content index (ACI) value from the ratio of % transmittance at 931 nm/% transmittance at 525 nm</w:t>
      </w:r>
      <w:r>
        <w:t xml:space="preserve"> </w:t>
      </w:r>
      <w:r>
        <w:t xml:space="preserve">(</w:t>
      </w:r>
      <w:r>
        <w:rPr>
          <w:bCs/>
          <w:b/>
        </w:rPr>
        <w:t xml:space="preserve">opti-sciencesinc?</w:t>
      </w:r>
      <w:r>
        <w:t xml:space="preserve">)</w:t>
      </w:r>
      <w:r>
        <w:t xml:space="preserve"> </w:t>
      </w:r>
      <w:r>
        <w:t xml:space="preserve">. On compound leaves (i.e.,</w:t>
      </w:r>
      <w:r>
        <w:t xml:space="preserve"> </w:t>
      </w:r>
      <w:r>
        <w:rPr>
          <w:iCs/>
          <w:i/>
        </w:rPr>
        <w:t xml:space="preserve">Dypterix</w:t>
      </w:r>
      <w:r>
        <w:t xml:space="preserve"> </w:t>
      </w:r>
      <w:r>
        <w:t xml:space="preserve">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w:t>
      </w:r>
      <w:r>
        <w:t xml:space="preserve"> </w:t>
      </w:r>
      <w:r>
        <w:t xml:space="preserve">(Tellez et al., 2022)</w:t>
      </w:r>
      <w:r>
        <w:t xml:space="preserve">. Once leaf toughness was measured, we used a 7 mm diameter punch hole to puncture disks for leaf mass per area (LMA) measurements. We collected one three disks per leaf (see Supplementary material for details). The disk punches dried at 60 °C for 48-72 hours. before being weighed.</w:t>
      </w:r>
    </w:p>
    <w:bookmarkEnd w:id="22"/>
    <w:bookmarkStart w:id="23" w:name="X3c7a37fa2f4886460c6eb6a1de1f042d286b507"/>
    <w:p>
      <w:pPr>
        <w:pStyle w:val="Heading3"/>
      </w:pPr>
      <w:r>
        <w:t xml:space="preserve">3.1.2 Leaf tissue preparation for molecular work</w:t>
      </w:r>
    </w:p>
    <w:p>
      <w:pPr>
        <w:pStyle w:val="FirstParagraph"/>
      </w:pPr>
      <w: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w:t>
      </w:r>
      <w:r>
        <w:t xml:space="preserve"> </w:t>
      </w:r>
      <w:r>
        <w:t xml:space="preserve">(Arnold et al., 2003; Higgins et al., 2014; Tellez et al., 2022)</w:t>
      </w:r>
      <w:r>
        <w:t xml:space="preserve">.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 E+ and E- 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p>
    <w:bookmarkEnd w:id="23"/>
    <w:bookmarkEnd w:id="24"/>
    <w:bookmarkStart w:id="30" w:name="amplicon-sequencing"/>
    <w:p>
      <w:pPr>
        <w:pStyle w:val="Heading2"/>
      </w:pPr>
      <w:r>
        <w:t xml:space="preserve">3.2 Amplicon sequencing</w:t>
      </w:r>
    </w:p>
    <w:p>
      <w:pPr>
        <w:pStyle w:val="FirstParagraph"/>
      </w:pPr>
      <w:r>
        <w:t xml:space="preserve">Leaf tissue in CTBA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w:t>
      </w:r>
      <w:r>
        <w:t xml:space="preserve"> </w:t>
      </w:r>
      <w:r>
        <w:t xml:space="preserve">(2017)</w:t>
      </w:r>
      <w:r>
        <w:t xml:space="preserve">. In brief,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w:t>
      </w:r>
      <w:r>
        <w:t xml:space="preserve"> </w:t>
      </w:r>
      <w:r>
        <w:t xml:space="preserve">(U’Ren &amp; Arnold, 2017)</w:t>
      </w:r>
      <w:r>
        <w:t xml:space="preserve"> </w:t>
      </w:r>
      <w:r>
        <w:t xml:space="preserve">(QIAGEN,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w:t>
      </w:r>
      <w:r>
        <w:t xml:space="preserve"> </w:t>
      </w:r>
      <w:r>
        <w:t xml:space="preserve">(2017)</w:t>
      </w:r>
      <w:r>
        <w:t xml:space="preserve"> </w:t>
      </w:r>
      <w:r>
        <w:t xml:space="preserve">and U´Ren &amp; Arnold</w:t>
      </w:r>
      <w:r>
        <w:t xml:space="preserve"> </w:t>
      </w:r>
      <w:r>
        <w:t xml:space="preserve">(2017)</w:t>
      </w:r>
      <w:r>
        <w:t xml:space="preserve">.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w:t>
      </w:r>
      <w:r>
        <w:t xml:space="preserve"> </w:t>
      </w:r>
      <w:r>
        <w:t xml:space="preserve">(U’Ren &amp; Arnold, 2017; see also Tellez et al., 2022)</w:t>
      </w:r>
      <w:r>
        <w:t xml:space="preserve">. We visualized PCR (PCR1) reactions with SYBR Green 1 (Invitrogen, Carlsbad, CA, USA) on 2% agarose gel</w:t>
      </w:r>
      <w:r>
        <w:t xml:space="preserve"> </w:t>
      </w:r>
      <w:r>
        <w:t xml:space="preserve">(Oita et al., 2021)</w:t>
      </w:r>
      <w:r>
        <w:t xml:space="preserve">. Based on the electrophoresis band intensity, we combined parallel PCR1 reactions and diluted 5 µL of amplicon product with molecular grade water to standardize to a concentration of 1:15</w:t>
      </w:r>
      <w:r>
        <w:t xml:space="preserve"> </w:t>
      </w:r>
      <w:r>
        <w:t xml:space="preserve">(Sarmiento et al., 2017 for details; Tellez et al., 2022)</w:t>
      </w:r>
      <w:r>
        <w:t xml:space="preserve">. We included DNA extraction blanks and PCR1 negatives in this step. We used a separate set of sterile pipettes, tips, and equipment to reduce contamination. We used a designated PCR area to restrict contact with pre-PCR materials</w:t>
      </w:r>
      <w:r>
        <w:t xml:space="preserve"> </w:t>
      </w:r>
      <w:r>
        <w:t xml:space="preserve">(Oita et al., 2021)</w:t>
      </w:r>
      <w:r>
        <w:t xml:space="preserve">.</w:t>
      </w:r>
    </w:p>
    <w:p>
      <w:pPr>
        <w:pStyle w:val="BodyText"/>
      </w:pPr>
      <w:r>
        <w:t xml:space="preserve">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w:t>
      </w:r>
      <w:r>
        <w:t xml:space="preserve"> </w:t>
      </w:r>
      <w:r>
        <w:t xml:space="preserve">(Sarmiento et al., 2017; U’Ren &amp; Arnold, 2017)</w:t>
      </w:r>
      <w:r>
        <w:t xml:space="preserve">. Before final pooling for sequencing, we purified the amplicons using Agencourt AMPure XP Beads (Beckman Coulter Inc, Brea, CA USA) to a ratio of 1:1 following the manufacturer’s instructions. The products were evaluated with Bio Analyzer 2100 (Agilent Technologies, Santa Clara, CA, USA) (</w:t>
      </w:r>
      <w:r>
        <w:t xml:space="preserve">(Tellez et al 2022) Tellez et al., 2022)</w:t>
      </w:r>
      <w:r>
        <w:t xml:space="preserve">.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bookmarkStart w:id="25" w:name="mock-communities"/>
    <w:p>
      <w:pPr>
        <w:pStyle w:val="Heading3"/>
      </w:pPr>
      <w:r>
        <w:t xml:space="preserve">3.2.1 Mock Communities</w:t>
      </w:r>
    </w:p>
    <w:p>
      <w:pPr>
        <w:pStyle w:val="FirstParagraph"/>
      </w:pPr>
      <w:r>
        <w:t xml:space="preserve">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w:t>
      </w:r>
      <w:r>
        <w:t xml:space="preserve"> </w:t>
      </w:r>
      <w:r>
        <w:t xml:space="preserve">(Oita et al., 2021; see Daru et al., 2019 for details)</w:t>
      </w:r>
      <w:r>
        <w:t xml:space="preserve">. In brief, we used six mock community with equimolar concentrations of DNA from all 32 fungal taxa and another six mock community with tiered concentrations of DNA from the same fungal taxa</w:t>
      </w:r>
      <w:r>
        <w:t xml:space="preserve"> </w:t>
      </w:r>
      <w:r>
        <w:t xml:space="preserve">(Daru et al., 2019)</w:t>
      </w:r>
      <w:r>
        <w:t xml:space="preserve">. Each mock community was sequenced five times (i.e., five replicates)</w:t>
      </w:r>
      <w:r>
        <w:t xml:space="preserve"> </w:t>
      </w:r>
      <w:r>
        <w:t xml:space="preserve">(Oita et al., 2021)</w:t>
      </w:r>
      <w:r>
        <w:t xml:space="preserve">. The read abundance from the equimolar and tiered communities was positively associated with the expected read number (with replicates as a random factor: R2Adj = 0.87, P = XXXX, see Supplementary material). Allowing us to evaluate the sequencing effectiveness in communities with known composition and structure</w:t>
      </w:r>
      <w:r>
        <w:t xml:space="preserve"> </w:t>
      </w:r>
      <w:r>
        <w:t xml:space="preserve">(Bowman &amp; Arnold, 2021)</w:t>
      </w:r>
      <w:r>
        <w:t xml:space="preserve">. Henceforth, we used read abundance as a relevant proxy for biological OTU abundance</w:t>
      </w:r>
      <w:r>
        <w:t xml:space="preserve"> </w:t>
      </w:r>
      <w:r>
        <w:t xml:space="preserve">(U’Ren et al., 2019)</w:t>
      </w:r>
      <w:r>
        <w:t xml:space="preserve">.</w:t>
      </w:r>
    </w:p>
    <w:bookmarkEnd w:id="25"/>
    <w:bookmarkStart w:id="26" w:name="bioinformatic-analyses"/>
    <w:p>
      <w:pPr>
        <w:pStyle w:val="Heading3"/>
      </w:pPr>
      <w:r>
        <w:t xml:space="preserve">3.2.2 Bioinformatic analyses</w:t>
      </w:r>
    </w:p>
    <w:p>
      <w:pPr>
        <w:pStyle w:val="FirstParagraph"/>
      </w:pPr>
      <w:r>
        <w:t xml:space="preserve">We used VSEARCH (v2.14.1) for</w:t>
      </w:r>
      <w:r>
        <w:t xml:space="preserve"> </w:t>
      </w:r>
      <w:r>
        <w:rPr>
          <w:iCs/>
          <w:i/>
        </w:rPr>
        <w:t xml:space="preserve">de novo</w:t>
      </w:r>
      <w:r>
        <w:t xml:space="preserve"> </w:t>
      </w:r>
      <w:r>
        <w:t xml:space="preserve">chimera detection, dereplication and sequence alignment. VSEARCH is an open-source alternative to USEARCH that uses an optimal global aligner (full dynamic programming Needleman-Wunsch), resulting in more accurate alignments and sensitivity</w:t>
      </w:r>
      <w:r>
        <w:t xml:space="preserve"> </w:t>
      </w:r>
      <w:r>
        <w:t xml:space="preserve">(Rognes et al., 2016)</w:t>
      </w:r>
      <w:r>
        <w:t xml:space="preserve">. For mock communities and experimental samples, we used forward reads (ITS1) for downstream bioinformatics analyses due to their high quality, rather than reverse reads (ITS4). Following Sarmiento et al.</w:t>
      </w:r>
      <w:r>
        <w:t xml:space="preserve"> </w:t>
      </w:r>
      <w:r>
        <w:t xml:space="preserve">(2017)</w:t>
      </w:r>
      <w:r>
        <w:t xml:space="preserve">,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w:t>
      </w:r>
      <w:r>
        <w:t xml:space="preserve"> </w:t>
      </w:r>
      <w:r>
        <w:rPr>
          <w:rStyle w:val="VerbatimChar"/>
        </w:rPr>
        <w:t xml:space="preserve">fast_trunclen</w:t>
      </w:r>
      <w:r>
        <w:t xml:space="preserve"> </w:t>
      </w:r>
      <w:r>
        <w:t xml:space="preserve">and filtered them at a maximum expected error of 1.0 with command</w:t>
      </w:r>
      <w:r>
        <w:t xml:space="preserve"> </w:t>
      </w:r>
      <w:r>
        <w:rPr>
          <w:rStyle w:val="VerbatimChar"/>
        </w:rPr>
        <w:t xml:space="preserve">fast_maxee</w:t>
      </w:r>
      <w:r>
        <w:t xml:space="preserve">. We then clustered unique sequence zero radius OTUs (that is, zOTUs; analogous to amplicon sequence variants</w:t>
      </w:r>
      <w:r>
        <w:t xml:space="preserve"> </w:t>
      </w:r>
      <w:r>
        <w:t xml:space="preserve">(Callahan et al., 2016)</w:t>
      </w:r>
      <w:r>
        <w:t xml:space="preserve">), by using commands</w:t>
      </w:r>
      <w:r>
        <w:t xml:space="preserve"> </w:t>
      </w:r>
      <w:r>
        <w:rPr>
          <w:rStyle w:val="VerbatimChar"/>
        </w:rPr>
        <w:t xml:space="preserve">derep_fulllength</w:t>
      </w:r>
      <w:r>
        <w:t xml:space="preserve"> </w:t>
      </w:r>
      <w:r>
        <w:t xml:space="preserve">and</w:t>
      </w:r>
      <w:r>
        <w:t xml:space="preserve"> </w:t>
      </w:r>
      <w:r>
        <w:rPr>
          <w:rStyle w:val="VerbatimChar"/>
        </w:rPr>
        <w:t xml:space="preserve">minseqlength</w:t>
      </w:r>
      <w:r>
        <w:t xml:space="preserve"> </w:t>
      </w:r>
      <w:r>
        <w:t xml:space="preserve">set at 2. Sequentially we denoised and removed chimeras from read sequences with commands</w:t>
      </w:r>
      <w:r>
        <w:t xml:space="preserve"> </w:t>
      </w:r>
      <w:r>
        <w:rPr>
          <w:rStyle w:val="VerbatimChar"/>
        </w:rPr>
        <w:t xml:space="preserve">cluster_unoise</w:t>
      </w:r>
      <w:r>
        <w:t xml:space="preserve">, and</w:t>
      </w:r>
      <w:r>
        <w:t xml:space="preserve"> </w:t>
      </w:r>
      <w:r>
        <w:rPr>
          <w:rStyle w:val="VerbatimChar"/>
        </w:rPr>
        <w:t xml:space="preserve">uchime3_denovo</w:t>
      </w:r>
      <w:r>
        <w:t xml:space="preserve">, respectively (see Supplementary YYY for details). Finally, we clustered zOTUs at a 95% sequence similarity with command</w:t>
      </w:r>
      <w:r>
        <w:t xml:space="preserve"> </w:t>
      </w:r>
      <w:r>
        <w:rPr>
          <w:rStyle w:val="VerbatimChar"/>
        </w:rPr>
        <w:t xml:space="preserve">usearch_global</w:t>
      </w:r>
      <w:r>
        <w:t xml:space="preserve"> </w:t>
      </w:r>
      <w:r>
        <w:t xml:space="preserve">and option</w:t>
      </w:r>
      <w:r>
        <w:t xml:space="preserve"> </w:t>
      </w:r>
      <w:r>
        <w:rPr>
          <w:rStyle w:val="VerbatimChar"/>
        </w:rPr>
        <w:t xml:space="preserve">id</w:t>
      </w:r>
      <w:r>
        <w:t xml:space="preserve"> </w:t>
      </w:r>
      <w:r>
        <w:t xml:space="preserve">set at 0.95. After which, 3,035,960 sequence reads from experimental samples remained.</w:t>
      </w:r>
    </w:p>
    <w:p>
      <w:pPr>
        <w:pStyle w:val="BodyText"/>
      </w:pPr>
      <w:r>
        <w:t xml:space="preserve">Taxonomy was assigned with the Tree-Based Alignment Selector Toolkit [v2.2;</w:t>
      </w:r>
      <w:r>
        <w:t xml:space="preserve"> </w:t>
      </w:r>
      <w:r>
        <w:t xml:space="preserve">Carbone et al. (2019)</w:t>
      </w:r>
      <w:r>
        <w:t xml:space="preserve">] by placing unknowns within the Pezizomycotina v2 reference tree</w:t>
      </w:r>
      <w:r>
        <w:t xml:space="preserve"> </w:t>
      </w:r>
      <w:r>
        <w:t xml:space="preserve">(Carbone et al., 2017)</w:t>
      </w:r>
      <w:r>
        <w:t xml:space="preserve">. ITS sequences were blasted against the UNITE database by the ribosomal database project (RDP) classifier. A total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w:t>
      </w:r>
      <w:r>
        <w:t xml:space="preserve"> </w:t>
      </w:r>
      <w:r>
        <w:t xml:space="preserve">(Arnold &amp; Lutzoni, 2007)</w:t>
      </w:r>
      <w:r>
        <w:t xml:space="preserve">.</w:t>
      </w:r>
    </w:p>
    <w:p>
      <w:pPr>
        <w:pStyle w:val="BodyText"/>
      </w:pPr>
      <w: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w:t>
      </w:r>
      <w:r>
        <w:t xml:space="preserve"> </w:t>
      </w:r>
      <w:r>
        <w:t xml:space="preserve">(Oita et al., 2021)</w:t>
      </w:r>
      <w:r>
        <w:t xml:space="preserve">. Removed reads represent the frequency of reads classified as contamination in the mock communities relative to the expected read count. Three experimental samples from</w:t>
      </w:r>
      <w:r>
        <w:t xml:space="preserve"> </w:t>
      </w:r>
      <w:r>
        <w:rPr>
          <w:iCs/>
          <w:i/>
        </w:rPr>
        <w:t xml:space="preserve">Theobroma cacao</w:t>
      </w:r>
      <w:r>
        <w:t xml:space="preserve"> </w:t>
      </w:r>
      <w:r>
        <w:t xml:space="preserve">(</w:t>
      </w:r>
      <m:oMath>
        <m:r>
          <m:t>n</m:t>
        </m:r>
      </m:oMath>
      <w:r>
        <w:t xml:space="preserve">=2) and</w:t>
      </w:r>
      <w:r>
        <w:t xml:space="preserve"> </w:t>
      </w:r>
      <w:r>
        <w:rPr>
          <w:iCs/>
          <w:i/>
        </w:rPr>
        <w:t xml:space="preserve">Apeiba membranacea</w:t>
      </w:r>
      <w:r>
        <w:t xml:space="preserve"> </w:t>
      </w:r>
      <w:r>
        <w:t xml:space="preserve">(</w:t>
      </w:r>
      <m:oMath>
        <m:r>
          <m:t>n</m:t>
        </m:r>
      </m:oMath>
      <w:r>
        <w:t xml:space="preserve">=1) were removed from all analyses due to incomplete entires. After pruning taxa with zero reads from experimental samples, we identified OTUs found exclusively (</w:t>
      </w:r>
      <m:oMath>
        <m:r>
          <m:t>n</m:t>
        </m:r>
      </m:oMath>
      <w:r>
        <w:t xml:space="preserve">= 260) in control (</w:t>
      </w:r>
      <m:oMath>
        <m:r>
          <m:t>E</m:t>
        </m:r>
        <m:r>
          <m:rPr>
            <m:sty m:val="p"/>
          </m:rPr>
          <m:t>−</m:t>
        </m:r>
      </m:oMath>
      <w:r>
        <w:t xml:space="preserve">) plants (</w:t>
      </w:r>
      <m:oMath>
        <m:r>
          <m:t>n</m:t>
        </m:r>
      </m:oMath>
      <w:r>
        <w:t xml:space="preserve">=78) and deemed them as artifacts resulting from the greenhouse conditions. Consequently, these were consistently eliminated from treatment (</w:t>
      </w:r>
      <m:oMath>
        <m:r>
          <m:t>E</m:t>
        </m:r>
        <m:r>
          <m:rPr>
            <m:sty m:val="p"/>
          </m:rPr>
          <m:t>+</m:t>
        </m:r>
      </m:oMath>
      <w:r>
        <w:t xml:space="preserve">) plants across all species. We converted reads for each fungal OTU to proportions of total sequence abundance per sample to reduce differences in sampling effort, following previous studies (</w:t>
      </w:r>
      <w:r>
        <w:t xml:space="preserve">Weiss et al. (2017)</w:t>
      </w:r>
      <w:r>
        <w:t xml:space="preserve">;</w:t>
      </w:r>
      <w:r>
        <w:t xml:space="preserve"> </w:t>
      </w:r>
      <w:r>
        <w:t xml:space="preserve">McMurdie &amp; Holmes (2014)</w:t>
      </w:r>
      <w:r>
        <w:t xml:space="preserve"> </w:t>
      </w:r>
      <w:r>
        <w:t xml:space="preserve">). We then removed singletons and obtained an average of 2,464,558 sequence reads in 529 Ascomycota OTUs accross 156 experimental samples of 7 tree species. All analyses post taxonomic assignment were performed in R [v. 4.3.2;</w:t>
      </w:r>
      <w:r>
        <w:t xml:space="preserve"> </w:t>
      </w:r>
      <w:r>
        <w:t xml:space="preserve">R Core Team (2023)</w:t>
      </w:r>
      <w:r>
        <w:t xml:space="preserve">] using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and custom scripts (see Supplementary material).</w:t>
      </w:r>
    </w:p>
    <w:bookmarkEnd w:id="26"/>
    <w:bookmarkStart w:id="27" w:name="ant-endophyte-interaction-assays"/>
    <w:p>
      <w:pPr>
        <w:pStyle w:val="Heading3"/>
      </w:pPr>
      <w:r>
        <w:t xml:space="preserve">3.2.3 Ant-endophyte interaction assays</w:t>
      </w:r>
    </w:p>
    <w:p>
      <w:pPr>
        <w:pStyle w:val="FirstParagraph"/>
      </w:pPr>
      <w:r>
        <w:t xml:space="preserve">A fresh fourth leaf was used in ant assays. To assess leaf-cutter ant damage, we introduced one detached leaf per plant per treatment to an actively foraging leaf-cutter ant colony for a two-hour assay. We presented leaf-cutter ant colonies with a choice of an E+ or an E- leaf on a disposable plastic plate next to an active nest trail. Carefully, we collected and placed debris from the trail leading up to the plate to lure ants into the plate. We initiated the ant assay as soon as an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w:t>
      </w:r>
      <w:r>
        <w:t xml:space="preserve"> </w:t>
      </w:r>
      <w:r>
        <w:t xml:space="preserve">Schneider et al. (2012)</w:t>
      </w:r>
      <w:r>
        <w:t xml:space="preserve">]. Ant recruitment was estimated by counting individuals in the choice arena throughout trial event.</w:t>
      </w:r>
    </w:p>
    <w:bookmarkEnd w:id="27"/>
    <w:bookmarkStart w:id="28" w:name="pathogen-assays"/>
    <w:p>
      <w:pPr>
        <w:pStyle w:val="Heading3"/>
      </w:pPr>
      <w:r>
        <w:t xml:space="preserve">3.2.4 Pathogen assays</w:t>
      </w:r>
    </w:p>
    <w:p>
      <w:pPr>
        <w:pStyle w:val="FirstParagraph"/>
      </w:pPr>
      <w:r>
        <w:t xml:space="preserve">For the pathogen assays, we introduced an agar plug inoculated with hyphae of</w:t>
      </w:r>
      <w:r>
        <w:t xml:space="preserve"> </w:t>
      </w:r>
      <w:r>
        <w:rPr>
          <w:iCs/>
          <w:i/>
        </w:rPr>
        <w:t xml:space="preserve">Calonectria</w:t>
      </w:r>
      <w:r>
        <w:t xml:space="preserve"> </w:t>
      </w:r>
      <w:r>
        <w:t xml:space="preserve">sp. (</w:t>
      </w:r>
      <m:oMath>
        <m:r>
          <m:t>P</m:t>
        </m:r>
        <m:r>
          <m:rPr>
            <m:sty m:val="p"/>
          </m:rPr>
          <m:t>+</m:t>
        </m:r>
      </m:oMath>
      <w:r>
        <w:t xml:space="preserve"> </w:t>
      </w:r>
      <w:r>
        <w:t xml:space="preserve">treatment), and an agar plug without the pathogen (</w:t>
      </w:r>
      <m:oMath>
        <m:r>
          <m:t>P</m:t>
        </m:r>
        <m:r>
          <m:rPr>
            <m:sty m:val="p"/>
          </m:rPr>
          <m:t>−</m:t>
        </m:r>
      </m:oMath>
      <w:r>
        <w:t xml:space="preserve"> </w:t>
      </w:r>
      <w:r>
        <w:t xml:space="preserve">control) to similarly aged/sized leaves within 10-14 days after endophyte inoculations. Leaves with the</w:t>
      </w:r>
      <w:r>
        <w:t xml:space="preserve"> </w:t>
      </w:r>
      <m:oMath>
        <m:r>
          <m:t>P</m:t>
        </m:r>
        <m:r>
          <m:rPr>
            <m:sty m:val="p"/>
          </m:rPr>
          <m:t>+</m:t>
        </m:r>
      </m:oMath>
      <w:r>
        <w:t xml:space="preserve"> </w:t>
      </w:r>
      <w:r>
        <w:t xml:space="preserve">or</w:t>
      </w:r>
      <w:r>
        <w:t xml:space="preserve"> </w:t>
      </w:r>
      <m:oMath>
        <m:r>
          <m:t>P</m:t>
        </m:r>
        <m:r>
          <m:rPr>
            <m:sty m:val="p"/>
          </m:rPr>
          <m:t>−</m:t>
        </m:r>
      </m:oMath>
      <w:r>
        <w:t xml:space="preserve"> </w:t>
      </w:r>
      <w:r>
        <w:t xml:space="preserve">treatment were misted with sterile water two times a day (morning and afternoon) to maintain moisture. After four days, we removed the plugs and took digital photos to analyze leaf area damage using ImageJ [v1.52r;</w:t>
      </w:r>
      <w:r>
        <w:t xml:space="preserve"> </w:t>
      </w:r>
      <w:r>
        <w:t xml:space="preserve">Schneider et al. (2012)</w:t>
      </w:r>
      <w:r>
        <w:t xml:space="preserve">].</w:t>
      </w:r>
    </w:p>
    <w:bookmarkEnd w:id="28"/>
    <w:bookmarkStart w:id="29" w:name="statistical-analyses"/>
    <w:p>
      <w:pPr>
        <w:pStyle w:val="Heading3"/>
      </w:pPr>
      <w:r>
        <w:t xml:space="preserve">3.2.5 Statistical Analyses</w:t>
      </w:r>
    </w:p>
    <w:p>
      <w:pPr>
        <w:pStyle w:val="FirstParagraph"/>
      </w:pPr>
      <w:r>
        <w:t xml:space="preserve">We explore the role of leaf functional traits and foliar fungal symbionts in response to herbivory and pathogenicity. We present the analyses at the leaf and the plant level. Leaf functional traits were measured and are presented in their raw form, at the leaf level. While FEF data was explored and is presented at the plant level. In analyses were leaf functional traits and FEF are combined the corresponding transformations were made (e.g. averages).</w:t>
      </w:r>
    </w:p>
    <w:p>
      <w:pPr>
        <w:pStyle w:val="BodyText"/>
      </w:pPr>
      <w:r>
        <w:t xml:space="preserve">To test for H2, I used a general linear mixed model (GLM). First to determine which fixed effects to include in my models we used the</w:t>
      </w:r>
      <w:r>
        <w:t xml:space="preserve"> </w:t>
      </w:r>
      <w:r>
        <w:rPr>
          <w:rStyle w:val="VerbatimChar"/>
        </w:rPr>
        <w:t xml:space="preserve">vif</w:t>
      </w:r>
      <w:r>
        <w:t xml:space="preserve"> </w:t>
      </w:r>
      <w:r>
        <w:t xml:space="preserve">function in</w:t>
      </w:r>
      <w:r>
        <w:t xml:space="preserve"> </w:t>
      </w:r>
      <w:r>
        <w:rPr>
          <w:iCs/>
          <w:i/>
        </w:rPr>
        <w:t xml:space="preserve">R</w:t>
      </w:r>
      <w:r>
        <w:t xml:space="preserve"> </w:t>
      </w:r>
      <w:r>
        <w:t xml:space="preserve">to calculated the variance inflation factor for all explanatory variables (ACI, LT, LPS and LMA)</w:t>
      </w:r>
      <w:r>
        <w:t xml:space="preserve"> </w:t>
      </w:r>
      <w:r>
        <w:t xml:space="preserve">(R Core Team, 2023)</w:t>
      </w:r>
      <w:r>
        <w:t xml:space="preserve">. We then created a correlation matrix with</w:t>
      </w:r>
      <w:r>
        <w:t xml:space="preserve"> </w:t>
      </w:r>
      <w:r>
        <w:rPr>
          <w:rStyle w:val="VerbatimChar"/>
        </w:rPr>
        <w:t xml:space="preserve">cor</w:t>
      </w:r>
      <w:r>
        <w:t xml:space="preserve"> </w:t>
      </w:r>
      <w:r>
        <w:t xml:space="preserve">function to assess correlations among covariates. We opted to maintain explanatory variables pertaining to physical barriers ( LT, LPS and LMA) and exclude ACI from subsequent linear models due to high collinearity with LPS (0.54) and LMA (0.73). Every variable kept exhibits some degree of collinearity and this is well recorded in the literature (CITE HERE).</w:t>
      </w:r>
    </w:p>
    <w:p>
      <w:pPr>
        <w:pStyle w:val="BodyText"/>
      </w:pPr>
      <w:r>
        <w:t xml:space="preserve">Additionally, Principal Component Analysis (PCA) was used to reduce dimensions among covariates and reval underlying interactions that could influence fungal endophyte abundance, diversity and community composition in seedlings. The PCA was computed using the</w:t>
      </w:r>
      <w:r>
        <w:t xml:space="preserve"> </w:t>
      </w:r>
      <w:r>
        <w:rPr>
          <w:rStyle w:val="VerbatimChar"/>
        </w:rPr>
        <w:t xml:space="preserve">prcomp</w:t>
      </w:r>
      <w:r>
        <w:t xml:space="preserve"> </w:t>
      </w:r>
      <w:r>
        <w:t xml:space="preserve">function in R statistical software</w:t>
      </w:r>
      <w:r>
        <w:t xml:space="preserve"> </w:t>
      </w:r>
      <w:r>
        <w:t xml:space="preserve">(R Core Team, 2023)</w:t>
      </w:r>
      <w:r>
        <w:t xml:space="preserve">. A complete PCA was computed with variables ACI, LT, LPS, and LMA (FIGURE 2a?). We then proceeded to compute a PCA with the data from leaves of plants used in the ant (</w:t>
      </w:r>
      <m:oMath>
        <m:r>
          <m:t>n</m:t>
        </m:r>
      </m:oMath>
      <w:r>
        <w:t xml:space="preserve"> </w:t>
      </w:r>
      <w:r>
        <w:t xml:space="preserve">= 210) and pathogen assays (</w:t>
      </w:r>
      <m:oMath>
        <m:r>
          <m:t>n</m:t>
        </m:r>
      </m:oMath>
      <w:r>
        <w:t xml:space="preserve"> </w:t>
      </w:r>
      <w:r>
        <w:t xml:space="preserve">= 192).</w:t>
      </w:r>
    </w:p>
    <w:p>
      <w:pPr>
        <w:pStyle w:val="BodyText"/>
      </w:pPr>
      <w:r>
        <w:t xml:space="preserve">The PCA rincipal Component Analysis revealed how covariates (LMA, ACI, Thickness and Toughness) interact. I overlapped tree species groups on the PCA axes to show how the variance in the data is explained by PC1 (60%) and PC2 (27%) (Fig. 4). This is indicative of correlation among covariates. Thickness and toughness were orthogonal to each other in PCA, indicative of low correlation.</w:t>
      </w:r>
    </w:p>
    <w:bookmarkEnd w:id="29"/>
    <w:bookmarkEnd w:id="30"/>
    <w:bookmarkEnd w:id="31"/>
    <w:bookmarkStart w:id="71" w:name="references"/>
    <w:p>
      <w:pPr>
        <w:pStyle w:val="Heading1"/>
      </w:pPr>
      <w:r>
        <w:t xml:space="preserve">4. References</w:t>
      </w:r>
    </w:p>
    <w:bookmarkStart w:id="70" w:name="refs"/>
    <w:bookmarkStart w:id="33" w:name="ref-arnold2007"/>
    <w:p>
      <w:pPr>
        <w:pStyle w:val="Bibliography"/>
      </w:pPr>
      <w:r>
        <w:t xml:space="preserve">Arnold, A. E., &amp; Lutzoni, F. (2007). Diversity and host range of foliar fungal endophytes:</w:t>
      </w:r>
      <w:r>
        <w:t xml:space="preserve"> </w:t>
      </w:r>
      <w:r>
        <w:t xml:space="preserve">Are</w:t>
      </w:r>
      <w:r>
        <w:t xml:space="preserve"> </w:t>
      </w:r>
      <w:r>
        <w:t xml:space="preserve">tropical leaves biodiversity hotspots?</w:t>
      </w:r>
      <w:r>
        <w:t xml:space="preserve"> </w:t>
      </w:r>
      <w:r>
        <w:rPr>
          <w:iCs/>
          <w:i/>
        </w:rPr>
        <w:t xml:space="preserve">Ecology</w:t>
      </w:r>
      <w:r>
        <w:t xml:space="preserve">,</w:t>
      </w:r>
      <w:r>
        <w:t xml:space="preserve"> </w:t>
      </w:r>
      <w:r>
        <w:rPr>
          <w:iCs/>
          <w:i/>
        </w:rPr>
        <w:t xml:space="preserve">88</w:t>
      </w:r>
      <w:r>
        <w:t xml:space="preserve">(3), 541–549.</w:t>
      </w:r>
      <w:r>
        <w:t xml:space="preserve"> </w:t>
      </w:r>
      <w:hyperlink r:id="rId32">
        <w:r>
          <w:rPr>
            <w:rStyle w:val="Hyperlink"/>
          </w:rPr>
          <w:t xml:space="preserve">https://doi.org/10.1890/05-1459</w:t>
        </w:r>
      </w:hyperlink>
    </w:p>
    <w:bookmarkEnd w:id="33"/>
    <w:bookmarkStart w:id="34"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34"/>
    <w:bookmarkStart w:id="36" w:name="ref-bowman2021"/>
    <w:p>
      <w:pPr>
        <w:pStyle w:val="Bibliography"/>
      </w:pPr>
      <w:r>
        <w:t xml:space="preserve">Bowman, E. A., &amp; Arnold, A. E. (2021). Drivers and implications of distance decay differ for ectomycorrhizal and foliar endophytic fungi across an anciently fragmented landscape.</w:t>
      </w:r>
      <w:r>
        <w:t xml:space="preserve"> </w:t>
      </w:r>
      <w:r>
        <w:rPr>
          <w:iCs/>
          <w:i/>
        </w:rPr>
        <w:t xml:space="preserve">The ISME Journal</w:t>
      </w:r>
      <w:r>
        <w:t xml:space="preserve">,</w:t>
      </w:r>
      <w:r>
        <w:t xml:space="preserve"> </w:t>
      </w:r>
      <w:r>
        <w:rPr>
          <w:iCs/>
          <w:i/>
        </w:rPr>
        <w:t xml:space="preserve">15</w:t>
      </w:r>
      <w:r>
        <w:t xml:space="preserve">(12), 3437–3454.</w:t>
      </w:r>
      <w:r>
        <w:t xml:space="preserve"> </w:t>
      </w:r>
      <w:hyperlink r:id="rId35">
        <w:r>
          <w:rPr>
            <w:rStyle w:val="Hyperlink"/>
          </w:rPr>
          <w:t xml:space="preserve">https://doi.org/10.1038/s41396-021-01006-9</w:t>
        </w:r>
      </w:hyperlink>
    </w:p>
    <w:bookmarkEnd w:id="36"/>
    <w:bookmarkStart w:id="38"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37">
        <w:r>
          <w:rPr>
            <w:rStyle w:val="Hyperlink"/>
          </w:rPr>
          <w:t xml:space="preserve">https://doi.org/10.1038/nmeth.3869</w:t>
        </w:r>
      </w:hyperlink>
    </w:p>
    <w:bookmarkEnd w:id="38"/>
    <w:bookmarkStart w:id="40" w:name="ref-carbone2017"/>
    <w:p>
      <w:pPr>
        <w:pStyle w:val="Bibliography"/>
      </w:pPr>
      <w:r>
        <w:t xml:space="preserve">Carbone, I., White, J. B., Miadlikowska, J., Arnold, A. E., Miller, M. A., Kauff, F., U’Ren, J. M., May, G., &amp; Lutzoni, F. (2017). T-</w:t>
      </w:r>
      <w:r>
        <w:t xml:space="preserve">BAS</w:t>
      </w:r>
      <w:r>
        <w:t xml:space="preserve">:</w:t>
      </w:r>
      <w:r>
        <w:t xml:space="preserve"> </w:t>
      </w:r>
      <w:r>
        <w:t xml:space="preserve">Tree-Based Alignment Selector</w:t>
      </w:r>
      <w:r>
        <w:t xml:space="preserve"> </w:t>
      </w:r>
      <w:r>
        <w:t xml:space="preserve">toolkit for phylogenetic-based placement, alignment downloads and metadata visualization:</w:t>
      </w:r>
      <w:r>
        <w:t xml:space="preserve"> </w:t>
      </w:r>
      <w:r>
        <w:t xml:space="preserve">An</w:t>
      </w:r>
      <w:r>
        <w:t xml:space="preserve"> </w:t>
      </w:r>
      <w:r>
        <w:t xml:space="preserve">example with the</w:t>
      </w:r>
      <w:r>
        <w:t xml:space="preserve"> </w:t>
      </w:r>
      <w:r>
        <w:t xml:space="preserve">Pezizomycotina</w:t>
      </w:r>
      <w:r>
        <w:t xml:space="preserve"> </w:t>
      </w:r>
      <w:r>
        <w:t xml:space="preserve">tree of life.</w:t>
      </w:r>
      <w:r>
        <w:t xml:space="preserve"> </w:t>
      </w:r>
      <w:r>
        <w:rPr>
          <w:iCs/>
          <w:i/>
        </w:rPr>
        <w:t xml:space="preserve">Bioinformatics</w:t>
      </w:r>
      <w:r>
        <w:t xml:space="preserve">,</w:t>
      </w:r>
      <w:r>
        <w:t xml:space="preserve"> </w:t>
      </w:r>
      <w:r>
        <w:rPr>
          <w:iCs/>
          <w:i/>
        </w:rPr>
        <w:t xml:space="preserve">33</w:t>
      </w:r>
      <w:r>
        <w:t xml:space="preserve">(8), 1160–1168.</w:t>
      </w:r>
      <w:r>
        <w:t xml:space="preserve"> </w:t>
      </w:r>
      <w:hyperlink r:id="rId39">
        <w:r>
          <w:rPr>
            <w:rStyle w:val="Hyperlink"/>
          </w:rPr>
          <w:t xml:space="preserve">https://doi.org/10.1093/bioinformatics/btw808</w:t>
        </w:r>
      </w:hyperlink>
    </w:p>
    <w:bookmarkEnd w:id="40"/>
    <w:bookmarkStart w:id="42" w:name="ref-carbone2019"/>
    <w:p>
      <w:pPr>
        <w:pStyle w:val="Bibliography"/>
      </w:pPr>
      <w:r>
        <w:t xml:space="preserve">Carbone, I., White, J. B., Miadlikowska, J., Arnold, A. E., Miller, M. A., Magain, N., U’Ren, J. M., &amp; Lutzoni, F. (2019). T-</w:t>
      </w:r>
      <w:r>
        <w:t xml:space="preserve">BAS Version</w:t>
      </w:r>
      <w:r>
        <w:t xml:space="preserve"> </w:t>
      </w:r>
      <w:r>
        <w:t xml:space="preserve">2.1:</w:t>
      </w:r>
      <w:r>
        <w:t xml:space="preserve"> </w:t>
      </w:r>
      <w:r>
        <w:t xml:space="preserve">Tree-Based Alignment Selector Toolkit</w:t>
      </w:r>
      <w:r>
        <w:t xml:space="preserve"> </w:t>
      </w:r>
      <w:r>
        <w:t xml:space="preserve">for</w:t>
      </w:r>
      <w:r>
        <w:t xml:space="preserve"> </w:t>
      </w:r>
      <w:r>
        <w:t xml:space="preserve">Evolutionary Placement</w:t>
      </w:r>
      <w:r>
        <w:t xml:space="preserve"> </w:t>
      </w:r>
      <w:r>
        <w:t xml:space="preserve">of</w:t>
      </w:r>
      <w:r>
        <w:t xml:space="preserve"> </w:t>
      </w:r>
      <w:r>
        <w:t xml:space="preserve">DNA Sequences</w:t>
      </w:r>
      <w:r>
        <w:t xml:space="preserve"> </w:t>
      </w:r>
      <w:r>
        <w:t xml:space="preserve">and</w:t>
      </w:r>
      <w:r>
        <w:t xml:space="preserve"> </w:t>
      </w:r>
      <w:r>
        <w:t xml:space="preserve">Viewing Alignments</w:t>
      </w:r>
      <w:r>
        <w:t xml:space="preserve"> </w:t>
      </w:r>
      <w:r>
        <w:t xml:space="preserve">and</w:t>
      </w:r>
      <w:r>
        <w:t xml:space="preserve"> </w:t>
      </w:r>
      <w:r>
        <w:t xml:space="preserve">Specimen Metadata</w:t>
      </w:r>
      <w:r>
        <w:t xml:space="preserve"> </w:t>
      </w:r>
      <w:r>
        <w:t xml:space="preserve">on</w:t>
      </w:r>
      <w:r>
        <w:t xml:space="preserve"> </w:t>
      </w:r>
      <w:r>
        <w:t xml:space="preserve">Curated</w:t>
      </w:r>
      <w:r>
        <w:t xml:space="preserve"> </w:t>
      </w:r>
      <w:r>
        <w:t xml:space="preserve">and</w:t>
      </w:r>
      <w:r>
        <w:t xml:space="preserve"> </w:t>
      </w:r>
      <w:r>
        <w:t xml:space="preserve">Custom Trees</w:t>
      </w:r>
      <w:r>
        <w:t xml:space="preserve">.</w:t>
      </w:r>
      <w:r>
        <w:t xml:space="preserve"> </w:t>
      </w:r>
      <w:r>
        <w:rPr>
          <w:iCs/>
          <w:i/>
        </w:rPr>
        <w:t xml:space="preserve">Microbiology Resource Announcements</w:t>
      </w:r>
      <w:r>
        <w:t xml:space="preserve">,</w:t>
      </w:r>
      <w:r>
        <w:t xml:space="preserve"> </w:t>
      </w:r>
      <w:r>
        <w:rPr>
          <w:iCs/>
          <w:i/>
        </w:rPr>
        <w:t xml:space="preserve">8</w:t>
      </w:r>
      <w:r>
        <w:t xml:space="preserve">(29), e00328–19.</w:t>
      </w:r>
      <w:r>
        <w:t xml:space="preserve"> </w:t>
      </w:r>
      <w:hyperlink r:id="rId41">
        <w:r>
          <w:rPr>
            <w:rStyle w:val="Hyperlink"/>
          </w:rPr>
          <w:t xml:space="preserve">https://doi.org/10.1128/MRA.00328-19</w:t>
        </w:r>
      </w:hyperlink>
    </w:p>
    <w:bookmarkEnd w:id="42"/>
    <w:bookmarkStart w:id="44" w:name="ref-daru2019"/>
    <w:p>
      <w:pPr>
        <w:pStyle w:val="Bibliography"/>
      </w:pPr>
      <w:r>
        <w:t xml:space="preserve">Daru, B. H., Bowman, E. A., Pfister, D. H., &amp; Arnold, A. E. (2019). A novel proof of concept for capturing the diversity of endophytic fungi preserved in herbarium specimens.</w:t>
      </w:r>
      <w:r>
        <w:t xml:space="preserve"> </w:t>
      </w:r>
      <w:r>
        <w:rPr>
          <w:iCs/>
          <w:i/>
        </w:rPr>
        <w:t xml:space="preserve">Philosophical Transactions of the Royal Society B: Biological Sciences</w:t>
      </w:r>
      <w:r>
        <w:t xml:space="preserve">,</w:t>
      </w:r>
      <w:r>
        <w:t xml:space="preserve"> </w:t>
      </w:r>
      <w:r>
        <w:rPr>
          <w:iCs/>
          <w:i/>
        </w:rPr>
        <w:t xml:space="preserve">374</w:t>
      </w:r>
      <w:r>
        <w:t xml:space="preserve">(1763), 20170395.</w:t>
      </w:r>
      <w:r>
        <w:t xml:space="preserve"> </w:t>
      </w:r>
      <w:hyperlink r:id="rId43">
        <w:r>
          <w:rPr>
            <w:rStyle w:val="Hyperlink"/>
          </w:rPr>
          <w:t xml:space="preserve">https://doi.org/10.1098/rstb.2017.0395</w:t>
        </w:r>
      </w:hyperlink>
    </w:p>
    <w:bookmarkEnd w:id="44"/>
    <w:bookmarkStart w:id="46"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45">
        <w:r>
          <w:rPr>
            <w:rStyle w:val="Hyperlink"/>
          </w:rPr>
          <w:t xml:space="preserve">https://doi.org/10.1016/j.funeco.2013.12.005</w:t>
        </w:r>
      </w:hyperlink>
    </w:p>
    <w:bookmarkEnd w:id="46"/>
    <w:bookmarkStart w:id="48"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47">
        <w:r>
          <w:rPr>
            <w:rStyle w:val="Hyperlink"/>
          </w:rPr>
          <w:t xml:space="preserve">https://doi.org/10.1371/journal.pone.0061217</w:t>
        </w:r>
      </w:hyperlink>
    </w:p>
    <w:bookmarkEnd w:id="48"/>
    <w:bookmarkStart w:id="50" w:name="ref-mcmurdie2014"/>
    <w:p>
      <w:pPr>
        <w:pStyle w:val="Bibliography"/>
      </w:pPr>
      <w:r>
        <w:t xml:space="preserve">McMurdie, P. J., &amp; Holmes, S. (2014). Waste</w:t>
      </w:r>
      <w:r>
        <w:t xml:space="preserve"> </w:t>
      </w:r>
      <w:r>
        <w:t xml:space="preserve">Not</w:t>
      </w:r>
      <w:r>
        <w:t xml:space="preserve">,</w:t>
      </w:r>
      <w:r>
        <w:t xml:space="preserve"> </w:t>
      </w:r>
      <w:r>
        <w:t xml:space="preserve">Want Not</w:t>
      </w:r>
      <w:r>
        <w:t xml:space="preserve">:</w:t>
      </w:r>
      <w:r>
        <w:t xml:space="preserve"> </w:t>
      </w:r>
      <w:r>
        <w:t xml:space="preserve">Why Rarefying Microbiome Data Is Inadmissible</w:t>
      </w:r>
      <w:r>
        <w:t xml:space="preserve">.</w:t>
      </w:r>
      <w:r>
        <w:t xml:space="preserve"> </w:t>
      </w:r>
      <w:r>
        <w:rPr>
          <w:iCs/>
          <w:i/>
        </w:rPr>
        <w:t xml:space="preserve">PLoS Computational Biology</w:t>
      </w:r>
      <w:r>
        <w:t xml:space="preserve">,</w:t>
      </w:r>
      <w:r>
        <w:t xml:space="preserve"> </w:t>
      </w:r>
      <w:r>
        <w:rPr>
          <w:iCs/>
          <w:i/>
        </w:rPr>
        <w:t xml:space="preserve">10</w:t>
      </w:r>
      <w:r>
        <w:t xml:space="preserve">(4), e1003531.</w:t>
      </w:r>
      <w:r>
        <w:t xml:space="preserve"> </w:t>
      </w:r>
      <w:hyperlink r:id="rId49">
        <w:r>
          <w:rPr>
            <w:rStyle w:val="Hyperlink"/>
          </w:rPr>
          <w:t xml:space="preserve">https://doi.org/10.1371/journal.pcbi.1003531</w:t>
        </w:r>
      </w:hyperlink>
    </w:p>
    <w:bookmarkEnd w:id="50"/>
    <w:bookmarkStart w:id="52"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51">
        <w:r>
          <w:rPr>
            <w:rStyle w:val="Hyperlink"/>
          </w:rPr>
          <w:t xml:space="preserve">https://doi.org/10.1038/s42003-021-01826-7</w:t>
        </w:r>
      </w:hyperlink>
    </w:p>
    <w:bookmarkEnd w:id="52"/>
    <w:bookmarkStart w:id="54"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53">
        <w:r>
          <w:rPr>
            <w:rStyle w:val="Hyperlink"/>
          </w:rPr>
          <w:t xml:space="preserve">https://www.R-project.org/</w:t>
        </w:r>
      </w:hyperlink>
    </w:p>
    <w:bookmarkEnd w:id="54"/>
    <w:bookmarkStart w:id="56" w:name="ref-rognes2016"/>
    <w:p>
      <w:pPr>
        <w:pStyle w:val="Bibliography"/>
      </w:pPr>
      <w:r>
        <w:t xml:space="preserve">Rognes, T., Flouri, T., Nichols, B., Quince, C., &amp; Mahé, F. (2016).</w:t>
      </w:r>
      <w:r>
        <w:t xml:space="preserve"> </w:t>
      </w:r>
      <w:r>
        <w:t xml:space="preserve">VSEARCH</w:t>
      </w:r>
      <w:r>
        <w:t xml:space="preserve">: A versatile open source tool for metagenomics.</w:t>
      </w:r>
      <w:r>
        <w:t xml:space="preserve"> </w:t>
      </w:r>
      <w:r>
        <w:rPr>
          <w:iCs/>
          <w:i/>
        </w:rPr>
        <w:t xml:space="preserve">PeerJ</w:t>
      </w:r>
      <w:r>
        <w:t xml:space="preserve">,</w:t>
      </w:r>
      <w:r>
        <w:t xml:space="preserve"> </w:t>
      </w:r>
      <w:r>
        <w:rPr>
          <w:iCs/>
          <w:i/>
        </w:rPr>
        <w:t xml:space="preserve">4</w:t>
      </w:r>
      <w:r>
        <w:t xml:space="preserve">, e2584.</w:t>
      </w:r>
      <w:r>
        <w:t xml:space="preserve"> </w:t>
      </w:r>
      <w:hyperlink r:id="rId55">
        <w:r>
          <w:rPr>
            <w:rStyle w:val="Hyperlink"/>
          </w:rPr>
          <w:t xml:space="preserve">https://doi.org/10.7717/peerj.2584</w:t>
        </w:r>
      </w:hyperlink>
    </w:p>
    <w:bookmarkEnd w:id="56"/>
    <w:bookmarkStart w:id="58"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57">
        <w:r>
          <w:rPr>
            <w:rStyle w:val="Hyperlink"/>
          </w:rPr>
          <w:t xml:space="preserve">https://doi.org/10.1073/pnas.1706324114</w:t>
        </w:r>
      </w:hyperlink>
    </w:p>
    <w:bookmarkEnd w:id="58"/>
    <w:bookmarkStart w:id="60"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59">
        <w:r>
          <w:rPr>
            <w:rStyle w:val="Hyperlink"/>
          </w:rPr>
          <w:t xml:space="preserve">https://doi.org/10.1038/nmeth.2089</w:t>
        </w:r>
      </w:hyperlink>
    </w:p>
    <w:bookmarkEnd w:id="60"/>
    <w:bookmarkStart w:id="62"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61">
        <w:r>
          <w:rPr>
            <w:rStyle w:val="Hyperlink"/>
          </w:rPr>
          <w:t xml:space="preserve">https://doi.org/10.3389/fmicb.2022.927780</w:t>
        </w:r>
      </w:hyperlink>
    </w:p>
    <w:bookmarkEnd w:id="62"/>
    <w:bookmarkStart w:id="64" w:name="ref-tellezRedCol2016"/>
    <w:p>
      <w:pPr>
        <w:pStyle w:val="Bibliography"/>
      </w:pPr>
      <w:r>
        <w:t xml:space="preserve">Tellez, P. H., Rojas, E., &amp; Van Bael, S. (2016). Red coloration in young tropical leaves associated with reduced fungal pathogen damage.</w:t>
      </w:r>
      <w:r>
        <w:t xml:space="preserve"> </w:t>
      </w:r>
      <w:r>
        <w:rPr>
          <w:iCs/>
          <w:i/>
        </w:rPr>
        <w:t xml:space="preserve">Biotropica</w:t>
      </w:r>
      <w:r>
        <w:t xml:space="preserve">,</w:t>
      </w:r>
      <w:r>
        <w:t xml:space="preserve"> </w:t>
      </w:r>
      <w:r>
        <w:rPr>
          <w:iCs/>
          <w:i/>
        </w:rPr>
        <w:t xml:space="preserve">48</w:t>
      </w:r>
      <w:r>
        <w:t xml:space="preserve">(2), 150–153.</w:t>
      </w:r>
      <w:r>
        <w:t xml:space="preserve"> </w:t>
      </w:r>
      <w:hyperlink r:id="rId63">
        <w:r>
          <w:rPr>
            <w:rStyle w:val="Hyperlink"/>
          </w:rPr>
          <w:t xml:space="preserve">https://doi.org/10.1111/btp.12303</w:t>
        </w:r>
      </w:hyperlink>
    </w:p>
    <w:bookmarkEnd w:id="64"/>
    <w:bookmarkStart w:id="65"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p>
    <w:bookmarkEnd w:id="65"/>
    <w:bookmarkStart w:id="67" w:name="ref-uren2019"/>
    <w:p>
      <w:pPr>
        <w:pStyle w:val="Bibliography"/>
      </w:pPr>
      <w:r>
        <w:t xml:space="preserve">U’Ren, J. M., Lutzoni, F., Miadlikowska, J., Zimmerman, N. B., Carbone, I., May, G., &amp; Arnold, A. E. (2019). Host availability drives distributions of fungal endophytes in the imperilled boreal realm.</w:t>
      </w:r>
      <w:r>
        <w:t xml:space="preserve"> </w:t>
      </w:r>
      <w:r>
        <w:rPr>
          <w:iCs/>
          <w:i/>
        </w:rPr>
        <w:t xml:space="preserve">Nature Ecology &amp; Evolution</w:t>
      </w:r>
      <w:r>
        <w:t xml:space="preserve">,</w:t>
      </w:r>
      <w:r>
        <w:t xml:space="preserve"> </w:t>
      </w:r>
      <w:r>
        <w:rPr>
          <w:iCs/>
          <w:i/>
        </w:rPr>
        <w:t xml:space="preserve">3</w:t>
      </w:r>
      <w:r>
        <w:t xml:space="preserve">(10), 1430–1437.</w:t>
      </w:r>
      <w:r>
        <w:t xml:space="preserve"> </w:t>
      </w:r>
      <w:hyperlink r:id="rId66">
        <w:r>
          <w:rPr>
            <w:rStyle w:val="Hyperlink"/>
          </w:rPr>
          <w:t xml:space="preserve">https://doi.org/10.1038/s41559-019-0975-2</w:t>
        </w:r>
      </w:hyperlink>
    </w:p>
    <w:bookmarkEnd w:id="67"/>
    <w:bookmarkStart w:id="69" w:name="ref-weiss2017"/>
    <w:p>
      <w:pPr>
        <w:pStyle w:val="Bibliography"/>
      </w:pPr>
      <w:r>
        <w:t xml:space="preserve">Weiss, S., Xu, Z. Z., Peddada, S., Amir, A., Bittinger, K., Gonzalez, A., Lozupone, C., Zaneveld, J. R., Vázquez-Baeza, Y., Birmingham, A., Hyde, E. R., &amp; Knight, R. (2017). Normalization and microbial differential abundance strategies depend upon data characteristics.</w:t>
      </w:r>
      <w:r>
        <w:t xml:space="preserve"> </w:t>
      </w:r>
      <w:r>
        <w:rPr>
          <w:iCs/>
          <w:i/>
        </w:rPr>
        <w:t xml:space="preserve">Microbiome</w:t>
      </w:r>
      <w:r>
        <w:t xml:space="preserve">,</w:t>
      </w:r>
      <w:r>
        <w:t xml:space="preserve"> </w:t>
      </w:r>
      <w:r>
        <w:rPr>
          <w:iCs/>
          <w:i/>
        </w:rPr>
        <w:t xml:space="preserve">5</w:t>
      </w:r>
      <w:r>
        <w:t xml:space="preserve">(1), 27.</w:t>
      </w:r>
      <w:r>
        <w:t xml:space="preserve"> </w:t>
      </w:r>
      <w:hyperlink r:id="rId68">
        <w:r>
          <w:rPr>
            <w:rStyle w:val="Hyperlink"/>
          </w:rPr>
          <w:t xml:space="preserve">https://doi.org/10.1186/s40168-017-0237-y</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6/j.funeco.2013.12.005" TargetMode="External" /><Relationship Type="http://schemas.openxmlformats.org/officeDocument/2006/relationships/hyperlink" Id="rId59" Target="https://doi.org/10.1038/nmeth.2089" TargetMode="External" /><Relationship Type="http://schemas.openxmlformats.org/officeDocument/2006/relationships/hyperlink" Id="rId37" Target="https://doi.org/10.1038/nmeth.3869" TargetMode="External" /><Relationship Type="http://schemas.openxmlformats.org/officeDocument/2006/relationships/hyperlink" Id="rId35" Target="https://doi.org/10.1038/s41396-021-01006-9" TargetMode="External" /><Relationship Type="http://schemas.openxmlformats.org/officeDocument/2006/relationships/hyperlink" Id="rId66" Target="https://doi.org/10.1038/s41559-019-0975-2" TargetMode="External" /><Relationship Type="http://schemas.openxmlformats.org/officeDocument/2006/relationships/hyperlink" Id="rId51" Target="https://doi.org/10.1038/s42003-021-01826-7" TargetMode="External" /><Relationship Type="http://schemas.openxmlformats.org/officeDocument/2006/relationships/hyperlink" Id="rId57" Target="https://doi.org/10.1073/pnas.1706324114" TargetMode="External" /><Relationship Type="http://schemas.openxmlformats.org/officeDocument/2006/relationships/hyperlink" Id="rId39" Target="https://doi.org/10.1093/bioinformatics/btw808" TargetMode="External" /><Relationship Type="http://schemas.openxmlformats.org/officeDocument/2006/relationships/hyperlink" Id="rId43" Target="https://doi.org/10.1098/rstb.2017.0395" TargetMode="External" /><Relationship Type="http://schemas.openxmlformats.org/officeDocument/2006/relationships/hyperlink" Id="rId63" Target="https://doi.org/10.1111/btp.12303" TargetMode="External" /><Relationship Type="http://schemas.openxmlformats.org/officeDocument/2006/relationships/hyperlink" Id="rId41" Target="https://doi.org/10.1128/MRA.00328-19" TargetMode="External" /><Relationship Type="http://schemas.openxmlformats.org/officeDocument/2006/relationships/hyperlink" Id="rId68" Target="https://doi.org/10.1186/s40168-017-0237-y" TargetMode="External" /><Relationship Type="http://schemas.openxmlformats.org/officeDocument/2006/relationships/hyperlink" Id="rId49" Target="https://doi.org/10.1371/journal.pcbi.1003531" TargetMode="External" /><Relationship Type="http://schemas.openxmlformats.org/officeDocument/2006/relationships/hyperlink" Id="rId47" Target="https://doi.org/10.1371/journal.pone.0061217" TargetMode="External" /><Relationship Type="http://schemas.openxmlformats.org/officeDocument/2006/relationships/hyperlink" Id="rId32" Target="https://doi.org/10.1890/05-1459" TargetMode="External" /><Relationship Type="http://schemas.openxmlformats.org/officeDocument/2006/relationships/hyperlink" Id="rId61" Target="https://doi.org/10.3389/fmicb.2022.927780" TargetMode="External" /><Relationship Type="http://schemas.openxmlformats.org/officeDocument/2006/relationships/hyperlink" Id="rId55" Target="https://doi.org/10.7717/peerj.2584"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funeco.2013.12.005" TargetMode="External" /><Relationship Type="http://schemas.openxmlformats.org/officeDocument/2006/relationships/hyperlink" Id="rId59" Target="https://doi.org/10.1038/nmeth.2089" TargetMode="External" /><Relationship Type="http://schemas.openxmlformats.org/officeDocument/2006/relationships/hyperlink" Id="rId37" Target="https://doi.org/10.1038/nmeth.3869" TargetMode="External" /><Relationship Type="http://schemas.openxmlformats.org/officeDocument/2006/relationships/hyperlink" Id="rId35" Target="https://doi.org/10.1038/s41396-021-01006-9" TargetMode="External" /><Relationship Type="http://schemas.openxmlformats.org/officeDocument/2006/relationships/hyperlink" Id="rId66" Target="https://doi.org/10.1038/s41559-019-0975-2" TargetMode="External" /><Relationship Type="http://schemas.openxmlformats.org/officeDocument/2006/relationships/hyperlink" Id="rId51" Target="https://doi.org/10.1038/s42003-021-01826-7" TargetMode="External" /><Relationship Type="http://schemas.openxmlformats.org/officeDocument/2006/relationships/hyperlink" Id="rId57" Target="https://doi.org/10.1073/pnas.1706324114" TargetMode="External" /><Relationship Type="http://schemas.openxmlformats.org/officeDocument/2006/relationships/hyperlink" Id="rId39" Target="https://doi.org/10.1093/bioinformatics/btw808" TargetMode="External" /><Relationship Type="http://schemas.openxmlformats.org/officeDocument/2006/relationships/hyperlink" Id="rId43" Target="https://doi.org/10.1098/rstb.2017.0395" TargetMode="External" /><Relationship Type="http://schemas.openxmlformats.org/officeDocument/2006/relationships/hyperlink" Id="rId63" Target="https://doi.org/10.1111/btp.12303" TargetMode="External" /><Relationship Type="http://schemas.openxmlformats.org/officeDocument/2006/relationships/hyperlink" Id="rId41" Target="https://doi.org/10.1128/MRA.00328-19" TargetMode="External" /><Relationship Type="http://schemas.openxmlformats.org/officeDocument/2006/relationships/hyperlink" Id="rId68" Target="https://doi.org/10.1186/s40168-017-0237-y" TargetMode="External" /><Relationship Type="http://schemas.openxmlformats.org/officeDocument/2006/relationships/hyperlink" Id="rId49" Target="https://doi.org/10.1371/journal.pcbi.1003531" TargetMode="External" /><Relationship Type="http://schemas.openxmlformats.org/officeDocument/2006/relationships/hyperlink" Id="rId47" Target="https://doi.org/10.1371/journal.pone.0061217" TargetMode="External" /><Relationship Type="http://schemas.openxmlformats.org/officeDocument/2006/relationships/hyperlink" Id="rId32" Target="https://doi.org/10.1890/05-1459" TargetMode="External" /><Relationship Type="http://schemas.openxmlformats.org/officeDocument/2006/relationships/hyperlink" Id="rId61" Target="https://doi.org/10.3389/fmicb.2022.927780" TargetMode="External" /><Relationship Type="http://schemas.openxmlformats.org/officeDocument/2006/relationships/hyperlink" Id="rId55" Target="https://doi.org/10.7717/peerj.2584"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 Aim3 Leaf Traits</dc:title>
  <dc:creator>Bolívar Aponte Rolón; A. Elizabeth Arnold; Sunshine A. Van Bael</dc:creator>
  <cp:keywords/>
  <dcterms:created xsi:type="dcterms:W3CDTF">2023-12-05T02:12:14Z</dcterms:created>
  <dcterms:modified xsi:type="dcterms:W3CDTF">2023-12-05T02:12:14Z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itation-package">
    <vt:lpwstr>biblatex</vt:lpwstr>
  </property>
  <property fmtid="{D5CDD505-2E9C-101B-9397-08002B2CF9AE}" pid="9" name="csl">
    <vt:lpwstr>apa.csl</vt:lpwstr>
  </property>
  <property fmtid="{D5CDD505-2E9C-101B-9397-08002B2CF9AE}" pid="10" name="date">
    <vt:lpwstr>2023-12-04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docx">
    <vt:lpwstr>custom-reference-doc.docx</vt:lpwstr>
  </property>
  <property fmtid="{D5CDD505-2E9C-101B-9397-08002B2CF9AE}" pid="17" name="toc-title">
    <vt:lpwstr>Table of contents</vt:lpwstr>
  </property>
</Properties>
</file>