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6.png" ContentType="image/png"/>
  <Override PartName="/word/media/rId130.png" ContentType="image/png"/>
  <Override PartName="/word/media/rId134.png" ContentType="image/png"/>
  <Override PartName="/word/media/rId138.png" ContentType="image/png"/>
  <Override PartName="/word/media/rId142.png" ContentType="image/png"/>
  <Override PartName="/word/media/rId146.png" ContentType="image/png"/>
  <Override PartName="/word/media/rId150.png" ContentType="image/png"/>
  <Override PartName="/word/media/rId155.png" ContentType="image/png"/>
  <Override PartName="/word/media/rId159.png" ContentType="image/png"/>
  <Override PartName="/word/media/rId164.png" ContentType="image/png"/>
  <Override PartName="/word/media/rId167.png" ContentType="image/png"/>
  <Override PartName="/word/media/rId171.png" ContentType="image/png"/>
  <Override PartName="/word/media/rId1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Foliar</w:t>
      </w:r>
      <w:r>
        <w:t xml:space="preserve"> </w:t>
      </w:r>
      <w:r>
        <w:t xml:space="preserve">fungal</w:t>
      </w:r>
      <w:r>
        <w:t xml:space="preserve"> </w:t>
      </w:r>
      <w:r>
        <w:t xml:space="preserve">symbionts</w:t>
      </w:r>
      <w:r>
        <w:t xml:space="preserve"> </w:t>
      </w:r>
      <w:r>
        <w:t xml:space="preserve">in</w:t>
      </w:r>
      <w:r>
        <w:t xml:space="preserve"> </w:t>
      </w:r>
      <w:r>
        <w:t xml:space="preserve">sympatric</w:t>
      </w:r>
      <w:r>
        <w:t xml:space="preserve"> </w:t>
      </w:r>
      <w:r>
        <w:t xml:space="preserve">yellow</w:t>
      </w:r>
      <w:r>
        <w:t xml:space="preserve"> </w:t>
      </w:r>
      <w:r>
        <w:t xml:space="preserve">monkeyflowers</w:t>
      </w:r>
      <w:r>
        <w:t xml:space="preserve"> </w:t>
      </w:r>
      <w:r>
        <w:t xml:space="preserve">along</w:t>
      </w:r>
      <w:r>
        <w:t xml:space="preserve"> </w:t>
      </w:r>
      <w:r>
        <w:t xml:space="preserve">elevation</w:t>
      </w:r>
      <w:r>
        <w:t xml:space="preserve"> </w:t>
      </w:r>
      <w:r>
        <w:t xml:space="preserve">gradients</w:t>
      </w:r>
      <w:r>
        <w:t xml:space="preserve"> </w:t>
      </w:r>
      <w:r>
        <w:t xml:space="preserve">in</w:t>
      </w:r>
      <w:r>
        <w:t xml:space="preserve"> </w:t>
      </w:r>
      <w:r>
        <w:t xml:space="preserve">the</w:t>
      </w:r>
      <w:r>
        <w:t xml:space="preserve"> </w:t>
      </w:r>
      <w:r>
        <w:t xml:space="preserve">Sierra</w:t>
      </w:r>
      <w:r>
        <w:t xml:space="preserve"> </w:t>
      </w:r>
      <w:r>
        <w:t xml:space="preserve">Nevada</w:t>
      </w:r>
    </w:p>
    <w:p>
      <w:pPr>
        <w:pStyle w:val="Author"/>
      </w:pPr>
      <w:r>
        <w:t xml:space="preserve">Bolívar</w:t>
      </w:r>
      <w:r>
        <w:t xml:space="preserve"> </w:t>
      </w:r>
      <w:r>
        <w:t xml:space="preserve">Aponte</w:t>
      </w:r>
      <w:r>
        <w:t xml:space="preserve"> </w:t>
      </w:r>
      <w:r>
        <w:t xml:space="preserve">Rolón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Kathleen</w:t>
      </w:r>
      <w:r>
        <w:t xml:space="preserve"> </w:t>
      </w:r>
      <w:r>
        <w:t xml:space="preserve">G.</w:t>
      </w:r>
      <w:r>
        <w:t xml:space="preserve"> </w:t>
      </w:r>
      <w:r>
        <w:t xml:space="preserve">Ferris</w:t>
      </w:r>
      <w:r>
        <w:rPr>
          <w:vertAlign w:val="superscript"/>
        </w:rPr>
        <w:t xml:space="preserve">2</w:t>
      </w:r>
      <w:r>
        <w:t xml:space="preserve">,</w:t>
      </w:r>
      <w:r>
        <w:t xml:space="preserve"> </w:t>
      </w:r>
      <w:r>
        <w:t xml:space="preserve">and</w:t>
      </w:r>
      <w:r>
        <w:t xml:space="preserve"> </w:t>
      </w:r>
      <w:r>
        <w:t xml:space="preserve">Sunshine</w:t>
      </w:r>
      <w:r>
        <w:t xml:space="preserve"> </w:t>
      </w:r>
      <w:r>
        <w:t xml:space="preserve">A.</w:t>
      </w:r>
      <w:r>
        <w:t xml:space="preserve"> </w:t>
      </w:r>
      <w:r>
        <w:t xml:space="preserve">Van</w:t>
      </w:r>
      <w:r>
        <w:t xml:space="preserve"> </w:t>
      </w:r>
      <w:r>
        <w:t xml:space="preserve">Bael</w:t>
      </w:r>
      <w:r>
        <w:rPr>
          <w:vertAlign w:val="superscript"/>
        </w:rPr>
        <w:t xml:space="preserve">2</w:t>
      </w:r>
    </w:p>
    <w:p>
      <w:pPr>
        <w:pStyle w:val="Date"/>
      </w:pPr>
      <w:r>
        <w:t xml:space="preserve">February</w:t>
      </w:r>
      <w:r>
        <w:t xml:space="preserve"> </w:t>
      </w:r>
      <w:r>
        <w:t xml:space="preserve">18,</w:t>
      </w:r>
      <w:r>
        <w:t xml:space="preserve"> </w:t>
      </w:r>
      <w:r>
        <w:t xml:space="preserve">2024</w:t>
      </w:r>
    </w:p>
    <w:p>
      <w:pPr>
        <w:pStyle w:val="FirstParagraph"/>
      </w:pPr>
      <w:r>
        <w:rPr>
          <w:vertAlign w:val="superscript"/>
        </w:rPr>
        <w:t xml:space="preserve">1</w:t>
      </w:r>
      <w:r>
        <w:t xml:space="preserve"> </w:t>
      </w:r>
      <w:r>
        <w:t xml:space="preserve">Tulane University</w:t>
      </w:r>
      <w:r>
        <w:br/>
      </w:r>
      <w:r>
        <w:rPr>
          <w:vertAlign w:val="superscript"/>
        </w:rPr>
        <w:t xml:space="preserve">2</w:t>
      </w:r>
      <w:r>
        <w:t xml:space="preserve"> </w:t>
      </w:r>
      <w:r>
        <w:t xml:space="preserve">Department of Ecology and Evolutionary Biology, Tulane University, 6823 St. Charles Avenue, New Orleans, LA 70118</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Bolívar Aponte Rolón &lt;baponterolo@tulane.edu&gt;</w:t>
        </w:r>
      </w:hyperlink>
    </w:p>
    <w:bookmarkStart w:id="21" w:name="keywords"/>
    <w:p>
      <w:pPr>
        <w:pStyle w:val="Heading2"/>
      </w:pPr>
      <w:r>
        <w:t xml:space="preserve">0.1 Keywords</w:t>
      </w:r>
    </w:p>
    <w:bookmarkEnd w:id="21"/>
    <w:bookmarkStart w:id="22" w:name="abstract"/>
    <w:p>
      <w:pPr>
        <w:pStyle w:val="Heading1"/>
      </w:pPr>
      <w:r>
        <w:t xml:space="preserve">1. Abstract</w:t>
      </w:r>
    </w:p>
    <w:bookmarkEnd w:id="22"/>
    <w:bookmarkStart w:id="27" w:name="introduction"/>
    <w:p>
      <w:pPr>
        <w:pStyle w:val="Heading1"/>
      </w:pPr>
      <w:r>
        <w:t xml:space="preserve">2. Introduction</w:t>
      </w:r>
    </w:p>
    <w:p>
      <w:pPr>
        <w:pStyle w:val="FirstParagraph"/>
      </w:pPr>
      <w:r>
        <w:t xml:space="preserve">Phenotypic plasticity and genetic adaptation are key drivers of evolution, and both processes may</w:t>
      </w:r>
      <w:r>
        <w:t xml:space="preserve"> </w:t>
      </w:r>
      <w:r>
        <w:t xml:space="preserve">aid in plant adaptation to a warming climate</w:t>
      </w:r>
      <w:r>
        <w:t xml:space="preserve"> </w:t>
      </w:r>
      <w:r>
        <w:t xml:space="preserve">(Jump &amp; Peñuelas, 2005)</w:t>
      </w:r>
      <w:r>
        <w:t xml:space="preserve">. Plant’s colonization of</w:t>
      </w:r>
      <w:r>
        <w:t xml:space="preserve"> </w:t>
      </w:r>
      <w:r>
        <w:t xml:space="preserve">land across multiples climates has been aided by their parallel evolution with fungi and bacteria;</w:t>
      </w:r>
      <w:r>
        <w:t xml:space="preserve"> </w:t>
      </w:r>
      <w:r>
        <w:t xml:space="preserve">however, little is known about how plant microbiomes influence or are influenced by local</w:t>
      </w:r>
      <w:r>
        <w:t xml:space="preserve"> </w:t>
      </w:r>
      <w:r>
        <w:t xml:space="preserve">adaptation or phenotypic plasticity of plants. Lack of knowledge about this is a problem because</w:t>
      </w:r>
      <w:r>
        <w:t xml:space="preserve"> </w:t>
      </w:r>
      <w:r>
        <w:t xml:space="preserve">ecology aims to predict how plant distribution may change as the climate becomes further</w:t>
      </w:r>
      <w:r>
        <w:t xml:space="preserve"> </w:t>
      </w:r>
      <w:r>
        <w:t xml:space="preserve">altered. Previous studies have suggested that foliar endophytic fungi (FEF) can alter plant traits</w:t>
      </w:r>
      <w:r>
        <w:t xml:space="preserve"> </w:t>
      </w:r>
      <w:r>
        <w:t xml:space="preserve">under stressful conditions such as drought</w:t>
      </w:r>
      <w:r>
        <w:t xml:space="preserve"> </w:t>
      </w:r>
      <w:r>
        <w:t xml:space="preserve">(Song et al., 2016)</w:t>
      </w:r>
      <w:r>
        <w:t xml:space="preserve">. FEF live in plant leaves and they</w:t>
      </w:r>
      <w:r>
        <w:t xml:space="preserve"> </w:t>
      </w:r>
      <w:r>
        <w:t xml:space="preserve">may contribute to local adaptation and/or phenotypic plasticity.</w:t>
      </w:r>
      <w:r>
        <w:t xml:space="preserve"> </w:t>
      </w:r>
      <w:r>
        <w:t xml:space="preserve">Host genetics may shape the foliar microbiomes of plants. For example, a study on the classical</w:t>
      </w:r>
      <w:r>
        <w:t xml:space="preserve"> </w:t>
      </w:r>
      <w:r>
        <w:t xml:space="preserve">plant model, Arabidopsis thaliana, revealed that bacterial and fungal communities in leaves are</w:t>
      </w:r>
      <w:r>
        <w:t xml:space="preserve"> </w:t>
      </w:r>
      <w:r>
        <w:t xml:space="preserve">shaped by host genotype, at least for the most common OTUs</w:t>
      </w:r>
      <w:r>
        <w:t xml:space="preserve"> </w:t>
      </w:r>
      <w:r>
        <w:t xml:space="preserve">(Horton et al., 2014)</w:t>
      </w:r>
      <w:r>
        <w:t xml:space="preserve">. Another</w:t>
      </w:r>
      <w:r>
        <w:t xml:space="preserve"> </w:t>
      </w:r>
      <w:r>
        <w:t xml:space="preserve">ideal model system to explore the interactions between leaf traits and FEF are the yellow</w:t>
      </w:r>
      <w:r>
        <w:t xml:space="preserve"> </w:t>
      </w:r>
      <w:r>
        <w:t xml:space="preserve">monkeyflowers in the</w:t>
      </w:r>
      <w:r>
        <w:t xml:space="preserve"> </w:t>
      </w:r>
      <w:r>
        <w:rPr>
          <w:iCs/>
          <w:i/>
        </w:rPr>
        <w:t xml:space="preserve">Mimulus guttatus</w:t>
      </w:r>
      <w:r>
        <w:t xml:space="preserve"> </w:t>
      </w:r>
      <w:r>
        <w:t xml:space="preserve">species complex. Over the last 2 decades, the M.</w:t>
      </w:r>
      <w:r>
        <w:t xml:space="preserve"> </w:t>
      </w:r>
      <w:r>
        <w:t xml:space="preserve">guttatus species complex has become a model system for answering questions about local</w:t>
      </w:r>
      <w:r>
        <w:t xml:space="preserve"> </w:t>
      </w:r>
      <w:r>
        <w:t xml:space="preserve">adaptation and phenotypic plasticity</w:t>
      </w:r>
      <w:r>
        <w:t xml:space="preserve"> </w:t>
      </w:r>
      <w:r>
        <w:t xml:space="preserve">(Wu et al., 2008; Yuan, 2019)</w:t>
      </w:r>
      <w:r>
        <w:t xml:space="preserve">. Experimental manipulation</w:t>
      </w:r>
      <w:r>
        <w:t xml:space="preserve"> </w:t>
      </w:r>
      <w:r>
        <w:t xml:space="preserve">is relatively easy due to its small genome (about 430 Mb), short generation time, high fecundity,</w:t>
      </w:r>
      <w:r>
        <w:t xml:space="preserve"> </w:t>
      </w:r>
      <w:r>
        <w:t xml:space="preserve">self-compatibility, and ease of greenhouse propagation</w:t>
      </w:r>
      <w:r>
        <w:t xml:space="preserve"> </w:t>
      </w:r>
      <w:r>
        <w:t xml:space="preserve">(Society, 2019; Wu et al., 2008)</w:t>
      </w:r>
      <w:r>
        <w:t xml:space="preserve"> </w:t>
      </w:r>
      <w:r>
        <w:t xml:space="preserve">Currently, studies of the M. guttatus species complex focus on the genetic and environmental</w:t>
      </w:r>
      <w:r>
        <w:t xml:space="preserve"> </w:t>
      </w:r>
      <w:r>
        <w:t xml:space="preserve">factors driving local adaptation and phenotypic plasticity. The evolution of leaf shape for 3</w:t>
      </w:r>
      <w:r>
        <w:t xml:space="preserve"> </w:t>
      </w:r>
      <w:r>
        <w:t xml:space="preserve">edaphic species in the M. guttatus complex is controlled by overlapping genetic regions</w:t>
      </w:r>
      <w:r>
        <w:t xml:space="preserve"> </w:t>
      </w:r>
      <w:r>
        <w:t xml:space="preserve">(Ferris et al., 2015)</w:t>
      </w:r>
      <w:r>
        <w:t xml:space="preserve">. Ferris et al.,</w:t>
      </w:r>
      <w:r>
        <w:t xml:space="preserve"> </w:t>
      </w:r>
      <w:r>
        <w:t xml:space="preserve">(2015)</w:t>
      </w:r>
      <w:r>
        <w:t xml:space="preserve"> </w:t>
      </w:r>
      <w:r>
        <w:t xml:space="preserve">points to multiple events of leaf shape evolution in the</w:t>
      </w:r>
      <w:r>
        <w:t xml:space="preserve"> </w:t>
      </w:r>
      <w:r>
        <w:rPr>
          <w:iCs/>
          <w:i/>
        </w:rPr>
        <w:t xml:space="preserve">M. guttatus</w:t>
      </w:r>
      <w:r>
        <w:t xml:space="preserve"> </w:t>
      </w:r>
      <w:r>
        <w:t xml:space="preserve">species complex and their associated habitats. Recent work has narrowed the gene architecture at play in incomplete reproductively isolated sympatric populations of</w:t>
      </w:r>
      <w:r>
        <w:t xml:space="preserve"> </w:t>
      </w:r>
      <w:r>
        <w:rPr>
          <w:iCs/>
          <w:i/>
        </w:rPr>
        <w:t xml:space="preserve">Mimulus laciniatus</w:t>
      </w:r>
      <w:r>
        <w:t xml:space="preserve"> </w:t>
      </w:r>
      <w:r>
        <w:t xml:space="preserve">and</w:t>
      </w:r>
      <w:r>
        <w:t xml:space="preserve"> </w:t>
      </w:r>
      <w:r>
        <w:rPr>
          <w:iCs/>
          <w:i/>
        </w:rPr>
        <w:t xml:space="preserve">Mimulus guttatus</w:t>
      </w:r>
      <w:r>
        <w:t xml:space="preserve">, shedding light on the location of quantitative trait loci (QTL) for the first flower node, flowering time, corolla width, corolla length, and leaf shape</w:t>
      </w:r>
      <w:r>
        <w:t xml:space="preserve"> </w:t>
      </w:r>
      <w:r>
        <w:t xml:space="preserve">(Ferris et al., 2017)</w:t>
      </w:r>
      <w:r>
        <w:t xml:space="preserve"> </w:t>
      </w:r>
      <w:r>
        <w:t xml:space="preserve">and suggesting that large-effect loci are likely experiencing gene-flow in these populations. There is scarce research that focuses on the symbionts of Mimulus spp. Beslile et al.</w:t>
      </w:r>
      <w:r>
        <w:t xml:space="preserve"> </w:t>
      </w:r>
      <w:r>
        <w:t xml:space="preserve">(2012)</w:t>
      </w:r>
      <w:r>
        <w:t xml:space="preserve"> </w:t>
      </w:r>
      <w:r>
        <w:t xml:space="preserve">reported on the distribution of diverse fungal communities in the flower nectar of</w:t>
      </w:r>
      <w:r>
        <w:t xml:space="preserve"> </w:t>
      </w:r>
      <w:r>
        <w:rPr>
          <w:iCs/>
          <w:i/>
        </w:rPr>
        <w:t xml:space="preserve">Mimulus aurantiacus</w:t>
      </w:r>
      <w:r>
        <w:t xml:space="preserve">. The authors considered flowers as islands in a metapopulation system and found that the frequency of micro fungi (i.e., yeasts) was significantly correlated to the location of the plant and marginally</w:t>
      </w:r>
      <w:r>
        <w:t xml:space="preserve"> </w:t>
      </w:r>
      <w:r>
        <w:t xml:space="preserve">correlated with the density of the flowers in the plant</w:t>
      </w:r>
      <w:r>
        <w:t xml:space="preserve"> </w:t>
      </w:r>
      <w:r>
        <w:t xml:space="preserve">(Beslile et al., 2012)</w:t>
      </w:r>
      <w:r>
        <w:t xml:space="preserve">. To our knowledge,</w:t>
      </w:r>
      <w:r>
        <w:t xml:space="preserve"> </w:t>
      </w:r>
      <w:r>
        <w:t xml:space="preserve">no previous studies have considered how locally adapted or phenotypic traits influence</w:t>
      </w:r>
      <w:r>
        <w:t xml:space="preserve"> </w:t>
      </w:r>
      <w:r>
        <w:rPr>
          <w:iCs/>
          <w:i/>
        </w:rPr>
        <w:t xml:space="preserve">in planta</w:t>
      </w:r>
      <w:r>
        <w:t xml:space="preserve"> </w:t>
      </w:r>
      <w:r>
        <w:t xml:space="preserve">symbioses and, in turn, how these might play a role in the development of such traits.</w:t>
      </w:r>
    </w:p>
    <w:bookmarkStart w:id="26" w:name="hypothesis-and-prediction"/>
    <w:p>
      <w:pPr>
        <w:pStyle w:val="Heading3"/>
      </w:pPr>
      <w:r>
        <w:t xml:space="preserve">2.0.1 Hypothesis and Prediction</w:t>
      </w:r>
    </w:p>
    <w:bookmarkStart w:id="23" w:name="hypothesis"/>
    <w:p>
      <w:pPr>
        <w:pStyle w:val="Heading4"/>
      </w:pPr>
      <w:r>
        <w:t xml:space="preserve">2.0.1.1 Hypothesis</w:t>
      </w:r>
    </w:p>
    <w:p>
      <w:pPr>
        <w:pStyle w:val="FirstParagraph"/>
      </w:pPr>
      <w:r>
        <w:t xml:space="preserve">Environmental factors such as elevation and geographic distance have can influence local</w:t>
      </w:r>
      <w:r>
        <w:t xml:space="preserve"> </w:t>
      </w:r>
      <w:r>
        <w:t xml:space="preserve">adaptation, phenotypic plasticity of leaf traits, as well as symbiotic FEF communities in sympatric populations of</w:t>
      </w:r>
      <w:r>
        <w:t xml:space="preserve"> </w:t>
      </w:r>
      <w:r>
        <w:rPr>
          <w:iCs/>
          <w:i/>
        </w:rPr>
        <w:t xml:space="preserve">M. guttatus</w:t>
      </w:r>
      <w:r>
        <w:t xml:space="preserve">,</w:t>
      </w:r>
      <w:r>
        <w:t xml:space="preserve"> </w:t>
      </w:r>
      <w:r>
        <w:rPr>
          <w:iCs/>
          <w:i/>
        </w:rPr>
        <w:t xml:space="preserve">M. laciniatus</w:t>
      </w:r>
      <w:r>
        <w:t xml:space="preserve"> </w:t>
      </w:r>
      <w:r>
        <w:t xml:space="preserve">, and</w:t>
      </w:r>
      <w:r>
        <w:t xml:space="preserve"> </w:t>
      </w:r>
      <w:r>
        <w:rPr>
          <w:iCs/>
          <w:i/>
        </w:rPr>
        <w:t xml:space="preserve">M. nasutus</w:t>
      </w:r>
      <w:r>
        <w:t xml:space="preserve">.</w:t>
      </w:r>
    </w:p>
    <w:bookmarkEnd w:id="23"/>
    <w:bookmarkStart w:id="24" w:name="justification."/>
    <w:p>
      <w:pPr>
        <w:pStyle w:val="Heading4"/>
      </w:pPr>
      <w:r>
        <w:t xml:space="preserve">2.0.1.2 Justification.</w:t>
      </w:r>
    </w:p>
    <w:p>
      <w:pPr>
        <w:pStyle w:val="FirstParagraph"/>
      </w:pPr>
      <w:r>
        <w:t xml:space="preserve">There is little information on the potential symbiotic relationships the M. guttatus</w:t>
      </w:r>
      <w:r>
        <w:t xml:space="preserve"> </w:t>
      </w:r>
      <w:r>
        <w:t xml:space="preserve">species complex may host. Because of this, it is valuable to create a detailed account of the</w:t>
      </w:r>
      <w:r>
        <w:t xml:space="preserve"> </w:t>
      </w:r>
      <w:r>
        <w:t xml:space="preserve">endophyte communities present in the Mimulus guttatus species complex along an environmental</w:t>
      </w:r>
      <w:r>
        <w:t xml:space="preserve"> </w:t>
      </w:r>
      <w:r>
        <w:t xml:space="preserve">gradient (e.g., elevation).</w:t>
      </w:r>
    </w:p>
    <w:bookmarkEnd w:id="24"/>
    <w:bookmarkStart w:id="25" w:name="prediction."/>
    <w:p>
      <w:pPr>
        <w:pStyle w:val="Heading4"/>
      </w:pPr>
      <w:r>
        <w:t xml:space="preserve">2.0.1.3 Prediction.</w:t>
      </w:r>
    </w:p>
    <w:p>
      <w:pPr>
        <w:pStyle w:val="FirstParagraph"/>
      </w:pPr>
      <w:r>
        <w:t xml:space="preserve">The diversity, richness, and abundance of FEF communities will be similar within</w:t>
      </w:r>
      <w:r>
        <w:t xml:space="preserve"> </w:t>
      </w:r>
      <w:r>
        <w:t xml:space="preserve">the same sites (alpha diversity) than among sites (beta diversity) regardless</w:t>
      </w:r>
      <w:r>
        <w:t xml:space="preserve"> </w:t>
      </w:r>
      <w:r>
        <w:t xml:space="preserve">of host species.</w:t>
      </w:r>
    </w:p>
    <w:p>
      <w:pPr>
        <w:pStyle w:val="BodyText"/>
      </w:pPr>
      <w:r>
        <w:t xml:space="preserve">^ NEEDS WORK</w:t>
      </w:r>
      <w:r>
        <w:t xml:space="preserve"> </w:t>
      </w:r>
    </w:p>
    <w:bookmarkEnd w:id="25"/>
    <w:bookmarkEnd w:id="26"/>
    <w:bookmarkEnd w:id="27"/>
    <w:bookmarkStart w:id="35" w:name="materials-and-methods"/>
    <w:p>
      <w:pPr>
        <w:pStyle w:val="Heading1"/>
      </w:pPr>
      <w:r>
        <w:t xml:space="preserve">3. Materials and Methods</w:t>
      </w:r>
    </w:p>
    <w:bookmarkStart w:id="28" w:name="sample-collection"/>
    <w:p>
      <w:pPr>
        <w:pStyle w:val="Heading2"/>
      </w:pPr>
      <w:r>
        <w:t xml:space="preserve">3.1 Sample Collection</w:t>
      </w:r>
    </w:p>
    <w:p>
      <w:pPr>
        <w:pStyle w:val="FirstParagraph"/>
      </w:pPr>
      <w:r>
        <w:t xml:space="preserve">We collected plant specimens populations of</w:t>
      </w:r>
      <w:r>
        <w:t xml:space="preserve"> </w:t>
      </w:r>
      <w:r>
        <w:rPr>
          <w:iCs/>
          <w:i/>
        </w:rPr>
        <w:t xml:space="preserve">M. guttatus</w:t>
      </w:r>
      <w:r>
        <w:t xml:space="preserve">,</w:t>
      </w:r>
      <w:r>
        <w:t xml:space="preserve"> </w:t>
      </w:r>
      <w:r>
        <w:rPr>
          <w:iCs/>
          <w:i/>
        </w:rPr>
        <w:t xml:space="preserve">M. laciniatus</w:t>
      </w:r>
      <w:r>
        <w:t xml:space="preserve">, and</w:t>
      </w:r>
      <w:r>
        <w:t xml:space="preserve"> </w:t>
      </w:r>
      <w:r>
        <w:rPr>
          <w:iCs/>
          <w:i/>
        </w:rPr>
        <w:t xml:space="preserve">M. nasutus</w:t>
      </w:r>
      <w:r>
        <w:t xml:space="preserve"> </w:t>
      </w:r>
      <w:r>
        <w:t xml:space="preserve">(syn.</w:t>
      </w:r>
      <w:r>
        <w:t xml:space="preserve"> </w:t>
      </w:r>
      <w:r>
        <w:rPr>
          <w:iCs/>
          <w:i/>
        </w:rPr>
        <w:t xml:space="preserve">Erythranthe guttata</w:t>
      </w:r>
      <w:r>
        <w:t xml:space="preserve"> </w:t>
      </w:r>
      <w:r>
        <w:t xml:space="preserve">,</w:t>
      </w:r>
      <w:r>
        <w:t xml:space="preserve"> </w:t>
      </w:r>
      <w:r>
        <w:rPr>
          <w:iCs/>
          <w:i/>
        </w:rPr>
        <w:t xml:space="preserve">Erythranthe laciniata</w:t>
      </w:r>
      <w:r>
        <w:t xml:space="preserve">, and</w:t>
      </w:r>
      <w:r>
        <w:t xml:space="preserve"> </w:t>
      </w:r>
      <w:r>
        <w:rPr>
          <w:iCs/>
          <w:i/>
        </w:rPr>
        <w:t xml:space="preserve">Erythranthe nasuta</w:t>
      </w:r>
      <w:r>
        <w:t xml:space="preserve">) across Stanislaus National Forest (SNF), Sierra National Forest (SINF) and Yosemite National Park (YNP), CA, USA. during We haphazardly selected sites close to the main roads based on the presence of a viable population of at least ~ 50 individuals per species. Samples collected from YNP were collected from non-wilderness areas on the side of the road. We determined population viability ensuring that they had individuals flowering or close to flowering stage. We collected between 6 - 12 individuals per species per site. We selected individuals that possessed healthy looking leaves, no visible signs of pathogen damage or senescence. At sites were two species were present we collected individuals that were at least ~ 25 meters apart. We collected sample specimens by carefully uprooting the plant and placing into individual plastic bags (e.g., Ziploc®) and preserving in an ice chest until return to the field laboratory at the UC Merced Yosemite Field Station, YNP, CA, USA. Plant specimens were processed within 8 hrs of collection.</w:t>
      </w:r>
    </w:p>
    <w:bookmarkEnd w:id="28"/>
    <w:bookmarkStart w:id="29" w:name="leaf-traits-measurement"/>
    <w:p>
      <w:pPr>
        <w:pStyle w:val="Heading2"/>
      </w:pPr>
      <w:r>
        <w:t xml:space="preserve">3.2 Leaf traits measurement</w:t>
      </w:r>
    </w:p>
    <w:p>
      <w:pPr>
        <w:pStyle w:val="FirstParagraph"/>
      </w:pPr>
      <w:r>
        <w:t xml:space="preserve">From each plant, we measured leaf traits: leaf thickness (LT), leaf punch strength (LPS), leaf mass per area (LMA), anthocyanin content index (ACI) which are known to be associated with FEF communities</w:t>
      </w:r>
      <w:r>
        <w:t xml:space="preserve"> </w:t>
      </w:r>
      <w:r>
        <w:t xml:space="preserve">(Tellez et al., 2022)</w:t>
      </w:r>
      <w:r>
        <w:t xml:space="preserve"> </w:t>
      </w:r>
      <w:r>
        <w:t xml:space="preserve">as well as leaf lobe index (LBI)</w:t>
      </w:r>
      <w:r>
        <w:t xml:space="preserve"> </w:t>
      </w:r>
      <w:r>
        <w:t xml:space="preserve">(Ferris et al., 2015)</w:t>
      </w:r>
      <w:r>
        <w:t xml:space="preserve">. We cleaned plants with tap water to remove all soil and debris remnants from the leaves and roots. We removed all healthy leaves (~ 5 - 10) from the stems and took three measurements per trait from three haphazardly selected leaves from individual plants, with the exception of LBI, only one leaf per plant. We used a transparency film to hold the leaf in place and flatten, after which we took a digital photograph for analysis in ImageJ [v1.52r;</w:t>
      </w:r>
      <w:r>
        <w:t xml:space="preserve"> </w:t>
      </w:r>
      <w:r>
        <w:t xml:space="preserve">Schneider et al. (2012)</w:t>
      </w:r>
      <w:r>
        <w:t xml:space="preserve">]. To calculate the LBI, we followed</w:t>
      </w:r>
      <w:r>
        <w:t xml:space="preserve"> </w:t>
      </w:r>
      <w:r>
        <w:t xml:space="preserve">(2015)</w:t>
      </w:r>
      <w:r>
        <w:t xml:space="preserve">. Leaf lobing is calculated as the convex hull area minus the true leaf area divided by convex hull area. We measured ACI content with ACM-200plus (Opti-Sciences Inc. Hudson, New Hampshire, U.S.A.) on haphazardly selected locations of the leaf surface (working from the petiole out to the leaf tip)</w:t>
      </w:r>
      <w:r>
        <w:t xml:space="preserve"> </w:t>
      </w:r>
      <w:r>
        <w:t xml:space="preserve">(Tellez et al., 2022)</w:t>
      </w:r>
      <w:r>
        <w:t xml:space="preserve">. The ACM-200 calculates an ACI value from the ratio of % transmittance at 931 nm/% transmittance at 525 nm</w:t>
      </w:r>
      <w:r>
        <w:t xml:space="preserve"> </w:t>
      </w:r>
      <w:r>
        <w:t xml:space="preserve">(Inc., n.d.)</w:t>
      </w:r>
      <w:r>
        <w:t xml:space="preserve">, effectively accounting for leaf thickness. We measured LT (μm) with a Mitutoyo 7327 Micrometer Gauge (Mitutoyo, Takatsu-ku, Kawasaki, Japan) on haphazardly selected locations of the leaf lamina, taking care to avoid major and secondary veins. We used an Imada DST-11a digital force gauge (Imada Inc., Northbrook, IL, United States) to measure LPS, a measure of leaf toughness, on the lamina of each leaf selected, avoiding minor leaf veins when possible</w:t>
      </w:r>
      <w:r>
        <w:t xml:space="preserve"> </w:t>
      </w:r>
      <w:r>
        <w:t xml:space="preserve">(Tellez et al., 2022)</w:t>
      </w:r>
      <w:r>
        <w:t xml:space="preserve">. It functions by conducting punch-and-die tests with a sharp-edged cylindrical steel punch (2.0 mm diameter) and a steel die with a sharp-edged aperture of small clearance (0.05 mm). Once LPS was measured, we used a 4 mm diameter punch hole to puncture disks for LMA measurements. We collected one disk per leaf (see Supplementary material for details). The disk punches dried were shipped to Tulane University, New Orleans, LA, USA to dry at 60 ℃ for 48-72 hours before being weighed.</w:t>
      </w:r>
    </w:p>
    <w:bookmarkEnd w:id="29"/>
    <w:bookmarkStart w:id="33" w:name="molecular-work"/>
    <w:p>
      <w:pPr>
        <w:pStyle w:val="Heading2"/>
      </w:pPr>
      <w:r>
        <w:t xml:space="preserve">3.3 Molecular Work</w:t>
      </w:r>
    </w:p>
    <w:bookmarkStart w:id="30" w:name="tissue-preservation"/>
    <w:p>
      <w:pPr>
        <w:pStyle w:val="Heading3"/>
      </w:pPr>
      <w:r>
        <w:t xml:space="preserve">3.3.1 Tissue preservation</w:t>
      </w:r>
    </w:p>
    <w:p>
      <w:pPr>
        <w:pStyle w:val="FirstParagraph"/>
      </w:pPr>
      <w:r>
        <w:t xml:space="preserve">Upon completion of the leaf traits measurements, we prepared and preserved samples at the UC Merced Yosemite Field Station. We started by removing the main vein and margins from photosynthetic tissue. The leaf lamina was haphazardly cut with a sterile blade into 2 mm wide strip in parallel to the main vein</w:t>
      </w:r>
      <w:r>
        <w:t xml:space="preserve"> </w:t>
      </w:r>
      <w:r>
        <w:t xml:space="preserve">(Arnold et al., 2003; Higgins et al., 2014; Tellez et al., 2022)</w:t>
      </w:r>
      <w:r>
        <w:t xml:space="preserve">. Leaf strips were then sterilized with sequential washes in 95% EtOH (10 s), 0.5% sodium hypochlorite (NaOCl) (60 s), and 70% EtOH (60 s) and air dried under sterile conditions. Due to the small size of monkeyflower plants, the maximum amount of leaf lamina was preserved in sterile 15 mL tubes with ~ 10 mL CTAB solution (1 M Tris–HCl pH 8, 5 M NaCl, 0.5 M EDTA, and 20 g CTAB). The leaf tissue in CTAB solution was used for amplicon sequencing (described in detail below). All leaf tissue handling was performed in a sterile environment with an alcohol burner lamp inside a portable biosafety cabinet. All surfaces were previously sterilized sequentially with 0.5% NaOCl, 95% EtOH, and 70% EtOH. We surface sterilized surfaces and instruments in between sample handling to prevent cross contamination.</w:t>
      </w:r>
    </w:p>
    <w:bookmarkEnd w:id="30"/>
    <w:bookmarkStart w:id="31" w:name="amplicon-sequencing"/>
    <w:p>
      <w:pPr>
        <w:pStyle w:val="Heading3"/>
      </w:pPr>
      <w:r>
        <w:t xml:space="preserve">3.3.2 Amplicon sequencing</w:t>
      </w:r>
    </w:p>
    <w:p>
      <w:pPr>
        <w:pStyle w:val="FirstParagraph"/>
      </w:pPr>
      <w:r>
        <w:t xml:space="preserve">We stored leaf tissue in CTAB solution for 2 months at room temperature before extracting DNA at Tulane University. To prepare for sample DNA extraction procedure, we decontaminated all instruments, materials, and surfaces in biosafety cabinet with 0.5 % NaOCl, 70 % EtOH, and 95% EtOH, and subsequently treated with UV light for 30 minutes. We subsampled 0.2 - 0.3 g of leaf tissue from each sample and placed into a sterile 2 mL tubes containing an assortment of beads: 3.2 mm stainless steel beads (Next Advance, Cat# SSB32), 100 µL stainless steel bead blend, 0.9-2.0mm (NextAdvance, Cat# SSB14B) and 2-3 of the autoclaved 2 mm zirconium oxide beads (Next Advance, Cat# ZRoB20). The 2 mL tubes with beads were previously prepared. We then proceeded to lyophilize samples for 72 hours to fully remove CTAB content from tissue. After, we submerged the sample tubes in liquid nitrogen for 30 s and homogenized samples at 30 Hz for 3 minutes in a TissueLyser LT (QIAGEN, Valencia, CA, USA). We stored samples in 20 ℃ until DNA extraction procedure.</w:t>
      </w:r>
    </w:p>
    <w:p>
      <w:pPr>
        <w:pStyle w:val="BodyText"/>
      </w:pPr>
      <w:r>
        <w:t xml:space="preserve">We used a DNA extraction protocol for high-molecular weight DNA extraction adapted from Russo et al.,</w:t>
      </w:r>
      <w:r>
        <w:t xml:space="preserve"> </w:t>
      </w:r>
      <w:r>
        <w:t xml:space="preserve">(2022)</w:t>
      </w:r>
      <w:r>
        <w:t xml:space="preserve">. Briefly, it is a CTAB:chloroform:isoamyl extraction combined with a solid-phase reversible immobilization (SPRI) bead step</w:t>
      </w:r>
      <w:r>
        <w:t xml:space="preserve"> </w:t>
      </w:r>
      <w:r>
        <w:t xml:space="preserve">(Liu et al., 2023; Rohland &amp; Reich, 2012; Russo et al., 2022)</w:t>
      </w:r>
      <w:r>
        <w:t xml:space="preserve">. Protocol modifications allowed us to optimize extractions for fungal DNA from preserved leaf tissue</w:t>
      </w:r>
      <w:r>
        <w:t xml:space="preserve"> </w:t>
      </w:r>
      <w:r>
        <w:t xml:space="preserve">(see details in Aponte Rolón, 2023)</w:t>
      </w:r>
      <w:r>
        <w:t xml:space="preserve">. After all genomic DNA was extracted, we quantified the DNA using Quant-iT® dsDNA HS Assay kit with Qubit Flourometer (Thermo Fisher Scientific, Waltham, MA, USA., Cat# Q33120) and followed a two-step amplification approach described by</w:t>
      </w:r>
      <w:r>
        <w:t xml:space="preserve"> </w:t>
      </w:r>
      <w:r>
        <w:t xml:space="preserve">(2017)</w:t>
      </w:r>
      <w:r>
        <w:t xml:space="preserve"> </w:t>
      </w:r>
      <w:r>
        <w:t xml:space="preserve">and</w:t>
      </w:r>
      <w:r>
        <w:t xml:space="preserve"> </w:t>
      </w:r>
      <w:r>
        <w:t xml:space="preserve">(2017)</w:t>
      </w:r>
      <w:r>
        <w:t xml:space="preserve">. We used standard primers ITS1F</w:t>
      </w:r>
      <w:r>
        <w:t xml:space="preserve"> </w:t>
      </w:r>
      <w:r>
        <w:t xml:space="preserve">(Gardes &amp; Bruns, 1993)</w:t>
      </w:r>
      <w:r>
        <w:t xml:space="preserve"> </w:t>
      </w:r>
      <w:r>
        <w:t xml:space="preserve">and ITS2</w:t>
      </w:r>
      <w:r>
        <w:t xml:space="preserve"> </w:t>
      </w:r>
      <w:r>
        <w:t xml:space="preserve">(White et al., 1990)</w:t>
      </w:r>
      <w:r>
        <w:t xml:space="preserve"> </w:t>
      </w:r>
      <w:r>
        <w:t xml:space="preserve">modified with the Illumina TruSeq adaptor. The modified primers for the first PCR (adapter ligation and ITS1 amplification) were as follows: 5’ CACTCTTTCCCTACACGACGCTCTTCCGATCTCTTGGTCATTTAGAGGAAGTAA 3’ (forward) and 5’ GTGACTGGAGTTCAGACGTGTGCTCTTCCGATCTGCTGCGTTCTTCATCGATGC 3’ (reverse). Every sample was amplified in three parallel reactions at the annealing temperatures 52 ℃, 54 ℃, and 56 ℃ to amplify a wide range of fungal taxa and reduce amplification bias for short ITS sequences</w:t>
      </w:r>
      <w:r>
        <w:t xml:space="preserve"> </w:t>
      </w:r>
      <w:r>
        <w:t xml:space="preserve">(Lumibao et al., 2018; U’Ren &amp; Arnold, 2017)</w:t>
      </w:r>
      <w:r>
        <w:t xml:space="preserve">. Each PCR (PCR1) reaction contained 2 µL of sample DNA template. We visualized PCR1 reactions with SYBR™ Safe DNA Gel Stain (Thermo Fisher Scientific, Waltham, MA, USA., Cat# S33102) on 2% agarose gel</w:t>
      </w:r>
      <w:r>
        <w:t xml:space="preserve"> </w:t>
      </w:r>
      <w:r>
        <w:t xml:space="preserve">(Oita et al., 2021)</w:t>
      </w:r>
      <w:r>
        <w:t xml:space="preserve">. We combined 5 µL of amplicon product from parallel reactions in to a single tube per sample and purified using Sera-Mag™ SpeedBead Carboxylate-Modified Magnetic Particles (Hydrophobic) (Thermo Fisher Scientific, Waltham, MA, USA., Cat#09-981-123) prepared as per</w:t>
      </w:r>
      <w:r>
        <w:t xml:space="preserve"> </w:t>
      </w:r>
      <w:r>
        <w:t xml:space="preserve">Liu et al. (2023)</w:t>
      </w:r>
      <w:r>
        <w:t xml:space="preserve"> </w:t>
      </w:r>
      <w:r>
        <w:t xml:space="preserve">and used a ratio of 1.2x:1 with 80% EtOH following manufacturers instructions. We used 3 µL of PCR1 product from samples, DNA extraction controls, and PCR1 negative controls for a second PCR (PCR2) with barcoded adapters (IDT, Coralville, Iowa, USA). Each PCR2 reaction (total 30 µL) contained 1X Phusion Flash High Fidelity PCR Master Mix (Thermo Fisher Scientific, Waltham, MA, USA., Cat# F548L), 0.075 µM of barcoded primers (forward and reverse pooled at an initial concentration of 2 µM) and 0.20mg/mL of BSA (Thermo Fisher Scientific, Waltham, MA, USA., Cat# B14) following</w:t>
      </w:r>
      <w:r>
        <w:t xml:space="preserve"> </w:t>
      </w:r>
      <w:r>
        <w:t xml:space="preserve">U’Ren &amp; Arnold (2017)</w:t>
      </w:r>
      <w:r>
        <w:t xml:space="preserve">. Before final pooling for sequencing, we purified and concentrated amplicons using SPRI beads to a total volume of 20 µL. We quantified PCR2 product with Quant-iT™ PicoGreen™ dsDNA Assay Kit (Thermo Fisher Scientific, Waltham, MA, USA., Cat# P7589) with the BioTek Synergy LX plate reader (Agilent, Santa Clara, CA) and combined equimolar amounts of libraries, including DNA extraction controls, PCR1, and PCR2 negative controls into a 10nM library pool. We did not detect any contamination visually or fluorometrically. Libraries were sequenced on the Illumina MiSeq platform with Reagent Kit v3 (2</w:t>
      </w:r>
      <w:r>
        <w:t xml:space="preserve"> </w:t>
      </w:r>
      <w:r>
        <w:t xml:space="preserve">0D7 300 bp) at Duke Genome Sequencing and Analysis Core Facility (Durham, NC, USA). Throughout all these steps, we used a separate set of sterile pipettes, tips, and equipment to reduce contamination in a designated PCR area to restrict contact with pre-PCR materials</w:t>
      </w:r>
      <w:r>
        <w:t xml:space="preserve"> </w:t>
      </w:r>
      <w:r>
        <w:t xml:space="preserve">(Oita et al., 2021)</w:t>
      </w:r>
      <w:r>
        <w:t xml:space="preserve">.</w:t>
      </w:r>
    </w:p>
    <w:bookmarkEnd w:id="31"/>
    <w:bookmarkStart w:id="32" w:name="bioinformatic-analyses"/>
    <w:p>
      <w:pPr>
        <w:pStyle w:val="Heading3"/>
      </w:pPr>
      <w:r>
        <w:t xml:space="preserve">3.3.3 Bioinformatic analyses</w:t>
      </w:r>
    </w:p>
    <w:p>
      <w:pPr>
        <w:pStyle w:val="FirstParagraph"/>
      </w:pPr>
      <w:r>
        <w:t xml:space="preserve">We assessed the quality of the reads using FastQc v0.12.1 [ v0.12.1;</w:t>
      </w:r>
      <w:r>
        <w:t xml:space="preserve"> </w:t>
      </w:r>
      <w:r>
        <w:t xml:space="preserve">Andrews et al. (2010)</w:t>
      </w:r>
      <w:r>
        <w:t xml:space="preserve">] and MultiQC</w:t>
      </w:r>
      <w:r>
        <w:t xml:space="preserve"> </w:t>
      </w:r>
      <w:r>
        <w:t xml:space="preserve">(Ewels et al., 2016)</w:t>
      </w:r>
      <w:r>
        <w:t xml:space="preserve"> </w:t>
      </w:r>
      <w:r>
        <w:t xml:space="preserve">tools. A total of 60,696,808 total ITS1 reads yielded from 343 (including 27 controls) libraries sequenced in two separate sequencing runs. The first sequencing event yielded 32,117,684 and the second 28,579,124 ITS1 reads. We tailored the open-source DADA2</w:t>
      </w:r>
      <w:r>
        <w:t xml:space="preserve"> </w:t>
      </w:r>
      <w:r>
        <w:t xml:space="preserve">(Callahan et al., 2016)</w:t>
      </w:r>
      <w:r>
        <w:t xml:space="preserve"> </w:t>
      </w:r>
      <w:r>
        <w:t xml:space="preserve">bioinformatic pipeline for our data set. We filtered our reads for ambiguous calls before removing the adapters by using</w:t>
      </w:r>
      <w:r>
        <w:t xml:space="preserve"> </w:t>
      </w:r>
      <w:r>
        <w:rPr>
          <w:rStyle w:val="VerbatimChar"/>
        </w:rPr>
        <w:t xml:space="preserve">filterAndTrim</w:t>
      </w:r>
      <w:r>
        <w:t xml:space="preserve"> </w:t>
      </w:r>
      <w:r>
        <w:t xml:space="preserve">function and argument</w:t>
      </w:r>
      <w:r>
        <w:t xml:space="preserve"> </w:t>
      </w:r>
      <w:r>
        <w:rPr>
          <w:rStyle w:val="VerbatimChar"/>
        </w:rPr>
        <w:t xml:space="preserve">maxN = 0</w:t>
      </w:r>
      <w:r>
        <w:t xml:space="preserve"> </w:t>
      </w:r>
      <w:r>
        <w:t xml:space="preserve">from the</w:t>
      </w:r>
      <w:r>
        <w:t xml:space="preserve"> </w:t>
      </w:r>
      <w:r>
        <w:rPr>
          <w:rStyle w:val="VerbatimChar"/>
        </w:rPr>
        <w:t xml:space="preserve">dada2</w:t>
      </w:r>
      <w:r>
        <w:t xml:space="preserve"> </w:t>
      </w:r>
      <w:r>
        <w:t xml:space="preserve">package [v1.28.0;</w:t>
      </w:r>
      <w:r>
        <w:t xml:space="preserve"> </w:t>
      </w:r>
      <w:r>
        <w:t xml:space="preserve">Callahan et al. (2016)</w:t>
      </w:r>
      <w:r>
        <w:t xml:space="preserve">]. We removed forward and reverse primer adapters (and their reverse compliments) and eliminated reads shorter than 20 bp using the</w:t>
      </w:r>
      <w:r>
        <w:t xml:space="preserve"> </w:t>
      </w:r>
      <w:r>
        <w:rPr>
          <w:rStyle w:val="VerbatimChar"/>
        </w:rPr>
        <w:t xml:space="preserve">cutadapt</w:t>
      </w:r>
      <w:r>
        <w:t xml:space="preserve"> </w:t>
      </w:r>
      <w:r>
        <w:t xml:space="preserve">tool</w:t>
      </w:r>
      <w:r>
        <w:t xml:space="preserve"> </w:t>
      </w:r>
      <w:r>
        <w:t xml:space="preserve">(v4.6, Martin, 2011)</w:t>
      </w:r>
      <w:r>
        <w:t xml:space="preserve">. Based on our initial quality assessment, both forward and reverse reads were of low quality, with base calls deteriorating after 100 bp. We applied stringent filter and truncation parameters to ensure quality of reads when assigning taxonomy. We filtered and truncated reads based on maximum expected errors (maxEE) rather than read length as it provides a reliable quality filtering</w:t>
      </w:r>
      <w:r>
        <w:t xml:space="preserve"> </w:t>
      </w:r>
      <w:r>
        <w:t xml:space="preserve">(Edgar &amp; Flyvbjerg, 2015)</w:t>
      </w:r>
      <w:r>
        <w:t xml:space="preserve">. For this we set set the arguments</w:t>
      </w:r>
      <w:r>
        <w:t xml:space="preserve"> </w:t>
      </w:r>
      <w:r>
        <w:rPr>
          <w:rStyle w:val="VerbatimChar"/>
        </w:rPr>
        <w:t xml:space="preserve">trunQ = 2</w:t>
      </w:r>
      <w:r>
        <w:t xml:space="preserve">,</w:t>
      </w:r>
      <w:r>
        <w:t xml:space="preserve"> </w:t>
      </w:r>
      <w:r>
        <w:rPr>
          <w:rStyle w:val="VerbatimChar"/>
        </w:rPr>
        <w:t xml:space="preserve">maxEE = c(2,20)</w:t>
      </w:r>
      <w:r>
        <w:t xml:space="preserve"> </w:t>
      </w:r>
      <w:r>
        <w:t xml:space="preserve">for forward and reverse reads, and minimum read length of 50 bp with</w:t>
      </w:r>
      <w:r>
        <w:t xml:space="preserve"> </w:t>
      </w:r>
      <w:r>
        <w:rPr>
          <w:rStyle w:val="VerbatimChar"/>
        </w:rPr>
        <w:t xml:space="preserve">minLen = 50</w:t>
      </w:r>
      <w:r>
        <w:t xml:space="preserve"> </w:t>
      </w:r>
      <w:r>
        <w:t xml:space="preserve">in the used the</w:t>
      </w:r>
      <w:r>
        <w:t xml:space="preserve"> </w:t>
      </w:r>
      <w:r>
        <w:rPr>
          <w:rStyle w:val="VerbatimChar"/>
        </w:rPr>
        <w:t xml:space="preserve">filterAndTrim</w:t>
      </w:r>
      <w:r>
        <w:t xml:space="preserve"> </w:t>
      </w:r>
      <w:r>
        <w:t xml:space="preserve">function</w:t>
      </w:r>
      <w:r>
        <w:t xml:space="preserve"> </w:t>
      </w:r>
      <w:r>
        <w:t xml:space="preserve">(Callahan et al., 2016)</w:t>
      </w:r>
      <w:r>
        <w:t xml:space="preserve">. These parameters eliminated 151 samples from our data set, all from our second sequencing event. After this filter, we dereplicated reads with the</w:t>
      </w:r>
      <w:r>
        <w:t xml:space="preserve"> </w:t>
      </w:r>
      <w:r>
        <w:rPr>
          <w:rStyle w:val="VerbatimChar"/>
        </w:rPr>
        <w:t xml:space="preserve">derepFastq</w:t>
      </w:r>
      <w:r>
        <w:t xml:space="preserve"> </w:t>
      </w:r>
      <w:r>
        <w:t xml:space="preserve">function and merged pairs using</w:t>
      </w:r>
      <w:r>
        <w:t xml:space="preserve"> </w:t>
      </w:r>
      <w:r>
        <w:rPr>
          <w:rStyle w:val="VerbatimChar"/>
        </w:rPr>
        <w:t xml:space="preserve">mergePairs</w:t>
      </w:r>
      <w:r>
        <w:t xml:space="preserve"> </w:t>
      </w:r>
      <w:r>
        <w:t xml:space="preserve">functions with an overlap of 20 bp, minimum. We then inferred composition of the samples with</w:t>
      </w:r>
      <w:r>
        <w:t xml:space="preserve"> </w:t>
      </w:r>
      <w:r>
        <w:rPr>
          <w:rStyle w:val="VerbatimChar"/>
        </w:rPr>
        <w:t xml:space="preserve">dada</w:t>
      </w:r>
      <w:r>
        <w:t xml:space="preserve"> </w:t>
      </w:r>
      <w:r>
        <w:t xml:space="preserve">function, which applies the DADA algorithm</w:t>
      </w:r>
      <w:r>
        <w:t xml:space="preserve"> </w:t>
      </w:r>
      <w:r>
        <w:t xml:space="preserve">(Callahan et al., 2016; Rosen et al., 2012)</w:t>
      </w:r>
      <w:r>
        <w:t xml:space="preserve">. We removed chimeras via the</w:t>
      </w:r>
      <w:r>
        <w:t xml:space="preserve"> </w:t>
      </w:r>
      <w:r>
        <w:t xml:space="preserve">“</w:t>
      </w:r>
      <w:r>
        <w:t xml:space="preserve">consensus</w:t>
      </w:r>
      <w:r>
        <w:t xml:space="preserve">”</w:t>
      </w:r>
      <w:r>
        <w:t xml:space="preserve">method with the</w:t>
      </w:r>
      <w:r>
        <w:t xml:space="preserve"> </w:t>
      </w:r>
      <w:r>
        <w:rPr>
          <w:rStyle w:val="VerbatimChar"/>
        </w:rPr>
        <w:t xml:space="preserve">removeBimeraDenovo</w:t>
      </w:r>
      <w:r>
        <w:t xml:space="preserve"> </w:t>
      </w:r>
      <w:r>
        <w:t xml:space="preserve">function and ultimately we used the</w:t>
      </w:r>
      <w:r>
        <w:t xml:space="preserve"> </w:t>
      </w:r>
      <w:r>
        <w:rPr>
          <w:rStyle w:val="VerbatimChar"/>
        </w:rPr>
        <w:t xml:space="preserve">assignTaxonomy</w:t>
      </w:r>
      <w:r>
        <w:t xml:space="preserve"> </w:t>
      </w:r>
      <w:r>
        <w:t xml:space="preserve">function to assign taxonomy the amplicon sequence variants (ASV) referenced against the UNITE database</w:t>
      </w:r>
      <w:r>
        <w:t xml:space="preserve"> </w:t>
      </w:r>
      <w:r>
        <w:t xml:space="preserve">(Abarenkov et al., 2023)</w:t>
      </w:r>
      <w:r>
        <w:t xml:space="preserve">. After taxonomy assignment we used the</w:t>
      </w:r>
      <w:r>
        <w:t xml:space="preserve"> </w:t>
      </w:r>
      <w:r>
        <w:rPr>
          <w:rStyle w:val="VerbatimChar"/>
        </w:rPr>
        <w:t xml:space="preserve">phyloseq</w:t>
      </w:r>
      <w:r>
        <w:t xml:space="preserve"> </w:t>
      </w:r>
      <w:r>
        <w:t xml:space="preserve">package</w:t>
      </w:r>
      <w:r>
        <w:t xml:space="preserve"> </w:t>
      </w:r>
      <w:r>
        <w:t xml:space="preserve">(McMurdie &amp; Holmes, 2013)</w:t>
      </w:r>
      <w:r>
        <w:t xml:space="preserve"> </w:t>
      </w:r>
      <w:r>
        <w:t xml:space="preserve">to create a phyloseq object for downstream analyses.</w:t>
      </w:r>
    </w:p>
    <w:p>
      <w:pPr>
        <w:pStyle w:val="BodyText"/>
      </w:pPr>
      <w:r>
        <w:t xml:space="preserve">We used the</w:t>
      </w:r>
      <w:r>
        <w:t xml:space="preserve"> </w:t>
      </w:r>
      <w:r>
        <w:rPr>
          <w:rStyle w:val="VerbatimChar"/>
        </w:rPr>
        <w:t xml:space="preserve">decontam</w:t>
      </w:r>
      <w:r>
        <w:t xml:space="preserve"> </w:t>
      </w:r>
      <w:r>
        <w:t xml:space="preserve">package [v1.20.0;</w:t>
      </w:r>
      <w:r>
        <w:t xml:space="preserve"> </w:t>
      </w:r>
      <w:r>
        <w:t xml:space="preserve">Davis et al. (2018)</w:t>
      </w:r>
      <w:r>
        <w:t xml:space="preserve">] to statistically determine which ASVs are likely contaminants based on their frequency in our samples and remove them using</w:t>
      </w:r>
      <w:r>
        <w:t xml:space="preserve"> </w:t>
      </w:r>
      <w:r>
        <w:rPr>
          <w:rStyle w:val="VerbatimChar"/>
        </w:rPr>
        <w:t xml:space="preserve">prune_taxa</w:t>
      </w:r>
      <w:r>
        <w:t xml:space="preserve"> </w:t>
      </w:r>
      <w:r>
        <w:t xml:space="preserve">function from the</w:t>
      </w:r>
      <w:r>
        <w:t xml:space="preserve"> </w:t>
      </w:r>
      <w:r>
        <w:rPr>
          <w:rStyle w:val="VerbatimChar"/>
        </w:rPr>
        <w:t xml:space="preserve">phyloseq</w:t>
      </w:r>
      <w:r>
        <w:t xml:space="preserve"> </w:t>
      </w:r>
      <w:r>
        <w:t xml:space="preserve">package [v1.44.0;</w:t>
      </w:r>
      <w:r>
        <w:t xml:space="preserve"> </w:t>
      </w:r>
      <w:r>
        <w:t xml:space="preserve">McMurdie &amp; Holmes (2013)</w:t>
      </w:r>
      <w:r>
        <w:t xml:space="preserve">]. After which, we calculated the average read count found in DNA and PCR extraction controls, considered to be laboratory contaminants, and subtracted that from the samples’ read counts. We then used custom scripts to remove any ASV that represented less than 0.1% of the abundance per sample on the assumption that it originates from contamination throughout handling of samples in the DNA and PCR processes. We removed singletons ASVs with the</w:t>
      </w:r>
      <w:r>
        <w:t xml:space="preserve"> </w:t>
      </w:r>
      <w:r>
        <w:rPr>
          <w:rStyle w:val="VerbatimChar"/>
        </w:rPr>
        <w:t xml:space="preserve">prune_taxa</w:t>
      </w:r>
      <w:r>
        <w:t xml:space="preserve"> </w:t>
      </w:r>
      <w:r>
        <w:t xml:space="preserve">function</w:t>
      </w:r>
      <w:r>
        <w:t xml:space="preserve"> </w:t>
      </w:r>
      <w:r>
        <w:t xml:space="preserve">(McMurdie &amp; Holmes, 2013)</w:t>
      </w:r>
      <w:r>
        <w:t xml:space="preserve">. All these bioinformatic steps were performed in</w:t>
      </w:r>
      <w:r>
        <w:t xml:space="preserve"> </w:t>
      </w:r>
      <w:r>
        <w:rPr>
          <w:iCs/>
          <w:i/>
        </w:rPr>
        <w:t xml:space="preserve">R</w:t>
      </w:r>
      <w:r>
        <w:t xml:space="preserve"> </w:t>
      </w:r>
      <w:r>
        <w:t xml:space="preserve">[v.4.3.2;</w:t>
      </w:r>
      <w:r>
        <w:t xml:space="preserve"> </w:t>
      </w:r>
      <w:r>
        <w:t xml:space="preserve">R Core Team (2023)</w:t>
      </w:r>
      <w:r>
        <w:t xml:space="preserve">].</w:t>
      </w:r>
    </w:p>
    <w:bookmarkEnd w:id="32"/>
    <w:bookmarkEnd w:id="33"/>
    <w:bookmarkStart w:id="34" w:name="statistical-analyses"/>
    <w:p>
      <w:pPr>
        <w:pStyle w:val="Heading2"/>
      </w:pPr>
      <w:r>
        <w:t xml:space="preserve">3.4 Statistical Analyses</w:t>
      </w:r>
    </w:p>
    <w:p>
      <w:pPr>
        <w:pStyle w:val="FirstParagraph"/>
      </w:pPr>
      <w:r>
        <w:t xml:space="preserve">Before performing statistical analyses, we checked for normality and homoscedasticity of the leaf traits measured. We used Shapiro-Wilk and Fligner-Killen tests from the</w:t>
      </w:r>
      <w:r>
        <w:t xml:space="preserve"> </w:t>
      </w:r>
      <w:r>
        <w:rPr>
          <w:rStyle w:val="VerbatimChar"/>
        </w:rPr>
        <w:t xml:space="preserve">stats</w:t>
      </w:r>
      <w:r>
        <w:t xml:space="preserve"> </w:t>
      </w:r>
      <w:r>
        <w:t xml:space="preserve">package</w:t>
      </w:r>
      <w:r>
        <w:t xml:space="preserve"> </w:t>
      </w:r>
      <w:r>
        <w:t xml:space="preserve">(R Core Team, 2023)</w:t>
      </w:r>
      <w:r>
        <w:t xml:space="preserve"> </w:t>
      </w:r>
      <w:r>
        <w:t xml:space="preserve">to check for normality and homoscedasticity, respectively. We established that the data was not normally distributed and not homoscedastic. We then used non-parametric tests to compare leaf traits among species and sites. We used the Wilcoxon Rank Sum test to compare leaf trait means among species and sites. We used the</w:t>
      </w:r>
      <w:r>
        <w:t xml:space="preserve"> </w:t>
      </w:r>
      <w:r>
        <w:rPr>
          <w:rStyle w:val="VerbatimChar"/>
        </w:rPr>
        <w:t xml:space="preserve">compare_means</w:t>
      </w:r>
      <w:r>
        <w:t xml:space="preserve"> </w:t>
      </w:r>
      <w:r>
        <w:t xml:space="preserve">and</w:t>
      </w:r>
      <w:r>
        <w:t xml:space="preserve"> </w:t>
      </w:r>
      <w:r>
        <w:rPr>
          <w:rStyle w:val="VerbatimChar"/>
        </w:rPr>
        <w:t xml:space="preserve">'stat_compare_means</w:t>
      </w:r>
      <w:r>
        <w:t xml:space="preserve">functions from the</w:t>
      </w:r>
      <w:r>
        <w:t xml:space="preserve"> </w:t>
      </w:r>
      <w:r>
        <w:rPr>
          <w:rStyle w:val="VerbatimChar"/>
        </w:rPr>
        <w:t xml:space="preserve">ggpubr</w:t>
      </w:r>
      <w:r>
        <w:t xml:space="preserve"> </w:t>
      </w:r>
      <w:r>
        <w:t xml:space="preserve">package</w:t>
      </w:r>
      <w:r>
        <w:t xml:space="preserve"> </w:t>
      </w:r>
      <w:r>
        <w:t xml:space="preserve">(Kassambara, 2023)</w:t>
      </w:r>
      <w:r>
        <w:t xml:space="preserve"> </w:t>
      </w:r>
      <w:r>
        <w:t xml:space="preserve">to perform these tests and properly visualize them. We adjusted</w:t>
      </w:r>
      <w:r>
        <w:t xml:space="preserve"> </w:t>
      </w:r>
      <w:r>
        <w:rPr>
          <w:iCs/>
          <w:i/>
        </w:rPr>
        <w:t xml:space="preserve">p</w:t>
      </w:r>
      <w:r>
        <w:t xml:space="preserve"> </w:t>
      </w:r>
      <w:r>
        <w:t xml:space="preserve">values to account for false discovery rates in multiple comparisons by using</w:t>
      </w:r>
      <w:r>
        <w:t xml:space="preserve"> </w:t>
      </w:r>
      <w:r>
        <w:t xml:space="preserve">“</w:t>
      </w:r>
      <w:r>
        <w:t xml:space="preserve">BH</w:t>
      </w:r>
      <w:r>
        <w:t xml:space="preserve">”</w:t>
      </w:r>
      <w:r>
        <w:t xml:space="preserve"> </w:t>
      </w:r>
      <w:r>
        <w:t xml:space="preserve">method</w:t>
      </w:r>
      <w:r>
        <w:t xml:space="preserve"> </w:t>
      </w:r>
      <w:r>
        <w:t xml:space="preserve">(Benjamini &amp; Hochberg, 1995)</w:t>
      </w:r>
      <w:r>
        <w:t xml:space="preserve">. We performed Principal Component Analysis (PCA) to understand patterns and relationships among leaf traits of host species. We used the</w:t>
      </w:r>
      <w:r>
        <w:t xml:space="preserve"> </w:t>
      </w:r>
      <w:r>
        <w:rPr>
          <w:rStyle w:val="VerbatimChar"/>
        </w:rPr>
        <w:t xml:space="preserve">prcomp</w:t>
      </w:r>
      <w:r>
        <w:t xml:space="preserve"> </w:t>
      </w:r>
      <w:r>
        <w:t xml:space="preserve">function from the</w:t>
      </w:r>
      <w:r>
        <w:t xml:space="preserve"> </w:t>
      </w:r>
      <w:r>
        <w:rPr>
          <w:rStyle w:val="VerbatimChar"/>
        </w:rPr>
        <w:t xml:space="preserve">vegan</w:t>
      </w:r>
      <w:r>
        <w:t xml:space="preserve"> </w:t>
      </w:r>
      <w:r>
        <w:t xml:space="preserve">package</w:t>
      </w:r>
      <w:r>
        <w:t xml:space="preserve"> </w:t>
      </w:r>
      <w:r>
        <w:t xml:space="preserve">(Oksanen et al., 2022)</w:t>
      </w:r>
      <w:r>
        <w:t xml:space="preserve"> </w:t>
      </w:r>
      <w:r>
        <w:t xml:space="preserve">compute the PCA analysis with variables ACI, LT, LPS, LMA, and LBI, all log-transformed. We used only complete raw leaf functional traits measurements to compute the PCA analysis (</w:t>
      </w:r>
      <w:r>
        <w:rPr>
          <w:iCs/>
          <w:i/>
        </w:rPr>
        <w:t xml:space="preserve">n</w:t>
      </w:r>
      <w:r>
        <w:t xml:space="preserve"> </w:t>
      </w:r>
      <w:r>
        <w:t xml:space="preserve">= 504), samples with missing values were omitted.</w:t>
      </w:r>
    </w:p>
    <w:p>
      <w:pPr>
        <w:pStyle w:val="BodyText"/>
      </w:pPr>
      <w:r>
        <w:t xml:space="preserve">To facilitate our understanding of the effects of elevation on FEF communities, we categorized elevation as</w:t>
      </w:r>
      <w:r>
        <w:t xml:space="preserve"> </w:t>
      </w:r>
      <w:r>
        <w:t xml:space="preserve">“</w:t>
      </w:r>
      <w:r>
        <w:t xml:space="preserve">low</w:t>
      </w:r>
      <w:r>
        <w:t xml:space="preserve">”</w:t>
      </w:r>
      <w:r>
        <w:t xml:space="preserve"> </w:t>
      </w:r>
      <w:r>
        <w:t xml:space="preserve">(&lt; 1219 m.a.s.l),</w:t>
      </w:r>
      <w:r>
        <w:t xml:space="preserve"> </w:t>
      </w:r>
      <w:r>
        <w:t xml:space="preserve">“</w:t>
      </w:r>
      <w:r>
        <w:t xml:space="preserve">medium</w:t>
      </w:r>
      <w:r>
        <w:t xml:space="preserve">”</w:t>
      </w:r>
      <w:r>
        <w:t xml:space="preserve"> </w:t>
      </w:r>
      <w:r>
        <w:t xml:space="preserve">(1220 - 1828 m.a.s.l.) and</w:t>
      </w:r>
      <w:r>
        <w:t xml:space="preserve"> </w:t>
      </w:r>
      <w:r>
        <w:t xml:space="preserve">“</w:t>
      </w:r>
      <w:r>
        <w:t xml:space="preserve">high</w:t>
      </w:r>
      <w:r>
        <w:t xml:space="preserve">”</w:t>
      </w:r>
      <w:r>
        <w:t xml:space="preserve"> </w:t>
      </w:r>
      <w:r>
        <w:t xml:space="preserve">(&gt; 1829 m.a.s.l.). We then calculated alpha diversity per sample as the observed richness and as Shannon diversity index with</w:t>
      </w:r>
      <w:r>
        <w:t xml:space="preserve"> </w:t>
      </w:r>
      <w:r>
        <w:rPr>
          <w:rStyle w:val="VerbatimChar"/>
        </w:rPr>
        <w:t xml:space="preserve">phyloseq</w:t>
      </w:r>
      <w:r>
        <w:t xml:space="preserve">’s</w:t>
      </w:r>
      <w:r>
        <w:t xml:space="preserve"> </w:t>
      </w:r>
      <w:r>
        <w:rPr>
          <w:rStyle w:val="VerbatimChar"/>
        </w:rPr>
        <w:t xml:space="preserve">estimated-richness</w:t>
      </w:r>
      <w:r>
        <w:t xml:space="preserve"> </w:t>
      </w:r>
      <w:r>
        <w:t xml:space="preserve">function</w:t>
      </w:r>
      <w:r>
        <w:t xml:space="preserve"> </w:t>
      </w:r>
      <w:r>
        <w:t xml:space="preserve">(McMurdie &amp; Holmes, 2013)</w:t>
      </w:r>
      <w:r>
        <w:t xml:space="preserve">. We used the</w:t>
      </w:r>
      <w:r>
        <w:t xml:space="preserve"> </w:t>
      </w:r>
      <w:r>
        <w:rPr>
          <w:rStyle w:val="VerbatimChar"/>
        </w:rPr>
        <w:t xml:space="preserve">vegdist</w:t>
      </w:r>
      <w:r>
        <w:t xml:space="preserve"> </w:t>
      </w:r>
      <w:r>
        <w:t xml:space="preserve">function from the</w:t>
      </w:r>
      <w:r>
        <w:t xml:space="preserve"> </w:t>
      </w:r>
      <w:r>
        <w:rPr>
          <w:rStyle w:val="VerbatimChar"/>
        </w:rPr>
        <w:t xml:space="preserve">vegan</w:t>
      </w:r>
      <w:r>
        <w:t xml:space="preserve"> </w:t>
      </w:r>
      <w:r>
        <w:t xml:space="preserve">package</w:t>
      </w:r>
      <w:r>
        <w:t xml:space="preserve"> </w:t>
      </w:r>
      <w:r>
        <w:t xml:space="preserve">(Oksanen et al., 2022)</w:t>
      </w:r>
      <w:r>
        <w:t xml:space="preserve"> </w:t>
      </w:r>
      <w:r>
        <w:t xml:space="preserve">to calculate the Bray-Curtis dissimilarity matrix, a measure of beta diversity, to compare the FEF communities within each monkeyflower species across sites and elevation. Additionally, we used a distance-based Redundancy Analysis (dbRDA) to statistically compare the FEF community similarities within each species per site. We modeled the dbRDA analysis with all leaf functional traits included and elevation as a continuous variable. Its visualizations effectively portray underlying patterns of compositional differences</w:t>
      </w:r>
      <w:r>
        <w:t xml:space="preserve"> </w:t>
      </w:r>
      <w:r>
        <w:t xml:space="preserve">(Anderson, 2017; Legendre &amp; Anderson, 1999; McArdle &amp; Anderson, 2001)</w:t>
      </w:r>
      <w:r>
        <w:t xml:space="preserve">, akin to permutational analysis of variance. We used the</w:t>
      </w:r>
      <w:r>
        <w:t xml:space="preserve"> </w:t>
      </w:r>
      <w:r>
        <w:rPr>
          <w:rStyle w:val="VerbatimChar"/>
        </w:rPr>
        <w:t xml:space="preserve">anova.cca</w:t>
      </w:r>
      <w:r>
        <w:t xml:space="preserve"> </w:t>
      </w:r>
      <w:r>
        <w:t xml:space="preserve">function to assess the marginal significance of constraining variables [</w:t>
      </w:r>
      <w:r>
        <w:t xml:space="preserve">Legendre et al. (2011)</w:t>
      </w:r>
      <w:r>
        <w:t xml:space="preserve">;</w:t>
      </w:r>
      <w:r>
        <w:t xml:space="preserve"> </w:t>
      </w:r>
      <w:r>
        <w:t xml:space="preserve">Legendre &amp; Legendre (2012)</w:t>
      </w:r>
      <w:r>
        <w:t xml:space="preserve">;</w:t>
      </w:r>
      <w:r>
        <w:t xml:space="preserve"> </w:t>
      </w:r>
      <w:r>
        <w:t xml:space="preserve">Oksanen et al. (2022)</w:t>
      </w:r>
      <w:r>
        <w:t xml:space="preserve">). We corroborated homogeneous dispersion of variances with a permutational analysis of multivariate dispersion (PERMDISP) using the</w:t>
      </w:r>
      <w:r>
        <w:t xml:space="preserve"> </w:t>
      </w:r>
      <w:r>
        <w:rPr>
          <w:rStyle w:val="VerbatimChar"/>
        </w:rPr>
        <w:t xml:space="preserve">betadisper</w:t>
      </w:r>
      <w:r>
        <w:t xml:space="preserve"> </w:t>
      </w:r>
      <w:r>
        <w:t xml:space="preserve">and</w:t>
      </w:r>
      <w:r>
        <w:t xml:space="preserve"> </w:t>
      </w:r>
      <w:r>
        <w:rPr>
          <w:rStyle w:val="VerbatimChar"/>
        </w:rPr>
        <w:t xml:space="preserve">permutest</w:t>
      </w:r>
      <w:r>
        <w:t xml:space="preserve"> </w:t>
      </w:r>
      <w:r>
        <w:t xml:space="preserve">functions from the</w:t>
      </w:r>
      <w:r>
        <w:t xml:space="preserve"> </w:t>
      </w:r>
      <w:r>
        <w:rPr>
          <w:rStyle w:val="VerbatimChar"/>
        </w:rPr>
        <w:t xml:space="preserve">vegan</w:t>
      </w:r>
      <w:r>
        <w:t xml:space="preserve"> </w:t>
      </w:r>
      <w:r>
        <w:t xml:space="preserve">package</w:t>
      </w:r>
      <w:r>
        <w:t xml:space="preserve"> </w:t>
      </w:r>
      <w:r>
        <w:t xml:space="preserve">(Oksanen et al., 2022)</w:t>
      </w:r>
      <w:r>
        <w:t xml:space="preserve">. We used the</w:t>
      </w:r>
      <w:r>
        <w:t xml:space="preserve"> </w:t>
      </w:r>
      <w:r>
        <w:rPr>
          <w:rStyle w:val="VerbatimChar"/>
        </w:rPr>
        <w:t xml:space="preserve">simper</w:t>
      </w:r>
      <w:r>
        <w:t xml:space="preserve"> </w:t>
      </w:r>
      <w:r>
        <w:t xml:space="preserve">function from the</w:t>
      </w:r>
      <w:r>
        <w:t xml:space="preserve"> </w:t>
      </w:r>
      <w:r>
        <w:rPr>
          <w:rStyle w:val="VerbatimChar"/>
        </w:rPr>
        <w:t xml:space="preserve">vegan</w:t>
      </w:r>
      <w:r>
        <w:t xml:space="preserve"> </w:t>
      </w:r>
      <w:r>
        <w:t xml:space="preserve">package to discriminate which species contribute the most to compositional differences between groups</w:t>
      </w:r>
      <w:r>
        <w:t xml:space="preserve"> </w:t>
      </w:r>
      <w:r>
        <w:t xml:space="preserve">(Oksanen et al., 2022)</w:t>
      </w:r>
      <w:r>
        <w:t xml:space="preserve">.</w:t>
      </w:r>
    </w:p>
    <w:p>
      <w:pPr>
        <w:pStyle w:val="BodyText"/>
      </w:pPr>
      <w:r>
        <w:t xml:space="preserve">Ultimately, we calculated distance matrix of geographical distances between sites using the Haversine method with the</w:t>
      </w:r>
      <w:r>
        <w:t xml:space="preserve"> </w:t>
      </w:r>
      <w:r>
        <w:rPr>
          <w:rStyle w:val="VerbatimChar"/>
        </w:rPr>
        <w:t xml:space="preserve">geosphere</w:t>
      </w:r>
      <w:r>
        <w:t xml:space="preserve"> </w:t>
      </w:r>
      <w:r>
        <w:t xml:space="preserve">package</w:t>
      </w:r>
      <w:r>
        <w:t xml:space="preserve"> </w:t>
      </w:r>
      <w:r>
        <w:t xml:space="preserve">(Hijmans, 2022)</w:t>
      </w:r>
      <w:r>
        <w:t xml:space="preserve">. To test the correlation between the geographical distance matrix and FEF community dissimilarity (Bray-Curtis dissimilarity)</w:t>
      </w:r>
      <w:r>
        <w:t xml:space="preserve"> </w:t>
      </w:r>
      <w:r>
        <w:rPr>
          <w:rStyle w:val="VerbatimChar"/>
        </w:rPr>
        <w:t xml:space="preserve">mantel</w:t>
      </w:r>
      <w:r>
        <w:t xml:space="preserve"> </w:t>
      </w:r>
      <w:r>
        <w:t xml:space="preserve">function from the</w:t>
      </w:r>
      <w:r>
        <w:t xml:space="preserve"> </w:t>
      </w:r>
      <w:r>
        <w:rPr>
          <w:rStyle w:val="VerbatimChar"/>
        </w:rPr>
        <w:t xml:space="preserve">vegan</w:t>
      </w:r>
      <w:r>
        <w:t xml:space="preserve"> </w:t>
      </w:r>
      <w:r>
        <w:t xml:space="preserve">package</w:t>
      </w:r>
      <w:r>
        <w:t xml:space="preserve"> </w:t>
      </w:r>
      <w:r>
        <w:t xml:space="preserve">(Oksanen et al., 2022)</w:t>
      </w:r>
      <w:r>
        <w:t xml:space="preserve">. All statistical analyses were performed in</w:t>
      </w:r>
      <w:r>
        <w:t xml:space="preserve"> </w:t>
      </w:r>
      <w:r>
        <w:rPr>
          <w:iCs/>
          <w:i/>
        </w:rPr>
        <w:t xml:space="preserve">R</w:t>
      </w:r>
      <w:r>
        <w:t xml:space="preserve"> </w:t>
      </w:r>
      <w:r>
        <w:t xml:space="preserve">programming language[v.4.3.2;</w:t>
      </w:r>
      <w:r>
        <w:t xml:space="preserve"> </w:t>
      </w:r>
      <w:r>
        <w:t xml:space="preserve">R Core Team (2023)</w:t>
      </w:r>
      <w:r>
        <w:t xml:space="preserve">].</w:t>
      </w:r>
    </w:p>
    <w:bookmarkEnd w:id="34"/>
    <w:bookmarkEnd w:id="35"/>
    <w:bookmarkStart w:id="36" w:name="results"/>
    <w:p>
      <w:pPr>
        <w:pStyle w:val="Heading1"/>
      </w:pPr>
      <w:r>
        <w:t xml:space="preserve">4. Results</w:t>
      </w:r>
    </w:p>
    <w:p>
      <w:pPr>
        <w:pStyle w:val="FirstParagraph"/>
      </w:pPr>
      <w:r>
        <w:t xml:space="preserve">We obtained 5,082,229 reads representing 726 ASVs from 174 samples after processing samples through the DADA2 pipeline. The raw ASVs obtained were composed of 20.39% Ascomycota, 43.55% Basidiomycota, 1.79% Chytridiomycota, 1.52% Mortierellomycota, &lt;1.0% Olpidiomycota, &lt;0.5% Rozellomycota, &lt;0.5% Aphelidiomycota, and 48.8% missed BLAST hits. After decontamination, and removal of singletons we obtained 4,971,645 reads representing 231 ASVs from 160 samples composed of 63.6% Ascomycota, 67.10% Basidiomycota, &lt;1.0% Chytridiomycota, 2.60% Mortierellomycota, 1.30% Olpidiomycota, &lt;1.0% Rozellomycota.</w:t>
      </w:r>
    </w:p>
    <w:p>
      <w:pPr>
        <w:pStyle w:val="BodyText"/>
      </w:pPr>
      <w:r>
        <w:t xml:space="preserve">NEEDS TO BE UPDATED.</w:t>
      </w:r>
    </w:p>
    <w:bookmarkEnd w:id="36"/>
    <w:bookmarkStart w:id="37" w:name="discussion"/>
    <w:p>
      <w:pPr>
        <w:pStyle w:val="Heading1"/>
      </w:pPr>
      <w:r>
        <w:t xml:space="preserve">5. Discussion</w:t>
      </w:r>
    </w:p>
    <w:bookmarkEnd w:id="37"/>
    <w:bookmarkStart w:id="38" w:name="conclusion"/>
    <w:p>
      <w:pPr>
        <w:pStyle w:val="Heading1"/>
      </w:pPr>
      <w:r>
        <w:t xml:space="preserve">6. Conclusion</w:t>
      </w:r>
    </w:p>
    <w:bookmarkEnd w:id="38"/>
    <w:bookmarkStart w:id="39" w:name="author-contributions"/>
    <w:p>
      <w:pPr>
        <w:pStyle w:val="Heading1"/>
      </w:pPr>
      <w:r>
        <w:t xml:space="preserve">7. Author Contributions</w:t>
      </w:r>
    </w:p>
    <w:bookmarkEnd w:id="39"/>
    <w:bookmarkStart w:id="40" w:name="acknowledgements"/>
    <w:p>
      <w:pPr>
        <w:pStyle w:val="Heading1"/>
      </w:pPr>
      <w:r>
        <w:t xml:space="preserve">8. Acknowledgements</w:t>
      </w:r>
    </w:p>
    <w:bookmarkEnd w:id="40"/>
    <w:bookmarkStart w:id="41" w:name="conflict-of-interest-statement"/>
    <w:p>
      <w:pPr>
        <w:pStyle w:val="Heading1"/>
      </w:pPr>
      <w:r>
        <w:t xml:space="preserve">9. Conflict of Interest Statement</w:t>
      </w:r>
    </w:p>
    <w:p>
      <w:pPr>
        <w:pStyle w:val="FirstParagraph"/>
      </w:pPr>
      <w:r>
        <w:t xml:space="preserve">The authors declare no competing interests.</w:t>
      </w:r>
    </w:p>
    <w:bookmarkEnd w:id="41"/>
    <w:bookmarkStart w:id="42" w:name="data-availability-statement"/>
    <w:p>
      <w:pPr>
        <w:pStyle w:val="Heading1"/>
      </w:pPr>
      <w:r>
        <w:t xml:space="preserve">10. Data Availability Statement</w:t>
      </w:r>
    </w:p>
    <w:bookmarkEnd w:id="42"/>
    <w:bookmarkStart w:id="125" w:name="references"/>
    <w:p>
      <w:pPr>
        <w:pStyle w:val="Heading1"/>
      </w:pPr>
      <w:r>
        <w:t xml:space="preserve">11. References</w:t>
      </w:r>
    </w:p>
    <w:bookmarkStart w:id="124" w:name="refs"/>
    <w:bookmarkStart w:id="44" w:name="ref-abarenkov2023a"/>
    <w:p>
      <w:pPr>
        <w:pStyle w:val="Bibliography"/>
      </w:pPr>
      <w:r>
        <w:t xml:space="preserve">Abarenkov, K., Zirk, A., Piirmann, T., Pöhönen, R., Ivanov, F., Nilsson, R. H., &amp; Kõljalg, U. (2023).</w:t>
      </w:r>
      <w:r>
        <w:t xml:space="preserve"> </w:t>
      </w:r>
      <w:r>
        <w:rPr>
          <w:iCs/>
          <w:i/>
        </w:rPr>
        <w:t xml:space="preserve">UNITE</w:t>
      </w:r>
      <w:r>
        <w:rPr>
          <w:iCs/>
          <w:i/>
        </w:rPr>
        <w:t xml:space="preserve"> </w:t>
      </w:r>
      <w:r>
        <w:rPr>
          <w:iCs/>
          <w:i/>
        </w:rPr>
        <w:t xml:space="preserve">general</w:t>
      </w:r>
      <w:r>
        <w:rPr>
          <w:iCs/>
          <w:i/>
        </w:rPr>
        <w:t xml:space="preserve"> </w:t>
      </w:r>
      <w:r>
        <w:rPr>
          <w:iCs/>
          <w:i/>
        </w:rPr>
        <w:t xml:space="preserve">FASTA</w:t>
      </w:r>
      <w:r>
        <w:rPr>
          <w:iCs/>
          <w:i/>
        </w:rPr>
        <w:t xml:space="preserve"> </w:t>
      </w:r>
      <w:r>
        <w:rPr>
          <w:iCs/>
          <w:i/>
        </w:rPr>
        <w:t xml:space="preserve">release for</w:t>
      </w:r>
      <w:r>
        <w:rPr>
          <w:iCs/>
          <w:i/>
        </w:rPr>
        <w:t xml:space="preserve"> </w:t>
      </w:r>
      <w:r>
        <w:rPr>
          <w:iCs/>
          <w:i/>
        </w:rPr>
        <w:t xml:space="preserve">Fungi</w:t>
      </w:r>
      <w:r>
        <w:rPr>
          <w:iCs/>
          <w:i/>
        </w:rPr>
        <w:t xml:space="preserve"> </w:t>
      </w:r>
      <w:r>
        <w:rPr>
          <w:iCs/>
          <w:i/>
        </w:rPr>
        <w:t xml:space="preserve">2</w:t>
      </w:r>
      <w:r>
        <w:t xml:space="preserve"> </w:t>
      </w:r>
      <w:r>
        <w:t xml:space="preserve">[Application/gzip].</w:t>
      </w:r>
      <w:r>
        <w:t xml:space="preserve"> </w:t>
      </w:r>
      <w:r>
        <w:t xml:space="preserve">UNITE Community</w:t>
      </w:r>
      <w:r>
        <w:t xml:space="preserve">.</w:t>
      </w:r>
      <w:r>
        <w:t xml:space="preserve"> </w:t>
      </w:r>
      <w:hyperlink r:id="rId43">
        <w:r>
          <w:rPr>
            <w:rStyle w:val="Hyperlink"/>
          </w:rPr>
          <w:t xml:space="preserve">https://doi.org/10.15156/BIO/2938068</w:t>
        </w:r>
      </w:hyperlink>
    </w:p>
    <w:bookmarkEnd w:id="44"/>
    <w:bookmarkStart w:id="46" w:name="ref-anderson2017"/>
    <w:p>
      <w:pPr>
        <w:pStyle w:val="Bibliography"/>
      </w:pPr>
      <w:r>
        <w:t xml:space="preserve">Anderson, M. J. (2017). Permutational</w:t>
      </w:r>
      <w:r>
        <w:t xml:space="preserve"> </w:t>
      </w:r>
      <w:r>
        <w:t xml:space="preserve">Multivariate Analysis</w:t>
      </w:r>
      <w:r>
        <w:t xml:space="preserve"> </w:t>
      </w:r>
      <w:r>
        <w:t xml:space="preserve">of</w:t>
      </w:r>
      <w:r>
        <w:t xml:space="preserve"> </w:t>
      </w:r>
      <w:r>
        <w:t xml:space="preserve">Variance</w:t>
      </w:r>
      <w:r>
        <w:t xml:space="preserve"> </w:t>
      </w:r>
      <w:r>
        <w:t xml:space="preserve">(</w:t>
      </w:r>
      <w:r>
        <w:t xml:space="preserve"> </w:t>
      </w:r>
      <w:r>
        <w:t xml:space="preserve">PERMANOVA</w:t>
      </w:r>
      <w:r>
        <w:t xml:space="preserve"> </w:t>
      </w:r>
      <w:r>
        <w:t xml:space="preserve">). In</w:t>
      </w:r>
      <w:r>
        <w:t xml:space="preserve"> </w:t>
      </w:r>
      <w:r>
        <w:rPr>
          <w:iCs/>
          <w:i/>
        </w:rPr>
        <w:t xml:space="preserve">Wiley</w:t>
      </w:r>
      <w:r>
        <w:rPr>
          <w:iCs/>
          <w:i/>
        </w:rPr>
        <w:t xml:space="preserve"> </w:t>
      </w:r>
      <w:r>
        <w:rPr>
          <w:iCs/>
          <w:i/>
        </w:rPr>
        <w:t xml:space="preserve">StatsRef</w:t>
      </w:r>
      <w:r>
        <w:rPr>
          <w:iCs/>
          <w:i/>
        </w:rPr>
        <w:t xml:space="preserve">:</w:t>
      </w:r>
      <w:r>
        <w:rPr>
          <w:iCs/>
          <w:i/>
        </w:rPr>
        <w:t xml:space="preserve"> </w:t>
      </w:r>
      <w:r>
        <w:rPr>
          <w:iCs/>
          <w:i/>
        </w:rPr>
        <w:t xml:space="preserve">Statistics Reference Online</w:t>
      </w:r>
      <w:r>
        <w:t xml:space="preserve"> </w:t>
      </w:r>
      <w:r>
        <w:t xml:space="preserve">(pp. 1–15).</w:t>
      </w:r>
      <w:r>
        <w:t xml:space="preserve"> </w:t>
      </w:r>
      <w:r>
        <w:t xml:space="preserve">Wiley</w:t>
      </w:r>
      <w:r>
        <w:t xml:space="preserve">.</w:t>
      </w:r>
      <w:r>
        <w:t xml:space="preserve"> </w:t>
      </w:r>
      <w:hyperlink r:id="rId45">
        <w:r>
          <w:rPr>
            <w:rStyle w:val="Hyperlink"/>
          </w:rPr>
          <w:t xml:space="preserve">https://doi.org/10.1002/9781118445112.stat07841</w:t>
        </w:r>
      </w:hyperlink>
    </w:p>
    <w:bookmarkEnd w:id="46"/>
    <w:bookmarkStart w:id="47" w:name="ref-andrews2010"/>
    <w:p>
      <w:pPr>
        <w:pStyle w:val="Bibliography"/>
      </w:pPr>
      <w:r>
        <w:t xml:space="preserve">Andrews, S., Krueger, F., Segonds-Pichon, A., Biggins, L., Krueger, C., &amp; Wingett, S. (2010).</w:t>
      </w:r>
      <w:r>
        <w:t xml:space="preserve"> </w:t>
      </w:r>
      <w:r>
        <w:rPr>
          <w:iCs/>
          <w:i/>
        </w:rPr>
        <w:t xml:space="preserve">FastQC</w:t>
      </w:r>
      <w:r>
        <w:t xml:space="preserve"> </w:t>
      </w:r>
      <w:r>
        <w:t xml:space="preserve">(Version 0.12.1) [Computer software]. Babraham Institute.</w:t>
      </w:r>
    </w:p>
    <w:bookmarkEnd w:id="47"/>
    <w:bookmarkStart w:id="49" w:name="ref-aponterolon2023"/>
    <w:p>
      <w:pPr>
        <w:pStyle w:val="Bibliography"/>
      </w:pPr>
      <w:r>
        <w:t xml:space="preserve">Aponte Rolón, B. (2023, July 3).</w:t>
      </w:r>
      <w:r>
        <w:t xml:space="preserve"> </w:t>
      </w:r>
      <w:r>
        <w:rPr>
          <w:iCs/>
          <w:i/>
        </w:rPr>
        <w:t xml:space="preserve">High-</w:t>
      </w:r>
      <w:r>
        <w:rPr>
          <w:iCs/>
          <w:i/>
        </w:rPr>
        <w:t xml:space="preserve">Molecular-Weight SPRI-aided DNA</w:t>
      </w:r>
      <w:r>
        <w:rPr>
          <w:iCs/>
          <w:i/>
        </w:rPr>
        <w:t xml:space="preserve"> </w:t>
      </w:r>
      <w:r>
        <w:rPr>
          <w:iCs/>
          <w:i/>
        </w:rPr>
        <w:t xml:space="preserve">extraction from</w:t>
      </w:r>
      <w:r>
        <w:rPr>
          <w:iCs/>
          <w:i/>
        </w:rPr>
        <w:t xml:space="preserve"> </w:t>
      </w:r>
      <w:r>
        <w:rPr>
          <w:iCs/>
          <w:i/>
        </w:rPr>
        <w:t xml:space="preserve">Mimulus</w:t>
      </w:r>
      <w:r>
        <w:rPr>
          <w:iCs/>
          <w:i/>
        </w:rPr>
        <w:t xml:space="preserve"> </w:t>
      </w:r>
      <w:r>
        <w:rPr>
          <w:iCs/>
          <w:i/>
        </w:rPr>
        <w:t xml:space="preserve">(</w:t>
      </w:r>
      <w:r>
        <w:rPr>
          <w:iCs/>
          <w:i/>
        </w:rPr>
        <w:t xml:space="preserve">Phrymaceae</w:t>
      </w:r>
      <w:r>
        <w:rPr>
          <w:iCs/>
          <w:i/>
        </w:rPr>
        <w:t xml:space="preserve">) leaf tissue.</w:t>
      </w:r>
      <w:r>
        <w:t xml:space="preserve"> </w:t>
      </w:r>
      <w:hyperlink r:id="rId48">
        <w:r>
          <w:rPr>
            <w:rStyle w:val="Hyperlink"/>
          </w:rPr>
          <w:t xml:space="preserve">https://doi.org/dx.doi.org/10.17504/protocols.io.bp2l6xn8rlqe/v2</w:t>
        </w:r>
      </w:hyperlink>
    </w:p>
    <w:bookmarkEnd w:id="49"/>
    <w:bookmarkStart w:id="50" w:name="ref-arnold2003"/>
    <w:p>
      <w:pPr>
        <w:pStyle w:val="Bibliography"/>
      </w:pPr>
      <w:r>
        <w:t xml:space="preserve">Arnold, A. E., Mejía, L. C., Kyllo, D., Rojas, E. I., Maynard, Z., Robbins, N., &amp; Herre, E. A. (2003). Fungal endophytes limit pathogen damage in a tropical tree.</w:t>
      </w:r>
      <w:r>
        <w:t xml:space="preserve"> </w:t>
      </w:r>
      <w:r>
        <w:rPr>
          <w:iCs/>
          <w:i/>
        </w:rPr>
        <w:t xml:space="preserve">Proceedings of the National Academy of Sciences</w:t>
      </w:r>
      <w:r>
        <w:t xml:space="preserve">,</w:t>
      </w:r>
      <w:r>
        <w:t xml:space="preserve"> </w:t>
      </w:r>
      <w:r>
        <w:rPr>
          <w:iCs/>
          <w:i/>
        </w:rPr>
        <w:t xml:space="preserve">100</w:t>
      </w:r>
      <w:r>
        <w:t xml:space="preserve">(26), 15649–15654.</w:t>
      </w:r>
    </w:p>
    <w:bookmarkEnd w:id="50"/>
    <w:bookmarkStart w:id="52" w:name="ref-benjamini1995"/>
    <w:p>
      <w:pPr>
        <w:pStyle w:val="Bibliography"/>
      </w:pPr>
      <w:r>
        <w:t xml:space="preserve">Benjamini, Y., &amp; Hochberg, Y. (1995). Controlling the</w:t>
      </w:r>
      <w:r>
        <w:t xml:space="preserve"> </w:t>
      </w:r>
      <w:r>
        <w:t xml:space="preserve">False Discovery Rate</w:t>
      </w:r>
      <w:r>
        <w:t xml:space="preserve">:</w:t>
      </w:r>
      <w:r>
        <w:t xml:space="preserve"> </w:t>
      </w:r>
      <w:r>
        <w:t xml:space="preserve">A Practical</w:t>
      </w:r>
      <w:r>
        <w:t xml:space="preserve"> </w:t>
      </w:r>
      <w:r>
        <w:t xml:space="preserve">and</w:t>
      </w:r>
      <w:r>
        <w:t xml:space="preserve"> </w:t>
      </w:r>
      <w:r>
        <w:t xml:space="preserve">Powerful Approach</w:t>
      </w:r>
      <w:r>
        <w:t xml:space="preserve"> </w:t>
      </w:r>
      <w:r>
        <w:t xml:space="preserve">to</w:t>
      </w:r>
      <w:r>
        <w:t xml:space="preserve"> </w:t>
      </w:r>
      <w:r>
        <w:t xml:space="preserve">Multiple Testing</w:t>
      </w:r>
      <w:r>
        <w:t xml:space="preserve">.</w:t>
      </w:r>
      <w:r>
        <w:t xml:space="preserve"> </w:t>
      </w:r>
      <w:r>
        <w:rPr>
          <w:iCs/>
          <w:i/>
        </w:rPr>
        <w:t xml:space="preserve">Journal of the Royal Statistical Society: Series B (Methodological)</w:t>
      </w:r>
      <w:r>
        <w:t xml:space="preserve">,</w:t>
      </w:r>
      <w:r>
        <w:t xml:space="preserve"> </w:t>
      </w:r>
      <w:r>
        <w:rPr>
          <w:iCs/>
          <w:i/>
        </w:rPr>
        <w:t xml:space="preserve">57</w:t>
      </w:r>
      <w:r>
        <w:t xml:space="preserve">(1), 289–300.</w:t>
      </w:r>
      <w:r>
        <w:t xml:space="preserve"> </w:t>
      </w:r>
      <w:hyperlink r:id="rId51">
        <w:r>
          <w:rPr>
            <w:rStyle w:val="Hyperlink"/>
          </w:rPr>
          <w:t xml:space="preserve">https://doi.org/10.1111/j.2517-6161.1995.tb02031.x</w:t>
        </w:r>
      </w:hyperlink>
    </w:p>
    <w:bookmarkEnd w:id="52"/>
    <w:bookmarkStart w:id="54" w:name="ref-beslile2012"/>
    <w:p>
      <w:pPr>
        <w:pStyle w:val="Bibliography"/>
      </w:pPr>
      <w:r>
        <w:t xml:space="preserve">Beslile, M., Peay, K. G., &amp; Fukami, T. (2012). Flowers as islands: Spatial distribution of nectar-inhabiting microfungi among plants of</w:t>
      </w:r>
      <w:r>
        <w:t xml:space="preserve"> </w:t>
      </w:r>
      <w:r>
        <w:t xml:space="preserve">Mimulus</w:t>
      </w:r>
      <w:r>
        <w:t xml:space="preserve"> </w:t>
      </w:r>
      <w:r>
        <w:t xml:space="preserve">aurantiacus, a hummingbird-pollinated shrub.</w:t>
      </w:r>
      <w:r>
        <w:t xml:space="preserve"> </w:t>
      </w:r>
      <w:r>
        <w:rPr>
          <w:iCs/>
          <w:i/>
        </w:rPr>
        <w:t xml:space="preserve">Microbial Ecology</w:t>
      </w:r>
      <w:r>
        <w:t xml:space="preserve">,</w:t>
      </w:r>
      <w:r>
        <w:t xml:space="preserve"> </w:t>
      </w:r>
      <w:r>
        <w:rPr>
          <w:iCs/>
          <w:i/>
        </w:rPr>
        <w:t xml:space="preserve">63</w:t>
      </w:r>
      <w:r>
        <w:t xml:space="preserve">(4), 711–718.</w:t>
      </w:r>
      <w:r>
        <w:t xml:space="preserve"> </w:t>
      </w:r>
      <w:hyperlink r:id="rId53">
        <w:r>
          <w:rPr>
            <w:rStyle w:val="Hyperlink"/>
          </w:rPr>
          <w:t xml:space="preserve">https://doi.org/10.1007/s00248-011-9975-8.Flowers</w:t>
        </w:r>
      </w:hyperlink>
    </w:p>
    <w:bookmarkEnd w:id="54"/>
    <w:bookmarkStart w:id="56" w:name="ref-callahan2016"/>
    <w:p>
      <w:pPr>
        <w:pStyle w:val="Bibliography"/>
      </w:pPr>
      <w:r>
        <w:t xml:space="preserve">Callahan, B. J., McMurdie, P. J., Rosen, M. J., Han, A. W., Johnson, A. J. A., &amp; Holmes, S. P. (2016).</w:t>
      </w:r>
      <w:r>
        <w:t xml:space="preserve"> </w:t>
      </w:r>
      <w:r>
        <w:t xml:space="preserve">DADA2</w:t>
      </w:r>
      <w:r>
        <w:t xml:space="preserve">:</w:t>
      </w:r>
      <w:r>
        <w:t xml:space="preserve"> </w:t>
      </w:r>
      <w:r>
        <w:t xml:space="preserve">High-resolution</w:t>
      </w:r>
      <w:r>
        <w:t xml:space="preserve"> </w:t>
      </w:r>
      <w:r>
        <w:t xml:space="preserve">sample inference from</w:t>
      </w:r>
      <w:r>
        <w:t xml:space="preserve"> </w:t>
      </w:r>
      <w:r>
        <w:t xml:space="preserve">Illumina</w:t>
      </w:r>
      <w:r>
        <w:t xml:space="preserve"> </w:t>
      </w:r>
      <w:r>
        <w:t xml:space="preserve">amplicon data.</w:t>
      </w:r>
      <w:r>
        <w:t xml:space="preserve"> </w:t>
      </w:r>
      <w:r>
        <w:rPr>
          <w:iCs/>
          <w:i/>
        </w:rPr>
        <w:t xml:space="preserve">Nature Methods</w:t>
      </w:r>
      <w:r>
        <w:t xml:space="preserve">,</w:t>
      </w:r>
      <w:r>
        <w:t xml:space="preserve"> </w:t>
      </w:r>
      <w:r>
        <w:rPr>
          <w:iCs/>
          <w:i/>
        </w:rPr>
        <w:t xml:space="preserve">13</w:t>
      </w:r>
      <w:r>
        <w:t xml:space="preserve">(7), 581–583.</w:t>
      </w:r>
      <w:r>
        <w:t xml:space="preserve"> </w:t>
      </w:r>
      <w:hyperlink r:id="rId55">
        <w:r>
          <w:rPr>
            <w:rStyle w:val="Hyperlink"/>
          </w:rPr>
          <w:t xml:space="preserve">https://doi.org/10.1038/nmeth.3869</w:t>
        </w:r>
      </w:hyperlink>
    </w:p>
    <w:bookmarkEnd w:id="56"/>
    <w:bookmarkStart w:id="58" w:name="ref-davis2018"/>
    <w:p>
      <w:pPr>
        <w:pStyle w:val="Bibliography"/>
      </w:pPr>
      <w:r>
        <w:t xml:space="preserve">Davis, N. M., Proctor, D. M., Holmes, S. P., Relman, D. A., &amp; Callahan, B. J. (2018). Simple statistical identification and removal of contaminant sequences in marker-gene and metagenomics data.</w:t>
      </w:r>
      <w:r>
        <w:t xml:space="preserve"> </w:t>
      </w:r>
      <w:r>
        <w:rPr>
          <w:iCs/>
          <w:i/>
        </w:rPr>
        <w:t xml:space="preserve">Microbiome</w:t>
      </w:r>
      <w:r>
        <w:t xml:space="preserve">,</w:t>
      </w:r>
      <w:r>
        <w:t xml:space="preserve"> </w:t>
      </w:r>
      <w:r>
        <w:rPr>
          <w:iCs/>
          <w:i/>
        </w:rPr>
        <w:t xml:space="preserve">6</w:t>
      </w:r>
      <w:r>
        <w:t xml:space="preserve">(1), 226.</w:t>
      </w:r>
      <w:r>
        <w:t xml:space="preserve"> </w:t>
      </w:r>
      <w:hyperlink r:id="rId57">
        <w:r>
          <w:rPr>
            <w:rStyle w:val="Hyperlink"/>
          </w:rPr>
          <w:t xml:space="preserve">https://doi.org/10.1186/s40168-018-0605-2</w:t>
        </w:r>
      </w:hyperlink>
    </w:p>
    <w:bookmarkEnd w:id="58"/>
    <w:bookmarkStart w:id="60" w:name="ref-edgar2015"/>
    <w:p>
      <w:pPr>
        <w:pStyle w:val="Bibliography"/>
      </w:pPr>
      <w:r>
        <w:t xml:space="preserve">Edgar, R. C., &amp; Flyvbjerg, H. (2015). Error filtering, pair assembly and error correction for next-generation sequencing reads.</w:t>
      </w:r>
      <w:r>
        <w:t xml:space="preserve"> </w:t>
      </w:r>
      <w:r>
        <w:rPr>
          <w:iCs/>
          <w:i/>
        </w:rPr>
        <w:t xml:space="preserve">Bioinformatics</w:t>
      </w:r>
      <w:r>
        <w:t xml:space="preserve">,</w:t>
      </w:r>
      <w:r>
        <w:t xml:space="preserve"> </w:t>
      </w:r>
      <w:r>
        <w:rPr>
          <w:iCs/>
          <w:i/>
        </w:rPr>
        <w:t xml:space="preserve">31</w:t>
      </w:r>
      <w:r>
        <w:t xml:space="preserve">(21), 3476–3482.</w:t>
      </w:r>
      <w:r>
        <w:t xml:space="preserve"> </w:t>
      </w:r>
      <w:hyperlink r:id="rId59">
        <w:r>
          <w:rPr>
            <w:rStyle w:val="Hyperlink"/>
          </w:rPr>
          <w:t xml:space="preserve">https://doi.org/10.1093/bioinformatics/btv401</w:t>
        </w:r>
      </w:hyperlink>
    </w:p>
    <w:bookmarkEnd w:id="60"/>
    <w:bookmarkStart w:id="62" w:name="ref-ewels2016"/>
    <w:p>
      <w:pPr>
        <w:pStyle w:val="Bibliography"/>
      </w:pPr>
      <w:r>
        <w:t xml:space="preserve">Ewels, P., Magnusson, M., Lundin, S., &amp; Käller, M. (2016).</w:t>
      </w:r>
      <w:r>
        <w:t xml:space="preserve"> </w:t>
      </w:r>
      <w:r>
        <w:t xml:space="preserve">MultiQC</w:t>
      </w:r>
      <w:r>
        <w:t xml:space="preserve">: Summarize analysis results for multiple tools and samples in a single report.</w:t>
      </w:r>
      <w:r>
        <w:t xml:space="preserve"> </w:t>
      </w:r>
      <w:r>
        <w:rPr>
          <w:iCs/>
          <w:i/>
        </w:rPr>
        <w:t xml:space="preserve">Bioinformatics</w:t>
      </w:r>
      <w:r>
        <w:t xml:space="preserve">,</w:t>
      </w:r>
      <w:r>
        <w:t xml:space="preserve"> </w:t>
      </w:r>
      <w:r>
        <w:rPr>
          <w:iCs/>
          <w:i/>
        </w:rPr>
        <w:t xml:space="preserve">32</w:t>
      </w:r>
      <w:r>
        <w:t xml:space="preserve">(19), 3047–3048.</w:t>
      </w:r>
      <w:r>
        <w:t xml:space="preserve"> </w:t>
      </w:r>
      <w:hyperlink r:id="rId61">
        <w:r>
          <w:rPr>
            <w:rStyle w:val="Hyperlink"/>
          </w:rPr>
          <w:t xml:space="preserve">https://doi.org/10.1093/bioinformatics/btw354</w:t>
        </w:r>
      </w:hyperlink>
    </w:p>
    <w:bookmarkEnd w:id="62"/>
    <w:bookmarkStart w:id="64" w:name="ref-ferris2017"/>
    <w:p>
      <w:pPr>
        <w:pStyle w:val="Bibliography"/>
      </w:pPr>
      <w:r>
        <w:t xml:space="preserve">Ferris, K. G., Barnett, L. L., Blackman, B. K., &amp; Willis, J. H. (2017). The genetic architecture of local adaptation and reproductive isolation in sympatry within the</w:t>
      </w:r>
      <w:r>
        <w:t xml:space="preserve"> </w:t>
      </w:r>
      <w:r>
        <w:t xml:space="preserve">Mimulus</w:t>
      </w:r>
      <w:r>
        <w:t xml:space="preserve"> </w:t>
      </w:r>
      <w:r>
        <w:t xml:space="preserve">guttatus species complex.</w:t>
      </w:r>
      <w:r>
        <w:t xml:space="preserve"> </w:t>
      </w:r>
      <w:r>
        <w:rPr>
          <w:iCs/>
          <w:i/>
        </w:rPr>
        <w:t xml:space="preserve">Molecular Ecology</w:t>
      </w:r>
      <w:r>
        <w:t xml:space="preserve">,</w:t>
      </w:r>
      <w:r>
        <w:t xml:space="preserve"> </w:t>
      </w:r>
      <w:r>
        <w:rPr>
          <w:iCs/>
          <w:i/>
        </w:rPr>
        <w:t xml:space="preserve">26</w:t>
      </w:r>
      <w:r>
        <w:t xml:space="preserve">(1), 208–224.</w:t>
      </w:r>
      <w:r>
        <w:t xml:space="preserve"> </w:t>
      </w:r>
      <w:hyperlink r:id="rId63">
        <w:r>
          <w:rPr>
            <w:rStyle w:val="Hyperlink"/>
          </w:rPr>
          <w:t xml:space="preserve">https://doi.org/10.1111/mec.13763</w:t>
        </w:r>
      </w:hyperlink>
    </w:p>
    <w:bookmarkEnd w:id="64"/>
    <w:bookmarkStart w:id="66" w:name="ref-ferris2015"/>
    <w:p>
      <w:pPr>
        <w:pStyle w:val="Bibliography"/>
      </w:pPr>
      <w:r>
        <w:t xml:space="preserve">Ferris, K. G., Rushton, T., Greenlee, A. B., Toll, K., Blackman, B. K., &amp; Willis, J. H. (2015). Leaf shape evolution has a similar genetic architecture in three edaphic specialists within the</w:t>
      </w:r>
      <w:r>
        <w:t xml:space="preserve"> </w:t>
      </w:r>
      <w:r>
        <w:t xml:space="preserve">Mimulus</w:t>
      </w:r>
      <w:r>
        <w:t xml:space="preserve"> </w:t>
      </w:r>
      <w:r>
        <w:t xml:space="preserve">guttatus species complex.</w:t>
      </w:r>
      <w:r>
        <w:t xml:space="preserve"> </w:t>
      </w:r>
      <w:r>
        <w:rPr>
          <w:iCs/>
          <w:i/>
        </w:rPr>
        <w:t xml:space="preserve">Annals of Botany</w:t>
      </w:r>
      <w:r>
        <w:t xml:space="preserve">,</w:t>
      </w:r>
      <w:r>
        <w:t xml:space="preserve"> </w:t>
      </w:r>
      <w:r>
        <w:rPr>
          <w:iCs/>
          <w:i/>
        </w:rPr>
        <w:t xml:space="preserve">116</w:t>
      </w:r>
      <w:r>
        <w:t xml:space="preserve">(2), 213–223.</w:t>
      </w:r>
      <w:r>
        <w:t xml:space="preserve"> </w:t>
      </w:r>
      <w:hyperlink r:id="rId65">
        <w:r>
          <w:rPr>
            <w:rStyle w:val="Hyperlink"/>
          </w:rPr>
          <w:t xml:space="preserve">https://doi.org/10.1093/aob/mcv080</w:t>
        </w:r>
      </w:hyperlink>
    </w:p>
    <w:bookmarkEnd w:id="66"/>
    <w:bookmarkStart w:id="68" w:name="ref-gardes1993"/>
    <w:p>
      <w:pPr>
        <w:pStyle w:val="Bibliography"/>
      </w:pPr>
      <w:r>
        <w:t xml:space="preserve">Gardes, M., &amp; Bruns, T. D. (1993).</w:t>
      </w:r>
      <w:r>
        <w:t xml:space="preserve"> </w:t>
      </w:r>
      <w:r>
        <w:t xml:space="preserve">ITS</w:t>
      </w:r>
      <w:r>
        <w:t xml:space="preserve"> </w:t>
      </w:r>
      <w:r>
        <w:t xml:space="preserve">primers with enhanced specificity for basidiomycetes ‐ application to the identification of mycorrhizae and rusts.</w:t>
      </w:r>
      <w:r>
        <w:t xml:space="preserve"> </w:t>
      </w:r>
      <w:r>
        <w:rPr>
          <w:iCs/>
          <w:i/>
        </w:rPr>
        <w:t xml:space="preserve">Molecular Ecology</w:t>
      </w:r>
      <w:r>
        <w:t xml:space="preserve">,</w:t>
      </w:r>
      <w:r>
        <w:t xml:space="preserve"> </w:t>
      </w:r>
      <w:r>
        <w:rPr>
          <w:iCs/>
          <w:i/>
        </w:rPr>
        <w:t xml:space="preserve">2</w:t>
      </w:r>
      <w:r>
        <w:t xml:space="preserve">(2), 113–118.</w:t>
      </w:r>
      <w:r>
        <w:t xml:space="preserve"> </w:t>
      </w:r>
      <w:hyperlink r:id="rId67">
        <w:r>
          <w:rPr>
            <w:rStyle w:val="Hyperlink"/>
          </w:rPr>
          <w:t xml:space="preserve">https://doi.org/10.1111/j.1365-294X.1993.tb00005.x</w:t>
        </w:r>
      </w:hyperlink>
    </w:p>
    <w:bookmarkEnd w:id="68"/>
    <w:bookmarkStart w:id="70" w:name="ref-higgins2014"/>
    <w:p>
      <w:pPr>
        <w:pStyle w:val="Bibliography"/>
      </w:pPr>
      <w:r>
        <w:t xml:space="preserve">Higgins, K. L., Arnold, A. E., Coley, P. D., &amp; Kursar, T. A. (2014). Communities of fungal endophytes in tropical forest grasses:</w:t>
      </w:r>
      <w:r>
        <w:t xml:space="preserve"> </w:t>
      </w:r>
      <w:r>
        <w:t xml:space="preserve">Highly</w:t>
      </w:r>
      <w:r>
        <w:t xml:space="preserve"> </w:t>
      </w:r>
      <w:r>
        <w:t xml:space="preserve">diverse host- and habitat generalists characterized by strong spatial structure.</w:t>
      </w:r>
      <w:r>
        <w:t xml:space="preserve"> </w:t>
      </w:r>
      <w:r>
        <w:rPr>
          <w:iCs/>
          <w:i/>
        </w:rPr>
        <w:t xml:space="preserve">Fungal Ecology</w:t>
      </w:r>
      <w:r>
        <w:t xml:space="preserve">,</w:t>
      </w:r>
      <w:r>
        <w:t xml:space="preserve"> </w:t>
      </w:r>
      <w:r>
        <w:rPr>
          <w:iCs/>
          <w:i/>
        </w:rPr>
        <w:t xml:space="preserve">8</w:t>
      </w:r>
      <w:r>
        <w:t xml:space="preserve">(1), 1–11.</w:t>
      </w:r>
      <w:r>
        <w:t xml:space="preserve"> </w:t>
      </w:r>
      <w:hyperlink r:id="rId69">
        <w:r>
          <w:rPr>
            <w:rStyle w:val="Hyperlink"/>
          </w:rPr>
          <w:t xml:space="preserve">https://doi.org/10.1016/j.funeco.2013.12.005</w:t>
        </w:r>
      </w:hyperlink>
    </w:p>
    <w:bookmarkEnd w:id="70"/>
    <w:bookmarkStart w:id="71" w:name="ref-hijmans2022"/>
    <w:p>
      <w:pPr>
        <w:pStyle w:val="Bibliography"/>
      </w:pPr>
      <w:r>
        <w:t xml:space="preserve">Hijmans, R. J. (2022).</w:t>
      </w:r>
      <w:r>
        <w:t xml:space="preserve"> </w:t>
      </w:r>
      <w:r>
        <w:rPr>
          <w:iCs/>
          <w:i/>
        </w:rPr>
        <w:t xml:space="preserve">Geosphere:</w:t>
      </w:r>
      <w:r>
        <w:rPr>
          <w:iCs/>
          <w:i/>
        </w:rPr>
        <w:t xml:space="preserve"> </w:t>
      </w:r>
      <w:r>
        <w:rPr>
          <w:iCs/>
          <w:i/>
        </w:rPr>
        <w:t xml:space="preserve">Spherical</w:t>
      </w:r>
      <w:r>
        <w:rPr>
          <w:iCs/>
          <w:i/>
        </w:rPr>
        <w:t xml:space="preserve"> </w:t>
      </w:r>
      <w:r>
        <w:rPr>
          <w:iCs/>
          <w:i/>
        </w:rPr>
        <w:t xml:space="preserve">trigonometry</w:t>
      </w:r>
      <w:r>
        <w:t xml:space="preserve"> </w:t>
      </w:r>
      <w:r>
        <w:t xml:space="preserve">[Manual].</w:t>
      </w:r>
    </w:p>
    <w:bookmarkEnd w:id="71"/>
    <w:bookmarkStart w:id="73" w:name="ref-horton2014"/>
    <w:p>
      <w:pPr>
        <w:pStyle w:val="Bibliography"/>
      </w:pPr>
      <w:r>
        <w:t xml:space="preserve">Horton, M. W., Bodenhausen, N., Beilsmith, K., Meng, D., Muegge, B. D., Subramanian, S., Vetter, M. M., Vilhjálmsson, B. J., Nordborg, M., Gordon, J. I., &amp; Bergelson, J. (2014). Genome-wide association study of</w:t>
      </w:r>
      <w:r>
        <w:t xml:space="preserve"> </w:t>
      </w:r>
      <w:r>
        <w:t xml:space="preserve">Arabidopsis</w:t>
      </w:r>
      <w:r>
        <w:t xml:space="preserve"> </w:t>
      </w:r>
      <w:r>
        <w:t xml:space="preserve">thaliana leaf microbial community.</w:t>
      </w:r>
      <w:r>
        <w:t xml:space="preserve"> </w:t>
      </w:r>
      <w:r>
        <w:rPr>
          <w:iCs/>
          <w:i/>
        </w:rPr>
        <w:t xml:space="preserve">Nature Communications</w:t>
      </w:r>
      <w:r>
        <w:t xml:space="preserve">,</w:t>
      </w:r>
      <w:r>
        <w:t xml:space="preserve"> </w:t>
      </w:r>
      <w:r>
        <w:rPr>
          <w:iCs/>
          <w:i/>
        </w:rPr>
        <w:t xml:space="preserve">5</w:t>
      </w:r>
      <w:r>
        <w:t xml:space="preserve">, 1–7.</w:t>
      </w:r>
      <w:r>
        <w:t xml:space="preserve"> </w:t>
      </w:r>
      <w:hyperlink r:id="rId72">
        <w:r>
          <w:rPr>
            <w:rStyle w:val="Hyperlink"/>
          </w:rPr>
          <w:t xml:space="preserve">https://doi.org/10.1038/ncomms6320</w:t>
        </w:r>
      </w:hyperlink>
    </w:p>
    <w:bookmarkEnd w:id="73"/>
    <w:bookmarkStart w:id="75" w:name="ref-opti-sciencesinc"/>
    <w:p>
      <w:pPr>
        <w:pStyle w:val="Bibliography"/>
      </w:pPr>
      <w:r>
        <w:t xml:space="preserve">Inc., O.-S. (n.d.).</w:t>
      </w:r>
      <w:r>
        <w:t xml:space="preserve"> </w:t>
      </w:r>
      <w:r>
        <w:rPr>
          <w:iCs/>
          <w:i/>
        </w:rPr>
        <w:t xml:space="preserve">ACM-200plus</w:t>
      </w:r>
      <w:r>
        <w:t xml:space="preserve">.</w:t>
      </w:r>
      <w:r>
        <w:t xml:space="preserve"> </w:t>
      </w:r>
      <w:r>
        <w:t xml:space="preserve">ACM-200plus</w:t>
      </w:r>
      <w:r>
        <w:t xml:space="preserve">. Retrieved November 29, 2023, from</w:t>
      </w:r>
      <w:r>
        <w:t xml:space="preserve"> </w:t>
      </w:r>
      <w:hyperlink r:id="rId74">
        <w:r>
          <w:rPr>
            <w:rStyle w:val="Hyperlink"/>
          </w:rPr>
          <w:t xml:space="preserve">https://www.optisci.com/acm-200.html</w:t>
        </w:r>
      </w:hyperlink>
    </w:p>
    <w:bookmarkEnd w:id="75"/>
    <w:bookmarkStart w:id="77" w:name="ref-jump2005"/>
    <w:p>
      <w:pPr>
        <w:pStyle w:val="Bibliography"/>
      </w:pPr>
      <w:r>
        <w:t xml:space="preserve">Jump, A. S., &amp; Peñuelas, J. (2005). Running to stand still:</w:t>
      </w:r>
      <w:r>
        <w:t xml:space="preserve"> </w:t>
      </w:r>
      <w:r>
        <w:t xml:space="preserve">Adaptation</w:t>
      </w:r>
      <w:r>
        <w:t xml:space="preserve"> </w:t>
      </w:r>
      <w:r>
        <w:t xml:space="preserve">and the response of plants to rapid climate change.</w:t>
      </w:r>
      <w:r>
        <w:t xml:space="preserve"> </w:t>
      </w:r>
      <w:r>
        <w:rPr>
          <w:iCs/>
          <w:i/>
        </w:rPr>
        <w:t xml:space="preserve">Ecology Letters</w:t>
      </w:r>
      <w:r>
        <w:t xml:space="preserve">,</w:t>
      </w:r>
      <w:r>
        <w:t xml:space="preserve"> </w:t>
      </w:r>
      <w:r>
        <w:rPr>
          <w:iCs/>
          <w:i/>
        </w:rPr>
        <w:t xml:space="preserve">8</w:t>
      </w:r>
      <w:r>
        <w:t xml:space="preserve">(9), 1010–1020.</w:t>
      </w:r>
      <w:r>
        <w:t xml:space="preserve"> </w:t>
      </w:r>
      <w:hyperlink r:id="rId76">
        <w:r>
          <w:rPr>
            <w:rStyle w:val="Hyperlink"/>
          </w:rPr>
          <w:t xml:space="preserve">https://doi.org/10.1111/j.1461-0248.2005.00796.x</w:t>
        </w:r>
      </w:hyperlink>
    </w:p>
    <w:bookmarkEnd w:id="77"/>
    <w:bookmarkStart w:id="79" w:name="ref-kassambara2023"/>
    <w:p>
      <w:pPr>
        <w:pStyle w:val="Bibliography"/>
      </w:pPr>
      <w:r>
        <w:t xml:space="preserve">Kassambara, A. (2023).</w:t>
      </w:r>
      <w:r>
        <w:t xml:space="preserve"> </w:t>
      </w:r>
      <w:r>
        <w:rPr>
          <w:iCs/>
          <w:i/>
        </w:rPr>
        <w:t xml:space="preserve">Rstatix:</w:t>
      </w:r>
      <w:r>
        <w:rPr>
          <w:iCs/>
          <w:i/>
        </w:rPr>
        <w:t xml:space="preserve"> </w:t>
      </w:r>
      <w:r>
        <w:rPr>
          <w:iCs/>
          <w:i/>
        </w:rPr>
        <w:t xml:space="preserve">Pipe-friendly</w:t>
      </w:r>
      <w:r>
        <w:rPr>
          <w:iCs/>
          <w:i/>
        </w:rPr>
        <w:t xml:space="preserve"> </w:t>
      </w:r>
      <w:r>
        <w:rPr>
          <w:iCs/>
          <w:i/>
        </w:rPr>
        <w:t xml:space="preserve">framework for basic statistical tests</w:t>
      </w:r>
      <w:r>
        <w:t xml:space="preserve"> </w:t>
      </w:r>
      <w:r>
        <w:t xml:space="preserve">[Manual].</w:t>
      </w:r>
      <w:r>
        <w:t xml:space="preserve"> </w:t>
      </w:r>
      <w:hyperlink r:id="rId78">
        <w:r>
          <w:rPr>
            <w:rStyle w:val="Hyperlink"/>
          </w:rPr>
          <w:t xml:space="preserve">https://rpkgs.datanovia.com/rstatix/</w:t>
        </w:r>
      </w:hyperlink>
    </w:p>
    <w:bookmarkEnd w:id="79"/>
    <w:bookmarkStart w:id="81" w:name="ref-legendre1999"/>
    <w:p>
      <w:pPr>
        <w:pStyle w:val="Bibliography"/>
      </w:pPr>
      <w:r>
        <w:t xml:space="preserve">Legendre, P., &amp; Anderson, M. J. (1999). Distance-based redundancy analysis:</w:t>
      </w:r>
      <w:r>
        <w:t xml:space="preserve"> </w:t>
      </w:r>
      <w:r>
        <w:t xml:space="preserve">Testing</w:t>
      </w:r>
      <w:r>
        <w:t xml:space="preserve"> </w:t>
      </w:r>
      <w:r>
        <w:t xml:space="preserve">multispecies responses in multifactorial ecological experiments.</w:t>
      </w:r>
      <w:r>
        <w:t xml:space="preserve"> </w:t>
      </w:r>
      <w:r>
        <w:rPr>
          <w:iCs/>
          <w:i/>
        </w:rPr>
        <w:t xml:space="preserve">Ecological Monographs</w:t>
      </w:r>
      <w:r>
        <w:t xml:space="preserve">,</w:t>
      </w:r>
      <w:r>
        <w:t xml:space="preserve"> </w:t>
      </w:r>
      <w:r>
        <w:rPr>
          <w:iCs/>
          <w:i/>
        </w:rPr>
        <w:t xml:space="preserve">69</w:t>
      </w:r>
      <w:r>
        <w:t xml:space="preserve">(1), 1–24.</w:t>
      </w:r>
      <w:r>
        <w:t xml:space="preserve"> </w:t>
      </w:r>
      <w:hyperlink r:id="rId80">
        <w:r>
          <w:rPr>
            <w:rStyle w:val="Hyperlink"/>
          </w:rPr>
          <w:t xml:space="preserve">https://doi.org/10.1890/0012-9615(1999)069[0001:DBRATM]2.0.CO;2</w:t>
        </w:r>
      </w:hyperlink>
    </w:p>
    <w:bookmarkEnd w:id="81"/>
    <w:bookmarkStart w:id="82" w:name="ref-legendre2012"/>
    <w:p>
      <w:pPr>
        <w:pStyle w:val="Bibliography"/>
      </w:pPr>
      <w:r>
        <w:t xml:space="preserve">Legendre, P., &amp; Legendre, L. (2012).</w:t>
      </w:r>
      <w:r>
        <w:t xml:space="preserve"> </w:t>
      </w:r>
      <w:r>
        <w:rPr>
          <w:iCs/>
          <w:i/>
        </w:rPr>
        <w:t xml:space="preserve">Numerical ecology</w:t>
      </w:r>
      <w:r>
        <w:t xml:space="preserve"> </w:t>
      </w:r>
      <w:r>
        <w:t xml:space="preserve">(3d English edition).</w:t>
      </w:r>
      <w:r>
        <w:t xml:space="preserve"> </w:t>
      </w:r>
      <w:r>
        <w:t xml:space="preserve">Elsevier</w:t>
      </w:r>
      <w:r>
        <w:t xml:space="preserve">.</w:t>
      </w:r>
    </w:p>
    <w:bookmarkEnd w:id="82"/>
    <w:bookmarkStart w:id="84" w:name="ref-legendre2011"/>
    <w:p>
      <w:pPr>
        <w:pStyle w:val="Bibliography"/>
      </w:pPr>
      <w:r>
        <w:t xml:space="preserve">Legendre, P., Oksanen, J., &amp; Ter Braak, C. J. F. (2011). Testing the significance of canonical axes in redundancy analysis.</w:t>
      </w:r>
      <w:r>
        <w:t xml:space="preserve"> </w:t>
      </w:r>
      <w:r>
        <w:rPr>
          <w:iCs/>
          <w:i/>
        </w:rPr>
        <w:t xml:space="preserve">Methods in Ecology and Evolution</w:t>
      </w:r>
      <w:r>
        <w:t xml:space="preserve">,</w:t>
      </w:r>
      <w:r>
        <w:t xml:space="preserve"> </w:t>
      </w:r>
      <w:r>
        <w:rPr>
          <w:iCs/>
          <w:i/>
        </w:rPr>
        <w:t xml:space="preserve">2</w:t>
      </w:r>
      <w:r>
        <w:t xml:space="preserve">(3), 269–277.</w:t>
      </w:r>
      <w:r>
        <w:t xml:space="preserve"> </w:t>
      </w:r>
      <w:hyperlink r:id="rId83">
        <w:r>
          <w:rPr>
            <w:rStyle w:val="Hyperlink"/>
          </w:rPr>
          <w:t xml:space="preserve">https://doi.org/10.1111/j.2041-210X.2010.00078.x</w:t>
        </w:r>
      </w:hyperlink>
    </w:p>
    <w:bookmarkEnd w:id="84"/>
    <w:bookmarkStart w:id="86" w:name="ref-liu2023"/>
    <w:p>
      <w:pPr>
        <w:pStyle w:val="Bibliography"/>
      </w:pPr>
      <w:r>
        <w:t xml:space="preserve">Liu, D., Li, Q., Luo, J., Huang, Q., &amp; Zhang, Y. (2023). An</w:t>
      </w:r>
      <w:r>
        <w:t xml:space="preserve"> </w:t>
      </w:r>
      <w:r>
        <w:t xml:space="preserve">SPRI</w:t>
      </w:r>
      <w:r>
        <w:t xml:space="preserve"> </w:t>
      </w:r>
      <w:r>
        <w:t xml:space="preserve">beads-based</w:t>
      </w:r>
      <w:r>
        <w:t xml:space="preserve"> </w:t>
      </w:r>
      <w:r>
        <w:t xml:space="preserve">DNA</w:t>
      </w:r>
      <w:r>
        <w:t xml:space="preserve"> </w:t>
      </w:r>
      <w:r>
        <w:t xml:space="preserve">purification strategy for flexibility and cost-effectiveness.</w:t>
      </w:r>
      <w:r>
        <w:t xml:space="preserve"> </w:t>
      </w:r>
      <w:r>
        <w:rPr>
          <w:iCs/>
          <w:i/>
        </w:rPr>
        <w:t xml:space="preserve">BMC Genomics</w:t>
      </w:r>
      <w:r>
        <w:t xml:space="preserve">,</w:t>
      </w:r>
      <w:r>
        <w:t xml:space="preserve"> </w:t>
      </w:r>
      <w:r>
        <w:rPr>
          <w:iCs/>
          <w:i/>
        </w:rPr>
        <w:t xml:space="preserve">24</w:t>
      </w:r>
      <w:r>
        <w:t xml:space="preserve">(1), 125.</w:t>
      </w:r>
      <w:r>
        <w:t xml:space="preserve"> </w:t>
      </w:r>
      <w:hyperlink r:id="rId85">
        <w:r>
          <w:rPr>
            <w:rStyle w:val="Hyperlink"/>
          </w:rPr>
          <w:t xml:space="preserve">https://doi.org/10.1186/s12864-023-09211-w</w:t>
        </w:r>
      </w:hyperlink>
    </w:p>
    <w:bookmarkEnd w:id="86"/>
    <w:bookmarkStart w:id="88" w:name="ref-lumibao2018"/>
    <w:p>
      <w:pPr>
        <w:pStyle w:val="Bibliography"/>
      </w:pPr>
      <w:r>
        <w:t xml:space="preserve">Lumibao, C. Y., Formel, S., Elango, V., Pardue, J. H., Blum, M., &amp; Van Bael, S. A. (2018). Persisting responses of salt marsh fungal communities to the</w:t>
      </w:r>
      <w:r>
        <w:t xml:space="preserve"> </w:t>
      </w:r>
      <w:r>
        <w:t xml:space="preserve">Deepwater Horizon</w:t>
      </w:r>
      <w:r>
        <w:t xml:space="preserve"> </w:t>
      </w:r>
      <w:r>
        <w:t xml:space="preserve">oil spill.</w:t>
      </w:r>
      <w:r>
        <w:t xml:space="preserve"> </w:t>
      </w:r>
      <w:r>
        <w:rPr>
          <w:iCs/>
          <w:i/>
        </w:rPr>
        <w:t xml:space="preserve">Science of The Total Environment</w:t>
      </w:r>
      <w:r>
        <w:t xml:space="preserve">,</w:t>
      </w:r>
      <w:r>
        <w:t xml:space="preserve"> </w:t>
      </w:r>
      <w:r>
        <w:rPr>
          <w:iCs/>
          <w:i/>
        </w:rPr>
        <w:t xml:space="preserve">642</w:t>
      </w:r>
      <w:r>
        <w:t xml:space="preserve">, 904–913.</w:t>
      </w:r>
      <w:r>
        <w:t xml:space="preserve"> </w:t>
      </w:r>
      <w:hyperlink r:id="rId87">
        <w:r>
          <w:rPr>
            <w:rStyle w:val="Hyperlink"/>
          </w:rPr>
          <w:t xml:space="preserve">https://doi.org/10.1016/j.scitotenv.2018.06.077</w:t>
        </w:r>
      </w:hyperlink>
    </w:p>
    <w:bookmarkEnd w:id="88"/>
    <w:bookmarkStart w:id="90" w:name="ref-martin2011"/>
    <w:p>
      <w:pPr>
        <w:pStyle w:val="Bibliography"/>
      </w:pPr>
      <w:r>
        <w:t xml:space="preserve">Martin, M. (2011). Cutadapt removes adapter sequences from high-throughput sequencing reads.</w:t>
      </w:r>
      <w:r>
        <w:t xml:space="preserve"> </w:t>
      </w:r>
      <w:r>
        <w:rPr>
          <w:iCs/>
          <w:i/>
        </w:rPr>
        <w:t xml:space="preserve">EMBnet.journal</w:t>
      </w:r>
      <w:r>
        <w:t xml:space="preserve">,</w:t>
      </w:r>
      <w:r>
        <w:t xml:space="preserve"> </w:t>
      </w:r>
      <w:r>
        <w:rPr>
          <w:iCs/>
          <w:i/>
        </w:rPr>
        <w:t xml:space="preserve">17</w:t>
      </w:r>
      <w:r>
        <w:t xml:space="preserve">(1), 10.</w:t>
      </w:r>
      <w:r>
        <w:t xml:space="preserve"> </w:t>
      </w:r>
      <w:hyperlink r:id="rId89">
        <w:r>
          <w:rPr>
            <w:rStyle w:val="Hyperlink"/>
          </w:rPr>
          <w:t xml:space="preserve">https://doi.org/10.14806/ej.17.1.200</w:t>
        </w:r>
      </w:hyperlink>
    </w:p>
    <w:bookmarkEnd w:id="90"/>
    <w:bookmarkStart w:id="92" w:name="ref-mcardle2001"/>
    <w:p>
      <w:pPr>
        <w:pStyle w:val="Bibliography"/>
      </w:pPr>
      <w:r>
        <w:t xml:space="preserve">McArdle, B. H., &amp; Anderson, M. J. (2001).</w:t>
      </w:r>
      <w:r>
        <w:t xml:space="preserve"> </w:t>
      </w:r>
      <w:r>
        <w:t xml:space="preserve">FITTING MULTIVARIATE MODELS TO COMMUNITY DATA</w:t>
      </w:r>
      <w:r>
        <w:t xml:space="preserve">:</w:t>
      </w:r>
      <w:r>
        <w:t xml:space="preserve"> </w:t>
      </w:r>
      <w:r>
        <w:t xml:space="preserve">A COMMENT ON DISTANCE-BASED REDUNDANCY ANALYSIS</w:t>
      </w:r>
      <w:r>
        <w:t xml:space="preserve">.</w:t>
      </w:r>
      <w:r>
        <w:t xml:space="preserve"> </w:t>
      </w:r>
      <w:r>
        <w:rPr>
          <w:iCs/>
          <w:i/>
        </w:rPr>
        <w:t xml:space="preserve">Ecology</w:t>
      </w:r>
      <w:r>
        <w:t xml:space="preserve">,</w:t>
      </w:r>
      <w:r>
        <w:t xml:space="preserve"> </w:t>
      </w:r>
      <w:r>
        <w:rPr>
          <w:iCs/>
          <w:i/>
        </w:rPr>
        <w:t xml:space="preserve">82</w:t>
      </w:r>
      <w:r>
        <w:t xml:space="preserve">(1), 290–297.</w:t>
      </w:r>
      <w:r>
        <w:t xml:space="preserve"> </w:t>
      </w:r>
      <w:hyperlink r:id="rId91">
        <w:r>
          <w:rPr>
            <w:rStyle w:val="Hyperlink"/>
          </w:rPr>
          <w:t xml:space="preserve">https://doi.org/10.1890/0012-9658(2001)082[0290:FMMTCD]2.0.CO;2</w:t>
        </w:r>
      </w:hyperlink>
    </w:p>
    <w:bookmarkEnd w:id="92"/>
    <w:bookmarkStart w:id="94" w:name="ref-mcmurdie2013"/>
    <w:p>
      <w:pPr>
        <w:pStyle w:val="Bibliography"/>
      </w:pPr>
      <w:r>
        <w:t xml:space="preserve">McMurdie, P. J., &amp; Holmes, S. (2013). Phyloseq:</w:t>
      </w:r>
      <w:r>
        <w:t xml:space="preserve"> </w:t>
      </w:r>
      <w:r>
        <w:t xml:space="preserve">An R Package</w:t>
      </w:r>
      <w:r>
        <w:t xml:space="preserve"> </w:t>
      </w:r>
      <w:r>
        <w:t xml:space="preserve">for</w:t>
      </w:r>
      <w:r>
        <w:t xml:space="preserve"> </w:t>
      </w:r>
      <w:r>
        <w:t xml:space="preserve">Reproducible Interactive Analysis</w:t>
      </w:r>
      <w:r>
        <w:t xml:space="preserve"> </w:t>
      </w:r>
      <w:r>
        <w:t xml:space="preserve">and</w:t>
      </w:r>
      <w:r>
        <w:t xml:space="preserve"> </w:t>
      </w:r>
      <w:r>
        <w:t xml:space="preserve">Graphics</w:t>
      </w:r>
      <w:r>
        <w:t xml:space="preserve"> </w:t>
      </w:r>
      <w:r>
        <w:t xml:space="preserve">of</w:t>
      </w:r>
      <w:r>
        <w:t xml:space="preserve"> </w:t>
      </w:r>
      <w:r>
        <w:t xml:space="preserve">Microbiome Census Data</w:t>
      </w:r>
      <w:r>
        <w:t xml:space="preserve">.</w:t>
      </w:r>
      <w:r>
        <w:t xml:space="preserve"> </w:t>
      </w:r>
      <w:r>
        <w:rPr>
          <w:iCs/>
          <w:i/>
        </w:rPr>
        <w:t xml:space="preserve">PLoS ONE</w:t>
      </w:r>
      <w:r>
        <w:t xml:space="preserve">,</w:t>
      </w:r>
      <w:r>
        <w:t xml:space="preserve"> </w:t>
      </w:r>
      <w:r>
        <w:rPr>
          <w:iCs/>
          <w:i/>
        </w:rPr>
        <w:t xml:space="preserve">8</w:t>
      </w:r>
      <w:r>
        <w:t xml:space="preserve">(4), e61217.</w:t>
      </w:r>
      <w:r>
        <w:t xml:space="preserve"> </w:t>
      </w:r>
      <w:hyperlink r:id="rId93">
        <w:r>
          <w:rPr>
            <w:rStyle w:val="Hyperlink"/>
          </w:rPr>
          <w:t xml:space="preserve">https://doi.org/10.1371/journal.pone.0061217</w:t>
        </w:r>
      </w:hyperlink>
    </w:p>
    <w:bookmarkEnd w:id="94"/>
    <w:bookmarkStart w:id="96" w:name="ref-oita2021"/>
    <w:p>
      <w:pPr>
        <w:pStyle w:val="Bibliography"/>
      </w:pPr>
      <w:r>
        <w:t xml:space="preserve">Oita, S., Ibáñez, A., Lutzoni, F., Miadlikowska, J., Geml, J., Lewis, L. A., Hom, E. F. Y., Carbone, I., U’Ren, J. M., &amp; Arnold, A. E. (2021). Climate and seasonality drive the richness and composition of tropical fungal endophytes at a landscape scale.</w:t>
      </w:r>
      <w:r>
        <w:t xml:space="preserve"> </w:t>
      </w:r>
      <w:r>
        <w:rPr>
          <w:iCs/>
          <w:i/>
        </w:rPr>
        <w:t xml:space="preserve">Communications Biology</w:t>
      </w:r>
      <w:r>
        <w:t xml:space="preserve">,</w:t>
      </w:r>
      <w:r>
        <w:t xml:space="preserve"> </w:t>
      </w:r>
      <w:r>
        <w:rPr>
          <w:iCs/>
          <w:i/>
        </w:rPr>
        <w:t xml:space="preserve">4</w:t>
      </w:r>
      <w:r>
        <w:t xml:space="preserve">(1), 313.</w:t>
      </w:r>
      <w:r>
        <w:t xml:space="preserve"> </w:t>
      </w:r>
      <w:hyperlink r:id="rId95">
        <w:r>
          <w:rPr>
            <w:rStyle w:val="Hyperlink"/>
          </w:rPr>
          <w:t xml:space="preserve">https://doi.org/10.1038/s42003-021-01826-7</w:t>
        </w:r>
      </w:hyperlink>
    </w:p>
    <w:bookmarkEnd w:id="96"/>
    <w:bookmarkStart w:id="98" w:name="ref-oksanen2022"/>
    <w:p>
      <w:pPr>
        <w:pStyle w:val="Bibliography"/>
      </w:pPr>
      <w:r>
        <w:t xml:space="preserve">Oksanen, J., Simpson, G. L., Blanchet, F. G., Kindt, R., Legendre, P., Minchin, P. R., O’Hara, R. B., Solymos, P., Stevens, M. H. H., Szoecs, E., Wagner, H., Barbour, M., Bedward, M., Bolker, B., Borcard, D., Carvalho, G., Chirico, M., De Caceres, M., Durand, S., … Weedon, J. (2022).</w:t>
      </w:r>
      <w:r>
        <w:t xml:space="preserve"> </w:t>
      </w:r>
      <w:r>
        <w:rPr>
          <w:iCs/>
          <w:i/>
        </w:rPr>
        <w:t xml:space="preserve">Vegan:</w:t>
      </w:r>
      <w:r>
        <w:rPr>
          <w:iCs/>
          <w:i/>
        </w:rPr>
        <w:t xml:space="preserve"> </w:t>
      </w:r>
      <w:r>
        <w:rPr>
          <w:iCs/>
          <w:i/>
        </w:rPr>
        <w:t xml:space="preserve">Community Ecology Package</w:t>
      </w:r>
      <w:r>
        <w:t xml:space="preserve">.</w:t>
      </w:r>
      <w:r>
        <w:t xml:space="preserve"> </w:t>
      </w:r>
      <w:hyperlink r:id="rId97">
        <w:r>
          <w:rPr>
            <w:rStyle w:val="Hyperlink"/>
          </w:rPr>
          <w:t xml:space="preserve">https://github.com/vegandevs/vegan</w:t>
        </w:r>
      </w:hyperlink>
    </w:p>
    <w:bookmarkEnd w:id="98"/>
    <w:bookmarkStart w:id="100" w:name="ref-rcoreteam2023"/>
    <w:p>
      <w:pPr>
        <w:pStyle w:val="Bibliography"/>
      </w:pPr>
      <w:r>
        <w:t xml:space="preserve">R Core Team. (2023).</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 </w:t>
      </w:r>
      <w:r>
        <w:t xml:space="preserve">[Computer software].</w:t>
      </w:r>
      <w:r>
        <w:t xml:space="preserve"> </w:t>
      </w:r>
      <w:r>
        <w:t xml:space="preserve">R Foundation for Statistical Computing</w:t>
      </w:r>
      <w:r>
        <w:t xml:space="preserve">.</w:t>
      </w:r>
      <w:r>
        <w:t xml:space="preserve"> </w:t>
      </w:r>
      <w:hyperlink r:id="rId99">
        <w:r>
          <w:rPr>
            <w:rStyle w:val="Hyperlink"/>
          </w:rPr>
          <w:t xml:space="preserve">https://www.R-project.org/</w:t>
        </w:r>
      </w:hyperlink>
    </w:p>
    <w:bookmarkEnd w:id="100"/>
    <w:bookmarkStart w:id="102" w:name="ref-rohland2012"/>
    <w:p>
      <w:pPr>
        <w:pStyle w:val="Bibliography"/>
      </w:pPr>
      <w:r>
        <w:t xml:space="preserve">Rohland, N., &amp; Reich, D. (2012). Cost-effective, high-throughput</w:t>
      </w:r>
      <w:r>
        <w:t xml:space="preserve"> </w:t>
      </w:r>
      <w:r>
        <w:t xml:space="preserve">DNA</w:t>
      </w:r>
      <w:r>
        <w:t xml:space="preserve"> </w:t>
      </w:r>
      <w:r>
        <w:t xml:space="preserve">sequencing libraries for multiplexed target capture.</w:t>
      </w:r>
      <w:r>
        <w:t xml:space="preserve"> </w:t>
      </w:r>
      <w:r>
        <w:rPr>
          <w:iCs/>
          <w:i/>
        </w:rPr>
        <w:t xml:space="preserve">Genome Research</w:t>
      </w:r>
      <w:r>
        <w:t xml:space="preserve">,</w:t>
      </w:r>
      <w:r>
        <w:t xml:space="preserve"> </w:t>
      </w:r>
      <w:r>
        <w:rPr>
          <w:iCs/>
          <w:i/>
        </w:rPr>
        <w:t xml:space="preserve">22</w:t>
      </w:r>
      <w:r>
        <w:t xml:space="preserve">(5), 939–946.</w:t>
      </w:r>
      <w:r>
        <w:t xml:space="preserve"> </w:t>
      </w:r>
      <w:hyperlink r:id="rId101">
        <w:r>
          <w:rPr>
            <w:rStyle w:val="Hyperlink"/>
          </w:rPr>
          <w:t xml:space="preserve">https://doi.org/10.1101/gr.128124.111</w:t>
        </w:r>
      </w:hyperlink>
    </w:p>
    <w:bookmarkEnd w:id="102"/>
    <w:bookmarkStart w:id="104" w:name="ref-rosen2012"/>
    <w:p>
      <w:pPr>
        <w:pStyle w:val="Bibliography"/>
      </w:pPr>
      <w:r>
        <w:t xml:space="preserve">Rosen, M. J., Callahan, B. J., Fisher, D. S., &amp; Holmes, S. P. (2012). Denoising</w:t>
      </w:r>
      <w:r>
        <w:t xml:space="preserve"> </w:t>
      </w:r>
      <w:r>
        <w:t xml:space="preserve">PCR-amplified</w:t>
      </w:r>
      <w:r>
        <w:t xml:space="preserve"> </w:t>
      </w:r>
      <w:r>
        <w:t xml:space="preserve">metagenome data.</w:t>
      </w:r>
      <w:r>
        <w:t xml:space="preserve"> </w:t>
      </w:r>
      <w:r>
        <w:rPr>
          <w:iCs/>
          <w:i/>
        </w:rPr>
        <w:t xml:space="preserve">BMC Bioinformatics</w:t>
      </w:r>
      <w:r>
        <w:t xml:space="preserve">,</w:t>
      </w:r>
      <w:r>
        <w:t xml:space="preserve"> </w:t>
      </w:r>
      <w:r>
        <w:rPr>
          <w:iCs/>
          <w:i/>
        </w:rPr>
        <w:t xml:space="preserve">13</w:t>
      </w:r>
      <w:r>
        <w:t xml:space="preserve">(1), 283.</w:t>
      </w:r>
      <w:r>
        <w:t xml:space="preserve"> </w:t>
      </w:r>
      <w:hyperlink r:id="rId103">
        <w:r>
          <w:rPr>
            <w:rStyle w:val="Hyperlink"/>
          </w:rPr>
          <w:t xml:space="preserve">https://doi.org/10.1186/1471-2105-13-283</w:t>
        </w:r>
      </w:hyperlink>
    </w:p>
    <w:bookmarkEnd w:id="104"/>
    <w:bookmarkStart w:id="106" w:name="ref-russo2022"/>
    <w:p>
      <w:pPr>
        <w:pStyle w:val="Bibliography"/>
      </w:pPr>
      <w:r>
        <w:t xml:space="preserve">Russo, A., Mayjonade, B., Frei, D., Potente, G., Kellenberger, R. T., Frachon, L., Copetti, D., Studer, B., Frey, J. E., Grossniklaus, U., &amp; Schlüter, P. M. (2022). Low-</w:t>
      </w:r>
      <w:r>
        <w:t xml:space="preserve">Input High-Molecular-Weight DNA Extraction</w:t>
      </w:r>
      <w:r>
        <w:t xml:space="preserve"> </w:t>
      </w:r>
      <w:r>
        <w:t xml:space="preserve">for</w:t>
      </w:r>
      <w:r>
        <w:t xml:space="preserve"> </w:t>
      </w:r>
      <w:r>
        <w:t xml:space="preserve">Long-Read Sequencing From Plants</w:t>
      </w:r>
      <w:r>
        <w:t xml:space="preserve"> </w:t>
      </w:r>
      <w:r>
        <w:t xml:space="preserve">of</w:t>
      </w:r>
      <w:r>
        <w:t xml:space="preserve"> </w:t>
      </w:r>
      <w:r>
        <w:t xml:space="preserve">Diverse Families</w:t>
      </w:r>
      <w:r>
        <w:t xml:space="preserve">.</w:t>
      </w:r>
      <w:r>
        <w:t xml:space="preserve"> </w:t>
      </w:r>
      <w:r>
        <w:rPr>
          <w:iCs/>
          <w:i/>
        </w:rPr>
        <w:t xml:space="preserve">Frontiers in Plant Science</w:t>
      </w:r>
      <w:r>
        <w:t xml:space="preserve">,</w:t>
      </w:r>
      <w:r>
        <w:t xml:space="preserve"> </w:t>
      </w:r>
      <w:r>
        <w:rPr>
          <w:iCs/>
          <w:i/>
        </w:rPr>
        <w:t xml:space="preserve">13</w:t>
      </w:r>
      <w:r>
        <w:t xml:space="preserve">, 883897.</w:t>
      </w:r>
      <w:r>
        <w:t xml:space="preserve"> </w:t>
      </w:r>
      <w:hyperlink r:id="rId105">
        <w:r>
          <w:rPr>
            <w:rStyle w:val="Hyperlink"/>
          </w:rPr>
          <w:t xml:space="preserve">https://doi.org/10.3389/fpls.2022.883897</w:t>
        </w:r>
      </w:hyperlink>
    </w:p>
    <w:bookmarkEnd w:id="106"/>
    <w:bookmarkStart w:id="108" w:name="ref-sarmiento2017"/>
    <w:p>
      <w:pPr>
        <w:pStyle w:val="Bibliography"/>
      </w:pPr>
      <w:r>
        <w:t xml:space="preserve">Sarmiento, C., Zalamea, P. C., Dalling, J. W., Davis, A. S., Simon, S. M., U’Ren, J. M., &amp; Arnold, A. E. (2017). Soilborne fungi have host affinity and host-specific effects on seed germination and survival in a lowland tropical forest.</w:t>
      </w:r>
      <w:r>
        <w:t xml:space="preserve"> </w:t>
      </w:r>
      <w:r>
        <w:rPr>
          <w:iCs/>
          <w:i/>
        </w:rPr>
        <w:t xml:space="preserve">Proceedings of the National Academy of Sciences of the United States of America</w:t>
      </w:r>
      <w:r>
        <w:t xml:space="preserve">,</w:t>
      </w:r>
      <w:r>
        <w:t xml:space="preserve"> </w:t>
      </w:r>
      <w:r>
        <w:rPr>
          <w:iCs/>
          <w:i/>
        </w:rPr>
        <w:t xml:space="preserve">114</w:t>
      </w:r>
      <w:r>
        <w:t xml:space="preserve">(43), 11458–11463.</w:t>
      </w:r>
      <w:r>
        <w:t xml:space="preserve"> </w:t>
      </w:r>
      <w:hyperlink r:id="rId107">
        <w:r>
          <w:rPr>
            <w:rStyle w:val="Hyperlink"/>
          </w:rPr>
          <w:t xml:space="preserve">https://doi.org/10.1073/pnas.1706324114</w:t>
        </w:r>
      </w:hyperlink>
    </w:p>
    <w:bookmarkEnd w:id="108"/>
    <w:bookmarkStart w:id="110" w:name="ref-schneider2012"/>
    <w:p>
      <w:pPr>
        <w:pStyle w:val="Bibliography"/>
      </w:pPr>
      <w:r>
        <w:t xml:space="preserve">Schneider, C. A., Rasband, W. S., &amp; Eliceiri, K. W. (2012).</w:t>
      </w:r>
      <w:r>
        <w:t xml:space="preserve"> </w:t>
      </w:r>
      <w:r>
        <w:t xml:space="preserve">NIH Image</w:t>
      </w:r>
      <w:r>
        <w:t xml:space="preserve"> </w:t>
      </w:r>
      <w:r>
        <w:t xml:space="preserve">to</w:t>
      </w:r>
      <w:r>
        <w:t xml:space="preserve"> </w:t>
      </w:r>
      <w:r>
        <w:t xml:space="preserve">ImageJ</w:t>
      </w:r>
      <w:r>
        <w:t xml:space="preserve">: 25 years of image analysis.</w:t>
      </w:r>
      <w:r>
        <w:t xml:space="preserve"> </w:t>
      </w:r>
      <w:r>
        <w:rPr>
          <w:iCs/>
          <w:i/>
        </w:rPr>
        <w:t xml:space="preserve">Nature Methods</w:t>
      </w:r>
      <w:r>
        <w:t xml:space="preserve">,</w:t>
      </w:r>
      <w:r>
        <w:t xml:space="preserve"> </w:t>
      </w:r>
      <w:r>
        <w:rPr>
          <w:iCs/>
          <w:i/>
        </w:rPr>
        <w:t xml:space="preserve">9</w:t>
      </w:r>
      <w:r>
        <w:t xml:space="preserve">(7), 671–675.</w:t>
      </w:r>
      <w:r>
        <w:t xml:space="preserve"> </w:t>
      </w:r>
      <w:hyperlink r:id="rId109">
        <w:r>
          <w:rPr>
            <w:rStyle w:val="Hyperlink"/>
          </w:rPr>
          <w:t xml:space="preserve">https://doi.org/10.1038/nmeth.2089</w:t>
        </w:r>
      </w:hyperlink>
    </w:p>
    <w:bookmarkEnd w:id="110"/>
    <w:bookmarkStart w:id="112" w:name="ref-society2019"/>
    <w:p>
      <w:pPr>
        <w:pStyle w:val="Bibliography"/>
      </w:pPr>
      <w:r>
        <w:t xml:space="preserve">Society, C. N. P. (2019).</w:t>
      </w:r>
      <w:r>
        <w:t xml:space="preserve"> </w:t>
      </w:r>
      <w:r>
        <w:rPr>
          <w:iCs/>
          <w:i/>
        </w:rPr>
        <w:t xml:space="preserve">Seep</w:t>
      </w:r>
      <w:r>
        <w:rPr>
          <w:iCs/>
          <w:i/>
        </w:rPr>
        <w:t xml:space="preserve"> </w:t>
      </w:r>
      <w:r>
        <w:rPr>
          <w:iCs/>
          <w:i/>
        </w:rPr>
        <w:t xml:space="preserve">Monkey Flower</w:t>
      </w:r>
      <w:r>
        <w:t xml:space="preserve">.</w:t>
      </w:r>
      <w:r>
        <w:t xml:space="preserve"> </w:t>
      </w:r>
      <w:hyperlink r:id="rId111">
        <w:r>
          <w:rPr>
            <w:rStyle w:val="Hyperlink"/>
          </w:rPr>
          <w:t xml:space="preserve">https://calscape.org/Mimulus-guttatus-(Seep-Monkey-Flower)</w:t>
        </w:r>
      </w:hyperlink>
    </w:p>
    <w:bookmarkEnd w:id="112"/>
    <w:bookmarkStart w:id="114" w:name="ref-song2016"/>
    <w:p>
      <w:pPr>
        <w:pStyle w:val="Bibliography"/>
      </w:pPr>
      <w:r>
        <w:t xml:space="preserve">Song, H., Nan, Z., Song, Q., Xia, C., Li, X., Yao, X., Xu, W., Kuang, Y., Tian, P., &amp; Zhang, Q. (2016). Advances in</w:t>
      </w:r>
      <w:r>
        <w:t xml:space="preserve"> </w:t>
      </w:r>
      <w:r>
        <w:t xml:space="preserve">Research</w:t>
      </w:r>
      <w:r>
        <w:t xml:space="preserve"> </w:t>
      </w:r>
      <w:r>
        <w:t xml:space="preserve">on</w:t>
      </w:r>
      <w:r>
        <w:t xml:space="preserve"> </w:t>
      </w:r>
      <w:r>
        <w:t xml:space="preserve">Epichloë</w:t>
      </w:r>
      <w:r>
        <w:t xml:space="preserve"> </w:t>
      </w:r>
      <w:r>
        <w:t xml:space="preserve">endophytes in</w:t>
      </w:r>
      <w:r>
        <w:t xml:space="preserve"> </w:t>
      </w:r>
      <w:r>
        <w:t xml:space="preserve">Chinese Native Grasses</w:t>
      </w:r>
      <w:r>
        <w:t xml:space="preserve">.</w:t>
      </w:r>
      <w:r>
        <w:t xml:space="preserve"> </w:t>
      </w:r>
      <w:r>
        <w:rPr>
          <w:iCs/>
          <w:i/>
        </w:rPr>
        <w:t xml:space="preserve">Frontiers in Microbiology</w:t>
      </w:r>
      <w:r>
        <w:t xml:space="preserve">,</w:t>
      </w:r>
      <w:r>
        <w:t xml:space="preserve"> </w:t>
      </w:r>
      <w:r>
        <w:rPr>
          <w:iCs/>
          <w:i/>
        </w:rPr>
        <w:t xml:space="preserve">7</w:t>
      </w:r>
      <w:r>
        <w:t xml:space="preserve">, 1399–1399.</w:t>
      </w:r>
      <w:r>
        <w:t xml:space="preserve"> </w:t>
      </w:r>
      <w:hyperlink r:id="rId113">
        <w:r>
          <w:rPr>
            <w:rStyle w:val="Hyperlink"/>
          </w:rPr>
          <w:t xml:space="preserve">https://doi.org/10.3389/fmicb.2016.01399</w:t>
        </w:r>
      </w:hyperlink>
    </w:p>
    <w:bookmarkEnd w:id="114"/>
    <w:bookmarkStart w:id="116" w:name="ref-tellezTraits2022"/>
    <w:p>
      <w:pPr>
        <w:pStyle w:val="Bibliography"/>
      </w:pPr>
      <w:r>
        <w:t xml:space="preserve">Tellez, P. H., Arnold, A. E., Leo, A. B., Kitajima, K., &amp; Van Bael, S. A. (2022). Traits along the leaf economics spectrum are associated with communities of foliar endophytic symbionts.</w:t>
      </w:r>
      <w:r>
        <w:t xml:space="preserve"> </w:t>
      </w:r>
      <w:r>
        <w:rPr>
          <w:iCs/>
          <w:i/>
        </w:rPr>
        <w:t xml:space="preserve">Frontiers in Microbiology</w:t>
      </w:r>
      <w:r>
        <w:t xml:space="preserve">,</w:t>
      </w:r>
      <w:r>
        <w:t xml:space="preserve"> </w:t>
      </w:r>
      <w:r>
        <w:rPr>
          <w:iCs/>
          <w:i/>
        </w:rPr>
        <w:t xml:space="preserve">13</w:t>
      </w:r>
      <w:r>
        <w:t xml:space="preserve">, 927780.</w:t>
      </w:r>
      <w:r>
        <w:t xml:space="preserve"> </w:t>
      </w:r>
      <w:hyperlink r:id="rId115">
        <w:r>
          <w:rPr>
            <w:rStyle w:val="Hyperlink"/>
          </w:rPr>
          <w:t xml:space="preserve">https://doi.org/lutzoni</w:t>
        </w:r>
      </w:hyperlink>
    </w:p>
    <w:bookmarkEnd w:id="116"/>
    <w:bookmarkStart w:id="118" w:name="ref-uren2017"/>
    <w:p>
      <w:pPr>
        <w:pStyle w:val="Bibliography"/>
      </w:pPr>
      <w:r>
        <w:t xml:space="preserve">U’Ren, J. M., &amp; Arnold, A. E. (2017). 96 well</w:t>
      </w:r>
      <w:r>
        <w:t xml:space="preserve"> </w:t>
      </w:r>
      <w:r>
        <w:t xml:space="preserve">DNA Extraction Protocol</w:t>
      </w:r>
      <w:r>
        <w:t xml:space="preserve"> </w:t>
      </w:r>
      <w:r>
        <w:t xml:space="preserve">for</w:t>
      </w:r>
      <w:r>
        <w:t xml:space="preserve"> </w:t>
      </w:r>
      <w:r>
        <w:t xml:space="preserve">Plant</w:t>
      </w:r>
      <w:r>
        <w:t xml:space="preserve"> </w:t>
      </w:r>
      <w:r>
        <w:t xml:space="preserve">and</w:t>
      </w:r>
      <w:r>
        <w:t xml:space="preserve"> </w:t>
      </w:r>
      <w:r>
        <w:t xml:space="preserve">Lichen Tissue Stored</w:t>
      </w:r>
      <w:r>
        <w:t xml:space="preserve"> </w:t>
      </w:r>
      <w:r>
        <w:t xml:space="preserve">in</w:t>
      </w:r>
      <w:r>
        <w:t xml:space="preserve"> </w:t>
      </w:r>
      <w:r>
        <w:t xml:space="preserve">CTAB</w:t>
      </w:r>
      <w:r>
        <w:t xml:space="preserve">.</w:t>
      </w:r>
      <w:r>
        <w:t xml:space="preserve"> </w:t>
      </w:r>
      <w:r>
        <w:rPr>
          <w:iCs/>
          <w:i/>
        </w:rPr>
        <w:t xml:space="preserve">Protocols.io</w:t>
      </w:r>
      <w:r>
        <w:t xml:space="preserve">, 1–5.</w:t>
      </w:r>
      <w:r>
        <w:t xml:space="preserve"> </w:t>
      </w:r>
      <w:hyperlink r:id="rId117">
        <w:r>
          <w:rPr>
            <w:rStyle w:val="Hyperlink"/>
          </w:rPr>
          <w:t xml:space="preserve">https://doi.org/dx.doi.org/10.17504/protocols.io.fscbnaw</w:t>
        </w:r>
      </w:hyperlink>
    </w:p>
    <w:bookmarkEnd w:id="118"/>
    <w:bookmarkStart w:id="119" w:name="ref-inbook"/>
    <w:p>
      <w:pPr>
        <w:pStyle w:val="Bibliography"/>
      </w:pPr>
      <w:r>
        <w:t xml:space="preserve">White, Bruns, Tom, Lee, S., &amp; Taylor, J. (1990).</w:t>
      </w:r>
      <w:r>
        <w:t xml:space="preserve"> </w:t>
      </w:r>
      <w:r>
        <w:rPr>
          <w:iCs/>
          <w:i/>
        </w:rPr>
        <w:t xml:space="preserve">White,</w:t>
      </w:r>
      <w:r>
        <w:rPr>
          <w:iCs/>
          <w:i/>
        </w:rPr>
        <w:t xml:space="preserve"> </w:t>
      </w:r>
      <w:r>
        <w:rPr>
          <w:iCs/>
          <w:i/>
        </w:rPr>
        <w:t xml:space="preserve">T</w:t>
      </w:r>
      <w:r>
        <w:rPr>
          <w:iCs/>
          <w:i/>
        </w:rPr>
        <w:t xml:space="preserve">.</w:t>
      </w:r>
      <w:r>
        <w:rPr>
          <w:iCs/>
          <w:i/>
        </w:rPr>
        <w:t xml:space="preserve"> </w:t>
      </w:r>
      <w:r>
        <w:rPr>
          <w:iCs/>
          <w:i/>
        </w:rPr>
        <w:t xml:space="preserve">J</w:t>
      </w:r>
      <w:r>
        <w:rPr>
          <w:iCs/>
          <w:i/>
        </w:rPr>
        <w:t xml:space="preserve">.,</w:t>
      </w:r>
      <w:r>
        <w:rPr>
          <w:iCs/>
          <w:i/>
        </w:rPr>
        <w:t xml:space="preserve"> </w:t>
      </w:r>
      <w:r>
        <w:rPr>
          <w:iCs/>
          <w:i/>
        </w:rPr>
        <w:t xml:space="preserve">T</w:t>
      </w:r>
      <w:r>
        <w:rPr>
          <w:iCs/>
          <w:i/>
        </w:rPr>
        <w:t xml:space="preserve">.</w:t>
      </w:r>
      <w:r>
        <w:rPr>
          <w:iCs/>
          <w:i/>
        </w:rPr>
        <w:t xml:space="preserve"> </w:t>
      </w:r>
      <w:r>
        <w:rPr>
          <w:iCs/>
          <w:i/>
        </w:rPr>
        <w:t xml:space="preserve">D</w:t>
      </w:r>
      <w:r>
        <w:rPr>
          <w:iCs/>
          <w:i/>
        </w:rPr>
        <w:t xml:space="preserve">.</w:t>
      </w:r>
      <w:r>
        <w:rPr>
          <w:iCs/>
          <w:i/>
        </w:rPr>
        <w:t xml:space="preserve"> </w:t>
      </w:r>
      <w:r>
        <w:rPr>
          <w:iCs/>
          <w:i/>
        </w:rPr>
        <w:t xml:space="preserve">Bruns</w:t>
      </w:r>
      <w:r>
        <w:rPr>
          <w:iCs/>
          <w:i/>
        </w:rPr>
        <w:t xml:space="preserve">,</w:t>
      </w:r>
      <w:r>
        <w:rPr>
          <w:iCs/>
          <w:i/>
        </w:rPr>
        <w:t xml:space="preserve"> </w:t>
      </w:r>
      <w:r>
        <w:rPr>
          <w:iCs/>
          <w:i/>
        </w:rPr>
        <w:t xml:space="preserve">S</w:t>
      </w:r>
      <w:r>
        <w:rPr>
          <w:iCs/>
          <w:i/>
        </w:rPr>
        <w:t xml:space="preserve">.</w:t>
      </w:r>
      <w:r>
        <w:rPr>
          <w:iCs/>
          <w:i/>
        </w:rPr>
        <w:t xml:space="preserve"> </w:t>
      </w:r>
      <w:r>
        <w:rPr>
          <w:iCs/>
          <w:i/>
        </w:rPr>
        <w:t xml:space="preserve">B</w:t>
      </w:r>
      <w:r>
        <w:rPr>
          <w:iCs/>
          <w:i/>
        </w:rPr>
        <w:t xml:space="preserve">.</w:t>
      </w:r>
      <w:r>
        <w:rPr>
          <w:iCs/>
          <w:i/>
        </w:rPr>
        <w:t xml:space="preserve"> </w:t>
      </w:r>
      <w:r>
        <w:rPr>
          <w:iCs/>
          <w:i/>
        </w:rPr>
        <w:t xml:space="preserve">Lee</w:t>
      </w:r>
      <w:r>
        <w:rPr>
          <w:iCs/>
          <w:i/>
        </w:rPr>
        <w:t xml:space="preserve">, and</w:t>
      </w:r>
      <w:r>
        <w:rPr>
          <w:iCs/>
          <w:i/>
        </w:rPr>
        <w:t xml:space="preserve"> </w:t>
      </w:r>
      <w:r>
        <w:rPr>
          <w:iCs/>
          <w:i/>
        </w:rPr>
        <w:t xml:space="preserve">J</w:t>
      </w:r>
      <w:r>
        <w:rPr>
          <w:iCs/>
          <w:i/>
        </w:rPr>
        <w:t xml:space="preserve">.</w:t>
      </w:r>
      <w:r>
        <w:rPr>
          <w:iCs/>
          <w:i/>
        </w:rPr>
        <w:t xml:space="preserve"> </w:t>
      </w:r>
      <w:r>
        <w:rPr>
          <w:iCs/>
          <w:i/>
        </w:rPr>
        <w:t xml:space="preserve">W</w:t>
      </w:r>
      <w:r>
        <w:rPr>
          <w:iCs/>
          <w:i/>
        </w:rPr>
        <w:t xml:space="preserve">.</w:t>
      </w:r>
      <w:r>
        <w:rPr>
          <w:iCs/>
          <w:i/>
        </w:rPr>
        <w:t xml:space="preserve"> </w:t>
      </w:r>
      <w:r>
        <w:rPr>
          <w:iCs/>
          <w:i/>
        </w:rPr>
        <w:t xml:space="preserve">Taylor</w:t>
      </w:r>
      <w:r>
        <w:rPr>
          <w:iCs/>
          <w:i/>
        </w:rPr>
        <w:t xml:space="preserve">.</w:t>
      </w:r>
      <w:r>
        <w:rPr>
          <w:iCs/>
          <w:i/>
        </w:rPr>
        <w:t xml:space="preserve"> </w:t>
      </w:r>
      <w:r>
        <w:rPr>
          <w:iCs/>
          <w:i/>
        </w:rPr>
        <w:t xml:space="preserve">Amplification</w:t>
      </w:r>
      <w:r>
        <w:rPr>
          <w:iCs/>
          <w:i/>
        </w:rPr>
        <w:t xml:space="preserve"> </w:t>
      </w:r>
      <w:r>
        <w:rPr>
          <w:iCs/>
          <w:i/>
        </w:rPr>
        <w:t xml:space="preserve">and direct sequencing of fungal ribosomal</w:t>
      </w:r>
      <w:r>
        <w:rPr>
          <w:iCs/>
          <w:i/>
        </w:rPr>
        <w:t xml:space="preserve"> </w:t>
      </w:r>
      <w:r>
        <w:rPr>
          <w:iCs/>
          <w:i/>
        </w:rPr>
        <w:t xml:space="preserve">RNA</w:t>
      </w:r>
      <w:r>
        <w:rPr>
          <w:iCs/>
          <w:i/>
        </w:rPr>
        <w:t xml:space="preserve"> </w:t>
      </w:r>
      <w:r>
        <w:rPr>
          <w:iCs/>
          <w:i/>
        </w:rPr>
        <w:t xml:space="preserve">genes for phylogenetics</w:t>
      </w:r>
      <w:r>
        <w:t xml:space="preserve"> </w:t>
      </w:r>
      <w:r>
        <w:t xml:space="preserve">(pp. 315–322).</w:t>
      </w:r>
    </w:p>
    <w:bookmarkEnd w:id="119"/>
    <w:bookmarkStart w:id="121" w:name="ref-wu2008"/>
    <w:p>
      <w:pPr>
        <w:pStyle w:val="Bibliography"/>
      </w:pPr>
      <w:r>
        <w:t xml:space="preserve">Wu, C. A., Lowry, D. B., Cooley, A. M., Wright, K. M., Lee, Y. W., &amp; Willis, J. H. (2008). Mimulus is an emerging model system for the integration of ecological and genomic studies.</w:t>
      </w:r>
      <w:r>
        <w:t xml:space="preserve"> </w:t>
      </w:r>
      <w:r>
        <w:rPr>
          <w:iCs/>
          <w:i/>
        </w:rPr>
        <w:t xml:space="preserve">Heredity</w:t>
      </w:r>
      <w:r>
        <w:t xml:space="preserve">,</w:t>
      </w:r>
      <w:r>
        <w:t xml:space="preserve"> </w:t>
      </w:r>
      <w:r>
        <w:rPr>
          <w:iCs/>
          <w:i/>
        </w:rPr>
        <w:t xml:space="preserve">100</w:t>
      </w:r>
      <w:r>
        <w:t xml:space="preserve">(2), 220–230.</w:t>
      </w:r>
      <w:r>
        <w:t xml:space="preserve"> </w:t>
      </w:r>
      <w:hyperlink r:id="rId120">
        <w:r>
          <w:rPr>
            <w:rStyle w:val="Hyperlink"/>
          </w:rPr>
          <w:t xml:space="preserve">https://doi.org/10.1038/sj.hdy.6801018</w:t>
        </w:r>
      </w:hyperlink>
    </w:p>
    <w:bookmarkEnd w:id="121"/>
    <w:bookmarkStart w:id="123" w:name="ref-yuan2019"/>
    <w:p>
      <w:pPr>
        <w:pStyle w:val="Bibliography"/>
      </w:pPr>
      <w:r>
        <w:t xml:space="preserve">Yuan, Y. W. (2019). Monkeyflowers (</w:t>
      </w:r>
      <w:r>
        <w:t xml:space="preserve">Mimulus</w:t>
      </w:r>
      <w:r>
        <w:t xml:space="preserve">): New model for plant developmental genetics and evo-devo.</w:t>
      </w:r>
      <w:r>
        <w:t xml:space="preserve"> </w:t>
      </w:r>
      <w:r>
        <w:rPr>
          <w:iCs/>
          <w:i/>
        </w:rPr>
        <w:t xml:space="preserve">New Phytologist</w:t>
      </w:r>
      <w:r>
        <w:t xml:space="preserve">,</w:t>
      </w:r>
      <w:r>
        <w:t xml:space="preserve"> </w:t>
      </w:r>
      <w:r>
        <w:rPr>
          <w:iCs/>
          <w:i/>
        </w:rPr>
        <w:t xml:space="preserve">222</w:t>
      </w:r>
      <w:r>
        <w:t xml:space="preserve">(2), 694–700.</w:t>
      </w:r>
      <w:r>
        <w:t xml:space="preserve"> </w:t>
      </w:r>
      <w:hyperlink r:id="rId122">
        <w:r>
          <w:rPr>
            <w:rStyle w:val="Hyperlink"/>
          </w:rPr>
          <w:t xml:space="preserve">https://doi.org/10.1111/nph.15560</w:t>
        </w:r>
      </w:hyperlink>
    </w:p>
    <w:bookmarkEnd w:id="123"/>
    <w:bookmarkEnd w:id="124"/>
    <w:bookmarkEnd w:id="125"/>
    <w:bookmarkStart w:id="154" w:name="figures"/>
    <w:p>
      <w:pPr>
        <w:pStyle w:val="Heading1"/>
      </w:pPr>
      <w:r>
        <w:t xml:space="preserve">12. Figures</w:t>
      </w:r>
    </w:p>
    <w:bookmarkStart w:id="129" w:name="figure-1"/>
    <w:p>
      <w:pPr>
        <w:pStyle w:val="Heading2"/>
      </w:pPr>
      <w:r>
        <w:t xml:space="preserve">12.1 Figure 1</w:t>
      </w:r>
    </w:p>
    <w:p>
      <w:pPr>
        <w:pStyle w:val="CaptionedFigure"/>
      </w:pPr>
      <w:r>
        <w:drawing>
          <wp:inline>
            <wp:extent cx="5544151" cy="5544151"/>
            <wp:effectExtent b="0" l="0" r="0" t="0"/>
            <wp:docPr descr="PCA of leaf traits by species." title="" id="127" name="Picture"/>
            <a:graphic>
              <a:graphicData uri="http://schemas.openxmlformats.org/drawingml/2006/picture">
                <pic:pic>
                  <pic:nvPicPr>
                    <pic:cNvPr descr="Aponte_Bolivar_mim2_manuscript_files/figure-docx/figure1-1.png" id="128" name="Picture"/>
                    <pic:cNvPicPr>
                      <a:picLocks noChangeArrowheads="1" noChangeAspect="1"/>
                    </pic:cNvPicPr>
                  </pic:nvPicPr>
                  <pic:blipFill>
                    <a:blip r:embed="rId126"/>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PCA of leaf traits by species.</w:t>
      </w:r>
    </w:p>
    <w:bookmarkEnd w:id="129"/>
    <w:bookmarkStart w:id="133" w:name="figure-2"/>
    <w:p>
      <w:pPr>
        <w:pStyle w:val="Heading2"/>
      </w:pPr>
      <w:r>
        <w:t xml:space="preserve">12.2 Figure 2</w:t>
      </w:r>
    </w:p>
    <w:p>
      <w:pPr>
        <w:pStyle w:val="CaptionedFigure"/>
      </w:pPr>
      <w:r>
        <w:drawing>
          <wp:inline>
            <wp:extent cx="5544151" cy="5544151"/>
            <wp:effectExtent b="0" l="0" r="0" t="0"/>
            <wp:docPr descr="Scatter plots of Shannon Diversity Index by elevation category." title="" id="131" name="Picture"/>
            <a:graphic>
              <a:graphicData uri="http://schemas.openxmlformats.org/drawingml/2006/picture">
                <pic:pic>
                  <pic:nvPicPr>
                    <pic:cNvPr descr="Aponte_Bolivar_mim2_manuscript_files/figure-docx/figure2-1.png" id="132" name="Picture"/>
                    <pic:cNvPicPr>
                      <a:picLocks noChangeArrowheads="1" noChangeAspect="1"/>
                    </pic:cNvPicPr>
                  </pic:nvPicPr>
                  <pic:blipFill>
                    <a:blip r:embed="rId13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Scatter plots of Shannon Diversity Index by elevation category.</w:t>
      </w:r>
    </w:p>
    <w:bookmarkEnd w:id="133"/>
    <w:bookmarkStart w:id="137" w:name="figure-3"/>
    <w:p>
      <w:pPr>
        <w:pStyle w:val="Heading2"/>
      </w:pPr>
      <w:r>
        <w:t xml:space="preserve">12.3 Figure 3</w:t>
      </w:r>
    </w:p>
    <w:p>
      <w:pPr>
        <w:pStyle w:val="CaptionedFigure"/>
      </w:pPr>
      <w:r>
        <w:drawing>
          <wp:inline>
            <wp:extent cx="5544151" cy="5544151"/>
            <wp:effectExtent b="0" l="0" r="0" t="0"/>
            <wp:docPr descr="Scatter plot of Shannon diversity by elevation." title="" id="135" name="Picture"/>
            <a:graphic>
              <a:graphicData uri="http://schemas.openxmlformats.org/drawingml/2006/picture">
                <pic:pic>
                  <pic:nvPicPr>
                    <pic:cNvPr descr="Aponte_Bolivar_mim2_manuscript_files/figure-docx/figure3-1.png" id="136" name="Picture"/>
                    <pic:cNvPicPr>
                      <a:picLocks noChangeArrowheads="1" noChangeAspect="1"/>
                    </pic:cNvPicPr>
                  </pic:nvPicPr>
                  <pic:blipFill>
                    <a:blip r:embed="rId134"/>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Scatter plot of Shannon diversity by elevation.</w:t>
      </w:r>
    </w:p>
    <w:bookmarkEnd w:id="137"/>
    <w:bookmarkStart w:id="141" w:name="figure-4"/>
    <w:p>
      <w:pPr>
        <w:pStyle w:val="Heading2"/>
      </w:pPr>
      <w:r>
        <w:t xml:space="preserve">12.4 Figure 4</w:t>
      </w:r>
    </w:p>
    <w:p>
      <w:pPr>
        <w:pStyle w:val="CaptionedFigure"/>
      </w:pPr>
      <w:r>
        <w:drawing>
          <wp:inline>
            <wp:extent cx="5544151" cy="5544151"/>
            <wp:effectExtent b="0" l="0" r="0" t="0"/>
            <wp:docPr descr="Bar plot of relative abundance of fungal phyla by species and elevation category." title="" id="139" name="Picture"/>
            <a:graphic>
              <a:graphicData uri="http://schemas.openxmlformats.org/drawingml/2006/picture">
                <pic:pic>
                  <pic:nvPicPr>
                    <pic:cNvPr descr="Aponte_Bolivar_mim2_manuscript_files/figure-docx/figure4-1.png" id="140" name="Picture"/>
                    <pic:cNvPicPr>
                      <a:picLocks noChangeArrowheads="1" noChangeAspect="1"/>
                    </pic:cNvPicPr>
                  </pic:nvPicPr>
                  <pic:blipFill>
                    <a:blip r:embed="rId138"/>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Bar plot of relative abundance of fungal phyla by species and elevation category.</w:t>
      </w:r>
    </w:p>
    <w:bookmarkEnd w:id="141"/>
    <w:bookmarkStart w:id="145" w:name="figure-5"/>
    <w:p>
      <w:pPr>
        <w:pStyle w:val="Heading2"/>
      </w:pPr>
      <w:r>
        <w:t xml:space="preserve">12.5 Figure 5</w:t>
      </w:r>
    </w:p>
    <w:p>
      <w:pPr>
        <w:pStyle w:val="CaptionedFigure"/>
      </w:pPr>
      <w:r>
        <w:drawing>
          <wp:inline>
            <wp:extent cx="5544151" cy="5544151"/>
            <wp:effectExtent b="0" l="0" r="0" t="0"/>
            <wp:docPr descr="Violin plot of Shannon diversity by species." title="" id="143" name="Picture"/>
            <a:graphic>
              <a:graphicData uri="http://schemas.openxmlformats.org/drawingml/2006/picture">
                <pic:pic>
                  <pic:nvPicPr>
                    <pic:cNvPr descr="Aponte_Bolivar_mim2_manuscript_files/figure-docx/figure5-1.png" id="144" name="Picture"/>
                    <pic:cNvPicPr>
                      <a:picLocks noChangeArrowheads="1" noChangeAspect="1"/>
                    </pic:cNvPicPr>
                  </pic:nvPicPr>
                  <pic:blipFill>
                    <a:blip r:embed="rId142"/>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Violin plot of Shannon diversity by species.</w:t>
      </w:r>
    </w:p>
    <w:bookmarkEnd w:id="145"/>
    <w:bookmarkStart w:id="149" w:name="figure-6"/>
    <w:p>
      <w:pPr>
        <w:pStyle w:val="Heading2"/>
      </w:pPr>
      <w:r>
        <w:t xml:space="preserve">12.6 Figure 6</w:t>
      </w:r>
    </w:p>
    <w:p>
      <w:pPr>
        <w:pStyle w:val="CaptionedFigure"/>
      </w:pPr>
      <w:r>
        <w:drawing>
          <wp:inline>
            <wp:extent cx="5544151" cy="5544151"/>
            <wp:effectExtent b="0" l="0" r="0" t="0"/>
            <wp:docPr descr="FEF community composition association with leaf functional traits, especially log(LBI) and Elevation, per host species. Distance-based Redundancy Analysis (dbRDA) plot of leaf functional traits by species. Each point represents a FEF community sample from one host species; colors represent host species" title="" id="147" name="Picture"/>
            <a:graphic>
              <a:graphicData uri="http://schemas.openxmlformats.org/drawingml/2006/picture">
                <pic:pic>
                  <pic:nvPicPr>
                    <pic:cNvPr descr="Aponte_Bolivar_mim2_manuscript_files/figure-docx/figure6-1.png" id="148" name="Picture"/>
                    <pic:cNvPicPr>
                      <a:picLocks noChangeArrowheads="1" noChangeAspect="1"/>
                    </pic:cNvPicPr>
                  </pic:nvPicPr>
                  <pic:blipFill>
                    <a:blip r:embed="rId146"/>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FEF community composition association with leaf functional traits, especially log(LBI) and Elevation, per host species. Distance-based Redundancy Analysis (dbRDA) plot of leaf functional traits by species. Each point represents a FEF community sample from one host species; colors represent host species</w:t>
      </w:r>
    </w:p>
    <w:bookmarkEnd w:id="149"/>
    <w:bookmarkStart w:id="153" w:name="figure-7"/>
    <w:p>
      <w:pPr>
        <w:pStyle w:val="Heading2"/>
      </w:pPr>
      <w:r>
        <w:t xml:space="preserve">12.7 Figure 7</w:t>
      </w:r>
    </w:p>
    <w:p>
      <w:pPr>
        <w:pStyle w:val="FirstParagraph"/>
      </w:pPr>
      <w:r>
        <w:drawing>
          <wp:inline>
            <wp:extent cx="5544151" cy="5544151"/>
            <wp:effectExtent b="0" l="0" r="0" t="0"/>
            <wp:docPr descr="" title="" id="151" name="Picture"/>
            <a:graphic>
              <a:graphicData uri="http://schemas.openxmlformats.org/drawingml/2006/picture">
                <pic:pic>
                  <pic:nvPicPr>
                    <pic:cNvPr descr="Aponte_Bolivar_mim2_manuscript_files/figure-docx/figure7-1.png" id="152" name="Picture"/>
                    <pic:cNvPicPr>
                      <a:picLocks noChangeArrowheads="1" noChangeAspect="1"/>
                    </pic:cNvPicPr>
                  </pic:nvPicPr>
                  <pic:blipFill>
                    <a:blip r:embed="rId150"/>
                    <a:stretch>
                      <a:fillRect/>
                    </a:stretch>
                  </pic:blipFill>
                  <pic:spPr bwMode="auto">
                    <a:xfrm>
                      <a:off x="0" y="0"/>
                      <a:ext cx="5544151" cy="5544151"/>
                    </a:xfrm>
                    <a:prstGeom prst="rect">
                      <a:avLst/>
                    </a:prstGeom>
                    <a:noFill/>
                    <a:ln w="9525">
                      <a:noFill/>
                      <a:headEnd/>
                      <a:tailEnd/>
                    </a:ln>
                  </pic:spPr>
                </pic:pic>
              </a:graphicData>
            </a:graphic>
          </wp:inline>
        </w:drawing>
      </w:r>
    </w:p>
    <w:bookmarkEnd w:id="153"/>
    <w:bookmarkEnd w:id="154"/>
    <w:bookmarkStart w:id="158" w:name="figure-8"/>
    <w:p>
      <w:pPr>
        <w:pStyle w:val="Heading1"/>
      </w:pPr>
      <w:r>
        <w:t xml:space="preserve">13. Figure 8</w:t>
      </w:r>
    </w:p>
    <w:p>
      <w:pPr>
        <w:pStyle w:val="CaptionedFigure"/>
      </w:pPr>
      <w:r>
        <w:drawing>
          <wp:inline>
            <wp:extent cx="5544151" cy="5544151"/>
            <wp:effectExtent b="0" l="0" r="0" t="0"/>
            <wp:docPr descr="Scatter plot of Bray-Curtis dissimilarity by geographic distance." title="" id="156" name="Picture"/>
            <a:graphic>
              <a:graphicData uri="http://schemas.openxmlformats.org/drawingml/2006/picture">
                <pic:pic>
                  <pic:nvPicPr>
                    <pic:cNvPr descr="Aponte_Bolivar_mim2_manuscript_files/figure-docx/figure8-1.png" id="157" name="Picture"/>
                    <pic:cNvPicPr>
                      <a:picLocks noChangeArrowheads="1" noChangeAspect="1"/>
                    </pic:cNvPicPr>
                  </pic:nvPicPr>
                  <pic:blipFill>
                    <a:blip r:embed="rId155"/>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Scatter plot of Bray-Curtis dissimilarity by geographic distance.</w:t>
      </w:r>
    </w:p>
    <w:bookmarkEnd w:id="158"/>
    <w:bookmarkStart w:id="163" w:name="supplementary-material"/>
    <w:p>
      <w:pPr>
        <w:pStyle w:val="Heading1"/>
      </w:pPr>
      <w:r>
        <w:t xml:space="preserve">14. Supplementary Material</w:t>
      </w:r>
    </w:p>
    <w:bookmarkStart w:id="162" w:name="figure-s1"/>
    <w:p>
      <w:pPr>
        <w:pStyle w:val="Heading2"/>
      </w:pPr>
      <w:r>
        <w:t xml:space="preserve">14.1 Figure S1</w:t>
      </w:r>
    </w:p>
    <w:p>
      <w:pPr>
        <w:pStyle w:val="CaptionedFigure"/>
      </w:pPr>
      <w:r>
        <w:drawing>
          <wp:inline>
            <wp:extent cx="5544151" cy="5544151"/>
            <wp:effectExtent b="0" l="0" r="0" t="0"/>
            <wp:docPr descr="Violin plots of leaf mass per area (LMA) by species and elevation category." title="" id="160" name="Picture"/>
            <a:graphic>
              <a:graphicData uri="http://schemas.openxmlformats.org/drawingml/2006/picture">
                <pic:pic>
                  <pic:nvPicPr>
                    <pic:cNvPr descr="Aponte_Bolivar_mim2_manuscript_files/figure-docx/supp_figS1-1.png" id="161" name="Picture"/>
                    <pic:cNvPicPr>
                      <a:picLocks noChangeArrowheads="1" noChangeAspect="1"/>
                    </pic:cNvPicPr>
                  </pic:nvPicPr>
                  <pic:blipFill>
                    <a:blip r:embed="rId159"/>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Violin plots of leaf mass per area (LMA) by species and elevation category.</w:t>
      </w:r>
    </w:p>
    <w:bookmarkEnd w:id="162"/>
    <w:bookmarkEnd w:id="163"/>
    <w:bookmarkStart w:id="179" w:name="figure-s2"/>
    <w:p>
      <w:pPr>
        <w:pStyle w:val="Heading1"/>
      </w:pPr>
      <w:r>
        <w:t xml:space="preserve">15. Figure S2</w:t>
      </w:r>
    </w:p>
    <w:p>
      <w:pPr>
        <w:pStyle w:val="CaptionedFigure"/>
      </w:pPr>
      <w:r>
        <w:drawing>
          <wp:inline>
            <wp:extent cx="5544151" cy="5544151"/>
            <wp:effectExtent b="0" l="0" r="0" t="0"/>
            <wp:docPr descr="Violin plots of Anthocyanin Content Index (ACI) by species and elevation category." title="" id="165" name="Picture"/>
            <a:graphic>
              <a:graphicData uri="http://schemas.openxmlformats.org/drawingml/2006/picture">
                <pic:pic>
                  <pic:nvPicPr>
                    <pic:cNvPr descr="Aponte_Bolivar_mim2_manuscript_files/figure-docx/supp_figS2-1.png" id="166" name="Picture"/>
                    <pic:cNvPicPr>
                      <a:picLocks noChangeArrowheads="1" noChangeAspect="1"/>
                    </pic:cNvPicPr>
                  </pic:nvPicPr>
                  <pic:blipFill>
                    <a:blip r:embed="rId164"/>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Violin plots of Anthocyanin Content Index (ACI) by species and elevation category.</w:t>
      </w:r>
    </w:p>
    <w:bookmarkStart w:id="170" w:name="figure-s3"/>
    <w:p>
      <w:pPr>
        <w:pStyle w:val="Heading2"/>
      </w:pPr>
      <w:r>
        <w:t xml:space="preserve">15.1 Figure S3</w:t>
      </w:r>
    </w:p>
    <w:p>
      <w:pPr>
        <w:pStyle w:val="CaptionedFigure"/>
      </w:pPr>
      <w:r>
        <w:drawing>
          <wp:inline>
            <wp:extent cx="5544151" cy="5544151"/>
            <wp:effectExtent b="0" l="0" r="0" t="0"/>
            <wp:docPr descr="Violin plots of Leaf Lobe Index (LBI) by species and elevation category." title="" id="168" name="Picture"/>
            <a:graphic>
              <a:graphicData uri="http://schemas.openxmlformats.org/drawingml/2006/picture">
                <pic:pic>
                  <pic:nvPicPr>
                    <pic:cNvPr descr="Aponte_Bolivar_mim2_manuscript_files/figure-docx/supp_figS3-1.png" id="169" name="Picture"/>
                    <pic:cNvPicPr>
                      <a:picLocks noChangeArrowheads="1" noChangeAspect="1"/>
                    </pic:cNvPicPr>
                  </pic:nvPicPr>
                  <pic:blipFill>
                    <a:blip r:embed="rId167"/>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Violin plots of Leaf Lobe Index (LBI) by species and elevation category.</w:t>
      </w:r>
    </w:p>
    <w:bookmarkEnd w:id="170"/>
    <w:bookmarkStart w:id="174" w:name="figure-s4"/>
    <w:p>
      <w:pPr>
        <w:pStyle w:val="Heading2"/>
      </w:pPr>
      <w:r>
        <w:t xml:space="preserve">15.2 Figure S4</w:t>
      </w:r>
    </w:p>
    <w:p>
      <w:pPr>
        <w:pStyle w:val="CaptionedFigure"/>
      </w:pPr>
      <w:r>
        <w:drawing>
          <wp:inline>
            <wp:extent cx="5544151" cy="5544151"/>
            <wp:effectExtent b="0" l="0" r="0" t="0"/>
            <wp:docPr descr="Violin plots of leaf toughness by species and elevation category." title="" id="172" name="Picture"/>
            <a:graphic>
              <a:graphicData uri="http://schemas.openxmlformats.org/drawingml/2006/picture">
                <pic:pic>
                  <pic:nvPicPr>
                    <pic:cNvPr descr="Aponte_Bolivar_mim2_manuscript_files/figure-docx/supp_figS4-1.png" id="173" name="Picture"/>
                    <pic:cNvPicPr>
                      <a:picLocks noChangeArrowheads="1" noChangeAspect="1"/>
                    </pic:cNvPicPr>
                  </pic:nvPicPr>
                  <pic:blipFill>
                    <a:blip r:embed="rId171"/>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Violin plots of leaf toughness by species and elevation category.</w:t>
      </w:r>
    </w:p>
    <w:bookmarkEnd w:id="174"/>
    <w:bookmarkStart w:id="178" w:name="figure-s5"/>
    <w:p>
      <w:pPr>
        <w:pStyle w:val="Heading2"/>
      </w:pPr>
      <w:r>
        <w:t xml:space="preserve">15.3 Figure S5</w:t>
      </w:r>
    </w:p>
    <w:p>
      <w:pPr>
        <w:pStyle w:val="CaptionedFigure"/>
      </w:pPr>
      <w:r>
        <w:drawing>
          <wp:inline>
            <wp:extent cx="5544151" cy="5544151"/>
            <wp:effectExtent b="0" l="0" r="0" t="0"/>
            <wp:docPr descr="Violin plots of leaf thickness by species and elevation category." title="" id="176" name="Picture"/>
            <a:graphic>
              <a:graphicData uri="http://schemas.openxmlformats.org/drawingml/2006/picture">
                <pic:pic>
                  <pic:nvPicPr>
                    <pic:cNvPr descr="Aponte_Bolivar_mim2_manuscript_files/figure-docx/supp_figS5-1.png" id="177" name="Picture"/>
                    <pic:cNvPicPr>
                      <a:picLocks noChangeArrowheads="1" noChangeAspect="1"/>
                    </pic:cNvPicPr>
                  </pic:nvPicPr>
                  <pic:blipFill>
                    <a:blip r:embed="rId175"/>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Violin plots of leaf thickness by species and elevation category.</w:t>
      </w:r>
    </w:p>
    <w:bookmarkEnd w:id="178"/>
    <w:bookmarkEnd w:id="179"/>
    <w:sectPr>
      <w:footnotePr>
        <w:numFmt w:val="decimal"/>
      </w:footnote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TeX Gyre Termes">
    <w:charset w:val="01"/>
    <w:family w:val="roman"/>
    <w:pitch w:val="variable"/>
  </w:font>
  <w:font w:name="Consolas">
    <w:charset w:val="01"/>
    <w:family w:val="roman"/>
    <w:pitch w:val="variable"/>
  </w:font>
  <w:font w:name="Calibri">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TeX Gyre Termes" w:cs="" w:cstheme="minorBidi" w:eastAsia="Cambria" w:eastAsiaTheme="minorHAnsi" w:hAnsi="TeX Gyre Termes"/>
      <w:color w:val="auto"/>
      <w:kern w:val="0"/>
      <w:sz w:val="24"/>
      <w:szCs w:val="24"/>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TeX Gyre Termes" w:cs="" w:cstheme="majorBidi" w:eastAsia="" w:eastAsiaTheme="majorEastAsia" w:hAnsi="TeX Gyre Termes"/>
      <w:b/>
      <w:bCs/>
      <w:color w:val="000000"/>
      <w:sz w:val="32"/>
      <w:szCs w:val="32"/>
    </w:rPr>
  </w:style>
  <w:style w:styleId="Heading2" w:type="paragraph">
    <w:name w:val="Heading 2"/>
    <w:basedOn w:val="Normal"/>
    <w:next w:val="BodyText"/>
    <w:uiPriority w:val="9"/>
    <w:unhideWhenUsed/>
    <w:qFormat/>
    <w:pPr>
      <w:keepNext w:val="true"/>
      <w:keepLines/>
      <w:spacing w:after="0" w:before="200"/>
      <w:outlineLvl w:val="1"/>
    </w:pPr>
    <w:rPr>
      <w:rFonts w:ascii="TeX Gyre Termes" w:cs="" w:cstheme="majorBidi" w:eastAsia="" w:eastAsiaTheme="majorEastAsia" w:hAnsi="TeX Gyre Termes"/>
      <w:b/>
      <w:bCs/>
      <w:color w:val="000000"/>
      <w:sz w:val="28"/>
      <w:szCs w:val="28"/>
    </w:rPr>
  </w:style>
  <w:style w:styleId="Heading3" w:type="paragraph">
    <w:name w:val="Heading 3"/>
    <w:basedOn w:val="Normal"/>
    <w:next w:val="BodyText"/>
    <w:uiPriority w:val="9"/>
    <w:unhideWhenUsed/>
    <w:qFormat/>
    <w:pPr>
      <w:keepNext w:val="true"/>
      <w:keepLines/>
      <w:spacing w:after="0" w:before="200"/>
      <w:outlineLvl w:val="2"/>
    </w:pPr>
    <w:rPr>
      <w:rFonts w:ascii="TeX Gyre Termes" w:cs="" w:cstheme="majorBidi" w:eastAsia="" w:eastAsiaTheme="majorEastAsia" w:hAnsi="TeX Gyre Termes"/>
      <w:b/>
      <w:bCs/>
      <w:color w:val="000000"/>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TeX Gyre Termes" w:cs="" w:cstheme="majorBidi" w:eastAsia="" w:eastAsiaTheme="majorEastAsia" w:hAnsi="TeX Gyre Termes"/>
      <w:bCs/>
      <w:i/>
      <w:color w:val="000000"/>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TeX Gyre Termes" w:cs="" w:cstheme="majorBidi" w:eastAsia="" w:eastAsiaTheme="majorEastAsia" w:hAnsi="TeX Gyre Termes"/>
      <w:iCs/>
      <w:color w:val="000000"/>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TeX Gyre Termes" w:cs="" w:cstheme="majorBidi" w:eastAsia="" w:eastAsiaTheme="majorEastAsia" w:hAnsi="TeX Gyre Termes"/>
      <w:color w:val="auto"/>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TeX Gyre Termes" w:cs="" w:cstheme="majorBidi" w:eastAsia="" w:eastAsiaTheme="majorEastAsia" w:hAnsi="TeX Gyre Termes"/>
      <w:color w:val="auto"/>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TeX Gyre Termes" w:cs="" w:cstheme="majorBidi" w:eastAsia="" w:eastAsiaTheme="majorEastAsia" w:hAnsi="TeX Gyre Termes"/>
      <w:color w:val="auto"/>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TeX Gyre Termes" w:cs="" w:cstheme="majorBidi" w:eastAsia="" w:eastAsiaTheme="majorEastAsia" w:hAnsi="TeX Gyre Termes"/>
      <w:color w:val="auto"/>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style>
  <w:style w:styleId="Heading" w:type="paragraph">
    <w:name w:val="Heading"/>
    <w:basedOn w:val="Normal"/>
    <w:next w:val="BodyText"/>
    <w:qFormat/>
    <w:pPr>
      <w:keepNext w:val="true"/>
      <w:spacing w:after="120" w:before="240"/>
    </w:pPr>
    <w:rPr>
      <w:rFonts w:ascii="TeX Gyre Termes" w:cs="Lucida Sans" w:eastAsia="Microsoft YaHei" w:hAnsi="TeX Gyre Termes"/>
      <w:sz w:val="28"/>
      <w:szCs w:val="28"/>
    </w:rPr>
  </w:style>
  <w:style w:styleId="BodyText" w:type="paragraph">
    <w:name w:val="Body Text"/>
    <w:basedOn w:val="Normal"/>
    <w:link w:val="BodyTextChar"/>
    <w:qFormat/>
    <w:pPr>
      <w:spacing w:after="180" w:before="180" w:line="480" w:lineRule="auto"/>
    </w:pPr>
    <w:rPr>
      <w:rFonts w:ascii="TeX Gyre Termes" w:hAnsi="TeX Gyre Termes"/>
    </w:rPr>
  </w:style>
  <w:style w:styleId="List" w:type="paragraph">
    <w:name w:val="List"/>
    <w:basedOn w:val="BodyText"/>
    <w:pPr/>
    <w:rPr>
      <w:rFonts w:cs="Lucida Sans"/>
    </w:rPr>
  </w:style>
  <w:style w:styleId="Caption" w:type="paragraph">
    <w:name w:val="Caption"/>
    <w:basedOn w:val="Normal"/>
    <w:link w:val="BodyTextChar"/>
    <w:qFormat/>
    <w:pPr>
      <w:spacing w:after="120" w:before="0"/>
    </w:pPr>
    <w:rPr>
      <w:rFonts w:ascii="TeX Gyre Termes" w:hAnsi="TeX Gyre Termes"/>
      <w:i w:val="false"/>
    </w:rPr>
  </w:style>
  <w:style w:styleId="Index" w:type="paragraph">
    <w:name w:val="Index"/>
    <w:basedOn w:val="Normal"/>
    <w:qFormat/>
    <w:pPr>
      <w:suppressLineNumbers/>
    </w:pPr>
    <w:rPr>
      <w:rFonts w:cs="Lucida Sans"/>
    </w:rPr>
  </w:style>
  <w:style w:customStyle="1" w:styleId="FirstParagraph" w:type="paragraph">
    <w:name w:val="First Paragraph"/>
    <w:basedOn w:val="BodyText"/>
    <w:next w:val="BodyText"/>
    <w:qFormat/>
    <w:pPr>
      <w:spacing w:line="480" w:lineRule="auto"/>
    </w:pPr>
    <w:rPr>
      <w:rFonts w:ascii="TeX Gyre Termes" w:hAnsi="TeX Gyre Termes"/>
    </w:rPr>
  </w:style>
  <w:style w:customStyle="1" w:styleId="Compact" w:type="paragraph">
    <w:name w:val="Compact"/>
    <w:basedOn w:val="BodyText"/>
    <w:qFormat/>
    <w:pPr>
      <w:spacing w:after="36" w:before="36"/>
    </w:pPr>
    <w:rPr/>
  </w:style>
  <w:style w:styleId="Title" w:type="paragraph">
    <w:name w:val="Title"/>
    <w:basedOn w:val="Normal"/>
    <w:next w:val="BodyText"/>
    <w:qFormat/>
    <w:pPr>
      <w:keepNext w:val="true"/>
      <w:keepLines/>
      <w:spacing w:after="240" w:before="480"/>
      <w:jc w:val="left"/>
    </w:pPr>
    <w:rPr>
      <w:rFonts w:ascii="TeX Gyre Termes" w:cs="" w:cstheme="majorBidi" w:eastAsia="" w:eastAsiaTheme="majorEastAsia" w:hAnsi="TeX Gyre Termes"/>
      <w:b/>
      <w:bCs/>
      <w:color w:val="000000"/>
      <w:sz w:val="36"/>
      <w:szCs w:val="36"/>
    </w:rPr>
  </w:style>
  <w:style w:styleId="Subtitle" w:type="paragraph">
    <w:name w:val="Subtitle"/>
    <w:basedOn w:val="Title"/>
    <w:next w:val="BodyText"/>
    <w:qFormat/>
    <w:pPr>
      <w:keepNext w:val="true"/>
      <w:keepLines/>
      <w:spacing w:after="240" w:before="240"/>
      <w:jc w:val="left"/>
    </w:pPr>
    <w:rPr>
      <w:sz w:val="30"/>
      <w:szCs w:val="30"/>
    </w:rPr>
  </w:style>
  <w:style w:customStyle="1" w:styleId="Author" w:type="paragraph">
    <w:name w:val="Author"/>
    <w:next w:val="BodyText"/>
    <w:qFormat/>
    <w:pPr>
      <w:keepNext w:val="true"/>
      <w:keepLines/>
      <w:widowControl/>
      <w:suppressAutoHyphens w:val="true"/>
      <w:bidi w:val="0"/>
      <w:spacing w:after="200" w:before="0"/>
      <w:jc w:val="left"/>
    </w:pPr>
    <w:rPr>
      <w:rFonts w:ascii="TeX Gyre Termes" w:cs="" w:cstheme="minorBidi" w:eastAsia="Cambria" w:eastAsiaTheme="minorHAnsi" w:hAnsi="TeX Gyre Termes"/>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left"/>
    </w:pPr>
    <w:rPr>
      <w:rFonts w:ascii="TeX Gyre Termes" w:cs="" w:cstheme="minorBidi" w:eastAsia="Cambria" w:eastAsiaTheme="minorHAnsi" w:hAnsi="TeX Gyre Termes"/>
      <w:color w:val="auto"/>
      <w:kern w:val="0"/>
      <w:sz w:val="24"/>
      <w:szCs w:val="24"/>
      <w:lang w:bidi="ar-SA" w:eastAsia="en-US" w:val="en-US"/>
    </w:rPr>
  </w:style>
  <w:style w:customStyle="1" w:styleId="Abstract" w:type="paragraph">
    <w:name w:val="Abstract"/>
    <w:basedOn w:val="Normal"/>
    <w:next w:val="BodyText"/>
    <w:qFormat/>
    <w:pPr>
      <w:keepNext w:val="true"/>
      <w:keepLines/>
      <w:spacing w:after="300" w:before="300"/>
    </w:pPr>
    <w:rPr>
      <w:rFonts w:ascii="TeX Gyre Termes" w:hAnsi="TeX Gyre Termes"/>
      <w:sz w:val="20"/>
      <w:szCs w:val="20"/>
    </w:rPr>
  </w:style>
  <w:style w:styleId="Bibliography" w:type="paragraph">
    <w:name w:val="Bibliography"/>
    <w:basedOn w:val="Normal"/>
    <w:qFormat/>
    <w:pPr/>
    <w:rPr>
      <w:rFonts w:ascii="TeX Gyre Termes" w:hAnsi="TeX Gyre Termes"/>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rFonts w:ascii="TeX Gyre Termes" w:hAnsi="TeX Gyre Termes"/>
    </w:rPr>
  </w:style>
  <w:style w:customStyle="1" w:styleId="DefinitionTerm" w:type="paragraph">
    <w:name w:val="Definition Term"/>
    <w:basedOn w:val="Normal"/>
    <w:next w:val="Definition"/>
    <w:qFormat/>
    <w:pPr>
      <w:keepNext w:val="true"/>
      <w:keepLines/>
      <w:spacing w:after="0" w:before="0"/>
    </w:pPr>
    <w:rPr>
      <w:rFonts w:ascii="TeX Gyre Termes" w:hAnsi="TeX Gyre Termes"/>
      <w:b/>
    </w:rPr>
  </w:style>
  <w:style w:customStyle="1" w:styleId="Definition" w:type="paragraph">
    <w:name w:val="Definition"/>
    <w:basedOn w:val="Normal"/>
    <w:qFormat/>
    <w:pPr/>
    <w:rPr>
      <w:rFonts w:ascii="TeX Gyre Termes" w:hAnsi="TeX Gyre Termes"/>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rFonts w:ascii="TeX Gyre Termes" w:hAnsi="TeX Gyre Termes"/>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rFonts w:ascii="TeX Gyre Termes" w:hAnsi="TeX Gyre Termes"/>
    </w:rPr>
  </w:style>
  <w:style w:styleId="Footer" w:type="paragraph">
    <w:name w:val="Footer"/>
    <w:basedOn w:val="HeaderandFooter"/>
    <w:pPr>
      <w:suppressLineNumbers/>
    </w:pPr>
    <w:rPr/>
  </w:style>
  <w:style w:styleId="Header" w:type="paragraph">
    <w:name w:val="Header"/>
    <w:basedOn w:val="HeaderandFooter"/>
    <w:pPr>
      <w:suppressLineNumbers/>
    </w:pPr>
    <w:rPr/>
  </w:style>
  <w:style w:styleId="EnvelopeAddress" w:type="paragraph">
    <w:name w:val="Envelope Address"/>
    <w:basedOn w:val="Normal"/>
    <w:pPr>
      <w:suppressLineNumbers/>
      <w:spacing w:after="60" w:before="0"/>
    </w:pPr>
    <w:rPr>
      <w:rFonts w:ascii="TeX Gyre Termes" w:hAnsi="TeX Gyre Termes"/>
    </w:rPr>
  </w:style>
  <w:style w:styleId="BlockQuotation" w:type="paragraph">
    <w:name w:val="Block Quotation"/>
    <w:basedOn w:val="Normal"/>
    <w:qFormat/>
    <w:pPr>
      <w:spacing w:after="283" w:before="0"/>
      <w:ind w:hanging="0" w:left="567" w:right="567"/>
    </w:pPr>
    <w:rPr>
      <w:rFonts w:ascii="TeX Gyre Termes" w:hAnsi="TeX Gyre Termes"/>
    </w:rPr>
  </w:style>
  <w:style w:styleId="Comment" w:type="paragraph">
    <w:name w:val="Comment"/>
    <w:basedOn w:val="Normal"/>
    <w:qFormat/>
    <w:pPr/>
    <w:rPr>
      <w:rFonts w:ascii="TeX Gyre Termes" w:hAnsi="TeX Gyre Termes"/>
      <w:sz w:val="20"/>
      <w:szCs w:val="20"/>
    </w:rPr>
  </w:style>
  <w:style w:styleId="Salutation" w:type="paragraph">
    <w:name w:val="Salutation"/>
    <w:basedOn w:val="Normal"/>
    <w:pPr>
      <w:suppressLineNumbers/>
    </w:pPr>
    <w:rPr>
      <w:rFonts w:ascii="TeX Gyre Termes" w:hAnsi="TeX Gyre Termes"/>
    </w:rPr>
  </w:style>
  <w:style w:styleId="EndnoteText" w:type="paragraph">
    <w:name w:val="Endnote Text"/>
    <w:basedOn w:val="Normal"/>
    <w:pPr>
      <w:suppressLineNumbers/>
      <w:ind w:hanging="340" w:left="340"/>
    </w:pPr>
    <w:rPr>
      <w:rFonts w:ascii="TeX Gyre Termes" w:hAnsi="TeX Gyre Termes"/>
      <w:sz w:val="20"/>
      <w:szCs w:val="20"/>
    </w:rPr>
  </w:style>
  <w:style w:styleId="FrameContents" w:type="paragraph">
    <w:name w:val="Frame Contents"/>
    <w:basedOn w:val="Normal"/>
    <w:qFormat/>
    <w:pPr/>
    <w:rPr>
      <w:rFonts w:ascii="TeX Gyre Termes" w:hAnsi="TeX Gyre Terme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38" Target="media/rId138.png" /><Relationship Type="http://schemas.openxmlformats.org/officeDocument/2006/relationships/image" Id="rId142" Target="media/rId142.png" /><Relationship Type="http://schemas.openxmlformats.org/officeDocument/2006/relationships/image" Id="rId146" Target="media/rId146.png" /><Relationship Type="http://schemas.openxmlformats.org/officeDocument/2006/relationships/image" Id="rId150" Target="media/rId150.png" /><Relationship Type="http://schemas.openxmlformats.org/officeDocument/2006/relationships/image" Id="rId155" Target="media/rId155.png" /><Relationship Type="http://schemas.openxmlformats.org/officeDocument/2006/relationships/image" Id="rId159" Target="media/rId159.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171" Target="media/rId171.png" /><Relationship Type="http://schemas.openxmlformats.org/officeDocument/2006/relationships/image" Id="rId175" Target="media/rId175.png" /><Relationship Type="http://schemas.openxmlformats.org/officeDocument/2006/relationships/hyperlink" Id="rId111" Target="https://calscape.org/Mimulus-guttatus-(Seep-Monkey-Flower)" TargetMode="External" /><Relationship Type="http://schemas.openxmlformats.org/officeDocument/2006/relationships/hyperlink" Id="rId45" Target="https://doi.org/10.1002/9781118445112.stat07841" TargetMode="External" /><Relationship Type="http://schemas.openxmlformats.org/officeDocument/2006/relationships/hyperlink" Id="rId53" Target="https://doi.org/10.1007/s00248-011-9975-8.Flowers" TargetMode="External" /><Relationship Type="http://schemas.openxmlformats.org/officeDocument/2006/relationships/hyperlink" Id="rId69" Target="https://doi.org/10.1016/j.funeco.2013.12.005" TargetMode="External" /><Relationship Type="http://schemas.openxmlformats.org/officeDocument/2006/relationships/hyperlink" Id="rId87" Target="https://doi.org/10.1016/j.scitotenv.2018.06.077" TargetMode="External" /><Relationship Type="http://schemas.openxmlformats.org/officeDocument/2006/relationships/hyperlink" Id="rId72" Target="https://doi.org/10.1038/ncomms6320" TargetMode="External" /><Relationship Type="http://schemas.openxmlformats.org/officeDocument/2006/relationships/hyperlink" Id="rId109" Target="https://doi.org/10.1038/nmeth.2089" TargetMode="External" /><Relationship Type="http://schemas.openxmlformats.org/officeDocument/2006/relationships/hyperlink" Id="rId55" Target="https://doi.org/10.1038/nmeth.3869" TargetMode="External" /><Relationship Type="http://schemas.openxmlformats.org/officeDocument/2006/relationships/hyperlink" Id="rId95" Target="https://doi.org/10.1038/s42003-021-01826-7" TargetMode="External" /><Relationship Type="http://schemas.openxmlformats.org/officeDocument/2006/relationships/hyperlink" Id="rId120" Target="https://doi.org/10.1038/sj.hdy.6801018" TargetMode="External" /><Relationship Type="http://schemas.openxmlformats.org/officeDocument/2006/relationships/hyperlink" Id="rId107" Target="https://doi.org/10.1073/pnas.1706324114" TargetMode="External" /><Relationship Type="http://schemas.openxmlformats.org/officeDocument/2006/relationships/hyperlink" Id="rId65" Target="https://doi.org/10.1093/aob/mcv080" TargetMode="External" /><Relationship Type="http://schemas.openxmlformats.org/officeDocument/2006/relationships/hyperlink" Id="rId59" Target="https://doi.org/10.1093/bioinformatics/btv401" TargetMode="External" /><Relationship Type="http://schemas.openxmlformats.org/officeDocument/2006/relationships/hyperlink" Id="rId61" Target="https://doi.org/10.1093/bioinformatics/btw354" TargetMode="External" /><Relationship Type="http://schemas.openxmlformats.org/officeDocument/2006/relationships/hyperlink" Id="rId101" Target="https://doi.org/10.1101/gr.128124.111" TargetMode="External" /><Relationship Type="http://schemas.openxmlformats.org/officeDocument/2006/relationships/hyperlink" Id="rId67" Target="https://doi.org/10.1111/j.1365-294X.1993.tb00005.x" TargetMode="External" /><Relationship Type="http://schemas.openxmlformats.org/officeDocument/2006/relationships/hyperlink" Id="rId76" Target="https://doi.org/10.1111/j.1461-0248.2005.00796.x" TargetMode="External" /><Relationship Type="http://schemas.openxmlformats.org/officeDocument/2006/relationships/hyperlink" Id="rId83" Target="https://doi.org/10.1111/j.2041-210X.2010.00078.x" TargetMode="External" /><Relationship Type="http://schemas.openxmlformats.org/officeDocument/2006/relationships/hyperlink" Id="rId51" Target="https://doi.org/10.1111/j.2517-6161.1995.tb02031.x" TargetMode="External" /><Relationship Type="http://schemas.openxmlformats.org/officeDocument/2006/relationships/hyperlink" Id="rId63" Target="https://doi.org/10.1111/mec.13763" TargetMode="External" /><Relationship Type="http://schemas.openxmlformats.org/officeDocument/2006/relationships/hyperlink" Id="rId122" Target="https://doi.org/10.1111/nph.15560" TargetMode="External" /><Relationship Type="http://schemas.openxmlformats.org/officeDocument/2006/relationships/hyperlink" Id="rId103" Target="https://doi.org/10.1186/1471-2105-13-283" TargetMode="External" /><Relationship Type="http://schemas.openxmlformats.org/officeDocument/2006/relationships/hyperlink" Id="rId85" Target="https://doi.org/10.1186/s12864-023-09211-w" TargetMode="External" /><Relationship Type="http://schemas.openxmlformats.org/officeDocument/2006/relationships/hyperlink" Id="rId57" Target="https://doi.org/10.1186/s40168-018-0605-2" TargetMode="External" /><Relationship Type="http://schemas.openxmlformats.org/officeDocument/2006/relationships/hyperlink" Id="rId93" Target="https://doi.org/10.1371/journal.pone.0061217" TargetMode="External" /><Relationship Type="http://schemas.openxmlformats.org/officeDocument/2006/relationships/hyperlink" Id="rId89" Target="https://doi.org/10.14806/ej.17.1.200" TargetMode="External" /><Relationship Type="http://schemas.openxmlformats.org/officeDocument/2006/relationships/hyperlink" Id="rId43" Target="https://doi.org/10.15156/BIO/2938068" TargetMode="External" /><Relationship Type="http://schemas.openxmlformats.org/officeDocument/2006/relationships/hyperlink" Id="rId80" Target="https://doi.org/10.1890/0012-9615(1999)069[0001:DBRATM]2.0.CO;2" TargetMode="External" /><Relationship Type="http://schemas.openxmlformats.org/officeDocument/2006/relationships/hyperlink" Id="rId91" Target="https://doi.org/10.1890/0012-9658(2001)082[0290:FMMTCD]2.0.CO;2" TargetMode="External" /><Relationship Type="http://schemas.openxmlformats.org/officeDocument/2006/relationships/hyperlink" Id="rId113" Target="https://doi.org/10.3389/fmicb.2016.01399" TargetMode="External" /><Relationship Type="http://schemas.openxmlformats.org/officeDocument/2006/relationships/hyperlink" Id="rId105" Target="https://doi.org/10.3389/fpls.2022.883897" TargetMode="External" /><Relationship Type="http://schemas.openxmlformats.org/officeDocument/2006/relationships/hyperlink" Id="rId48" Target="https://doi.org/dx.doi.org/10.17504/protocols.io.bp2l6xn8rlqe/v2" TargetMode="External" /><Relationship Type="http://schemas.openxmlformats.org/officeDocument/2006/relationships/hyperlink" Id="rId117" Target="https://doi.org/dx.doi.org/10.17504/protocols.io.fscbnaw" TargetMode="External" /><Relationship Type="http://schemas.openxmlformats.org/officeDocument/2006/relationships/hyperlink" Id="rId115" Target="https://doi.org/lutzoni" TargetMode="External" /><Relationship Type="http://schemas.openxmlformats.org/officeDocument/2006/relationships/hyperlink" Id="rId97" Target="https://github.com/vegandevs/vegan" TargetMode="External" /><Relationship Type="http://schemas.openxmlformats.org/officeDocument/2006/relationships/hyperlink" Id="rId78" Target="https://rpkgs.datanovia.com/rstatix/" TargetMode="External" /><Relationship Type="http://schemas.openxmlformats.org/officeDocument/2006/relationships/hyperlink" Id="rId99" Target="https://www.R-project.org/" TargetMode="External" /><Relationship Type="http://schemas.openxmlformats.org/officeDocument/2006/relationships/hyperlink" Id="rId74" Target="https://www.optisci.com/acm-200.html" TargetMode="External" /><Relationship Type="http://schemas.openxmlformats.org/officeDocument/2006/relationships/hyperlink" Id="rId20" Target="mailto:baponterolo@tulane.edu" TargetMode="External" /></Relationships>
</file>

<file path=word/_rels/footnotes.xml.rels><?xml version="1.0" encoding="UTF-8"?><Relationships xmlns="http://schemas.openxmlformats.org/package/2006/relationships"><Relationship Type="http://schemas.openxmlformats.org/officeDocument/2006/relationships/hyperlink" Id="rId111" Target="https://calscape.org/Mimulus-guttatus-(Seep-Monkey-Flower)" TargetMode="External" /><Relationship Type="http://schemas.openxmlformats.org/officeDocument/2006/relationships/hyperlink" Id="rId45" Target="https://doi.org/10.1002/9781118445112.stat07841" TargetMode="External" /><Relationship Type="http://schemas.openxmlformats.org/officeDocument/2006/relationships/hyperlink" Id="rId53" Target="https://doi.org/10.1007/s00248-011-9975-8.Flowers" TargetMode="External" /><Relationship Type="http://schemas.openxmlformats.org/officeDocument/2006/relationships/hyperlink" Id="rId69" Target="https://doi.org/10.1016/j.funeco.2013.12.005" TargetMode="External" /><Relationship Type="http://schemas.openxmlformats.org/officeDocument/2006/relationships/hyperlink" Id="rId87" Target="https://doi.org/10.1016/j.scitotenv.2018.06.077" TargetMode="External" /><Relationship Type="http://schemas.openxmlformats.org/officeDocument/2006/relationships/hyperlink" Id="rId72" Target="https://doi.org/10.1038/ncomms6320" TargetMode="External" /><Relationship Type="http://schemas.openxmlformats.org/officeDocument/2006/relationships/hyperlink" Id="rId109" Target="https://doi.org/10.1038/nmeth.2089" TargetMode="External" /><Relationship Type="http://schemas.openxmlformats.org/officeDocument/2006/relationships/hyperlink" Id="rId55" Target="https://doi.org/10.1038/nmeth.3869" TargetMode="External" /><Relationship Type="http://schemas.openxmlformats.org/officeDocument/2006/relationships/hyperlink" Id="rId95" Target="https://doi.org/10.1038/s42003-021-01826-7" TargetMode="External" /><Relationship Type="http://schemas.openxmlformats.org/officeDocument/2006/relationships/hyperlink" Id="rId120" Target="https://doi.org/10.1038/sj.hdy.6801018" TargetMode="External" /><Relationship Type="http://schemas.openxmlformats.org/officeDocument/2006/relationships/hyperlink" Id="rId107" Target="https://doi.org/10.1073/pnas.1706324114" TargetMode="External" /><Relationship Type="http://schemas.openxmlformats.org/officeDocument/2006/relationships/hyperlink" Id="rId65" Target="https://doi.org/10.1093/aob/mcv080" TargetMode="External" /><Relationship Type="http://schemas.openxmlformats.org/officeDocument/2006/relationships/hyperlink" Id="rId59" Target="https://doi.org/10.1093/bioinformatics/btv401" TargetMode="External" /><Relationship Type="http://schemas.openxmlformats.org/officeDocument/2006/relationships/hyperlink" Id="rId61" Target="https://doi.org/10.1093/bioinformatics/btw354" TargetMode="External" /><Relationship Type="http://schemas.openxmlformats.org/officeDocument/2006/relationships/hyperlink" Id="rId101" Target="https://doi.org/10.1101/gr.128124.111" TargetMode="External" /><Relationship Type="http://schemas.openxmlformats.org/officeDocument/2006/relationships/hyperlink" Id="rId67" Target="https://doi.org/10.1111/j.1365-294X.1993.tb00005.x" TargetMode="External" /><Relationship Type="http://schemas.openxmlformats.org/officeDocument/2006/relationships/hyperlink" Id="rId76" Target="https://doi.org/10.1111/j.1461-0248.2005.00796.x" TargetMode="External" /><Relationship Type="http://schemas.openxmlformats.org/officeDocument/2006/relationships/hyperlink" Id="rId83" Target="https://doi.org/10.1111/j.2041-210X.2010.00078.x" TargetMode="External" /><Relationship Type="http://schemas.openxmlformats.org/officeDocument/2006/relationships/hyperlink" Id="rId51" Target="https://doi.org/10.1111/j.2517-6161.1995.tb02031.x" TargetMode="External" /><Relationship Type="http://schemas.openxmlformats.org/officeDocument/2006/relationships/hyperlink" Id="rId63" Target="https://doi.org/10.1111/mec.13763" TargetMode="External" /><Relationship Type="http://schemas.openxmlformats.org/officeDocument/2006/relationships/hyperlink" Id="rId122" Target="https://doi.org/10.1111/nph.15560" TargetMode="External" /><Relationship Type="http://schemas.openxmlformats.org/officeDocument/2006/relationships/hyperlink" Id="rId103" Target="https://doi.org/10.1186/1471-2105-13-283" TargetMode="External" /><Relationship Type="http://schemas.openxmlformats.org/officeDocument/2006/relationships/hyperlink" Id="rId85" Target="https://doi.org/10.1186/s12864-023-09211-w" TargetMode="External" /><Relationship Type="http://schemas.openxmlformats.org/officeDocument/2006/relationships/hyperlink" Id="rId57" Target="https://doi.org/10.1186/s40168-018-0605-2" TargetMode="External" /><Relationship Type="http://schemas.openxmlformats.org/officeDocument/2006/relationships/hyperlink" Id="rId93" Target="https://doi.org/10.1371/journal.pone.0061217" TargetMode="External" /><Relationship Type="http://schemas.openxmlformats.org/officeDocument/2006/relationships/hyperlink" Id="rId89" Target="https://doi.org/10.14806/ej.17.1.200" TargetMode="External" /><Relationship Type="http://schemas.openxmlformats.org/officeDocument/2006/relationships/hyperlink" Id="rId43" Target="https://doi.org/10.15156/BIO/2938068" TargetMode="External" /><Relationship Type="http://schemas.openxmlformats.org/officeDocument/2006/relationships/hyperlink" Id="rId80" Target="https://doi.org/10.1890/0012-9615(1999)069[0001:DBRATM]2.0.CO;2" TargetMode="External" /><Relationship Type="http://schemas.openxmlformats.org/officeDocument/2006/relationships/hyperlink" Id="rId91" Target="https://doi.org/10.1890/0012-9658(2001)082[0290:FMMTCD]2.0.CO;2" TargetMode="External" /><Relationship Type="http://schemas.openxmlformats.org/officeDocument/2006/relationships/hyperlink" Id="rId113" Target="https://doi.org/10.3389/fmicb.2016.01399" TargetMode="External" /><Relationship Type="http://schemas.openxmlformats.org/officeDocument/2006/relationships/hyperlink" Id="rId105" Target="https://doi.org/10.3389/fpls.2022.883897" TargetMode="External" /><Relationship Type="http://schemas.openxmlformats.org/officeDocument/2006/relationships/hyperlink" Id="rId48" Target="https://doi.org/dx.doi.org/10.17504/protocols.io.bp2l6xn8rlqe/v2" TargetMode="External" /><Relationship Type="http://schemas.openxmlformats.org/officeDocument/2006/relationships/hyperlink" Id="rId117" Target="https://doi.org/dx.doi.org/10.17504/protocols.io.fscbnaw" TargetMode="External" /><Relationship Type="http://schemas.openxmlformats.org/officeDocument/2006/relationships/hyperlink" Id="rId115" Target="https://doi.org/lutzoni" TargetMode="External" /><Relationship Type="http://schemas.openxmlformats.org/officeDocument/2006/relationships/hyperlink" Id="rId97" Target="https://github.com/vegandevs/vegan" TargetMode="External" /><Relationship Type="http://schemas.openxmlformats.org/officeDocument/2006/relationships/hyperlink" Id="rId78" Target="https://rpkgs.datanovia.com/rstatix/" TargetMode="External" /><Relationship Type="http://schemas.openxmlformats.org/officeDocument/2006/relationships/hyperlink" Id="rId99" Target="https://www.R-project.org/" TargetMode="External" /><Relationship Type="http://schemas.openxmlformats.org/officeDocument/2006/relationships/hyperlink" Id="rId74" Target="https://www.optisci.com/acm-200.html" TargetMode="External" /><Relationship Type="http://schemas.openxmlformats.org/officeDocument/2006/relationships/hyperlink" Id="rId20" Target="mailto:baponterolo@tulane.edu"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LibreOffice/24.2.0.3$Linux_X86_64 LibreOffice_project/420$Build-3</Application>
  <AppVersion>15.0000</AppVersion>
  <Pages>2</Pages>
  <Words>53</Words>
  <Characters>281</Characters>
  <CharactersWithSpaces>368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Foliar fungal symbionts in sympatric yellow monkeyflowers along elevation gradients in the Sierra Nevada</dc:title>
  <dc:creator>Bolívar Aponte Rolón1,✉, Kathleen G. Ferris2, and Sunshine A. Van Bael2</dc:creator>
  <cp:keywords/>
  <dcterms:created xsi:type="dcterms:W3CDTF">2024-02-19T04:13:02Z</dcterms:created>
  <dcterms:modified xsi:type="dcterms:W3CDTF">2024-02-19T04:13:02Z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citation-package">
    <vt:lpwstr>biblatex</vt:lpwstr>
  </property>
  <property fmtid="{D5CDD505-2E9C-101B-9397-08002B2CF9AE}" pid="8" name="crossref">
    <vt:lpwstr/>
  </property>
  <property fmtid="{D5CDD505-2E9C-101B-9397-08002B2CF9AE}" pid="9" name="csl">
    <vt:lpwstr>apa.csl</vt:lpwstr>
  </property>
  <property fmtid="{D5CDD505-2E9C-101B-9397-08002B2CF9AE}" pid="10" name="date">
    <vt:lpwstr>February 18, 2024</vt:lpwstr>
  </property>
  <property fmtid="{D5CDD505-2E9C-101B-9397-08002B2CF9AE}" pid="11" name="date-format">
    <vt:lpwstr>MMMM D, YYYY</vt:lpwstr>
  </property>
  <property fmtid="{D5CDD505-2E9C-101B-9397-08002B2CF9AE}" pid="12" name="editor">
    <vt:lpwstr>source</vt:lpwstr>
  </property>
  <property fmtid="{D5CDD505-2E9C-101B-9397-08002B2CF9AE}" pid="13" name="execute">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toc-title">
    <vt:lpwstr>Table of contents</vt:lpwstr>
  </property>
</Properties>
</file>