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Методология валидации нейросетевых прогнозов ледовой обстановки на основе декомпозиции интегрированной ледовой пограничной ошибки</w:t>
      </w:r>
    </w:p>
    <w:p>
      <w:pPr>
        <w:pStyle w:val="FirstParagraph"/>
      </w:pPr>
      <w:r>
        <w:rPr>
          <w:b/>
          <w:bCs/>
        </w:rPr>
        <w:t xml:space="preserve">Болховский И.Д., Биденко С.И.</w:t>
      </w:r>
    </w:p>
    <w:p>
      <w:pPr>
        <w:pStyle w:val="BodyText"/>
      </w:pPr>
      <w:r>
        <w:t xml:space="preserve">Российский государственный гидрометеорологический университет, Санкт-Петербург, Россия</w:t>
      </w:r>
    </w:p>
    <w:bookmarkStart w:id="9" w:name="аннотация"/>
    <w:p>
      <w:pPr>
        <w:pStyle w:val="Heading1"/>
      </w:pPr>
      <w:r>
        <w:rPr>
          <w:rStyle w:val="SectionNumber"/>
        </w:rPr>
        <w:t xml:space="preserve">1</w:t>
      </w:r>
      <w:r>
        <w:tab/>
      </w:r>
      <w:r>
        <w:t xml:space="preserve">Аннотация</w:t>
      </w:r>
    </w:p>
    <w:p>
      <w:pPr>
        <w:pStyle w:val="FirstParagraph"/>
      </w:pPr>
      <w:r>
        <w:t xml:space="preserve">В работе представлена методика валидации нейросетевых прогнозов ледовой обстановки для задач навигационно-гидрографического обеспечения Северного морского пути. Показано, что традиционные метрики оценки качества прогнозов (RMSE, MAE, R²) не учитывают пространственное распределение ошибок и не позволяют оценить пригодность прогноза для навигационных задач. Представлена интегрированная ледовая пограничная ошибка (IIEE) и её декомпозиция на компоненты AEE (ошибка площади) и ME (ошибка положения границы). Обосновано, что для навигационных задач минимизация ME имеет приоритет над минимизацией AEE. Предложена четырёхэтапная методика валидации с критерием пригодности модели ME/IIEE &lt; 0.5. Методика ориентирована на интеграцию в геоинформационные системы навигационно-гидрографического обеспечения.</w:t>
      </w:r>
    </w:p>
    <w:p>
      <w:pPr>
        <w:pStyle w:val="BodyText"/>
      </w:pPr>
      <w:r>
        <w:rPr>
          <w:b/>
          <w:bCs/>
        </w:rPr>
        <w:t xml:space="preserve">Ключевые слова:</w:t>
      </w:r>
      <w:r>
        <w:t xml:space="preserve"> </w:t>
      </w:r>
      <w:r>
        <w:t xml:space="preserve">валидация прогнозов, морской лёд, нейронные сети, IIEE, навигационно-гидрографическое обеспечение, Северный морской путь.</w:t>
      </w:r>
    </w:p>
    <w:bookmarkEnd w:id="9"/>
    <w:bookmarkStart w:id="10" w:name="abstract"/>
    <w:p>
      <w:pPr>
        <w:pStyle w:val="Heading1"/>
      </w:pPr>
      <w:r>
        <w:rPr>
          <w:rStyle w:val="SectionNumber"/>
        </w:rPr>
        <w:t xml:space="preserve">2</w:t>
      </w:r>
      <w:r>
        <w:tab/>
      </w:r>
      <w:r>
        <w:t xml:space="preserve">Abstract</w:t>
      </w:r>
    </w:p>
    <w:p>
      <w:pPr>
        <w:pStyle w:val="FirstParagraph"/>
      </w:pPr>
      <w:r>
        <w:t xml:space="preserve">This paper presents a methodology for validating neural network sea ice forecasts for navigation and hydrographic support of the Northern Sea Route. It is shown that traditional forecast quality metrics (RMSE, MAE, R²) do not account for the spatial distribution of errors and cannot assess forecast suitability for navigation tasks. The Integrated Ice Edge Error (IIEE) and its decomposition into AEE (Absolute Extent Error) and ME (Misplacement Error) components are presented. It is demonstrated that for navigation tasks, minimizing ME takes priority over minimizing AEE. A four-stage validation methodology with a model suitability criterion of ME/IIEE &lt; 0.5 is proposed. The methodology is designed for integration into geoinformation systems for navigation and hydrographic support.</w:t>
      </w:r>
    </w:p>
    <w:p>
      <w:pPr>
        <w:pStyle w:val="BodyText"/>
      </w:pPr>
      <w:r>
        <w:rPr>
          <w:b/>
          <w:bCs/>
        </w:rPr>
        <w:t xml:space="preserve">Keywords:</w:t>
      </w:r>
      <w:r>
        <w:t xml:space="preserve"> </w:t>
      </w:r>
      <w:r>
        <w:t xml:space="preserve">forecast validation, sea ice, neural networks, IIEE, navigation and hydrographic support, Northern Sea Route.</w:t>
      </w:r>
    </w:p>
    <w:bookmarkEnd w:id="10"/>
    <w:bookmarkStart w:id="11" w:name="введение"/>
    <w:p>
      <w:pPr>
        <w:pStyle w:val="Heading1"/>
      </w:pPr>
      <w:r>
        <w:rPr>
          <w:rStyle w:val="SectionNumber"/>
        </w:rPr>
        <w:t xml:space="preserve">3</w:t>
      </w:r>
      <w:r>
        <w:tab/>
      </w:r>
      <w:r>
        <w:t xml:space="preserve">1. Введение</w:t>
      </w:r>
    </w:p>
    <w:p>
      <w:pPr>
        <w:pStyle w:val="FirstParagraph"/>
      </w:pPr>
      <w:r>
        <w:t xml:space="preserve">Значительное уменьшение площади ледового покрова Арктики в летний период является характерным индикатором текущих глобальных климатических изменений</w:t>
      </w:r>
      <w:r>
        <w:t xml:space="preserve"> </w:t>
      </w:r>
      <w:r>
        <w:t xml:space="preserve">[6, 15]</w:t>
      </w:r>
      <w:r>
        <w:t xml:space="preserve">. Морской лёд в Арктике является важнейшим элементом глобальной климатической системы, и его потеря может повлиять на погоду и климат далеко за её пределами</w:t>
      </w:r>
      <w:r>
        <w:t xml:space="preserve"> </w:t>
      </w:r>
      <w:r>
        <w:t xml:space="preserve">[2]</w:t>
      </w:r>
      <w:r>
        <w:t xml:space="preserve">.</w:t>
      </w:r>
    </w:p>
    <w:p>
      <w:pPr>
        <w:pStyle w:val="BodyText"/>
      </w:pPr>
      <w:r>
        <w:t xml:space="preserve">Для Российской Федерации Арктическая зона является стратегически важным регионом. Согласно Стратегии развития Арктической зоны РФ, ожидается рост грузооборота по СМП с 31.5 миллионов тонн в 2019 году до 130 миллионов тонн к 2035 году</w:t>
      </w:r>
      <w:r>
        <w:t xml:space="preserve"> </w:t>
      </w:r>
      <w:r>
        <w:t xml:space="preserve">[1]</w:t>
      </w:r>
      <w:r>
        <w:t xml:space="preserve">, что делает обеспечение круглогодичной навигации задачей национального уровня.</w:t>
      </w:r>
    </w:p>
    <w:p>
      <w:pPr>
        <w:pStyle w:val="BodyText"/>
      </w:pPr>
      <w:r>
        <w:t xml:space="preserve">Рост активности судоходства сопряжён с навигационными рисками, которые зависят не только общего количества льда и продолжительности ледового периода, но и от таких опасных ледовых явлений и образований, как аномально раннее ледообразование, наличие сплочённых и мощных льдов на трассах, сжатия и повышенная торосистость, концентрация айсбергов и стамух</w:t>
      </w:r>
      <w:r>
        <w:t xml:space="preserve"> </w:t>
      </w:r>
      <w:r>
        <w:t xml:space="preserve">[23]</w:t>
      </w:r>
      <w:r>
        <w:t xml:space="preserve">. В силу этих рисков, геоинформационные системы навигационно-гидрографического обеспечения (ГИС НГО) справедливо полагаются элементом критической инфраструктуры арктического региона.</w:t>
      </w:r>
    </w:p>
    <w:p>
      <w:pPr>
        <w:pStyle w:val="BodyText"/>
      </w:pPr>
      <w:r>
        <w:t xml:space="preserve">Основным источником данных о состоянии ледяного покрова в настоящее время являются космические средства дистанционного зондирования</w:t>
      </w:r>
      <w:r>
        <w:t xml:space="preserve"> </w:t>
      </w:r>
      <w:r>
        <w:t xml:space="preserve">[24]</w:t>
      </w:r>
      <w:r>
        <w:t xml:space="preserve">. В последние годы методы машинного обучения демонстрируют значительный потенциал в прогнозировании морского льда на основе таких данных, превосходя традиционные численные модели по скорости (в 2000 раз быстрее) и точности (снижение ошибки до 28%)</w:t>
      </w:r>
      <w:r>
        <w:t xml:space="preserve"> </w:t>
      </w:r>
      <w:r>
        <w:t xml:space="preserve">[2]</w:t>
      </w:r>
      <w:r>
        <w:t xml:space="preserve">. Однако внедрение нейросетевых моделей в системы критической инфраструктуры требует строгой валидации их прогнозов.</w:t>
      </w:r>
    </w:p>
    <w:p>
      <w:pPr>
        <w:pStyle w:val="BodyText"/>
      </w:pPr>
      <w:r>
        <w:t xml:space="preserve">Традиционные метрики оценки качества прогнозов — среднеквадратичная ошибка (RMSE), средняя абсолютная ошибка (MAE), коэффициент детерминации (R²) — измеряют общую точность прогнозирования концентрации морского льда, но не учитывают специфику навигационных задач. Для безопасного судоходства критически важно не столько знать общую площадь ледового покрова, сколько точное положение кромки льда в конкретном районе плавания</w:t>
      </w:r>
      <w:r>
        <w:t xml:space="preserve"> </w:t>
      </w:r>
      <w:r>
        <w:t xml:space="preserve">[18]</w:t>
      </w:r>
      <w:r>
        <w:t xml:space="preserve">.</w:t>
      </w:r>
    </w:p>
    <w:p>
      <w:pPr>
        <w:pStyle w:val="BodyText"/>
      </w:pPr>
      <w:r>
        <w:t xml:space="preserve">Интегрированная ледовая пограничная ошибка (IIEE) и её декомпозиция на компоненты AEE и ME</w:t>
      </w:r>
      <w:r>
        <w:t xml:space="preserve"> </w:t>
      </w:r>
      <w:r>
        <w:t xml:space="preserve">[9]</w:t>
      </w:r>
      <w:r>
        <w:t xml:space="preserve"> </w:t>
      </w:r>
      <w:r>
        <w:t xml:space="preserve">позволяют разделить ошибку площади и ошибку положения границы, что существенно для оценки пригодности прогнозов для навигационных задач.</w:t>
      </w:r>
    </w:p>
    <w:p>
      <w:pPr>
        <w:pStyle w:val="BodyText"/>
      </w:pPr>
      <w:r>
        <w:t xml:space="preserve">Цель данной статьи — представить методику валидации нейросетевых прогнозов ледовой обстановки на основе декомпозиции IIEE с обоснованием приоритета минимизации компонента ME (ошибки положения границы) для задач навигационно-гидрографического обеспечения Северного морского пути.</w:t>
      </w:r>
    </w:p>
    <w:p>
      <w:r>
        <w:pict>
          <v:rect style="width:0;height:1.5pt" o:hralign="center" o:hrstd="t" o:hr="t"/>
        </w:pict>
      </w:r>
    </w:p>
    <w:bookmarkEnd w:id="11"/>
    <w:bookmarkStart w:id="15" w:name="постановка-задачи-валидации"/>
    <w:p>
      <w:pPr>
        <w:pStyle w:val="Heading1"/>
      </w:pPr>
      <w:r>
        <w:rPr>
          <w:rStyle w:val="SectionNumber"/>
        </w:rPr>
        <w:t xml:space="preserve">4</w:t>
      </w:r>
      <w:r>
        <w:tab/>
      </w:r>
      <w:r>
        <w:t xml:space="preserve">2. Постановка задачи валидации</w:t>
      </w:r>
    </w:p>
    <w:bookmarkStart w:id="12" w:name="X8cca83a8b69686c41cc6471c6742179bcf6d236"/>
    <w:p>
      <w:pPr>
        <w:pStyle w:val="Heading2"/>
      </w:pPr>
      <w:r>
        <w:rPr>
          <w:rStyle w:val="SectionNumber"/>
        </w:rPr>
        <w:t xml:space="preserve">4.1</w:t>
      </w:r>
      <w:r>
        <w:tab/>
      </w:r>
      <w:r>
        <w:t xml:space="preserve">2.1. Валидация как условие внедрения в критическую инфраструктуру</w:t>
      </w:r>
    </w:p>
    <w:p>
      <w:pPr>
        <w:pStyle w:val="FirstParagraph"/>
      </w:pPr>
      <w:r>
        <w:t xml:space="preserve">В следствие того, что ГИС НГО являются элементом критической инфраструктуры, внедрение нейросетевых моделей прогнозирования требует строгого методологического подхода к валидации. В отличие от традиционных физических моделей, алгоритмы машинного обучения выявляют закономерности непосредственно из данных, что создаёт риски скрытых систематических ошибок и переобучения на специфических условиях обучающей выборки</w:t>
      </w:r>
      <w:r>
        <w:t xml:space="preserve"> </w:t>
      </w:r>
      <w:r>
        <w:t xml:space="preserve">[2]</w:t>
      </w:r>
      <w:r>
        <w:t xml:space="preserve">. Дополнительным ограничением является существование барьера предсказуемости морского льда, обусловленного тремя режимами: начальными условиями, атмосферной неопределённостью и внутренней изменчивостью океана</w:t>
      </w:r>
      <w:r>
        <w:t xml:space="preserve"> </w:t>
      </w:r>
      <w:r>
        <w:t xml:space="preserve">[5, 10]</w:t>
      </w:r>
      <w:r>
        <w:t xml:space="preserve">.</w:t>
      </w:r>
    </w:p>
    <w:bookmarkEnd w:id="12"/>
    <w:bookmarkStart w:id="13" w:name="требования-к-методике-валидации"/>
    <w:p>
      <w:pPr>
        <w:pStyle w:val="Heading2"/>
      </w:pPr>
      <w:r>
        <w:rPr>
          <w:rStyle w:val="SectionNumber"/>
        </w:rPr>
        <w:t xml:space="preserve">4.2</w:t>
      </w:r>
      <w:r>
        <w:tab/>
      </w:r>
      <w:r>
        <w:t xml:space="preserve">2.2. Требования к методике валидации</w:t>
      </w:r>
    </w:p>
    <w:p>
      <w:pPr>
        <w:pStyle w:val="FirstParagraph"/>
      </w:pPr>
      <w:r>
        <w:t xml:space="preserve">Для систем критической инфраструктуры методика валидации должна обеспечивать выполнение следующих требований:</w:t>
      </w:r>
    </w:p>
    <w:p>
      <w:pPr>
        <w:numPr>
          <w:ilvl w:val="0"/>
          <w:numId w:val="1001"/>
        </w:numPr>
      </w:pPr>
      <w:r>
        <w:rPr>
          <w:b/>
          <w:bCs/>
        </w:rPr>
        <w:t xml:space="preserve">Воспроизводимость результатов</w:t>
      </w:r>
      <w:r>
        <w:t xml:space="preserve">. Необходима строгая документация архитектуры модели, параметров обучения и тестовых метрик, позволяющая независимым экспертам воспроизвести и верифицировать результаты.</w:t>
      </w:r>
    </w:p>
    <w:p>
      <w:pPr>
        <w:numPr>
          <w:ilvl w:val="0"/>
          <w:numId w:val="1001"/>
        </w:numPr>
      </w:pPr>
      <w:r>
        <w:rPr>
          <w:b/>
          <w:bCs/>
        </w:rPr>
        <w:t xml:space="preserve">Защита от вычислительных артефактов</w:t>
      </w:r>
      <w:r>
        <w:t xml:space="preserve">. Модели должны проходить тестирование на устойчивость к различным типам входных данных, включая пограничные случаи и аномальные значения, характерные для экстремальных ледовых условий в Арктике.</w:t>
      </w:r>
    </w:p>
    <w:p>
      <w:pPr>
        <w:numPr>
          <w:ilvl w:val="0"/>
          <w:numId w:val="1001"/>
        </w:numPr>
      </w:pPr>
      <w:r>
        <w:rPr>
          <w:b/>
          <w:bCs/>
        </w:rPr>
        <w:t xml:space="preserve">Квантификация неопределённости</w:t>
      </w:r>
      <w:r>
        <w:t xml:space="preserve">. Система должна не только выдавать прогноз, но и оценивать уровень уверенности, предоставляя операторам информацию для принятия решений в условиях неопределённости</w:t>
      </w:r>
      <w:r>
        <w:t xml:space="preserve"> </w:t>
      </w:r>
      <w:r>
        <w:t xml:space="preserve">[18]</w:t>
      </w:r>
      <w:r>
        <w:t xml:space="preserve">.</w:t>
      </w:r>
    </w:p>
    <w:p>
      <w:pPr>
        <w:numPr>
          <w:ilvl w:val="0"/>
          <w:numId w:val="1001"/>
        </w:numPr>
      </w:pPr>
      <w:r>
        <w:rPr>
          <w:b/>
          <w:bCs/>
        </w:rPr>
        <w:t xml:space="preserve">Независимость данных валидации</w:t>
      </w:r>
      <w:r>
        <w:t xml:space="preserve">. Данные, используемые для валидации, должны быть независимы от обучающей выборки. Временное разделение данных является фундаментальным принципом: обучение проводится на временных рядах предшествующих лет, а тестирование — на независимых временных интервалах</w:t>
      </w:r>
      <w:r>
        <w:t xml:space="preserve"> </w:t>
      </w:r>
      <w:r>
        <w:t xml:space="preserve">[2]</w:t>
      </w:r>
      <w:r>
        <w:t xml:space="preserve">.</w:t>
      </w:r>
    </w:p>
    <w:bookmarkEnd w:id="13"/>
    <w:bookmarkStart w:id="14" w:name="концепция-гибридной-системы-ml-эксперт"/>
    <w:p>
      <w:pPr>
        <w:pStyle w:val="Heading2"/>
      </w:pPr>
      <w:r>
        <w:rPr>
          <w:rStyle w:val="SectionNumber"/>
        </w:rPr>
        <w:t xml:space="preserve">4.3</w:t>
      </w:r>
      <w:r>
        <w:tab/>
      </w:r>
      <w:r>
        <w:t xml:space="preserve">2.3. Концепция гибридной системы «ML + эксперт»</w:t>
      </w:r>
    </w:p>
    <w:p>
      <w:pPr>
        <w:pStyle w:val="FirstParagraph"/>
      </w:pPr>
      <w:r>
        <w:t xml:space="preserve">Опыт мировых ледовых служб показывает, что полностью автоматизировать процесс интерпретации ледовой обстановки крайне затруднительно — у каждого метода существуют условия, ограничивающие его применимость</w:t>
      </w:r>
      <w:r>
        <w:t xml:space="preserve"> </w:t>
      </w:r>
      <w:r>
        <w:t xml:space="preserve">[22]</w:t>
      </w:r>
      <w:r>
        <w:t xml:space="preserve">. Модели машинного обучения эффективны для предварительного анализа больших объёмов спутниковых данных и снижения степени субъективности оценок. Однако финальная интерпретация результатов и принятие навигационных решений в критических ситуациях должны оставаться за ледовыми аналитиками.</w:t>
      </w:r>
    </w:p>
    <w:p>
      <w:pPr>
        <w:pStyle w:val="BodyText"/>
      </w:pPr>
      <w:r>
        <w:t xml:space="preserve">В рамках гибридной системы методика валидации выполняет двойную функцию:</w:t>
      </w:r>
      <w:r>
        <w:t xml:space="preserve"> </w:t>
      </w:r>
      <w:r>
        <w:t xml:space="preserve">- обеспечивает объективную оценку качества прогнозов для информирования эксперта;</w:t>
      </w:r>
      <w:r>
        <w:t xml:space="preserve"> </w:t>
      </w:r>
      <w:r>
        <w:t xml:space="preserve">- предоставляет метрики, интерпретируемые в терминах навигационных задач (положение кромки льда, а не абстрактная точность).</w:t>
      </w:r>
    </w:p>
    <w:p>
      <w:pPr>
        <w:pStyle w:val="BodyText"/>
      </w:pPr>
      <w:r>
        <w:t xml:space="preserve">Таким образом, задача валидации формулируется следующим образом: разработать методику оценки качества нейросетевых прогнозов ледовой обстановки, которая учитывает специфику навигационных задач и позволяет количественно оценить пригодность прогноза для обеспечения безопасности судоходства по СМП.</w:t>
      </w:r>
    </w:p>
    <w:bookmarkEnd w:id="14"/>
    <w:bookmarkEnd w:id="15"/>
    <w:bookmarkStart w:id="20" w:name="традиционные-метрики-оценки-качества"/>
    <w:p>
      <w:pPr>
        <w:pStyle w:val="Heading1"/>
      </w:pPr>
      <w:r>
        <w:rPr>
          <w:rStyle w:val="SectionNumber"/>
        </w:rPr>
        <w:t xml:space="preserve">5</w:t>
      </w:r>
      <w:r>
        <w:tab/>
      </w:r>
      <w:r>
        <w:t xml:space="preserve">3. Традиционные метрики оценки качества</w:t>
      </w:r>
    </w:p>
    <w:p>
      <w:pPr>
        <w:pStyle w:val="FirstParagraph"/>
      </w:pPr>
      <w:r>
        <w:t xml:space="preserve">Множественные метрики оценки позволяют провести всестороннюю валидацию качества прогнозов концентрации морского льда. Рассмотрим три основные метрики, широко применяемые в литературе.</w:t>
      </w:r>
    </w:p>
    <w:bookmarkStart w:id="16" w:name="среднеквадратичная-ошибка-rmse"/>
    <w:p>
      <w:pPr>
        <w:pStyle w:val="Heading2"/>
      </w:pPr>
      <w:r>
        <w:rPr>
          <w:rStyle w:val="SectionNumber"/>
        </w:rPr>
        <w:t xml:space="preserve">5.1</w:t>
      </w:r>
      <w:r>
        <w:tab/>
      </w:r>
      <w:r>
        <w:t xml:space="preserve">3.1. Среднеквадратичная ошибка (RMSE)</w:t>
      </w:r>
    </w:p>
    <w:p>
      <w:pPr>
        <w:pStyle w:val="FirstParagraph"/>
      </w:pPr>
      <w:r>
        <w:t xml:space="preserve">Среднеквадратичная ошибка (англ. Root Mean Square Error, RMSE) выражается формулой:</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rPr>
                      <m:nor/>
                      <m:sty m:val="p"/>
                    </m:rPr>
                    <m:t>SIC</m:t>
                  </m:r>
                </m:e>
                <m:sub>
                  <m:r>
                    <m:rPr>
                      <m:nor/>
                      <m:sty m:val="p"/>
                    </m:rPr>
                    <m:t>прогноз</m:t>
                  </m:r>
                  <m:r>
                    <m:rPr>
                      <m:sty m:val="p"/>
                    </m:rPr>
                    <m:t>,</m:t>
                  </m:r>
                  <m:r>
                    <m:t>i</m:t>
                  </m:r>
                </m:sub>
              </m:sSub>
              <m:r>
                <m:rPr>
                  <m:sty m:val="p"/>
                </m:rPr>
                <m:t>−</m:t>
              </m:r>
              <m:sSub>
                <m:e>
                  <m:r>
                    <m:rPr>
                      <m:nor/>
                      <m:sty m:val="p"/>
                    </m:rPr>
                    <m:t>SIC</m:t>
                  </m:r>
                </m:e>
                <m:sub>
                  <m:r>
                    <m:rPr>
                      <m:nor/>
                      <m:sty m:val="p"/>
                    </m:rPr>
                    <m:t>набл</m:t>
                  </m:r>
                  <m:r>
                    <m:rPr>
                      <m:sty m:val="p"/>
                    </m:rPr>
                    <m:t>,</m:t>
                  </m:r>
                  <m:r>
                    <m:t>i</m:t>
                  </m:r>
                </m:sub>
              </m:sSub>
              <m:sSup>
                <m:e>
                  <m:r>
                    <m:rPr>
                      <m:sty m:val="p"/>
                    </m:rPr>
                    <m:t>)</m:t>
                  </m:r>
                </m:e>
                <m:sup>
                  <m:r>
                    <m:t>2</m:t>
                  </m:r>
                </m:sup>
              </m:sSup>
            </m:e>
          </m:rad>
        </m:oMath>
      </m:oMathPara>
    </w:p>
    <w:p>
      <w:pPr>
        <w:pStyle w:val="FirstParagraph"/>
      </w:pPr>
      <w:r>
        <w:t xml:space="preserve">где</w:t>
      </w:r>
      <w:r>
        <w:t xml:space="preserve"> </w:t>
      </w:r>
      <m:oMath>
        <m:r>
          <m:t>N</m:t>
        </m:r>
      </m:oMath>
      <w:r>
        <w:t xml:space="preserve"> </w:t>
      </w:r>
      <w:r>
        <w:t xml:space="preserve">— количество точек данных,</w:t>
      </w:r>
      <w:r>
        <w:t xml:space="preserve"> </w:t>
      </w:r>
      <m:oMath>
        <m:sSub>
          <m:e>
            <m:r>
              <m:rPr>
                <m:nor/>
                <m:sty m:val="p"/>
              </m:rPr>
              <m:t>SIC</m:t>
            </m:r>
          </m:e>
          <m:sub>
            <m:r>
              <m:rPr>
                <m:nor/>
                <m:sty m:val="p"/>
              </m:rPr>
              <m:t>прогноз</m:t>
            </m:r>
          </m:sub>
        </m:sSub>
      </m:oMath>
      <w:r>
        <w:t xml:space="preserve"> </w:t>
      </w:r>
      <w:r>
        <w:t xml:space="preserve">— прогнозируемая концентрация морского льда,</w:t>
      </w:r>
      <w:r>
        <w:t xml:space="preserve"> </w:t>
      </w:r>
      <m:oMath>
        <m:sSub>
          <m:e>
            <m:r>
              <m:rPr>
                <m:nor/>
                <m:sty m:val="p"/>
              </m:rPr>
              <m:t>SIC</m:t>
            </m:r>
          </m:e>
          <m:sub>
            <m:r>
              <m:rPr>
                <m:nor/>
                <m:sty m:val="p"/>
              </m:rPr>
              <m:t>набл</m:t>
            </m:r>
          </m:sub>
        </m:sSub>
      </m:oMath>
      <w:r>
        <w:t xml:space="preserve"> </w:t>
      </w:r>
      <w:r>
        <w:t xml:space="preserve">— наблюдаемая концентрация. RMSE придаёт больший вес значительным отклонениям прогноза от наблюдений за счёт возведения в квадрат, что важно для выявления критических ошибок в экстремальных ледовых условиях</w:t>
      </w:r>
      <w:r>
        <w:t xml:space="preserve"> </w:t>
      </w:r>
      <w:r>
        <w:t xml:space="preserve">[14, 19]</w:t>
      </w:r>
      <w:r>
        <w:t xml:space="preserve">. Метрика имеет ту же размерность, что и исходные данные (проценты концентрации льда).</w:t>
      </w:r>
    </w:p>
    <w:bookmarkEnd w:id="16"/>
    <w:bookmarkStart w:id="17" w:name="средняя-абсолютная-ошибка-mae"/>
    <w:p>
      <w:pPr>
        <w:pStyle w:val="Heading2"/>
      </w:pPr>
      <w:r>
        <w:rPr>
          <w:rStyle w:val="SectionNumber"/>
        </w:rPr>
        <w:t xml:space="preserve">5.2</w:t>
      </w:r>
      <w:r>
        <w:tab/>
      </w:r>
      <w:r>
        <w:t xml:space="preserve">3.2. Средняя абсолютная ошибка (MAE)</w:t>
      </w:r>
    </w:p>
    <w:p>
      <w:pPr>
        <w:pStyle w:val="FirstParagraph"/>
      </w:pPr>
      <w:r>
        <w:t xml:space="preserve">Средняя абсолютная ошибка (англ. Mean Absolute Error, MAE) обеспечивает более равномерную оценку точности прогноза по всему диапазону значений:</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rPr>
                  <m:nor/>
                  <m:sty m:val="p"/>
                </m:rPr>
                <m:t>SIC</m:t>
              </m:r>
            </m:e>
            <m:sub>
              <m:r>
                <m:rPr>
                  <m:nor/>
                  <m:sty m:val="p"/>
                </m:rPr>
                <m:t>прогноз</m:t>
              </m:r>
              <m:r>
                <m:rPr>
                  <m:sty m:val="p"/>
                </m:rPr>
                <m:t>,</m:t>
              </m:r>
              <m:r>
                <m:t>i</m:t>
              </m:r>
            </m:sub>
          </m:sSub>
          <m:r>
            <m:rPr>
              <m:sty m:val="p"/>
            </m:rPr>
            <m:t>−</m:t>
          </m:r>
          <m:sSub>
            <m:e>
              <m:r>
                <m:rPr>
                  <m:nor/>
                  <m:sty m:val="p"/>
                </m:rPr>
                <m:t>SIC</m:t>
              </m:r>
            </m:e>
            <m:sub>
              <m:r>
                <m:rPr>
                  <m:nor/>
                  <m:sty m:val="p"/>
                </m:rPr>
                <m:t>набл</m:t>
              </m:r>
              <m:r>
                <m:rPr>
                  <m:sty m:val="p"/>
                </m:rPr>
                <m:t>,</m:t>
              </m:r>
              <m:r>
                <m:t>i</m:t>
              </m:r>
            </m:sub>
          </m:sSub>
          <m:r>
            <m:rPr>
              <m:sty m:val="p"/>
            </m:rPr>
            <m:t>|</m:t>
          </m:r>
        </m:oMath>
      </m:oMathPara>
    </w:p>
    <w:p>
      <w:pPr>
        <w:pStyle w:val="FirstParagraph"/>
      </w:pPr>
      <w:r>
        <w:t xml:space="preserve">Эта метрика менее чувствительна к отдельным большим ошибкам и широко используется в соревнованиях по прогнозированию морского льда</w:t>
      </w:r>
      <w:r>
        <w:t xml:space="preserve"> </w:t>
      </w:r>
      <w:r>
        <w:t xml:space="preserve">[17]</w:t>
      </w:r>
      <w:r>
        <w:t xml:space="preserve">.</w:t>
      </w:r>
    </w:p>
    <w:bookmarkEnd w:id="17"/>
    <w:bookmarkStart w:id="18" w:name="коэффициент-детерминации-r²"/>
    <w:p>
      <w:pPr>
        <w:pStyle w:val="Heading2"/>
      </w:pPr>
      <w:r>
        <w:rPr>
          <w:rStyle w:val="SectionNumber"/>
        </w:rPr>
        <w:t xml:space="preserve">5.3</w:t>
      </w:r>
      <w:r>
        <w:tab/>
      </w:r>
      <w:r>
        <w:t xml:space="preserve">3.3. Коэффициент детерминации (R²)</w:t>
      </w:r>
    </w:p>
    <w:p>
      <w:pPr>
        <w:pStyle w:val="FirstParagraph"/>
      </w:pPr>
      <w:r>
        <w:t xml:space="preserve">Коэффициент детерминации показывает долю дисперсии, объясняемую моделью:</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rPr>
                      <m:nor/>
                      <m:sty m:val="p"/>
                    </m:rPr>
                    <m:t>SIC</m:t>
                  </m:r>
                </m:e>
                <m:sub>
                  <m:r>
                    <m:rPr>
                      <m:nor/>
                      <m:sty m:val="p"/>
                    </m:rPr>
                    <m:t>набл</m:t>
                  </m:r>
                  <m:r>
                    <m:rPr>
                      <m:sty m:val="p"/>
                    </m:rPr>
                    <m:t>,</m:t>
                  </m:r>
                  <m:r>
                    <m:t>i</m:t>
                  </m:r>
                </m:sub>
              </m:sSub>
              <m:r>
                <m:rPr>
                  <m:sty m:val="p"/>
                </m:rPr>
                <m:t>−</m:t>
              </m:r>
              <m:sSub>
                <m:e>
                  <m:r>
                    <m:rPr>
                      <m:nor/>
                      <m:sty m:val="p"/>
                    </m:rPr>
                    <m:t>SIC</m:t>
                  </m:r>
                </m:e>
                <m:sub>
                  <m:r>
                    <m:rPr>
                      <m:nor/>
                      <m:sty m:val="p"/>
                    </m:rPr>
                    <m:t>прогноз</m:t>
                  </m:r>
                  <m:r>
                    <m:rPr>
                      <m:sty m:val="p"/>
                    </m:rPr>
                    <m:t>,</m:t>
                  </m:r>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rPr>
                      <m:nor/>
                      <m:sty m:val="p"/>
                    </m:rPr>
                    <m:t>SIC</m:t>
                  </m:r>
                </m:e>
                <m:sub>
                  <m:r>
                    <m:rPr>
                      <m:nor/>
                      <m:sty m:val="p"/>
                    </m:rPr>
                    <m:t>набл</m:t>
                  </m:r>
                  <m:r>
                    <m:rPr>
                      <m:sty m:val="p"/>
                    </m:rPr>
                    <m:t>,</m:t>
                  </m:r>
                  <m:r>
                    <m:t>i</m:t>
                  </m:r>
                </m:sub>
              </m:sSub>
              <m:r>
                <m:rPr>
                  <m:sty m:val="p"/>
                </m:rPr>
                <m:t>−</m:t>
              </m:r>
              <m:sSub>
                <m:e>
                  <m:bar>
                    <m:barPr>
                      <m:pos m:val="top"/>
                    </m:barPr>
                    <m:e>
                      <m:r>
                        <m:rPr>
                          <m:nor/>
                          <m:sty m:val="p"/>
                        </m:rPr>
                        <m:t>SIC</m:t>
                      </m:r>
                    </m:e>
                  </m:bar>
                </m:e>
                <m:sub>
                  <m:r>
                    <m:rPr>
                      <m:nor/>
                      <m:sty m:val="p"/>
                    </m:rPr>
                    <m:t>набл</m:t>
                  </m:r>
                </m:sub>
              </m:sSub>
              <m:sSup>
                <m:e>
                  <m:r>
                    <m:rPr>
                      <m:sty m:val="p"/>
                    </m:rPr>
                    <m:t>)</m:t>
                  </m:r>
                </m:e>
                <m:sup>
                  <m:r>
                    <m:t>2</m:t>
                  </m:r>
                </m:sup>
              </m:sSup>
            </m:den>
          </m:f>
        </m:oMath>
      </m:oMathPara>
    </w:p>
    <w:p>
      <w:pPr>
        <w:pStyle w:val="FirstParagraph"/>
      </w:pPr>
      <w:r>
        <w:t xml:space="preserve">где</w:t>
      </w:r>
      <w:r>
        <w:t xml:space="preserve"> </w:t>
      </w:r>
      <m:oMath>
        <m:sSub>
          <m:e>
            <m:bar>
              <m:barPr>
                <m:pos m:val="top"/>
              </m:barPr>
              <m:e>
                <m:r>
                  <m:rPr>
                    <m:nor/>
                    <m:sty m:val="p"/>
                  </m:rPr>
                  <m:t>SIC</m:t>
                </m:r>
              </m:e>
            </m:bar>
          </m:e>
          <m:sub>
            <m:r>
              <m:rPr>
                <m:nor/>
                <m:sty m:val="p"/>
              </m:rPr>
              <m:t>набл</m:t>
            </m:r>
          </m:sub>
        </m:sSub>
      </m:oMath>
      <w:r>
        <w:t xml:space="preserve"> </w:t>
      </w:r>
      <w:r>
        <w:t xml:space="preserve">— среднее значение наблюдаемой концентрации. R² принимает значения от 0 до 1, где 1 означает идеальное соответствие прогноза наблюдениям</w:t>
      </w:r>
      <w:r>
        <w:t xml:space="preserve"> </w:t>
      </w:r>
      <w:r>
        <w:t xml:space="preserve">[17]</w:t>
      </w:r>
      <w:r>
        <w:t xml:space="preserve">.</w:t>
      </w:r>
    </w:p>
    <w:bookmarkEnd w:id="18"/>
    <w:bookmarkStart w:id="19" w:name="Xc038a40516ea6d395e924631f683c3170d37f8c"/>
    <w:p>
      <w:pPr>
        <w:pStyle w:val="Heading2"/>
      </w:pPr>
      <w:r>
        <w:rPr>
          <w:rStyle w:val="SectionNumber"/>
        </w:rPr>
        <w:t xml:space="preserve">5.4</w:t>
      </w:r>
      <w:r>
        <w:tab/>
      </w:r>
      <w:r>
        <w:t xml:space="preserve">3.4. Ограничения традиционных метрик для навигационных задач</w:t>
      </w:r>
    </w:p>
    <w:p>
      <w:pPr>
        <w:pStyle w:val="FirstParagraph"/>
      </w:pPr>
      <w:r>
        <w:t xml:space="preserve">Перечисленные метрики оценивают общую величину ошибки прогнозирования концентрации морского льда, усреднённую по всей области интереса. Однако они обладают принципиальным ограничением для задач навигационно-гидрографического обеспечения:</w:t>
      </w:r>
      <w:r>
        <w:t xml:space="preserve"> </w:t>
      </w:r>
      <w:r>
        <w:rPr>
          <w:b/>
          <w:bCs/>
        </w:rPr>
        <w:t xml:space="preserve">традиционные метрики не учитывают пространственное распределение ошибок</w:t>
      </w:r>
      <w:r>
        <w:t xml:space="preserve">.</w:t>
      </w:r>
    </w:p>
    <w:p>
      <w:pPr>
        <w:pStyle w:val="BodyText"/>
      </w:pPr>
      <w:r>
        <w:t xml:space="preserve">Рассмотрим гипотетический пример. Две модели могут иметь одинаковое значение RMSE = 10%, но принципиально разную пригодность для навигации:</w:t>
      </w:r>
      <w:r>
        <w:t xml:space="preserve"> </w:t>
      </w:r>
      <w:r>
        <w:t xml:space="preserve">- Модель A допускает ошибку 10% равномерно по всей акватории, включая открытую воду вдали от кромки льда;</w:t>
      </w:r>
      <w:r>
        <w:t xml:space="preserve"> </w:t>
      </w:r>
      <w:r>
        <w:t xml:space="preserve">- Модель B допускает ошибку 10% преимущественно в зоне кромки льда, где проходят судоходные маршруты.</w:t>
      </w:r>
    </w:p>
    <w:p>
      <w:pPr>
        <w:pStyle w:val="BodyText"/>
      </w:pPr>
      <w:r>
        <w:t xml:space="preserve">С точки зрения RMSE модели эквивалентны, но для практической навигации Модель A значительно предпочтительнее, поскольку её ошибки локализованы в областях, не критичных для судоходства.</w:t>
      </w:r>
    </w:p>
    <w:p>
      <w:pPr>
        <w:pStyle w:val="BodyText"/>
      </w:pPr>
      <w:r>
        <w:t xml:space="preserve">Более того, традиционные метрики не различают два принципиально разных типа ошибок:</w:t>
      </w:r>
      <w:r>
        <w:t xml:space="preserve"> </w:t>
      </w:r>
      <w:r>
        <w:t xml:space="preserve">-</w:t>
      </w:r>
      <w:r>
        <w:t xml:space="preserve"> </w:t>
      </w:r>
      <w:r>
        <w:rPr>
          <w:b/>
          <w:bCs/>
        </w:rPr>
        <w:t xml:space="preserve">Ошибку общей площади</w:t>
      </w:r>
      <w:r>
        <w:t xml:space="preserve"> </w:t>
      </w:r>
      <w:r>
        <w:t xml:space="preserve">— модель прогнозирует больше или меньше льда, чем наблюдается;</w:t>
      </w:r>
      <w:r>
        <w:t xml:space="preserve"> </w:t>
      </w:r>
      <w:r>
        <w:t xml:space="preserve">-</w:t>
      </w:r>
      <w:r>
        <w:t xml:space="preserve"> </w:t>
      </w:r>
      <w:r>
        <w:rPr>
          <w:b/>
          <w:bCs/>
        </w:rPr>
        <w:t xml:space="preserve">Ошибку положения границы</w:t>
      </w:r>
      <w:r>
        <w:t xml:space="preserve"> </w:t>
      </w:r>
      <w:r>
        <w:t xml:space="preserve">— модель прогнозирует верную площадь, но неверное положение кромки льда.</w:t>
      </w:r>
    </w:p>
    <w:p>
      <w:pPr>
        <w:pStyle w:val="BodyText"/>
      </w:pPr>
      <w:r>
        <w:t xml:space="preserve">Для навигационных задач критична именно вторая составляющая: судну необходимо знать точное положение границы льда в районе плавания, а не интегральную площадь ледового покрова в Арктике</w:t>
      </w:r>
      <w:r>
        <w:t xml:space="preserve"> </w:t>
      </w:r>
      <w:r>
        <w:t xml:space="preserve">[18]</w:t>
      </w:r>
      <w:r>
        <w:t xml:space="preserve">.</w:t>
      </w:r>
    </w:p>
    <w:p>
      <w:pPr>
        <w:pStyle w:val="BodyText"/>
      </w:pPr>
      <w:r>
        <w:t xml:space="preserve">Дополнительную проблему представляет квантификация неопределённости прогнозов. Исследования показывают, что модельная неопределённость в мультимодельных ансамблях в 2–3 раза превышает неустранимый рост ошибок</w:t>
      </w:r>
      <w:r>
        <w:t xml:space="preserve"> </w:t>
      </w:r>
      <w:r>
        <w:t xml:space="preserve">[4]</w:t>
      </w:r>
      <w:r>
        <w:t xml:space="preserve">. Для вероятностных прогнозов применяется интегральный ранговый показатель CRPS (Continuous Ranked Probability Score), однако он также не учитывает пространственное распределение ошибок</w:t>
      </w:r>
      <w:r>
        <w:t xml:space="preserve"> </w:t>
      </w:r>
      <w:r>
        <w:t xml:space="preserve">[7]</w:t>
      </w:r>
      <w:r>
        <w:t xml:space="preserve">.</w:t>
      </w:r>
    </w:p>
    <w:p>
      <w:pPr>
        <w:pStyle w:val="BodyText"/>
      </w:pPr>
      <w:r>
        <w:t xml:space="preserve">Данное ограничение обусловливает необходимость применения специализированных пространственных метрик, способных оценить точность определения положения кромки льда.</w:t>
      </w:r>
    </w:p>
    <w:bookmarkEnd w:id="19"/>
    <w:bookmarkEnd w:id="20"/>
    <w:bookmarkStart w:id="26" w:name="Xa94d864b39118ac26bf81c85287a5616cfc9a41"/>
    <w:p>
      <w:pPr>
        <w:pStyle w:val="Heading1"/>
      </w:pPr>
      <w:r>
        <w:rPr>
          <w:rStyle w:val="SectionNumber"/>
        </w:rPr>
        <w:t xml:space="preserve">6</w:t>
      </w:r>
      <w:r>
        <w:tab/>
      </w:r>
      <w:r>
        <w:t xml:space="preserve">4. Интегрированная ледовая пограничная ошибка (IIEE)</w:t>
      </w:r>
    </w:p>
    <w:bookmarkStart w:id="21" w:name="X107c3568fb32207f0f43c9bfbb5ab774c298bb7"/>
    <w:p>
      <w:pPr>
        <w:pStyle w:val="Heading2"/>
      </w:pPr>
      <w:r>
        <w:rPr>
          <w:rStyle w:val="SectionNumber"/>
        </w:rPr>
        <w:t xml:space="preserve">6.1</w:t>
      </w:r>
      <w:r>
        <w:tab/>
      </w:r>
      <w:r>
        <w:t xml:space="preserve">4.1. Определение интегрированной ледовой пограничной ошибки</w:t>
      </w:r>
    </w:p>
    <w:p>
      <w:pPr>
        <w:pStyle w:val="FirstParagraph"/>
      </w:pPr>
      <w:r>
        <w:t xml:space="preserve">Интегрированная ледовая пограничная ошибка (англ. Integrated Ice Edge Error, IIEE) — метрика, специально разработанная для оценки точности прогнозирования положения кромки морского льда</w:t>
      </w:r>
      <w:r>
        <w:t xml:space="preserve"> </w:t>
      </w:r>
      <w:r>
        <w:t xml:space="preserve">[9]</w:t>
      </w:r>
      <w:r>
        <w:t xml:space="preserve">. В отличие от традиционных метрик, IIEE оперирует бинарным представлением ледового покрова: каждая ячейка пространственной сетки классифицируется как «лёд» или «вода» на основе порогового значения концентрации.</w:t>
      </w:r>
    </w:p>
    <w:p>
      <w:pPr>
        <w:pStyle w:val="BodyText"/>
      </w:pPr>
      <w:r>
        <w:t xml:space="preserve">Стандартным порогом является 15% концентрации морского льда (англ. Sea Ice Concentration, SIC): области с SIC &gt; 15% считаются покрытыми льдом, области с SIC ≤ 15% — свободными ото льда</w:t>
      </w:r>
      <w:r>
        <w:t xml:space="preserve"> </w:t>
      </w:r>
      <w:r>
        <w:t xml:space="preserve">[2]</w:t>
      </w:r>
      <w:r>
        <w:t xml:space="preserve">. Данный порог соответствует международным стандартам определения границы ледового покрова.</w:t>
      </w:r>
    </w:p>
    <w:bookmarkEnd w:id="21"/>
    <w:bookmarkStart w:id="22" w:name="компоненты-oe-и-ue"/>
    <w:p>
      <w:pPr>
        <w:pStyle w:val="Heading2"/>
      </w:pPr>
      <w:r>
        <w:rPr>
          <w:rStyle w:val="SectionNumber"/>
        </w:rPr>
        <w:t xml:space="preserve">6.2</w:t>
      </w:r>
      <w:r>
        <w:tab/>
      </w:r>
      <w:r>
        <w:t xml:space="preserve">4.2. Компоненты OE и UE</w:t>
      </w:r>
    </w:p>
    <w:p>
      <w:pPr>
        <w:pStyle w:val="FirstParagraph"/>
      </w:pPr>
      <w:r>
        <w:t xml:space="preserve">IIEE определяется как сумма двух компонентов:</w:t>
      </w:r>
    </w:p>
    <w:p>
      <w:pPr>
        <w:pStyle w:val="BodyText"/>
      </w:pPr>
      <m:oMathPara>
        <m:oMathParaPr>
          <m:jc m:val="center"/>
        </m:oMathParaPr>
        <m:oMath>
          <m:r>
            <m:rPr>
              <m:nor/>
              <m:sty m:val="p"/>
            </m:rPr>
            <m:t>IIEE</m:t>
          </m:r>
          <m:r>
            <m:rPr>
              <m:sty m:val="p"/>
            </m:rPr>
            <m:t>=</m:t>
          </m:r>
          <m:r>
            <m:rPr>
              <m:nor/>
              <m:sty m:val="p"/>
            </m:rPr>
            <m:t>OE</m:t>
          </m:r>
          <m:r>
            <m:rPr>
              <m:sty m:val="p"/>
            </m:rPr>
            <m:t>+</m:t>
          </m:r>
          <m:r>
            <m:rPr>
              <m:nor/>
              <m:sty m:val="p"/>
            </m:rPr>
            <m:t>UE</m:t>
          </m:r>
        </m:oMath>
      </m:oMathPara>
    </w:p>
    <w:p>
      <w:pPr>
        <w:pStyle w:val="FirstParagraph"/>
      </w:pPr>
      <w:r>
        <w:t xml:space="preserve">где компоненты вычисляются следующим образом:</w:t>
      </w:r>
    </w:p>
    <w:p>
      <w:pPr>
        <w:pStyle w:val="BodyText"/>
      </w:pPr>
      <m:oMathPara>
        <m:oMathParaPr>
          <m:jc m:val="center"/>
        </m:oMathParaPr>
        <m:oMath>
          <m:r>
            <m:rPr>
              <m:nor/>
              <m:sty m:val="p"/>
            </m:rPr>
            <m:t>OE</m:t>
          </m:r>
          <m:r>
            <m:rPr>
              <m:sty m:val="p"/>
            </m:rPr>
            <m:t>=</m:t>
          </m:r>
          <m:nary>
            <m:naryPr>
              <m:chr m:val="∫"/>
              <m:limLoc m:val="subSup"/>
              <m:subHide m:val="off"/>
              <m:supHide m:val="on"/>
            </m:naryPr>
            <m:sub>
              <m:r>
                <m:t>A</m:t>
              </m:r>
            </m:sub>
            <m:sup>
              <m:r>
                <m:t>​</m:t>
              </m:r>
            </m:sup>
            <m:e>
              <m:r>
                <m:rPr>
                  <m:sty m:val="p"/>
                </m:rPr>
                <m:t>max</m:t>
              </m:r>
            </m:e>
          </m:nary>
          <m:r>
            <m:rPr>
              <m:sty m:val="p"/>
            </m:rPr>
            <m:t>(</m:t>
          </m:r>
          <m:sSub>
            <m:e>
              <m:r>
                <m:t>c</m:t>
              </m:r>
            </m:e>
            <m:sub>
              <m:r>
                <m:rPr>
                  <m:nor/>
                  <m:sty m:val="p"/>
                </m:rPr>
                <m:t>прогноз</m:t>
              </m:r>
            </m:sub>
          </m:sSub>
          <m:r>
            <m:rPr>
              <m:sty m:val="p"/>
            </m:rPr>
            <m:t>−</m:t>
          </m:r>
          <m:sSub>
            <m:e>
              <m:r>
                <m:t>c</m:t>
              </m:r>
            </m:e>
            <m:sub>
              <m:r>
                <m:rPr>
                  <m:nor/>
                  <m:sty m:val="p"/>
                </m:rPr>
                <m:t>набл</m:t>
              </m:r>
            </m:sub>
          </m:sSub>
          <m:r>
            <m:rPr>
              <m:sty m:val="p"/>
            </m:rPr>
            <m:t>,</m:t>
          </m:r>
          <m:r>
            <m:t>0</m:t>
          </m:r>
          <m:r>
            <m:rPr>
              <m:sty m:val="p"/>
            </m:rPr>
            <m:t>)</m:t>
          </m:r>
          <m:r>
            <m:t> </m:t>
          </m:r>
          <m:r>
            <m:t>d</m:t>
          </m:r>
          <m:r>
            <m:t>A</m:t>
          </m:r>
        </m:oMath>
      </m:oMathPara>
    </w:p>
    <w:p>
      <w:pPr>
        <w:pStyle w:val="FirstParagraph"/>
      </w:pPr>
      <m:oMathPara>
        <m:oMathParaPr>
          <m:jc m:val="center"/>
        </m:oMathParaPr>
        <m:oMath>
          <m:r>
            <m:rPr>
              <m:nor/>
              <m:sty m:val="p"/>
            </m:rPr>
            <m:t>UE</m:t>
          </m:r>
          <m:r>
            <m:rPr>
              <m:sty m:val="p"/>
            </m:rPr>
            <m:t>=</m:t>
          </m:r>
          <m:nary>
            <m:naryPr>
              <m:chr m:val="∫"/>
              <m:limLoc m:val="subSup"/>
              <m:subHide m:val="off"/>
              <m:supHide m:val="on"/>
            </m:naryPr>
            <m:sub>
              <m:r>
                <m:t>A</m:t>
              </m:r>
            </m:sub>
            <m:sup>
              <m:r>
                <m:t>​</m:t>
              </m:r>
            </m:sup>
            <m:e>
              <m:r>
                <m:rPr>
                  <m:sty m:val="p"/>
                </m:rPr>
                <m:t>max</m:t>
              </m:r>
            </m:e>
          </m:nary>
          <m:r>
            <m:rPr>
              <m:sty m:val="p"/>
            </m:rPr>
            <m:t>(</m:t>
          </m:r>
          <m:sSub>
            <m:e>
              <m:r>
                <m:t>c</m:t>
              </m:r>
            </m:e>
            <m:sub>
              <m:r>
                <m:rPr>
                  <m:nor/>
                  <m:sty m:val="p"/>
                </m:rPr>
                <m:t>набл</m:t>
              </m:r>
            </m:sub>
          </m:sSub>
          <m:r>
            <m:rPr>
              <m:sty m:val="p"/>
            </m:rPr>
            <m:t>−</m:t>
          </m:r>
          <m:sSub>
            <m:e>
              <m:r>
                <m:t>c</m:t>
              </m:r>
            </m:e>
            <m:sub>
              <m:r>
                <m:rPr>
                  <m:nor/>
                  <m:sty m:val="p"/>
                </m:rPr>
                <m:t>прогноз</m:t>
              </m:r>
            </m:sub>
          </m:sSub>
          <m:r>
            <m:rPr>
              <m:sty m:val="p"/>
            </m:rPr>
            <m:t>,</m:t>
          </m:r>
          <m:r>
            <m:t>0</m:t>
          </m:r>
          <m:r>
            <m:rPr>
              <m:sty m:val="p"/>
            </m:rPr>
            <m:t>)</m:t>
          </m:r>
          <m:r>
            <m:t> </m:t>
          </m:r>
          <m:r>
            <m:t>d</m:t>
          </m:r>
          <m:r>
            <m:t>A</m:t>
          </m:r>
        </m:oMath>
      </m:oMathPara>
    </w:p>
    <w:p>
      <w:pPr>
        <w:pStyle w:val="FirstParagraph"/>
      </w:pPr>
      <w:r>
        <w:t xml:space="preserve">Здесь</w:t>
      </w:r>
      <w:r>
        <w:t xml:space="preserve"> </w:t>
      </w:r>
      <m:oMath>
        <m:r>
          <m:t>c</m:t>
        </m:r>
        <m:r>
          <m:rPr>
            <m:sty m:val="p"/>
          </m:rPr>
          <m:t>=</m:t>
        </m:r>
        <m:r>
          <m:t>1</m:t>
        </m:r>
      </m:oMath>
      <w:r>
        <w:t xml:space="preserve"> </w:t>
      </w:r>
      <w:r>
        <w:t xml:space="preserve">при концентрации морского льда выше 15%, и</w:t>
      </w:r>
      <w:r>
        <w:t xml:space="preserve"> </w:t>
      </w:r>
      <m:oMath>
        <m:r>
          <m:t>c</m:t>
        </m:r>
        <m:r>
          <m:rPr>
            <m:sty m:val="p"/>
          </m:rPr>
          <m:t>=</m:t>
        </m:r>
        <m:r>
          <m:t>0</m:t>
        </m:r>
      </m:oMath>
      <w:r>
        <w:t xml:space="preserve"> </w:t>
      </w:r>
      <w:r>
        <w:t xml:space="preserve">в остальных случаях; индексы «прогноз» и «набл» обозначают прогнозируемые и наблюдаемые значения соответственно;</w:t>
      </w:r>
      <w:r>
        <w:t xml:space="preserve"> </w:t>
      </w:r>
      <m:oMath>
        <m:r>
          <m:t>A</m:t>
        </m:r>
      </m:oMath>
      <w:r>
        <w:t xml:space="preserve"> </w:t>
      </w:r>
      <w:r>
        <w:t xml:space="preserve">— область интереса (например, акватория СМП или Северное полушарие).</w:t>
      </w:r>
    </w:p>
    <w:p>
      <w:pPr>
        <w:pStyle w:val="BodyText"/>
      </w:pPr>
      <w:r>
        <w:rPr>
          <w:b/>
          <w:bCs/>
        </w:rPr>
        <w:t xml:space="preserve">OE</w:t>
      </w:r>
      <w:r>
        <w:t xml:space="preserve"> </w:t>
      </w:r>
      <w:r>
        <w:t xml:space="preserve">(англ. Overestimation Error) — ошибка переоценки — измеряет суммарную площадь ячеек, где модель прогнозирует наличие льда, но по данным наблюдений льда нет. Это соответствует ситуации «ложной тревоги» для навигации: судно ожидает встретить лёд, но фактически акватория свободна.</w:t>
      </w:r>
    </w:p>
    <w:p>
      <w:pPr>
        <w:pStyle w:val="BodyText"/>
      </w:pPr>
      <w:r>
        <w:rPr>
          <w:b/>
          <w:bCs/>
        </w:rPr>
        <w:t xml:space="preserve">UE</w:t>
      </w:r>
      <w:r>
        <w:t xml:space="preserve"> </w:t>
      </w:r>
      <w:r>
        <w:t xml:space="preserve">(англ. Underestimation Error) — ошибка недооценки — измеряет суммарную площадь ячеек, где модель прогнозирует отсутствие льда, но по данным наблюдений лёд присутствует. Это критически опасная ситуация «пропуска»: судно не ожидает льда и может войти в ледовую зону без подготовки.</w:t>
      </w:r>
    </w:p>
    <w:p>
      <w:pPr>
        <w:pStyle w:val="BodyText"/>
      </w:pPr>
      <w:r>
        <w:t xml:space="preserve">Геометрически IIEE эквивалентна симметричной разности между областями, ограниченными прогнозируемой и наблюдаемой кромкой льда</w:t>
      </w:r>
      <w:r>
        <w:t xml:space="preserve"> </w:t>
      </w:r>
      <w:r>
        <w:t xml:space="preserve">[2]</w:t>
      </w:r>
      <w:r>
        <w:t xml:space="preserve">. Метрика измеряется в единицах площади (км²).</w:t>
      </w:r>
    </w:p>
    <w:bookmarkEnd w:id="22"/>
    <w:bookmarkStart w:id="23" w:name="декомпозиция-iiee-на-aee-и-me"/>
    <w:p>
      <w:pPr>
        <w:pStyle w:val="Heading2"/>
      </w:pPr>
      <w:r>
        <w:rPr>
          <w:rStyle w:val="SectionNumber"/>
        </w:rPr>
        <w:t xml:space="preserve">6.3</w:t>
      </w:r>
      <w:r>
        <w:tab/>
      </w:r>
      <w:r>
        <w:t xml:space="preserve">4.3. Декомпозиция IIEE на AEE и ME</w:t>
      </w:r>
    </w:p>
    <w:p>
      <w:pPr>
        <w:pStyle w:val="FirstParagraph"/>
      </w:pPr>
      <w:r>
        <w:t xml:space="preserve">Ключевым вкладом работы Goessling et al.</w:t>
      </w:r>
      <w:r>
        <w:t xml:space="preserve"> </w:t>
      </w:r>
      <w:r>
        <w:t xml:space="preserve">[9]</w:t>
      </w:r>
      <w:r>
        <w:t xml:space="preserve"> </w:t>
      </w:r>
      <w:r>
        <w:t xml:space="preserve">является декомпозиция IIEE на два независимых компонента с различной физической интерпретацией:</w:t>
      </w:r>
    </w:p>
    <w:p>
      <w:pPr>
        <w:pStyle w:val="BodyText"/>
      </w:pPr>
      <m:oMathPara>
        <m:oMathParaPr>
          <m:jc m:val="center"/>
        </m:oMathParaPr>
        <m:oMath>
          <m:r>
            <m:rPr>
              <m:nor/>
              <m:sty m:val="p"/>
            </m:rPr>
            <m:t>IIEE</m:t>
          </m:r>
          <m:r>
            <m:rPr>
              <m:sty m:val="p"/>
            </m:rPr>
            <m:t>=</m:t>
          </m:r>
          <m:r>
            <m:rPr>
              <m:nor/>
              <m:sty m:val="p"/>
            </m:rPr>
            <m:t>AEE</m:t>
          </m:r>
          <m:r>
            <m:rPr>
              <m:sty m:val="p"/>
            </m:rPr>
            <m:t>+</m:t>
          </m:r>
          <m:r>
            <m:rPr>
              <m:nor/>
              <m:sty m:val="p"/>
            </m:rPr>
            <m:t>ME</m:t>
          </m:r>
        </m:oMath>
      </m:oMathPara>
    </w:p>
    <w:p>
      <w:pPr>
        <w:pStyle w:val="FirstParagraph"/>
      </w:pPr>
      <w:r>
        <w:t xml:space="preserve">где:</w:t>
      </w:r>
    </w:p>
    <w:p>
      <w:pPr>
        <w:pStyle w:val="BodyText"/>
      </w:pPr>
      <m:oMathPara>
        <m:oMathParaPr>
          <m:jc m:val="center"/>
        </m:oMathParaPr>
        <m:oMath>
          <m:r>
            <m:rPr>
              <m:nor/>
              <m:sty m:val="p"/>
            </m:rPr>
            <m:t>AEE</m:t>
          </m:r>
          <m:r>
            <m:rPr>
              <m:sty m:val="p"/>
            </m:rPr>
            <m:t>=</m:t>
          </m:r>
          <m:r>
            <m:rPr>
              <m:sty m:val="p"/>
            </m:rPr>
            <m:t>|</m:t>
          </m:r>
          <m:r>
            <m:rPr>
              <m:nor/>
              <m:sty m:val="p"/>
            </m:rPr>
            <m:t>OE</m:t>
          </m:r>
          <m:r>
            <m:rPr>
              <m:sty m:val="p"/>
            </m:rPr>
            <m:t>−</m:t>
          </m:r>
          <m:r>
            <m:rPr>
              <m:nor/>
              <m:sty m:val="p"/>
            </m:rPr>
            <m:t>UE</m:t>
          </m:r>
          <m:r>
            <m:rPr>
              <m:sty m:val="p"/>
            </m:rPr>
            <m:t>|</m:t>
          </m:r>
        </m:oMath>
      </m:oMathPara>
    </w:p>
    <w:p>
      <w:pPr>
        <w:pStyle w:val="FirstParagraph"/>
      </w:pPr>
      <m:oMathPara>
        <m:oMathParaPr>
          <m:jc m:val="center"/>
        </m:oMathParaPr>
        <m:oMath>
          <m:r>
            <m:rPr>
              <m:nor/>
              <m:sty m:val="p"/>
            </m:rPr>
            <m:t>ME</m:t>
          </m:r>
          <m:r>
            <m:rPr>
              <m:sty m:val="p"/>
            </m:rPr>
            <m:t>=</m:t>
          </m:r>
          <m:r>
            <m:t>2</m:t>
          </m:r>
          <m:r>
            <m:rPr>
              <m:sty m:val="p"/>
            </m:rPr>
            <m:t>⋅</m:t>
          </m:r>
          <m:r>
            <m:rPr>
              <m:sty m:val="p"/>
            </m:rPr>
            <m:t>min</m:t>
          </m:r>
          <m:r>
            <m:rPr>
              <m:sty m:val="p"/>
            </m:rPr>
            <m:t>(</m:t>
          </m:r>
          <m:r>
            <m:rPr>
              <m:nor/>
              <m:sty m:val="p"/>
            </m:rPr>
            <m:t>OE</m:t>
          </m:r>
          <m:r>
            <m:rPr>
              <m:sty m:val="p"/>
            </m:rPr>
            <m:t>,</m:t>
          </m:r>
          <m:r>
            <m:rPr>
              <m:nor/>
              <m:sty m:val="p"/>
            </m:rPr>
            <m:t>UE</m:t>
          </m:r>
          <m:r>
            <m:rPr>
              <m:sty m:val="p"/>
            </m:rPr>
            <m:t>)</m:t>
          </m:r>
        </m:oMath>
      </m:oMathPara>
    </w:p>
    <w:p>
      <w:pPr>
        <w:pStyle w:val="FirstParagraph"/>
      </w:pPr>
      <w:r>
        <w:rPr>
          <w:b/>
          <w:bCs/>
        </w:rPr>
        <w:t xml:space="preserve">AEE</w:t>
      </w:r>
      <w:r>
        <w:t xml:space="preserve"> </w:t>
      </w:r>
      <w:r>
        <w:t xml:space="preserve">(англ. Absolute Extent Error) — абсолютная ошибка площади — представляет собой абсолютную разность между переоценкой и недооценкой. Этот компонент отражает систематическое смещение модели: если OE &gt; UE, модель систематически переоценивает площадь ледового покрова; если UE &gt; OE — систематически недооценивает. AEE соответствует традиционным метрикам, основанным на общей площади ледового покрова (Sea Ice Extent, SIE).</w:t>
      </w:r>
    </w:p>
    <w:p>
      <w:pPr>
        <w:pStyle w:val="BodyText"/>
      </w:pPr>
      <w:r>
        <w:rPr>
          <w:b/>
          <w:bCs/>
        </w:rPr>
        <w:t xml:space="preserve">ME</w:t>
      </w:r>
      <w:r>
        <w:t xml:space="preserve"> </w:t>
      </w:r>
      <w:r>
        <w:t xml:space="preserve">(англ. Misplacement Error) — ошибка пространственного смещения — отражает ситуацию компенсированных ошибок: модель прогнозирует верную общую площадь льда, но неверное пространственное распределение. В одних областях прогнозируется избыток льда, в других — недостаток, причём эти ошибки взаимно компенсируются при расчёте общей площади.</w:t>
      </w:r>
    </w:p>
    <w:bookmarkEnd w:id="23"/>
    <w:bookmarkStart w:id="24" w:name="интерпретация-декомпозиции"/>
    <w:p>
      <w:pPr>
        <w:pStyle w:val="Heading2"/>
      </w:pPr>
      <w:r>
        <w:rPr>
          <w:rStyle w:val="SectionNumber"/>
        </w:rPr>
        <w:t xml:space="preserve">6.4</w:t>
      </w:r>
      <w:r>
        <w:tab/>
      </w:r>
      <w:r>
        <w:t xml:space="preserve">4.4. Интерпретация декомпозиции</w:t>
      </w:r>
    </w:p>
    <w:p>
      <w:pPr>
        <w:pStyle w:val="FirstParagraph"/>
      </w:pPr>
      <w:r>
        <w:t xml:space="preserve">Декомпозиция IIEE = AEE + ME разделяет два принципиально разных источника ошибок прогнозирования:</w:t>
      </w:r>
    </w:p>
    <w:tbl>
      <w:tblPr>
        <w:tblStyle w:val="Table"/>
        <w:tblW w:type="pct" w:w="5000"/>
        <w:tblLayout w:type="fixed"/>
        <w:tblLook w:firstRow="1" w:lastRow="0" w:firstColumn="0" w:lastColumn="0" w:noHBand="0" w:noVBand="0" w:val="0020"/>
      </w:tblPr>
      <w:tblGrid>
        <w:gridCol w:w="1893"/>
        <w:gridCol w:w="3099"/>
        <w:gridCol w:w="2926"/>
      </w:tblGrid>
      <w:tr>
        <w:trPr>
          <w:tblHeader w:val="on"/>
        </w:trPr>
        <w:tc>
          <w:tcPr/>
          <w:p>
            <w:pPr>
              <w:pStyle w:val="Compact"/>
            </w:pPr>
            <w:r>
              <w:t xml:space="preserve">Компонент</w:t>
            </w:r>
          </w:p>
        </w:tc>
        <w:tc>
          <w:tcPr/>
          <w:p>
            <w:pPr>
              <w:pStyle w:val="Compact"/>
            </w:pPr>
            <w:r>
              <w:t xml:space="preserve">Физический смысл</w:t>
            </w:r>
          </w:p>
        </w:tc>
        <w:tc>
          <w:tcPr/>
          <w:p>
            <w:pPr>
              <w:pStyle w:val="Compact"/>
            </w:pPr>
            <w:r>
              <w:t xml:space="preserve">Пример ситуации</w:t>
            </w:r>
          </w:p>
        </w:tc>
      </w:tr>
      <w:tr>
        <w:tc>
          <w:tcPr/>
          <w:p>
            <w:pPr>
              <w:pStyle w:val="Compact"/>
            </w:pPr>
            <w:r>
              <w:rPr>
                <w:b/>
                <w:bCs/>
              </w:rPr>
              <w:t xml:space="preserve">AEE</w:t>
            </w:r>
          </w:p>
        </w:tc>
        <w:tc>
          <w:tcPr/>
          <w:p>
            <w:pPr>
              <w:pStyle w:val="Compact"/>
            </w:pPr>
            <w:r>
              <w:t xml:space="preserve">Модель ошибается в общем количестве льда</w:t>
            </w:r>
          </w:p>
        </w:tc>
        <w:tc>
          <w:tcPr/>
          <w:p>
            <w:pPr>
              <w:pStyle w:val="Compact"/>
            </w:pPr>
            <w:r>
              <w:t xml:space="preserve">Прогноз: 100 тыс. км² льда. Факт: 80 тыс. км². AEE = 20 тыс. км²</w:t>
            </w:r>
          </w:p>
        </w:tc>
      </w:tr>
      <w:tr>
        <w:tc>
          <w:tcPr/>
          <w:p>
            <w:pPr>
              <w:pStyle w:val="Compact"/>
            </w:pPr>
            <w:r>
              <w:rPr>
                <w:b/>
                <w:bCs/>
              </w:rPr>
              <w:t xml:space="preserve">ME</w:t>
            </w:r>
          </w:p>
        </w:tc>
        <w:tc>
          <w:tcPr/>
          <w:p>
            <w:pPr>
              <w:pStyle w:val="Compact"/>
            </w:pPr>
            <w:r>
              <w:t xml:space="preserve">Модель ошибается в расположении льда</w:t>
            </w:r>
          </w:p>
        </w:tc>
        <w:tc>
          <w:tcPr/>
          <w:p>
            <w:pPr>
              <w:pStyle w:val="Compact"/>
            </w:pPr>
            <w:r>
              <w:t xml:space="preserve">Прогноз: 100 тыс. км² льда. Факт: 100 тыс. км², но в другом месте. ME &gt; 0, AEE = 0</w:t>
            </w:r>
          </w:p>
        </w:tc>
      </w:tr>
    </w:tbl>
    <w:p>
      <w:pPr>
        <w:pStyle w:val="BodyText"/>
      </w:pPr>
      <w:r>
        <w:t xml:space="preserve">Критически важный результат, установленный в</w:t>
      </w:r>
      <w:r>
        <w:t xml:space="preserve"> </w:t>
      </w:r>
      <w:r>
        <w:t xml:space="preserve">[9]</w:t>
      </w:r>
      <w:r>
        <w:t xml:space="preserve">:</w:t>
      </w:r>
      <w:r>
        <w:t xml:space="preserve"> </w:t>
      </w:r>
      <w:r>
        <w:rPr>
          <w:b/>
          <w:bCs/>
        </w:rPr>
        <w:t xml:space="preserve">для пан-арктических прогнозов ME обычно доминирует в общей величине IIEE</w:t>
      </w:r>
      <w:r>
        <w:t xml:space="preserve">, особенно на коротких временных горизонтах прогнозирования. Авторы показали, что ME составляет более 50% климатологической IIEE, что указывает на фундаментальное ограничение традиционных метрик. Применение IIEE для региональных прогнозов в Баренцевом море подтвердило, что модели машинного обучения достигают точности, сопоставимой с динамическими моделями высокого разрешения</w:t>
      </w:r>
      <w:r>
        <w:t xml:space="preserve"> </w:t>
      </w:r>
      <w:r>
        <w:t xml:space="preserve">[8]</w:t>
      </w:r>
      <w:r>
        <w:t xml:space="preserve">.</w:t>
      </w:r>
    </w:p>
    <w:bookmarkEnd w:id="24"/>
    <w:bookmarkStart w:id="25" w:name="X39f0191ad95e8bc7e788ce1fcb5de40d60417e5"/>
    <w:p>
      <w:pPr>
        <w:pStyle w:val="Heading2"/>
      </w:pPr>
      <w:r>
        <w:rPr>
          <w:rStyle w:val="SectionNumber"/>
        </w:rPr>
        <w:t xml:space="preserve">6.5</w:t>
      </w:r>
      <w:r>
        <w:tab/>
      </w:r>
      <w:r>
        <w:t xml:space="preserve">4.5. Преимущество IIEE перед традиционными метриками</w:t>
      </w:r>
    </w:p>
    <w:p>
      <w:pPr>
        <w:pStyle w:val="FirstParagraph"/>
      </w:pPr>
      <w:r>
        <w:t xml:space="preserve">Традиционные метрики (RMSE, MAE, R²) оценивают общую величину ошибки концентрации, что аналогично компоненту AEE. Они полностью игнорируют информацию о пространственном смещении (ME). Это приводит к парадоксальной ситуации: модель может демонстрировать низкую RMSE и высокий R², но при этом систематически ошибаться в положении кромки льда.</w:t>
      </w:r>
    </w:p>
    <w:p>
      <w:pPr>
        <w:pStyle w:val="BodyText"/>
      </w:pPr>
      <w:r>
        <w:t xml:space="preserve">Декомпозиция IIEE позволяет:</w:t>
      </w:r>
      <w:r>
        <w:t xml:space="preserve"> </w:t>
      </w:r>
      <w:r>
        <w:t xml:space="preserve">1. Разделить ошибку площади и ошибку положения границы;</w:t>
      </w:r>
      <w:r>
        <w:t xml:space="preserve"> </w:t>
      </w:r>
      <w:r>
        <w:t xml:space="preserve">2. Выявить модели с высоким ME, непригодные для навигационных задач;</w:t>
      </w:r>
      <w:r>
        <w:t xml:space="preserve"> </w:t>
      </w:r>
      <w:r>
        <w:t xml:space="preserve">3. Обеспечить интерпретируемость результатов валидации в терминах, значимых для практической навигации.</w:t>
      </w:r>
    </w:p>
    <w:p>
      <w:pPr>
        <w:pStyle w:val="BodyText"/>
      </w:pPr>
      <w:r>
        <w:t xml:space="preserve">Данные преимущества определяют выбор IIEE с декомпозицией в качестве основы методики валидации нейросетевых прогнозов для задач НГО СМП.</w:t>
      </w:r>
    </w:p>
    <w:bookmarkEnd w:id="25"/>
    <w:bookmarkEnd w:id="26"/>
    <w:bookmarkStart w:id="31" w:name="приоритет-me-для-навигационных-задач"/>
    <w:p>
      <w:pPr>
        <w:pStyle w:val="Heading1"/>
      </w:pPr>
      <w:r>
        <w:rPr>
          <w:rStyle w:val="SectionNumber"/>
        </w:rPr>
        <w:t xml:space="preserve">7</w:t>
      </w:r>
      <w:r>
        <w:tab/>
      </w:r>
      <w:r>
        <w:t xml:space="preserve">5. Приоритет ME для навигационных задач</w:t>
      </w:r>
    </w:p>
    <w:bookmarkStart w:id="27" w:name="X13cb54cd56c7ce3fd929007961ee3231a378db9"/>
    <w:p>
      <w:pPr>
        <w:pStyle w:val="Heading2"/>
      </w:pPr>
      <w:r>
        <w:rPr>
          <w:rStyle w:val="SectionNumber"/>
        </w:rPr>
        <w:t xml:space="preserve">7.1</w:t>
      </w:r>
      <w:r>
        <w:tab/>
      </w:r>
      <w:r>
        <w:t xml:space="preserve">5.1. Специфика навигационных требований к прогнозам</w:t>
      </w:r>
    </w:p>
    <w:p>
      <w:pPr>
        <w:pStyle w:val="FirstParagraph"/>
      </w:pPr>
      <w:r>
        <w:t xml:space="preserve">Требования пользователей к прогнозам ледовой обстановки существенно различаются в зависимости от области применения. Для климатологических исследований важна общая площадь ледового покрова и её динамика. Для навигационных задач критичен иной параметр — точное положение границы льда в конкретном районе плавания</w:t>
      </w:r>
      <w:r>
        <w:t xml:space="preserve"> </w:t>
      </w:r>
      <w:r>
        <w:t xml:space="preserve">[18]</w:t>
      </w:r>
      <w:r>
        <w:t xml:space="preserve">.</w:t>
      </w:r>
    </w:p>
    <w:p>
      <w:pPr>
        <w:pStyle w:val="BodyText"/>
      </w:pPr>
      <w:r>
        <w:t xml:space="preserve">Исследование Wagner et al.</w:t>
      </w:r>
      <w:r>
        <w:t xml:space="preserve"> </w:t>
      </w:r>
      <w:r>
        <w:t xml:space="preserve">[18]</w:t>
      </w:r>
      <w:r>
        <w:t xml:space="preserve"> </w:t>
      </w:r>
      <w:r>
        <w:t xml:space="preserve">выявило разрыв между тем, что предоставляют современные системы прогнозирования, и тем, что требуется для тактической навигации. Для оперативного планирования маршрутов необходимо пространственное разрешение от метров до нескольких километров и временное разрешение от часов до суток. Стратегическое планирование допускает разрешение 3–25 км, но по-прежнему требует точного определения положения кромки льда. Следует подчеркнуть, что инструменты моделирования морского льда, разработанные для климатических исследований, не предназначены для краткосрочного прогнозирования и навигационных задач</w:t>
      </w:r>
      <w:r>
        <w:t xml:space="preserve"> </w:t>
      </w:r>
      <w:r>
        <w:t xml:space="preserve">[11]</w:t>
      </w:r>
      <w:r>
        <w:t xml:space="preserve">.</w:t>
      </w:r>
    </w:p>
    <w:p>
      <w:pPr>
        <w:pStyle w:val="BodyText"/>
      </w:pPr>
      <w:r>
        <w:t xml:space="preserve">В контексте декомпозиции IIEE данное требование транслируется в приоритет минимизации компонента ME над компонентом AEE.</w:t>
      </w:r>
    </w:p>
    <w:bookmarkEnd w:id="27"/>
    <w:bookmarkStart w:id="28" w:name="сравнительный-анализ-сценариев"/>
    <w:p>
      <w:pPr>
        <w:pStyle w:val="Heading2"/>
      </w:pPr>
      <w:r>
        <w:rPr>
          <w:rStyle w:val="SectionNumber"/>
        </w:rPr>
        <w:t xml:space="preserve">7.2</w:t>
      </w:r>
      <w:r>
        <w:tab/>
      </w:r>
      <w:r>
        <w:t xml:space="preserve">5.2. Сравнительный анализ сценариев</w:t>
      </w:r>
    </w:p>
    <w:p>
      <w:pPr>
        <w:pStyle w:val="FirstParagraph"/>
      </w:pPr>
      <w:r>
        <w:t xml:space="preserve">Рассмотрим два модельных сценария, демонстрирующих различие между AEE и ME с точки зрения навигационной безопасности.</w:t>
      </w:r>
    </w:p>
    <w:p>
      <w:pPr>
        <w:pStyle w:val="BodyText"/>
      </w:pPr>
      <w:r>
        <w:rPr>
          <w:b/>
          <w:bCs/>
        </w:rPr>
        <w:t xml:space="preserve">Сценарий 1: Высокий AEE, низкий ME</w:t>
      </w:r>
    </w:p>
    <w:p>
      <w:pPr>
        <w:pStyle w:val="BodyText"/>
      </w:pPr>
      <w:r>
        <w:t xml:space="preserve">Модель систематически переоценивает площадь ледового покрова на 20%. При этом пространственное распределение льда определено точно: где модель прогнозирует границу, там она и находится в действительности.</w:t>
      </w:r>
    </w:p>
    <w:p>
      <w:pPr>
        <w:pStyle w:val="BodyText"/>
      </w:pPr>
      <w:r>
        <w:rPr>
          <w:i/>
          <w:iCs/>
        </w:rPr>
        <w:t xml:space="preserve">Навигационная интерпретация</w:t>
      </w:r>
      <w:r>
        <w:t xml:space="preserve">: Прогноз консервативен — судно избегает областей, которые на самом деле свободны ото льда. Это приводит к экономическим потерям (удлинение маршрута), но не создаёт угрозы безопасности. Систематическую ошибку площади можно учесть при планировании.</w:t>
      </w:r>
    </w:p>
    <w:p>
      <w:pPr>
        <w:pStyle w:val="BodyText"/>
      </w:pPr>
      <w:r>
        <w:rPr>
          <w:b/>
          <w:bCs/>
        </w:rPr>
        <w:t xml:space="preserve">Сценарий 2: Низкий AEE, высокий ME</w:t>
      </w:r>
    </w:p>
    <w:p>
      <w:pPr>
        <w:pStyle w:val="BodyText"/>
      </w:pPr>
      <w:r>
        <w:t xml:space="preserve">Модель верно прогнозирует общую площадь ледового покрова. Однако в восточной части акватории прогнозируется избыток льда (OE), а в западной — недостаток (UE). Ошибки компенсируются, AEE близка к нулю.</w:t>
      </w:r>
    </w:p>
    <w:p>
      <w:pPr>
        <w:pStyle w:val="BodyText"/>
      </w:pPr>
      <w:r>
        <w:rPr>
          <w:i/>
          <w:iCs/>
        </w:rPr>
        <w:t xml:space="preserve">Навигационная интерпретация</w:t>
      </w:r>
      <w:r>
        <w:t xml:space="preserve">: Прогноз опасен — судно, планирующее маршрут через западную часть акватории, не ожидает льда и может войти в ледовую зону без подготовки. Это критическая ситуация «пропуска», способная привести к аварии. Общая площадь льда верна, но для конкретного судна на конкретном маршруте это не имеет значения.</w:t>
      </w:r>
    </w:p>
    <w:bookmarkEnd w:id="28"/>
    <w:bookmarkStart w:id="29" w:name="асимметрия-рисков-ue-опаснее-oe"/>
    <w:p>
      <w:pPr>
        <w:pStyle w:val="Heading2"/>
      </w:pPr>
      <w:r>
        <w:rPr>
          <w:rStyle w:val="SectionNumber"/>
        </w:rPr>
        <w:t xml:space="preserve">7.3</w:t>
      </w:r>
      <w:r>
        <w:tab/>
      </w:r>
      <w:r>
        <w:t xml:space="preserve">5.3. Асимметрия рисков: UE опаснее OE</w:t>
      </w:r>
    </w:p>
    <w:p>
      <w:pPr>
        <w:pStyle w:val="FirstParagraph"/>
      </w:pPr>
      <w:r>
        <w:t xml:space="preserve">В составе ME присутствуют обе составляющие — переоценка (OE) и недооценка (UE). С точки зрения навигационной безопасности эти ошибки не равнозначны:</w:t>
      </w:r>
    </w:p>
    <w:p>
      <w:pPr>
        <w:pStyle w:val="Compact"/>
        <w:numPr>
          <w:ilvl w:val="0"/>
          <w:numId w:val="1002"/>
        </w:numPr>
      </w:pPr>
      <w:r>
        <w:rPr>
          <w:b/>
          <w:bCs/>
        </w:rPr>
        <w:t xml:space="preserve">Переоценка (OE)</w:t>
      </w:r>
      <w:r>
        <w:t xml:space="preserve"> </w:t>
      </w:r>
      <w:r>
        <w:t xml:space="preserve">— судно избегает области, которая на самом деле свободна. Последствие: экономические потери, но безопасность не нарушена.</w:t>
      </w:r>
    </w:p>
    <w:p>
      <w:pPr>
        <w:pStyle w:val="Compact"/>
        <w:numPr>
          <w:ilvl w:val="0"/>
          <w:numId w:val="1002"/>
        </w:numPr>
      </w:pPr>
      <w:r>
        <w:rPr>
          <w:b/>
          <w:bCs/>
        </w:rPr>
        <w:t xml:space="preserve">Недооценка (UE)</w:t>
      </w:r>
      <w:r>
        <w:t xml:space="preserve"> </w:t>
      </w:r>
      <w:r>
        <w:t xml:space="preserve">— судно входит в ледовую зону, не ожидая льда. Последствие: потенциальная авария, угроза экипажу, экологические риски.</w:t>
      </w:r>
    </w:p>
    <w:p>
      <w:pPr>
        <w:pStyle w:val="FirstParagraph"/>
      </w:pPr>
      <w:r>
        <w:t xml:space="preserve">Данная асимметрия усиливает важность минимизации ME: даже при низком общем значении IIEE высокий ME может содержать критически опасные ошибки недооценки.</w:t>
      </w:r>
    </w:p>
    <w:bookmarkEnd w:id="29"/>
    <w:bookmarkStart w:id="30" w:name="практические-рекомендации"/>
    <w:p>
      <w:pPr>
        <w:pStyle w:val="Heading2"/>
      </w:pPr>
      <w:r>
        <w:rPr>
          <w:rStyle w:val="SectionNumber"/>
        </w:rPr>
        <w:t xml:space="preserve">7.4</w:t>
      </w:r>
      <w:r>
        <w:tab/>
      </w:r>
      <w:r>
        <w:t xml:space="preserve">5.4. Практические рекомендации</w:t>
      </w:r>
    </w:p>
    <w:p>
      <w:pPr>
        <w:pStyle w:val="FirstParagraph"/>
      </w:pPr>
      <w:r>
        <w:t xml:space="preserve">На основании проведённого анализа формулируются следующие рекомендации для валидации нейросетевых моделей прогнозирования ледовой обстановки в контексте НГО СМП:</w:t>
      </w:r>
    </w:p>
    <w:p>
      <w:pPr>
        <w:numPr>
          <w:ilvl w:val="0"/>
          <w:numId w:val="1003"/>
        </w:numPr>
      </w:pPr>
      <w:r>
        <w:rPr>
          <w:b/>
          <w:bCs/>
        </w:rPr>
        <w:t xml:space="preserve">Приоритет ME над AEE</w:t>
      </w:r>
      <w:r>
        <w:t xml:space="preserve">. При сравнении моделей с близкими значениями IIEE предпочтение следует отдавать модели с меньшим ME, даже если её AEE выше.</w:t>
      </w:r>
    </w:p>
    <w:p>
      <w:pPr>
        <w:numPr>
          <w:ilvl w:val="0"/>
          <w:numId w:val="1003"/>
        </w:numPr>
      </w:pPr>
      <w:r>
        <w:rPr>
          <w:b/>
          <w:bCs/>
        </w:rPr>
        <w:t xml:space="preserve">Раздельный анализ OE и UE</w:t>
      </w:r>
      <w:r>
        <w:t xml:space="preserve">. В дополнение к расчёту ME рекомендуется анализировать соотношение OE/UE. Модели с преобладанием OE (консервативные) предпочтительнее моделей с преобладанием UE (оптимистичные). Точные прогнозы положения кромки льда позволяют оптимизировать маршруты и снизить затраты на ледокольное сопровождение до 16.6%</w:t>
      </w:r>
      <w:r>
        <w:t xml:space="preserve"> </w:t>
      </w:r>
      <w:r>
        <w:t xml:space="preserve">[21]</w:t>
      </w:r>
      <w:r>
        <w:t xml:space="preserve">.</w:t>
      </w:r>
    </w:p>
    <w:p>
      <w:pPr>
        <w:numPr>
          <w:ilvl w:val="0"/>
          <w:numId w:val="1003"/>
        </w:numPr>
      </w:pPr>
      <w:r>
        <w:rPr>
          <w:b/>
          <w:bCs/>
        </w:rPr>
        <w:t xml:space="preserve">Региональная валидация</w:t>
      </w:r>
      <w:r>
        <w:t xml:space="preserve">. ME может существенно различаться по регионам. Для СМП необходима валидация именно в акватории судоходных маршрутов, а не по всей Арктике.</w:t>
      </w:r>
    </w:p>
    <w:p>
      <w:pPr>
        <w:numPr>
          <w:ilvl w:val="0"/>
          <w:numId w:val="1003"/>
        </w:numPr>
      </w:pPr>
      <w:r>
        <w:rPr>
          <w:b/>
          <w:bCs/>
        </w:rPr>
        <w:t xml:space="preserve">Критерий пригодности</w:t>
      </w:r>
      <w:r>
        <w:t xml:space="preserve">. Модель может считаться пригодной для навигационных задач, если выполняется условие:</w:t>
      </w:r>
    </w:p>
    <w:p>
      <w:pPr>
        <w:pStyle w:val="FirstParagraph"/>
      </w:pPr>
      <m:oMathPara>
        <m:oMathParaPr>
          <m:jc m:val="center"/>
        </m:oMathParaPr>
        <m:oMath>
          <m:f>
            <m:fPr>
              <m:type m:val="bar"/>
            </m:fPr>
            <m:num>
              <m:r>
                <m:rPr>
                  <m:nor/>
                  <m:sty m:val="p"/>
                </m:rPr>
                <m:t>ME</m:t>
              </m:r>
            </m:num>
            <m:den>
              <m:r>
                <m:rPr>
                  <m:nor/>
                  <m:sty m:val="p"/>
                </m:rPr>
                <m:t>IIEE</m:t>
              </m:r>
            </m:den>
          </m:f>
          <m:r>
            <m:rPr>
              <m:sty m:val="p"/>
            </m:rPr>
            <m:t>&lt;</m:t>
          </m:r>
          <m:r>
            <m:t>0.5</m:t>
          </m:r>
        </m:oMath>
      </m:oMathPara>
    </w:p>
    <w:p>
      <w:pPr>
        <w:pStyle w:val="FirstParagraph"/>
      </w:pPr>
      <w:r>
        <w:t xml:space="preserve">что соответствует доминированию ошибки площади над ошибкой положения. В противном случае модель требует доработки или применения только для климатологических задач.</w:t>
      </w:r>
    </w:p>
    <w:p>
      <w:pPr>
        <w:pStyle w:val="BodyText"/>
      </w:pPr>
      <w:r>
        <w:t xml:space="preserve">Данные рекомендации формируют основу методики валидации, ориентированной на специфику навигационно-гидрографического обеспечения.</w:t>
      </w:r>
    </w:p>
    <w:p>
      <w:r>
        <w:pict>
          <v:rect style="width:0;height:1.5pt" o:hralign="center" o:hrstd="t" o:hr="t"/>
        </w:pict>
      </w:r>
    </w:p>
    <w:bookmarkEnd w:id="30"/>
    <w:bookmarkEnd w:id="31"/>
    <w:bookmarkStart w:id="37" w:name="методика-применения"/>
    <w:p>
      <w:pPr>
        <w:pStyle w:val="Heading1"/>
      </w:pPr>
      <w:r>
        <w:rPr>
          <w:rStyle w:val="SectionNumber"/>
        </w:rPr>
        <w:t xml:space="preserve">8</w:t>
      </w:r>
      <w:r>
        <w:tab/>
      </w:r>
      <w:r>
        <w:t xml:space="preserve">6. Методика применения</w:t>
      </w:r>
    </w:p>
    <w:p>
      <w:pPr>
        <w:pStyle w:val="FirstParagraph"/>
      </w:pPr>
      <w:r>
        <w:t xml:space="preserve">На основании проведённого анализа метрик и обоснования приоритета ME для навигационных задач представляется методика валидации нейросетевых прогнозов ледовой обстановки.</w:t>
      </w:r>
    </w:p>
    <w:bookmarkStart w:id="32" w:name="этап-1.-подготовка-данных"/>
    <w:p>
      <w:pPr>
        <w:pStyle w:val="Heading2"/>
      </w:pPr>
      <w:r>
        <w:rPr>
          <w:rStyle w:val="SectionNumber"/>
        </w:rPr>
        <w:t xml:space="preserve">8.1</w:t>
      </w:r>
      <w:r>
        <w:tab/>
      </w:r>
      <w:r>
        <w:t xml:space="preserve">6.1. Этап 1. Подготовка данных</w:t>
      </w:r>
    </w:p>
    <w:p>
      <w:pPr>
        <w:pStyle w:val="FirstParagraph"/>
      </w:pPr>
      <w:r>
        <w:t xml:space="preserve">Входными данными для методики являются:</w:t>
      </w:r>
    </w:p>
    <w:p>
      <w:pPr>
        <w:pStyle w:val="BodyText"/>
      </w:pPr>
      <w:r>
        <w:rPr>
          <w:b/>
          <w:bCs/>
        </w:rPr>
        <w:t xml:space="preserve">Прогнозные данные</w:t>
      </w:r>
      <w:r>
        <w:t xml:space="preserve"> </w:t>
      </w:r>
      <w:r>
        <w:t xml:space="preserve">— результаты работы нейросетевой модели прогнозирования концентрации морского льда (SIC). Модель может быть основана на различных архитектурах (U-Net, ConvLSTM, LSTM и др.). Прогноз должен содержать значения SIC в диапазоне [0, 100%] для каждой ячейки пространственной сетки.</w:t>
      </w:r>
    </w:p>
    <w:p>
      <w:pPr>
        <w:pStyle w:val="BodyText"/>
      </w:pPr>
      <w:r>
        <w:rPr>
          <w:b/>
          <w:bCs/>
        </w:rPr>
        <w:t xml:space="preserve">Референсные данные</w:t>
      </w:r>
      <w:r>
        <w:t xml:space="preserve"> </w:t>
      </w:r>
      <w:r>
        <w:t xml:space="preserve">— наблюдаемые значения SIC из независимого источника. Критически важно, чтобы референсные данные не использовались при обучении модели</w:t>
      </w:r>
      <w:r>
        <w:t xml:space="preserve"> </w:t>
      </w:r>
      <w:r>
        <w:t xml:space="preserve">[2]</w:t>
      </w:r>
      <w:r>
        <w:t xml:space="preserve">. Рекомендуемые источники:</w:t>
      </w:r>
      <w:r>
        <w:t xml:space="preserve"> </w:t>
      </w:r>
      <w:r>
        <w:t xml:space="preserve">- данные пассивного микроволнового зондирования (AMSR2, SSM/I) с применением алгоритмов ASI</w:t>
      </w:r>
      <w:r>
        <w:t xml:space="preserve"> </w:t>
      </w:r>
      <w:r>
        <w:t xml:space="preserve">[16]</w:t>
      </w:r>
      <w:r>
        <w:t xml:space="preserve">, NASA Team или Bootstrap</w:t>
      </w:r>
      <w:r>
        <w:t xml:space="preserve"> </w:t>
      </w:r>
      <w:r>
        <w:t xml:space="preserve">[12]</w:t>
      </w:r>
      <w:r>
        <w:t xml:space="preserve">;</w:t>
      </w:r>
      <w:r>
        <w:t xml:space="preserve"> </w:t>
      </w:r>
      <w:r>
        <w:t xml:space="preserve">- климатические записи данных OSI SAF/ESA CCI</w:t>
      </w:r>
      <w:r>
        <w:t xml:space="preserve"> </w:t>
      </w:r>
      <w:r>
        <w:t xml:space="preserve">[13]</w:t>
      </w:r>
      <w:r>
        <w:t xml:space="preserve">;</w:t>
      </w:r>
      <w:r>
        <w:t xml:space="preserve"> </w:t>
      </w:r>
      <w:r>
        <w:t xml:space="preserve">- данные радаров с синтезированной апертурой (Sentinel-1, RADARSAT) с автоматической классификацией</w:t>
      </w:r>
      <w:r>
        <w:t xml:space="preserve"> </w:t>
      </w:r>
      <w:r>
        <w:t xml:space="preserve">[20]</w:t>
      </w:r>
      <w:r>
        <w:t xml:space="preserve">;</w:t>
      </w:r>
      <w:r>
        <w:t xml:space="preserve"> </w:t>
      </w:r>
      <w:r>
        <w:t xml:space="preserve">- ледовые карты ААНИИ</w:t>
      </w:r>
      <w:r>
        <w:t xml:space="preserve"> </w:t>
      </w:r>
      <w:r>
        <w:t xml:space="preserve">[22]</w:t>
      </w:r>
      <w:r>
        <w:t xml:space="preserve">.</w:t>
      </w:r>
    </w:p>
    <w:p>
      <w:pPr>
        <w:pStyle w:val="BodyText"/>
      </w:pPr>
      <w:r>
        <w:rPr>
          <w:b/>
          <w:bCs/>
        </w:rPr>
        <w:t xml:space="preserve">Приведение к единой сетке</w:t>
      </w:r>
      <w:r>
        <w:t xml:space="preserve">. Прогнозные и референсные данные приводятся к единой пространственной сетке методом билинейной интерполяции. Разрешение сетки определяется задачей: 1–5 км для тактической навигации, 10–25 км для стратегического планирования.</w:t>
      </w:r>
    </w:p>
    <w:bookmarkEnd w:id="32"/>
    <w:bookmarkStart w:id="33" w:name="этап-2.-бинаризация-и-расчёт-компонентов"/>
    <w:p>
      <w:pPr>
        <w:pStyle w:val="Heading2"/>
      </w:pPr>
      <w:r>
        <w:rPr>
          <w:rStyle w:val="SectionNumber"/>
        </w:rPr>
        <w:t xml:space="preserve">8.2</w:t>
      </w:r>
      <w:r>
        <w:tab/>
      </w:r>
      <w:r>
        <w:t xml:space="preserve">6.2. Этап 2. Бинаризация и расчёт компонентов</w:t>
      </w:r>
    </w:p>
    <w:p>
      <w:pPr>
        <w:pStyle w:val="FirstParagraph"/>
      </w:pPr>
      <w:r>
        <w:t xml:space="preserve">Для каждой ячейки сетки выполняется бинаризация по порогу 15%:</w:t>
      </w:r>
    </w:p>
    <w:p>
      <w:pPr>
        <w:pStyle w:val="BodyText"/>
      </w:pPr>
      <m:oMathPara>
        <m:oMathParaPr>
          <m:jc m:val="center"/>
        </m:oMathParaPr>
        <m:oMath>
          <m:sSub>
            <m:e>
              <m:r>
                <m:t>c</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rPr>
                            <m:nor/>
                            <m:sty m:val="p"/>
                          </m:rPr>
                          <m:t>если SIC</m:t>
                        </m:r>
                      </m:e>
                      <m:sub>
                        <m:r>
                          <m:t>i</m:t>
                        </m:r>
                      </m:sub>
                    </m:sSub>
                    <m:r>
                      <m:rPr>
                        <m:sty m:val="p"/>
                      </m:rPr>
                      <m:t>&gt;</m:t>
                    </m:r>
                    <m:r>
                      <m:t>15</m:t>
                    </m:r>
                    <m:r>
                      <m:rPr>
                        <m:sty m:val="p"/>
                      </m:rPr>
                      <m:t>%</m:t>
                    </m:r>
                  </m:e>
                </m:mr>
                <m:mr>
                  <m:e>
                    <m:r>
                      <m:t>0</m:t>
                    </m:r>
                    <m:r>
                      <m:rPr>
                        <m:sty m:val="p"/>
                      </m:rPr>
                      <m:t>,</m:t>
                    </m:r>
                  </m:e>
                  <m:e>
                    <m:sSub>
                      <m:e>
                        <m:r>
                          <m:rPr>
                            <m:nor/>
                            <m:sty m:val="p"/>
                          </m:rPr>
                          <m:t>если SIC</m:t>
                        </m:r>
                      </m:e>
                      <m:sub>
                        <m:r>
                          <m:t>i</m:t>
                        </m:r>
                      </m:sub>
                    </m:sSub>
                    <m:r>
                      <m:rPr>
                        <m:sty m:val="p"/>
                      </m:rPr>
                      <m:t>≤</m:t>
                    </m:r>
                    <m:r>
                      <m:t>15</m:t>
                    </m:r>
                    <m:r>
                      <m:rPr>
                        <m:sty m:val="p"/>
                      </m:rPr>
                      <m:t>%</m:t>
                    </m:r>
                  </m:e>
                </m:mr>
              </m:m>
            </m:e>
          </m:d>
        </m:oMath>
      </m:oMathPara>
    </w:p>
    <w:p>
      <w:pPr>
        <w:pStyle w:val="FirstParagraph"/>
      </w:pPr>
      <w:r>
        <w:t xml:space="preserve">Далее рассчитываются компоненты ошибки:</w:t>
      </w:r>
    </w:p>
    <w:p>
      <w:pPr>
        <w:pStyle w:val="BodyText"/>
      </w:pPr>
      <m:oMathPara>
        <m:oMathParaPr>
          <m:jc m:val="center"/>
        </m:oMathParaPr>
        <m:oMath>
          <m:r>
            <m:rPr>
              <m:nor/>
              <m:sty m:val="p"/>
            </m:rPr>
            <m:t>OE</m:t>
          </m:r>
          <m:r>
            <m:rPr>
              <m:sty m:val="p"/>
            </m:rPr>
            <m:t>=</m:t>
          </m:r>
          <m:nary>
            <m:naryPr>
              <m:chr m:val="∑"/>
              <m:limLoc m:val="undOvr"/>
              <m:subHide m:val="off"/>
              <m:supHide m:val="on"/>
            </m:naryPr>
            <m:sub>
              <m:r>
                <m:t>i</m:t>
              </m:r>
              <m:r>
                <m:rPr>
                  <m:sty m:val="p"/>
                </m:rPr>
                <m:t>∈</m:t>
              </m:r>
              <m:r>
                <m:t>A</m:t>
              </m:r>
            </m:sub>
            <m:sup>
              <m:r>
                <m:t>​</m:t>
              </m:r>
            </m:sup>
            <m:e>
              <m:sSub>
                <m:e>
                  <m:r>
                    <m:t>S</m:t>
                  </m:r>
                </m:e>
                <m:sub>
                  <m:r>
                    <m:t>i</m:t>
                  </m:r>
                </m:sub>
              </m:sSub>
            </m:e>
          </m:nary>
          <m:r>
            <m:rPr>
              <m:sty m:val="p"/>
            </m:rPr>
            <m:t>⋅</m:t>
          </m:r>
          <m:r>
            <m:rPr>
              <m:scr m:val="double-struck"/>
              <m:sty m:val="p"/>
            </m:rPr>
            <m:t>1</m:t>
          </m:r>
          <m:r>
            <m:rPr>
              <m:sty m:val="p"/>
            </m:rPr>
            <m:t>[</m:t>
          </m:r>
          <m:sSub>
            <m:e>
              <m:r>
                <m:t>c</m:t>
              </m:r>
            </m:e>
            <m:sub>
              <m:r>
                <m:rPr>
                  <m:nor/>
                  <m:sty m:val="p"/>
                </m:rPr>
                <m:t>прогноз</m:t>
              </m:r>
              <m:r>
                <m:rPr>
                  <m:sty m:val="p"/>
                </m:rPr>
                <m:t>,</m:t>
              </m:r>
              <m:r>
                <m:t>i</m:t>
              </m:r>
            </m:sub>
          </m:sSub>
          <m:r>
            <m:rPr>
              <m:sty m:val="p"/>
            </m:rPr>
            <m:t>=</m:t>
          </m:r>
          <m:r>
            <m:t>1</m:t>
          </m:r>
          <m:r>
            <m:rPr>
              <m:sty m:val="p"/>
            </m:rPr>
            <m:t>∧</m:t>
          </m:r>
          <m:sSub>
            <m:e>
              <m:r>
                <m:t>c</m:t>
              </m:r>
            </m:e>
            <m:sub>
              <m:r>
                <m:rPr>
                  <m:nor/>
                  <m:sty m:val="p"/>
                </m:rPr>
                <m:t>набл</m:t>
              </m:r>
              <m:r>
                <m:rPr>
                  <m:sty m:val="p"/>
                </m:rPr>
                <m:t>,</m:t>
              </m:r>
              <m:r>
                <m:t>i</m:t>
              </m:r>
            </m:sub>
          </m:sSub>
          <m:r>
            <m:rPr>
              <m:sty m:val="p"/>
            </m:rPr>
            <m:t>=</m:t>
          </m:r>
          <m:r>
            <m:t>0</m:t>
          </m:r>
          <m:r>
            <m:rPr>
              <m:sty m:val="p"/>
            </m:rPr>
            <m:t>]</m:t>
          </m:r>
        </m:oMath>
      </m:oMathPara>
    </w:p>
    <w:p>
      <w:pPr>
        <w:pStyle w:val="FirstParagraph"/>
      </w:pPr>
      <m:oMathPara>
        <m:oMathParaPr>
          <m:jc m:val="center"/>
        </m:oMathParaPr>
        <m:oMath>
          <m:r>
            <m:rPr>
              <m:nor/>
              <m:sty m:val="p"/>
            </m:rPr>
            <m:t>UE</m:t>
          </m:r>
          <m:r>
            <m:rPr>
              <m:sty m:val="p"/>
            </m:rPr>
            <m:t>=</m:t>
          </m:r>
          <m:nary>
            <m:naryPr>
              <m:chr m:val="∑"/>
              <m:limLoc m:val="undOvr"/>
              <m:subHide m:val="off"/>
              <m:supHide m:val="on"/>
            </m:naryPr>
            <m:sub>
              <m:r>
                <m:t>i</m:t>
              </m:r>
              <m:r>
                <m:rPr>
                  <m:sty m:val="p"/>
                </m:rPr>
                <m:t>∈</m:t>
              </m:r>
              <m:r>
                <m:t>A</m:t>
              </m:r>
            </m:sub>
            <m:sup>
              <m:r>
                <m:t>​</m:t>
              </m:r>
            </m:sup>
            <m:e>
              <m:sSub>
                <m:e>
                  <m:r>
                    <m:t>S</m:t>
                  </m:r>
                </m:e>
                <m:sub>
                  <m:r>
                    <m:t>i</m:t>
                  </m:r>
                </m:sub>
              </m:sSub>
            </m:e>
          </m:nary>
          <m:r>
            <m:rPr>
              <m:sty m:val="p"/>
            </m:rPr>
            <m:t>⋅</m:t>
          </m:r>
          <m:r>
            <m:rPr>
              <m:scr m:val="double-struck"/>
              <m:sty m:val="p"/>
            </m:rPr>
            <m:t>1</m:t>
          </m:r>
          <m:r>
            <m:rPr>
              <m:sty m:val="p"/>
            </m:rPr>
            <m:t>[</m:t>
          </m:r>
          <m:sSub>
            <m:e>
              <m:r>
                <m:t>c</m:t>
              </m:r>
            </m:e>
            <m:sub>
              <m:r>
                <m:rPr>
                  <m:nor/>
                  <m:sty m:val="p"/>
                </m:rPr>
                <m:t>прогноз</m:t>
              </m:r>
              <m:r>
                <m:rPr>
                  <m:sty m:val="p"/>
                </m:rPr>
                <m:t>,</m:t>
              </m:r>
              <m:r>
                <m:t>i</m:t>
              </m:r>
            </m:sub>
          </m:sSub>
          <m:r>
            <m:rPr>
              <m:sty m:val="p"/>
            </m:rPr>
            <m:t>=</m:t>
          </m:r>
          <m:r>
            <m:t>0</m:t>
          </m:r>
          <m:r>
            <m:rPr>
              <m:sty m:val="p"/>
            </m:rPr>
            <m:t>∧</m:t>
          </m:r>
          <m:sSub>
            <m:e>
              <m:r>
                <m:t>c</m:t>
              </m:r>
            </m:e>
            <m:sub>
              <m:r>
                <m:rPr>
                  <m:nor/>
                  <m:sty m:val="p"/>
                </m:rPr>
                <m:t>набл</m:t>
              </m:r>
              <m:r>
                <m:rPr>
                  <m:sty m:val="p"/>
                </m:rPr>
                <m:t>,</m:t>
              </m:r>
              <m:r>
                <m:t>i</m:t>
              </m:r>
            </m:sub>
          </m:sSub>
          <m:r>
            <m:rPr>
              <m:sty m:val="p"/>
            </m:rPr>
            <m:t>=</m:t>
          </m:r>
          <m:r>
            <m:t>1</m:t>
          </m:r>
          <m:r>
            <m:rPr>
              <m:sty m:val="p"/>
            </m:rPr>
            <m:t>]</m:t>
          </m:r>
        </m:oMath>
      </m:oMathPara>
    </w:p>
    <w:p>
      <w:pPr>
        <w:pStyle w:val="FirstParagraph"/>
      </w:pPr>
      <w:r>
        <w:t xml:space="preserve">где</w:t>
      </w:r>
      <w:r>
        <w:t xml:space="preserve"> </w:t>
      </w:r>
      <m:oMath>
        <m:sSub>
          <m:e>
            <m:r>
              <m:t>S</m:t>
            </m:r>
          </m:e>
          <m:sub>
            <m:r>
              <m:t>i</m:t>
            </m:r>
          </m:sub>
        </m:sSub>
      </m:oMath>
      <w:r>
        <w:t xml:space="preserve"> </w:t>
      </w:r>
      <w:r>
        <w:t xml:space="preserve">— площадь ячейки</w:t>
      </w:r>
      <w:r>
        <w:t xml:space="preserve"> </w:t>
      </w:r>
      <m:oMath>
        <m:r>
          <m:t>i</m:t>
        </m:r>
      </m:oMath>
      <w:r>
        <w:t xml:space="preserve">,</w:t>
      </w:r>
      <w:r>
        <w:t xml:space="preserve"> </w:t>
      </w:r>
      <m:oMath>
        <m:r>
          <m:t>A</m:t>
        </m:r>
      </m:oMath>
      <w:r>
        <w:t xml:space="preserve"> </w:t>
      </w:r>
      <w:r>
        <w:t xml:space="preserve">— область интереса,</w:t>
      </w:r>
      <w:r>
        <w:t xml:space="preserve"> </w:t>
      </w:r>
      <m:oMath>
        <m:r>
          <m:rPr>
            <m:scr m:val="double-struck"/>
            <m:sty m:val="p"/>
          </m:rPr>
          <m:t>1</m:t>
        </m:r>
        <m:r>
          <m:rPr>
            <m:sty m:val="p"/>
          </m:rPr>
          <m:t>[</m:t>
        </m:r>
        <m:r>
          <m:rPr>
            <m:sty m:val="p"/>
          </m:rPr>
          <m:t>⋅</m:t>
        </m:r>
        <m:r>
          <m:rPr>
            <m:sty m:val="p"/>
          </m:rPr>
          <m:t>]</m:t>
        </m:r>
      </m:oMath>
      <w:r>
        <w:t xml:space="preserve"> </w:t>
      </w:r>
      <w:r>
        <w:t xml:space="preserve">— индикаторная функция.</w:t>
      </w:r>
    </w:p>
    <w:p>
      <w:pPr>
        <w:pStyle w:val="BodyText"/>
      </w:pPr>
      <w:r>
        <w:t xml:space="preserve">На основе OE и UE вычисляются итоговые метрики:</w:t>
      </w:r>
    </w:p>
    <w:p>
      <w:pPr>
        <w:pStyle w:val="BodyText"/>
      </w:pPr>
      <m:oMathPara>
        <m:oMathParaPr>
          <m:jc m:val="center"/>
        </m:oMathParaPr>
        <m:oMath>
          <m:r>
            <m:rPr>
              <m:nor/>
              <m:sty m:val="p"/>
            </m:rPr>
            <m:t>IIEE</m:t>
          </m:r>
          <m:r>
            <m:rPr>
              <m:sty m:val="p"/>
            </m:rPr>
            <m:t>=</m:t>
          </m:r>
          <m:r>
            <m:rPr>
              <m:nor/>
              <m:sty m:val="p"/>
            </m:rPr>
            <m:t>OE</m:t>
          </m:r>
          <m:r>
            <m:rPr>
              <m:sty m:val="p"/>
            </m:rPr>
            <m:t>+</m:t>
          </m:r>
          <m:r>
            <m:rPr>
              <m:nor/>
              <m:sty m:val="p"/>
            </m:rPr>
            <m:t>UE</m:t>
          </m:r>
        </m:oMath>
      </m:oMathPara>
    </w:p>
    <w:p>
      <w:pPr>
        <w:pStyle w:val="FirstParagraph"/>
      </w:pPr>
      <m:oMathPara>
        <m:oMathParaPr>
          <m:jc m:val="center"/>
        </m:oMathParaPr>
        <m:oMath>
          <m:r>
            <m:rPr>
              <m:nor/>
              <m:sty m:val="p"/>
            </m:rPr>
            <m:t>AEE</m:t>
          </m:r>
          <m:r>
            <m:rPr>
              <m:sty m:val="p"/>
            </m:rPr>
            <m:t>=</m:t>
          </m:r>
          <m:r>
            <m:rPr>
              <m:sty m:val="p"/>
            </m:rPr>
            <m:t>|</m:t>
          </m:r>
          <m:r>
            <m:rPr>
              <m:nor/>
              <m:sty m:val="p"/>
            </m:rPr>
            <m:t>OE</m:t>
          </m:r>
          <m:r>
            <m:rPr>
              <m:sty m:val="p"/>
            </m:rPr>
            <m:t>−</m:t>
          </m:r>
          <m:r>
            <m:rPr>
              <m:nor/>
              <m:sty m:val="p"/>
            </m:rPr>
            <m:t>UE</m:t>
          </m:r>
          <m:r>
            <m:rPr>
              <m:sty m:val="p"/>
            </m:rPr>
            <m:t>|</m:t>
          </m:r>
        </m:oMath>
      </m:oMathPara>
    </w:p>
    <w:p>
      <w:pPr>
        <w:pStyle w:val="FirstParagraph"/>
      </w:pPr>
      <m:oMathPara>
        <m:oMathParaPr>
          <m:jc m:val="center"/>
        </m:oMathParaPr>
        <m:oMath>
          <m:r>
            <m:rPr>
              <m:nor/>
              <m:sty m:val="p"/>
            </m:rPr>
            <m:t>ME</m:t>
          </m:r>
          <m:r>
            <m:rPr>
              <m:sty m:val="p"/>
            </m:rPr>
            <m:t>=</m:t>
          </m:r>
          <m:r>
            <m:t>2</m:t>
          </m:r>
          <m:r>
            <m:rPr>
              <m:sty m:val="p"/>
            </m:rPr>
            <m:t>⋅</m:t>
          </m:r>
          <m:r>
            <m:rPr>
              <m:sty m:val="p"/>
            </m:rPr>
            <m:t>min</m:t>
          </m:r>
          <m:r>
            <m:rPr>
              <m:sty m:val="p"/>
            </m:rPr>
            <m:t>(</m:t>
          </m:r>
          <m:r>
            <m:rPr>
              <m:nor/>
              <m:sty m:val="p"/>
            </m:rPr>
            <m:t>OE</m:t>
          </m:r>
          <m:r>
            <m:rPr>
              <m:sty m:val="p"/>
            </m:rPr>
            <m:t>,</m:t>
          </m:r>
          <m:r>
            <m:rPr>
              <m:nor/>
              <m:sty m:val="p"/>
            </m:rPr>
            <m:t>UE</m:t>
          </m:r>
          <m:r>
            <m:rPr>
              <m:sty m:val="p"/>
            </m:rPr>
            <m:t>)</m:t>
          </m:r>
        </m:oMath>
      </m:oMathPara>
    </w:p>
    <w:bookmarkEnd w:id="33"/>
    <w:bookmarkStart w:id="34" w:name="этап-3.-интерпретация-результатов"/>
    <w:p>
      <w:pPr>
        <w:pStyle w:val="Heading2"/>
      </w:pPr>
      <w:r>
        <w:rPr>
          <w:rStyle w:val="SectionNumber"/>
        </w:rPr>
        <w:t xml:space="preserve">8.3</w:t>
      </w:r>
      <w:r>
        <w:tab/>
      </w:r>
      <w:r>
        <w:t xml:space="preserve">6.3. Этап 3. Интерпретация результатов</w:t>
      </w:r>
    </w:p>
    <w:p>
      <w:pPr>
        <w:pStyle w:val="FirstParagraph"/>
      </w:pPr>
      <w:r>
        <w:t xml:space="preserve">Результаты валидации интерпретируются по следующей схеме:</w:t>
      </w:r>
    </w:p>
    <w:tbl>
      <w:tblPr>
        <w:tblStyle w:val="Table"/>
        <w:tblW w:type="pct" w:w="5000"/>
        <w:tblLayout w:type="fixed"/>
        <w:tblLook w:firstRow="1" w:lastRow="0" w:firstColumn="0" w:lastColumn="0" w:noHBand="0" w:noVBand="0" w:val="0020"/>
      </w:tblPr>
      <w:tblGrid>
        <w:gridCol w:w="2860"/>
        <w:gridCol w:w="1980"/>
        <w:gridCol w:w="3080"/>
      </w:tblGrid>
      <w:tr>
        <w:trPr>
          <w:tblHeader w:val="on"/>
        </w:trPr>
        <w:tc>
          <w:tcPr/>
          <w:p>
            <w:pPr>
              <w:pStyle w:val="Compact"/>
            </w:pPr>
            <w:r>
              <w:t xml:space="preserve">Соотношение</w:t>
            </w:r>
          </w:p>
        </w:tc>
        <w:tc>
          <w:tcPr/>
          <w:p>
            <w:pPr>
              <w:pStyle w:val="Compact"/>
            </w:pPr>
            <w:r>
              <w:t xml:space="preserve">Диагноз</w:t>
            </w:r>
          </w:p>
        </w:tc>
        <w:tc>
          <w:tcPr/>
          <w:p>
            <w:pPr>
              <w:pStyle w:val="Compact"/>
            </w:pPr>
            <w:r>
              <w:t xml:space="preserve">Рекомендация</w:t>
            </w:r>
          </w:p>
        </w:tc>
      </w:tr>
      <w:tr>
        <w:tc>
          <w:tcPr/>
          <w:p>
            <w:pPr>
              <w:pStyle w:val="Compact"/>
            </w:pPr>
            <w:r>
              <w:t xml:space="preserve">ME/IIEE &lt; 0.5</w:t>
            </w:r>
          </w:p>
        </w:tc>
        <w:tc>
          <w:tcPr/>
          <w:p>
            <w:pPr>
              <w:pStyle w:val="Compact"/>
            </w:pPr>
            <w:r>
              <w:t xml:space="preserve">Доминирует ошибка площади</w:t>
            </w:r>
          </w:p>
        </w:tc>
        <w:tc>
          <w:tcPr/>
          <w:p>
            <w:pPr>
              <w:pStyle w:val="Compact"/>
            </w:pPr>
            <w:r>
              <w:t xml:space="preserve">Модель пригодна для навигации; возможна коррекция систематического смещения</w:t>
            </w:r>
          </w:p>
        </w:tc>
      </w:tr>
      <w:tr>
        <w:tc>
          <w:tcPr/>
          <w:p>
            <w:pPr>
              <w:pStyle w:val="Compact"/>
            </w:pPr>
            <w:r>
              <w:t xml:space="preserve">ME/IIEE ≥ 0.5</w:t>
            </w:r>
          </w:p>
        </w:tc>
        <w:tc>
          <w:tcPr/>
          <w:p>
            <w:pPr>
              <w:pStyle w:val="Compact"/>
            </w:pPr>
            <w:r>
              <w:t xml:space="preserve">Доминирует ошибка положения</w:t>
            </w:r>
          </w:p>
        </w:tc>
        <w:tc>
          <w:tcPr/>
          <w:p>
            <w:pPr>
              <w:pStyle w:val="Compact"/>
            </w:pPr>
            <w:r>
              <w:t xml:space="preserve">Модель требует доработки для навигационных задач</w:t>
            </w:r>
          </w:p>
        </w:tc>
      </w:tr>
      <w:tr>
        <w:tc>
          <w:tcPr/>
          <w:p>
            <w:pPr>
              <w:pStyle w:val="Compact"/>
            </w:pPr>
            <w:r>
              <w:t xml:space="preserve">OE &gt;&gt; UE</w:t>
            </w:r>
          </w:p>
        </w:tc>
        <w:tc>
          <w:tcPr/>
          <w:p>
            <w:pPr>
              <w:pStyle w:val="Compact"/>
            </w:pPr>
            <w:r>
              <w:t xml:space="preserve">Консервативный прогноз</w:t>
            </w:r>
          </w:p>
        </w:tc>
        <w:tc>
          <w:tcPr/>
          <w:p>
            <w:pPr>
              <w:pStyle w:val="Compact"/>
            </w:pPr>
            <w:r>
              <w:t xml:space="preserve">Приемлемо для навигации; экономические потери</w:t>
            </w:r>
          </w:p>
        </w:tc>
      </w:tr>
      <w:tr>
        <w:tc>
          <w:tcPr/>
          <w:p>
            <w:pPr>
              <w:pStyle w:val="Compact"/>
            </w:pPr>
            <w:r>
              <w:t xml:space="preserve">UE &gt;&gt; OE</w:t>
            </w:r>
          </w:p>
        </w:tc>
        <w:tc>
          <w:tcPr/>
          <w:p>
            <w:pPr>
              <w:pStyle w:val="Compact"/>
            </w:pPr>
            <w:r>
              <w:t xml:space="preserve">Оптимистичный прогноз</w:t>
            </w:r>
          </w:p>
        </w:tc>
        <w:tc>
          <w:tcPr/>
          <w:p>
            <w:pPr>
              <w:pStyle w:val="Compact"/>
            </w:pPr>
            <w:r>
              <w:t xml:space="preserve">Опасно для навигации; требуется коррекция</w:t>
            </w:r>
          </w:p>
        </w:tc>
      </w:tr>
    </w:tbl>
    <w:p>
      <w:pPr>
        <w:pStyle w:val="BodyText"/>
      </w:pPr>
      <w:r>
        <w:t xml:space="preserve">Дополнительно рекомендуется анализировать пространственное распределение ошибок OE и UE для выявления регионов с систематическими проблемами прогнозирования.</w:t>
      </w:r>
    </w:p>
    <w:bookmarkEnd w:id="34"/>
    <w:bookmarkStart w:id="35" w:name="этап-4.-формирование-рекомендаций"/>
    <w:p>
      <w:pPr>
        <w:pStyle w:val="Heading2"/>
      </w:pPr>
      <w:r>
        <w:rPr>
          <w:rStyle w:val="SectionNumber"/>
        </w:rPr>
        <w:t xml:space="preserve">8.4</w:t>
      </w:r>
      <w:r>
        <w:tab/>
      </w:r>
      <w:r>
        <w:t xml:space="preserve">6.4. Этап 4. Формирование рекомендаций</w:t>
      </w:r>
    </w:p>
    <w:p>
      <w:pPr>
        <w:pStyle w:val="FirstParagraph"/>
      </w:pPr>
      <w:r>
        <w:t xml:space="preserve">На основании результатов валидации формируются рекомендации для системы НГО:</w:t>
      </w:r>
    </w:p>
    <w:p>
      <w:pPr>
        <w:numPr>
          <w:ilvl w:val="0"/>
          <w:numId w:val="1004"/>
        </w:numPr>
      </w:pPr>
      <w:r>
        <w:rPr>
          <w:b/>
          <w:bCs/>
        </w:rPr>
        <w:t xml:space="preserve">Выбор модели</w:t>
      </w:r>
      <w:r>
        <w:t xml:space="preserve">. При наличии нескольких моделей-кандидатов выбирается модель с минимальным ME при условии приемлемого IIEE.</w:t>
      </w:r>
    </w:p>
    <w:p>
      <w:pPr>
        <w:numPr>
          <w:ilvl w:val="0"/>
          <w:numId w:val="1004"/>
        </w:numPr>
      </w:pPr>
      <w:r>
        <w:rPr>
          <w:b/>
          <w:bCs/>
        </w:rPr>
        <w:t xml:space="preserve">Определение области применимости</w:t>
      </w:r>
      <w:r>
        <w:t xml:space="preserve">. Для каждой модели определяются регионы и сезоны, где ME находится в допустимых пределах.</w:t>
      </w:r>
    </w:p>
    <w:p>
      <w:pPr>
        <w:numPr>
          <w:ilvl w:val="0"/>
          <w:numId w:val="1004"/>
        </w:numPr>
      </w:pPr>
      <w:r>
        <w:rPr>
          <w:b/>
          <w:bCs/>
        </w:rPr>
        <w:t xml:space="preserve">Квантификация неопределённости</w:t>
      </w:r>
      <w:r>
        <w:t xml:space="preserve">. Значения OE и UE используются для оценки вероятности ошибки прогноза в конкретном районе.</w:t>
      </w:r>
    </w:p>
    <w:p>
      <w:pPr>
        <w:numPr>
          <w:ilvl w:val="0"/>
          <w:numId w:val="1004"/>
        </w:numPr>
      </w:pPr>
      <w:r>
        <w:rPr>
          <w:b/>
          <w:bCs/>
        </w:rPr>
        <w:t xml:space="preserve">Интеграция с экспертной оценкой</w:t>
      </w:r>
      <w:r>
        <w:t xml:space="preserve">. Результаты автоматической валидации предоставляются ледовому аналитику для принятия финального решения о пригодности прогноза</w:t>
      </w:r>
      <w:r>
        <w:t xml:space="preserve"> </w:t>
      </w:r>
      <w:r>
        <w:t xml:space="preserve">[3]</w:t>
      </w:r>
      <w:r>
        <w:t xml:space="preserve">.</w:t>
      </w:r>
    </w:p>
    <w:bookmarkEnd w:id="35"/>
    <w:bookmarkStart w:id="36" w:name="требования-к-реализации"/>
    <w:p>
      <w:pPr>
        <w:pStyle w:val="Heading2"/>
      </w:pPr>
      <w:r>
        <w:rPr>
          <w:rStyle w:val="SectionNumber"/>
        </w:rPr>
        <w:t xml:space="preserve">8.5</w:t>
      </w:r>
      <w:r>
        <w:tab/>
      </w:r>
      <w:r>
        <w:t xml:space="preserve">6.5. Требования к реализации</w:t>
      </w:r>
    </w:p>
    <w:p>
      <w:pPr>
        <w:pStyle w:val="FirstParagraph"/>
      </w:pPr>
      <w:r>
        <w:t xml:space="preserve">Для практического применения методики необходимо обеспечить:</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Параметр</w:t>
            </w:r>
          </w:p>
        </w:tc>
        <w:tc>
          <w:tcPr/>
          <w:p>
            <w:pPr>
              <w:pStyle w:val="Compact"/>
            </w:pPr>
            <w:r>
              <w:t xml:space="preserve">Требование</w:t>
            </w:r>
          </w:p>
        </w:tc>
      </w:tr>
      <w:tr>
        <w:tc>
          <w:tcPr/>
          <w:p>
            <w:pPr>
              <w:pStyle w:val="Compact"/>
            </w:pPr>
            <w:r>
              <w:t xml:space="preserve">Пространственное разрешение</w:t>
            </w:r>
          </w:p>
        </w:tc>
        <w:tc>
          <w:tcPr/>
          <w:p>
            <w:pPr>
              <w:pStyle w:val="Compact"/>
            </w:pPr>
            <w:r>
              <w:t xml:space="preserve">1–25 км</w:t>
            </w:r>
          </w:p>
        </w:tc>
      </w:tr>
      <w:tr>
        <w:tc>
          <w:tcPr/>
          <w:p>
            <w:pPr>
              <w:pStyle w:val="Compact"/>
            </w:pPr>
            <w:r>
              <w:t xml:space="preserve">Временное разрешение</w:t>
            </w:r>
          </w:p>
        </w:tc>
        <w:tc>
          <w:tcPr/>
          <w:p>
            <w:pPr>
              <w:pStyle w:val="Compact"/>
            </w:pPr>
            <w:r>
              <w:t xml:space="preserve">суточное или выше</w:t>
            </w:r>
          </w:p>
        </w:tc>
      </w:tr>
      <w:tr>
        <w:tc>
          <w:tcPr/>
          <w:p>
            <w:pPr>
              <w:pStyle w:val="Compact"/>
            </w:pPr>
            <w:r>
              <w:t xml:space="preserve">Область валидации</w:t>
            </w:r>
          </w:p>
        </w:tc>
        <w:tc>
          <w:tcPr/>
          <w:p>
            <w:pPr>
              <w:pStyle w:val="Compact"/>
            </w:pPr>
            <w:r>
              <w:t xml:space="preserve">акватория СМП (28 районов по классификации ААНИИ)</w:t>
            </w:r>
          </w:p>
        </w:tc>
      </w:tr>
      <w:tr>
        <w:tc>
          <w:tcPr/>
          <w:p>
            <w:pPr>
              <w:pStyle w:val="Compact"/>
            </w:pPr>
            <w:r>
              <w:t xml:space="preserve">Независимость данных</w:t>
            </w:r>
          </w:p>
        </w:tc>
        <w:tc>
          <w:tcPr/>
          <w:p>
            <w:pPr>
              <w:pStyle w:val="Compact"/>
            </w:pPr>
            <w:r>
              <w:t xml:space="preserve">референсные данные не должны пересекаться с обучающей выборкой</w:t>
            </w:r>
          </w:p>
        </w:tc>
      </w:tr>
      <w:tr>
        <w:tc>
          <w:tcPr/>
          <w:p>
            <w:pPr>
              <w:pStyle w:val="Compact"/>
            </w:pPr>
            <w:r>
              <w:t xml:space="preserve">Формат выходных данных</w:t>
            </w:r>
          </w:p>
        </w:tc>
        <w:tc>
          <w:tcPr/>
          <w:p>
            <w:pPr>
              <w:pStyle w:val="Compact"/>
            </w:pPr>
            <w:r>
              <w:t xml:space="preserve">IIEE, AEE, ME, OE, UE в км²; карты пространственного распределения ошибок</w:t>
            </w:r>
          </w:p>
        </w:tc>
      </w:tr>
    </w:tbl>
    <w:p>
      <w:pPr>
        <w:pStyle w:val="BodyText"/>
      </w:pPr>
      <w:r>
        <w:t xml:space="preserve">Методика может быть реализована в виде программного модуля для интеграции в существующие ГИС НГО.</w:t>
      </w:r>
    </w:p>
    <w:bookmarkEnd w:id="36"/>
    <w:bookmarkEnd w:id="37"/>
    <w:bookmarkStart w:id="38" w:name="заключение"/>
    <w:p>
      <w:pPr>
        <w:pStyle w:val="Heading1"/>
      </w:pPr>
      <w:r>
        <w:rPr>
          <w:rStyle w:val="SectionNumber"/>
        </w:rPr>
        <w:t xml:space="preserve">9</w:t>
      </w:r>
      <w:r>
        <w:tab/>
      </w:r>
      <w:r>
        <w:t xml:space="preserve">7. Заключение</w:t>
      </w:r>
    </w:p>
    <w:p>
      <w:pPr>
        <w:pStyle w:val="FirstParagraph"/>
      </w:pPr>
      <w:r>
        <w:t xml:space="preserve">В работе представлена методика валидации нейросетевых прогнозов ледовой обстановки, ориентированная на специфику задач навигационно-гидрографического обеспечения Северного морского пути.</w:t>
      </w:r>
    </w:p>
    <w:p>
      <w:pPr>
        <w:pStyle w:val="BodyText"/>
      </w:pPr>
      <w:r>
        <w:rPr>
          <w:b/>
          <w:bCs/>
        </w:rPr>
        <w:t xml:space="preserve">Основные результаты исследования:</w:t>
      </w:r>
    </w:p>
    <w:p>
      <w:pPr>
        <w:numPr>
          <w:ilvl w:val="0"/>
          <w:numId w:val="1005"/>
        </w:numPr>
      </w:pPr>
      <w:r>
        <w:t xml:space="preserve">Показано, что традиционные метрики оценки качества прогнозов (RMSE, MAE, R²) не учитывают пространственное распределение ошибок и не позволяют оценить пригодность прогноза для навигационных задач.</w:t>
      </w:r>
    </w:p>
    <w:p>
      <w:pPr>
        <w:numPr>
          <w:ilvl w:val="0"/>
          <w:numId w:val="1005"/>
        </w:numPr>
      </w:pPr>
      <w:r>
        <w:t xml:space="preserve">Представлена интегрированная ледовая пограничная ошибка (IIEE) и её декомпозиция на компоненты AEE (ошибка площади) и ME (ошибка положения границы), позволяющая разделить два принципиально различных источника ошибок прогнозирования.</w:t>
      </w:r>
    </w:p>
    <w:p>
      <w:pPr>
        <w:numPr>
          <w:ilvl w:val="0"/>
          <w:numId w:val="1005"/>
        </w:numPr>
      </w:pPr>
      <w:r>
        <w:t xml:space="preserve">Обосновано, что для задач навигационно-гидрографического обеспечения минимизация ME имеет приоритет над минимизацией AEE, поскольку точное положение кромки льда критичнее общей площади ледового покрова.</w:t>
      </w:r>
    </w:p>
    <w:p>
      <w:pPr>
        <w:numPr>
          <w:ilvl w:val="0"/>
          <w:numId w:val="1005"/>
        </w:numPr>
      </w:pPr>
      <w:r>
        <w:t xml:space="preserve">Предложена четырёхэтапная методика валидации с критерием пригодности модели ME/IIEE &lt; 0.5.</w:t>
      </w:r>
    </w:p>
    <w:p>
      <w:pPr>
        <w:pStyle w:val="FirstParagraph"/>
      </w:pPr>
      <w:r>
        <w:rPr>
          <w:b/>
          <w:bCs/>
        </w:rPr>
        <w:t xml:space="preserve">Практические рекомендации:</w:t>
      </w:r>
    </w:p>
    <w:p>
      <w:pPr>
        <w:pStyle w:val="Compact"/>
        <w:numPr>
          <w:ilvl w:val="0"/>
          <w:numId w:val="1006"/>
        </w:numPr>
      </w:pPr>
      <w:r>
        <w:t xml:space="preserve">При валидации моделей для НГО СМП использовать IIEE с декомпозицией на AEE и ME;</w:t>
      </w:r>
    </w:p>
    <w:p>
      <w:pPr>
        <w:pStyle w:val="Compact"/>
        <w:numPr>
          <w:ilvl w:val="0"/>
          <w:numId w:val="1006"/>
        </w:numPr>
      </w:pPr>
      <w:r>
        <w:t xml:space="preserve">Предпочтение отдавать моделям с минимальным ME при сопоставимых значениях IIEE;</w:t>
      </w:r>
    </w:p>
    <w:p>
      <w:pPr>
        <w:pStyle w:val="Compact"/>
        <w:numPr>
          <w:ilvl w:val="0"/>
          <w:numId w:val="1006"/>
        </w:numPr>
      </w:pPr>
      <w:r>
        <w:t xml:space="preserve">Анализировать соотношение OE/UE для выявления консервативных и оптимистичных прогнозов;</w:t>
      </w:r>
    </w:p>
    <w:p>
      <w:pPr>
        <w:pStyle w:val="Compact"/>
        <w:numPr>
          <w:ilvl w:val="0"/>
          <w:numId w:val="1006"/>
        </w:numPr>
      </w:pPr>
      <w:r>
        <w:t xml:space="preserve">Использовать независимые данные ДЗЗ для референсной валидации.</w:t>
      </w:r>
    </w:p>
    <w:p>
      <w:pPr>
        <w:pStyle w:val="FirstParagraph"/>
      </w:pPr>
      <w:r>
        <w:rPr>
          <w:b/>
          <w:bCs/>
        </w:rPr>
        <w:t xml:space="preserve">Направления дальнейших исследований:</w:t>
      </w:r>
    </w:p>
    <w:p>
      <w:pPr>
        <w:pStyle w:val="Compact"/>
        <w:numPr>
          <w:ilvl w:val="0"/>
          <w:numId w:val="1007"/>
        </w:numPr>
      </w:pPr>
      <w:r>
        <w:t xml:space="preserve">Разработка программного модуля для автоматизированного расчёта IIEE/AEE/ME и его интеграция в ГИС НГО;</w:t>
      </w:r>
    </w:p>
    <w:p>
      <w:pPr>
        <w:pStyle w:val="Compact"/>
        <w:numPr>
          <w:ilvl w:val="0"/>
          <w:numId w:val="1007"/>
        </w:numPr>
      </w:pPr>
      <w:r>
        <w:t xml:space="preserve">Исследование зависимости ME от горизонта прогнозирования для различных нейросетевых архитектур;</w:t>
      </w:r>
    </w:p>
    <w:p>
      <w:pPr>
        <w:pStyle w:val="Compact"/>
        <w:numPr>
          <w:ilvl w:val="0"/>
          <w:numId w:val="1007"/>
        </w:numPr>
      </w:pPr>
      <w:r>
        <w:t xml:space="preserve">Адаптация методики для российских источников данных ДЗЗ (Арктика-М, Метеор-М);</w:t>
      </w:r>
    </w:p>
    <w:p>
      <w:pPr>
        <w:pStyle w:val="Compact"/>
        <w:numPr>
          <w:ilvl w:val="0"/>
          <w:numId w:val="1007"/>
        </w:numPr>
      </w:pPr>
      <w:r>
        <w:t xml:space="preserve">Валидация методики на данных реальных навигационных операций по СМП.</w:t>
      </w:r>
    </w:p>
    <w:p>
      <w:pPr>
        <w:pStyle w:val="FirstParagraph"/>
      </w:pPr>
      <w:r>
        <w:t xml:space="preserve">Предложенная методика формирует основу для объективной оценки качества нейросетевых прогнозов в контексте их практического применения для обеспечения безопасности арктического судоходства.</w:t>
      </w:r>
    </w:p>
    <w:bookmarkEnd w:id="38"/>
    <w:bookmarkStart w:id="88" w:name="список-литературы"/>
    <w:p>
      <w:pPr>
        <w:pStyle w:val="Heading1"/>
      </w:pPr>
      <w:r>
        <w:rPr>
          <w:rStyle w:val="SectionNumber"/>
        </w:rPr>
        <w:t xml:space="preserve">10</w:t>
      </w:r>
      <w:r>
        <w:tab/>
      </w:r>
      <w:r>
        <w:t xml:space="preserve">Список литературы</w:t>
      </w:r>
    </w:p>
    <w:bookmarkStart w:id="87" w:name="refs"/>
    <w:bookmarkStart w:id="40" w:name="ref-StrategiyaRazvitiyaArkticheskoy"/>
    <w:p>
      <w:pPr>
        <w:pStyle w:val="Bibliography"/>
      </w:pPr>
      <w:r>
        <w:t xml:space="preserve">1. Стратегия развития Арктической зоны Российской Федерации и обеспечения национальной безопасности на период до 2035 года // Совет Безопасности Российской Федерации [Электронный ресурс]. URL:</w:t>
      </w:r>
      <w:r>
        <w:t xml:space="preserve"> </w:t>
      </w:r>
      <w:hyperlink r:id="rId39">
        <w:r>
          <w:rPr>
            <w:rStyle w:val="Hyperlink"/>
          </w:rPr>
          <w:t xml:space="preserve">http://www.scrf.gov.ru/security/economic/Arctic_stratery/</w:t>
        </w:r>
      </w:hyperlink>
      <w:r>
        <w:t xml:space="preserve"> </w:t>
      </w:r>
      <w:r>
        <w:t xml:space="preserve">(дата обращения: 05.10.2025).</w:t>
      </w:r>
    </w:p>
    <w:bookmarkEnd w:id="40"/>
    <w:bookmarkStart w:id="42" w:name="ref-anderssonSeasonalArcticSea2021"/>
    <w:p>
      <w:pPr>
        <w:pStyle w:val="Bibliography"/>
      </w:pPr>
      <w:r>
        <w:t xml:space="preserve">2. Andersson T. R. [и др.].</w:t>
      </w:r>
      <w:r>
        <w:t xml:space="preserve"> </w:t>
      </w:r>
      <w:hyperlink r:id="rId41">
        <w:r>
          <w:rPr>
            <w:rStyle w:val="Hyperlink"/>
          </w:rPr>
          <w:t xml:space="preserve">Seasonal Arctic sea ice forecasting with probabilistic deep learning</w:t>
        </w:r>
      </w:hyperlink>
      <w:r>
        <w:t xml:space="preserve"> // Nature Communications. 2021. № 1 (12). C. 5124.</w:t>
      </w:r>
    </w:p>
    <w:bookmarkEnd w:id="42"/>
    <w:bookmarkStart w:id="44" w:name="X65ebaf7d62499dd21205bb06c40e676b3b6c304"/>
    <w:p>
      <w:pPr>
        <w:pStyle w:val="Bibliography"/>
      </w:pPr>
      <w:r>
        <w:t xml:space="preserve">3. Bidenko S. I. [и др.].</w:t>
      </w:r>
      <w:r>
        <w:t xml:space="preserve"> </w:t>
      </w:r>
      <w:hyperlink r:id="rId43">
        <w:r>
          <w:rPr>
            <w:rStyle w:val="Hyperlink"/>
          </w:rPr>
          <w:t xml:space="preserve">Geoinformation procedure for assessing the regional situation on the basis of operational ANN-analysis of hydrometeorological and environmental information(on the example of the Ob Bay)</w:t>
        </w:r>
      </w:hyperlink>
      <w:r>
        <w:t xml:space="preserve"> // HYDROMETEOROLOGY AND ECOLOGY. PROCEEDINGS OF THE RUSSIAN STATE HYDROMETEOROLOGICAL UNIVERSITY. 2022. № 68. C. 508–524.</w:t>
      </w:r>
    </w:p>
    <w:bookmarkEnd w:id="44"/>
    <w:bookmarkStart w:id="46" w:name="X2300bf1430bfea4198d688dba923373814db3a5"/>
    <w:p>
      <w:pPr>
        <w:pStyle w:val="Bibliography"/>
      </w:pPr>
      <w:r>
        <w:t xml:space="preserve">4. Blanchard-Wrigglesworth E. [и др.].</w:t>
      </w:r>
      <w:r>
        <w:t xml:space="preserve"> </w:t>
      </w:r>
      <w:hyperlink r:id="rId45">
        <w:r>
          <w:rPr>
            <w:rStyle w:val="Hyperlink"/>
          </w:rPr>
          <w:t xml:space="preserve">Multi-model seasonal forecast of Arctic sea-ice: forecast uncertainty at pan-Arctic and regional scales</w:t>
        </w:r>
      </w:hyperlink>
      <w:r>
        <w:t xml:space="preserve"> // Climate Dynamics. 2017. № 4 (49). C. 1399–1410.</w:t>
      </w:r>
    </w:p>
    <w:bookmarkEnd w:id="46"/>
    <w:bookmarkStart w:id="48" w:name="ref-bushukMechanismArcticSea2020"/>
    <w:p>
      <w:pPr>
        <w:pStyle w:val="Bibliography"/>
      </w:pPr>
      <w:r>
        <w:t xml:space="preserve">5. Bushuk M. [и др.].</w:t>
      </w:r>
      <w:r>
        <w:t xml:space="preserve"> </w:t>
      </w:r>
      <w:hyperlink r:id="rId47">
        <w:r>
          <w:rPr>
            <w:rStyle w:val="Hyperlink"/>
          </w:rPr>
          <w:t xml:space="preserve">A Mechanism for the Arctic Sea Ice Spring Predictability Barrier</w:t>
        </w:r>
      </w:hyperlink>
      <w:r>
        <w:t xml:space="preserve"> // Geophysical Research Letters. 2020. № 13 (47).</w:t>
      </w:r>
    </w:p>
    <w:bookmarkEnd w:id="48"/>
    <w:bookmarkStart w:id="50" w:name="ref-chiPredictionArcticSea2017"/>
    <w:p>
      <w:pPr>
        <w:pStyle w:val="Bibliography"/>
      </w:pPr>
      <w:r>
        <w:t xml:space="preserve">6. Chi J., Kim H.</w:t>
      </w:r>
      <w:r>
        <w:t xml:space="preserve"> </w:t>
      </w:r>
      <w:hyperlink r:id="rId49">
        <w:r>
          <w:rPr>
            <w:rStyle w:val="Hyperlink"/>
          </w:rPr>
          <w:t xml:space="preserve">Prediction of Arctic Sea Ice Concentration Using a Fully Data Driven Deep Neural Network</w:t>
        </w:r>
      </w:hyperlink>
      <w:r>
        <w:t xml:space="preserve"> // Remote Sensing. 2017. № 12 (9). C. 1305.</w:t>
      </w:r>
    </w:p>
    <w:bookmarkEnd w:id="50"/>
    <w:bookmarkStart w:id="52" w:name="X1040ddf0bc9657809323ec05b896a0b25849889"/>
    <w:p>
      <w:pPr>
        <w:pStyle w:val="Bibliography"/>
      </w:pPr>
      <w:r>
        <w:t xml:space="preserve">7. Dirkson A., Denis B., Merryfield W. J.</w:t>
      </w:r>
      <w:r>
        <w:t xml:space="preserve"> </w:t>
      </w:r>
      <w:hyperlink r:id="rId51">
        <w:r>
          <w:rPr>
            <w:rStyle w:val="Hyperlink"/>
          </w:rPr>
          <w:t xml:space="preserve">A Multimodel Approach for Improving Seasonal Probabilistic Forecasts of Regional Arctic Sea Ice</w:t>
        </w:r>
      </w:hyperlink>
      <w:r>
        <w:t xml:space="preserve"> // Geophysical Research Letters. 2019. № 19 (46). C. 10844–10853.</w:t>
      </w:r>
    </w:p>
    <w:bookmarkEnd w:id="52"/>
    <w:bookmarkStart w:id="54" w:name="Xa63f09de110fcb3f7d43ee5cc06c12bf539dc02"/>
    <w:p>
      <w:pPr>
        <w:pStyle w:val="Bibliography"/>
      </w:pPr>
      <w:r>
        <w:t xml:space="preserve">8. Fritzner S., Graversen R., Christensen K. H.</w:t>
      </w:r>
      <w:r>
        <w:t xml:space="preserve"> </w:t>
      </w:r>
      <w:hyperlink r:id="rId53">
        <w:r>
          <w:rPr>
            <w:rStyle w:val="Hyperlink"/>
          </w:rPr>
          <w:t xml:space="preserve">Assessment of High‐Resolution Dynamical and Machine Learning Models for Prediction of Sea Ice Concentration in a Regional Application</w:t>
        </w:r>
      </w:hyperlink>
      <w:r>
        <w:t xml:space="preserve"> // Journal of Geophysical Research: Oceans. 2020. № 11 (125). C. e2020JC016277.</w:t>
      </w:r>
    </w:p>
    <w:bookmarkEnd w:id="54"/>
    <w:bookmarkStart w:id="56" w:name="ref-goesslingPredictabilityArcticSea2016"/>
    <w:p>
      <w:pPr>
        <w:pStyle w:val="Bibliography"/>
      </w:pPr>
      <w:r>
        <w:t xml:space="preserve">9. Goessling H. F. [и др.].</w:t>
      </w:r>
      <w:r>
        <w:t xml:space="preserve"> </w:t>
      </w:r>
      <w:hyperlink r:id="rId55">
        <w:r>
          <w:rPr>
            <w:rStyle w:val="Hyperlink"/>
          </w:rPr>
          <w:t xml:space="preserve">Predictability of the Arctic sea ice edge</w:t>
        </w:r>
      </w:hyperlink>
      <w:r>
        <w:t xml:space="preserve"> // Geophysical Research Letters. 2016. № 4 (43). C. 1642–1650.</w:t>
      </w:r>
    </w:p>
    <w:bookmarkEnd w:id="56"/>
    <w:bookmarkStart w:id="58" w:name="ref-guemasReviewArcticSeaice2016"/>
    <w:p>
      <w:pPr>
        <w:pStyle w:val="Bibliography"/>
      </w:pPr>
      <w:r>
        <w:t xml:space="preserve">10. Guemas V. [и др.].</w:t>
      </w:r>
      <w:r>
        <w:t xml:space="preserve"> </w:t>
      </w:r>
      <w:hyperlink r:id="rId57">
        <w:r>
          <w:rPr>
            <w:rStyle w:val="Hyperlink"/>
          </w:rPr>
          <w:t xml:space="preserve">A review on Arctic sea‐ice predictability and prediction on seasonal to decadal time‐scales</w:t>
        </w:r>
      </w:hyperlink>
      <w:r>
        <w:t xml:space="preserve"> // Quarterly Journal of the Royal Meteorological Society. 2016. № 695 (142). C. 546–561.</w:t>
      </w:r>
    </w:p>
    <w:bookmarkEnd w:id="58"/>
    <w:bookmarkStart w:id="60" w:name="ref-hunkeShouldSeaIceModeling2020"/>
    <w:p>
      <w:pPr>
        <w:pStyle w:val="Bibliography"/>
      </w:pPr>
      <w:r>
        <w:t xml:space="preserve">11. Hunke E. [и др.].</w:t>
      </w:r>
      <w:r>
        <w:t xml:space="preserve"> </w:t>
      </w:r>
      <w:hyperlink r:id="rId59">
        <w:r>
          <w:rPr>
            <w:rStyle w:val="Hyperlink"/>
          </w:rPr>
          <w:t xml:space="preserve">Should Sea-Ice Modeling Tools Designed for Climate Research Be Used for Short-Term Forecasting?</w:t>
        </w:r>
      </w:hyperlink>
      <w:r>
        <w:t xml:space="preserve"> // Current Climate Change Reports. 2020. № 4 (6). C. 121–136.</w:t>
      </w:r>
    </w:p>
    <w:bookmarkEnd w:id="60"/>
    <w:bookmarkStart w:id="62" w:name="ref-ivanovaRetrievalArcticSea2014"/>
    <w:p>
      <w:pPr>
        <w:pStyle w:val="Bibliography"/>
      </w:pPr>
      <w:r>
        <w:t xml:space="preserve">12. Ivanova N. [и др.].</w:t>
      </w:r>
      <w:r>
        <w:t xml:space="preserve"> </w:t>
      </w:r>
      <w:hyperlink r:id="rId61">
        <w:r>
          <w:rPr>
            <w:rStyle w:val="Hyperlink"/>
          </w:rPr>
          <w:t xml:space="preserve">Retrieval of Arctic Sea Ice Parameters by Satellite Passive Microwave Sensors: A Comparison of Eleven Sea Ice Concentration Algorithms</w:t>
        </w:r>
      </w:hyperlink>
      <w:r>
        <w:t xml:space="preserve"> // IEEE Transactions on Geoscience and Remote Sensing. 2014. № 11 (52). C. 7233–7246.</w:t>
      </w:r>
    </w:p>
    <w:bookmarkEnd w:id="62"/>
    <w:bookmarkStart w:id="64" w:name="ref-lavergneVersion2EUMETSAT2019"/>
    <w:p>
      <w:pPr>
        <w:pStyle w:val="Bibliography"/>
      </w:pPr>
      <w:r>
        <w:t xml:space="preserve">13. Lavergne T. [и др.].</w:t>
      </w:r>
      <w:r>
        <w:t xml:space="preserve"> </w:t>
      </w:r>
      <w:hyperlink r:id="rId63">
        <w:r>
          <w:rPr>
            <w:rStyle w:val="Hyperlink"/>
          </w:rPr>
          <w:t xml:space="preserve">Version 2 of the EUMETSAT OSI SAF and ESA CCI sea-ice concentration climate data records</w:t>
        </w:r>
      </w:hyperlink>
      <w:r>
        <w:t xml:space="preserve"> // The Cryosphere. 2019. № 1 (13). C. 49–78.</w:t>
      </w:r>
    </w:p>
    <w:bookmarkEnd w:id="64"/>
    <w:bookmarkStart w:id="66" w:name="ref-liuDailyPredictionArctic2021"/>
    <w:p>
      <w:pPr>
        <w:pStyle w:val="Bibliography"/>
      </w:pPr>
      <w:r>
        <w:t xml:space="preserve">14. Liu Q. [и др.].</w:t>
      </w:r>
      <w:r>
        <w:t xml:space="preserve"> </w:t>
      </w:r>
      <w:hyperlink r:id="rId65">
        <w:r>
          <w:rPr>
            <w:rStyle w:val="Hyperlink"/>
          </w:rPr>
          <w:t xml:space="preserve">Daily Prediction of the Arctic Sea Ice Concentration Using Reanalysis Data Based on a Convolutional LSTM Network</w:t>
        </w:r>
      </w:hyperlink>
      <w:r>
        <w:t xml:space="preserve"> // Journal of Marine Science and Engineering. 2021. № 3 (9). C. 330.</w:t>
      </w:r>
    </w:p>
    <w:bookmarkEnd w:id="66"/>
    <w:bookmarkStart w:id="68" w:name="ref-serrezeArcticSeaIce2015"/>
    <w:p>
      <w:pPr>
        <w:pStyle w:val="Bibliography"/>
      </w:pPr>
      <w:r>
        <w:t xml:space="preserve">15. Serreze M. C., Stroeve J.</w:t>
      </w:r>
      <w:r>
        <w:t xml:space="preserve"> </w:t>
      </w:r>
      <w:hyperlink r:id="rId67">
        <w:r>
          <w:rPr>
            <w:rStyle w:val="Hyperlink"/>
          </w:rPr>
          <w:t xml:space="preserve">Arctic sea ice trends, variability and implications for seasonal ice forecasting</w:t>
        </w:r>
      </w:hyperlink>
      <w:r>
        <w:t xml:space="preserve"> // Philosophical Transactions of the Royal Society A: Mathematical, Physical and Engineering Sciences. 2015. № 2045 (373). C. 20140159.</w:t>
      </w:r>
    </w:p>
    <w:bookmarkEnd w:id="68"/>
    <w:bookmarkStart w:id="70" w:name="ref-spreenSeaIceRemote2008"/>
    <w:p>
      <w:pPr>
        <w:pStyle w:val="Bibliography"/>
      </w:pPr>
      <w:r>
        <w:t xml:space="preserve">16. Spreen G., Kaleschke L., Heygster G.</w:t>
      </w:r>
      <w:r>
        <w:t xml:space="preserve"> </w:t>
      </w:r>
      <w:hyperlink r:id="rId69">
        <w:r>
          <w:rPr>
            <w:rStyle w:val="Hyperlink"/>
          </w:rPr>
          <w:t xml:space="preserve">Sea ice remote sensing using AMSR-E 89-GHz channels</w:t>
        </w:r>
      </w:hyperlink>
      <w:r>
        <w:t xml:space="preserve"> // Journal of Geophysical Research: Oceans. 2008. № C2 (113).</w:t>
      </w:r>
    </w:p>
    <w:bookmarkEnd w:id="70"/>
    <w:bookmarkStart w:id="72" w:name="ref-stokholmAutoICEChallenge2023"/>
    <w:p>
      <w:pPr>
        <w:pStyle w:val="Bibliography"/>
      </w:pPr>
      <w:r>
        <w:t xml:space="preserve">17. Stokholm A. R. [и др.].</w:t>
      </w:r>
      <w:r>
        <w:t xml:space="preserve"> </w:t>
      </w:r>
      <w:hyperlink r:id="rId71">
        <w:r>
          <w:rPr>
            <w:rStyle w:val="Hyperlink"/>
          </w:rPr>
          <w:t xml:space="preserve">The AutoICE Challenge</w:t>
        </w:r>
      </w:hyperlink>
      <w:r>
        <w:t xml:space="preserve"> </w:t>
      </w:r>
      <w:r>
        <w:t xml:space="preserve">// 2023.</w:t>
      </w:r>
    </w:p>
    <w:bookmarkEnd w:id="72"/>
    <w:bookmarkStart w:id="74" w:name="ref-wagnerSeaiceInformationForecast2020"/>
    <w:p>
      <w:pPr>
        <w:pStyle w:val="Bibliography"/>
      </w:pPr>
      <w:r>
        <w:t xml:space="preserve">18. Wagner P. M. [и др.].</w:t>
      </w:r>
      <w:r>
        <w:t xml:space="preserve"> </w:t>
      </w:r>
      <w:hyperlink r:id="rId73">
        <w:r>
          <w:rPr>
            <w:rStyle w:val="Hyperlink"/>
          </w:rPr>
          <w:t xml:space="preserve">Sea-ice information and forecast needs for industry maritime stakeholders</w:t>
        </w:r>
      </w:hyperlink>
      <w:r>
        <w:t xml:space="preserve"> // Polar Geography. 2020. № 2–3 (43). C. 160–187.</w:t>
      </w:r>
    </w:p>
    <w:bookmarkEnd w:id="74"/>
    <w:bookmarkStart w:id="76" w:name="ref-weiPredictionPanArcticSea2022"/>
    <w:p>
      <w:pPr>
        <w:pStyle w:val="Bibliography"/>
      </w:pPr>
      <w:r>
        <w:t xml:space="preserve">19. Wei J., Hang R., Luo J.-J.</w:t>
      </w:r>
      <w:r>
        <w:t xml:space="preserve"> </w:t>
      </w:r>
      <w:hyperlink r:id="rId75">
        <w:r>
          <w:rPr>
            <w:rStyle w:val="Hyperlink"/>
          </w:rPr>
          <w:t xml:space="preserve">Prediction of Pan-Arctic Sea Ice Using Attention-Based LSTM Neural Networks</w:t>
        </w:r>
      </w:hyperlink>
      <w:r>
        <w:t xml:space="preserve"> // Frontiers in Marine Science. 2022. (9).</w:t>
      </w:r>
    </w:p>
    <w:bookmarkEnd w:id="76"/>
    <w:bookmarkStart w:id="78" w:name="ref-zakhvatkinaSatelliteSARDatabased2019"/>
    <w:p>
      <w:pPr>
        <w:pStyle w:val="Bibliography"/>
      </w:pPr>
      <w:r>
        <w:t xml:space="preserve">20. Zakhvatkina N., Smirnov V.</w:t>
      </w:r>
      <w:r>
        <w:t xml:space="preserve"> </w:t>
      </w:r>
      <w:hyperlink r:id="rId77">
        <w:r>
          <w:rPr>
            <w:rStyle w:val="Hyperlink"/>
          </w:rPr>
          <w:t xml:space="preserve">Satellite SAR Data-based Sea Ice Classification: An Overview</w:t>
        </w:r>
      </w:hyperlink>
      <w:r>
        <w:t xml:space="preserve"> // Geosciences. 2019. № 4 (9). C. 152.</w:t>
      </w:r>
    </w:p>
    <w:bookmarkEnd w:id="78"/>
    <w:bookmarkStart w:id="80" w:name="X74c247b79a00b02e421ba3c1c655d9407f4ada2"/>
    <w:p>
      <w:pPr>
        <w:pStyle w:val="Bibliography"/>
      </w:pPr>
      <w:r>
        <w:t xml:space="preserve">21. Ананьева А. А.</w:t>
      </w:r>
      <w:r>
        <w:t xml:space="preserve"> </w:t>
      </w:r>
      <w:hyperlink r:id="rId79">
        <w:r>
          <w:rPr>
            <w:rStyle w:val="Hyperlink"/>
          </w:rPr>
          <w:t xml:space="preserve">Навигация в Арктике. Спутниковые стратегии повышения безопасности на море</w:t>
        </w:r>
      </w:hyperlink>
      <w:r>
        <w:t xml:space="preserve"> // Universum: технические науки. 2024. № 2 (119).</w:t>
      </w:r>
    </w:p>
    <w:bookmarkEnd w:id="80"/>
    <w:bookmarkStart w:id="82" w:name="X8f4478c676e867f00d153db46e217b4b419f6f5"/>
    <w:p>
      <w:pPr>
        <w:pStyle w:val="Bibliography"/>
      </w:pPr>
      <w:r>
        <w:t xml:space="preserve">22. Афанасьева Е. В. [и др.].</w:t>
      </w:r>
      <w:r>
        <w:t xml:space="preserve"> </w:t>
      </w:r>
      <w:hyperlink r:id="rId81">
        <w:r>
          <w:rPr>
            <w:rStyle w:val="Hyperlink"/>
          </w:rPr>
          <w:t xml:space="preserve">Методика составления ледовых карт ААНИИ</w:t>
        </w:r>
      </w:hyperlink>
      <w:r>
        <w:t xml:space="preserve"> // Российская Арктика. 2019. № 7. C. 5–20.</w:t>
      </w:r>
    </w:p>
    <w:bookmarkEnd w:id="82"/>
    <w:bookmarkStart w:id="84" w:name="X48a26aaca141067c352cc6eab4667832aa2ee2c"/>
    <w:p>
      <w:pPr>
        <w:pStyle w:val="Bibliography"/>
      </w:pPr>
      <w:r>
        <w:t xml:space="preserve">23. Е. У. Миронов [и др.].</w:t>
      </w:r>
      <w:r>
        <w:t xml:space="preserve"> </w:t>
      </w:r>
      <w:hyperlink r:id="rId83">
        <w:r>
          <w:rPr>
            <w:rStyle w:val="Hyperlink"/>
          </w:rPr>
          <w:t xml:space="preserve">Особенности ледовых процессов в осенний период 2021 г. в морях Российской Арктики и оценка оправдываемости ледовых прогнозов</w:t>
        </w:r>
      </w:hyperlink>
      <w:r>
        <w:t xml:space="preserve"> // Российская Арктика. 2021. № 15. C. 40–53.</w:t>
      </w:r>
    </w:p>
    <w:bookmarkEnd w:id="84"/>
    <w:bookmarkStart w:id="86" w:name="Xa0597977799db059bf257392993be1f4bc8f013"/>
    <w:p>
      <w:pPr>
        <w:pStyle w:val="Bibliography"/>
      </w:pPr>
      <w:r>
        <w:t xml:space="preserve">24. Миронов Е. У. [и др.].</w:t>
      </w:r>
      <w:r>
        <w:t xml:space="preserve"> </w:t>
      </w:r>
      <w:hyperlink r:id="rId85">
        <w:r>
          <w:rPr>
            <w:rStyle w:val="Hyperlink"/>
          </w:rPr>
          <w:t xml:space="preserve">СОВРЕМЕННОЕ СОСТОЯНИЕ И ПЕРСПЕКТИВЫ ИССЛЕДОВАНИЙ ЛЕДЯНОГО ПОКРОВА МОРЕЙ РОССИЙСКОЙ АРКТИКИ</w:t>
        </w:r>
      </w:hyperlink>
      <w:r>
        <w:t xml:space="preserve"> </w:t>
      </w:r>
      <w:r>
        <w:t xml:space="preserve">2020.</w:t>
      </w:r>
    </w:p>
    <w:bookmarkEnd w:id="86"/>
    <w:bookmarkEnd w:id="87"/>
    <w:bookmarkEnd w:id="88"/>
    <w:sectPr w:rsidR="00C030EB" w:rsidRPr="00293C07" w:rsidSect="00293C07">
      <w:footnotePr>
        <w:numRestart w:val="eachSect"/>
      </w:footnotePr>
      <w:pgSz w:h="16817" w:w="11901"/>
      <w:pgMar w:bottom="1134" w:footer="720" w:gutter="0" w:header="720" w:left="1134" w:right="1134"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4D447F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07189928"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C030EB"/>
    <w:rsid w:val="00293C07"/>
    <w:rsid w:val="00504E15"/>
    <w:rsid w:val="007F48A2"/>
    <w:rsid w:val="00C014E0"/>
    <w:rsid w:val="00C030EB"/>
    <w:rsid w:val="00D85350"/>
    <w:rsid w:val="00F76AAA"/>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76AAA"/>
    <w:rPr>
      <w:rFonts w:ascii="Times New Roman" w:hAnsi="Times New Roman"/>
      <w:sz w:val="20"/>
    </w:rPr>
  </w:style>
  <w:style w:styleId="Heading1" w:type="paragraph">
    <w:name w:val="heading 1"/>
    <w:basedOn w:val="Normal"/>
    <w:next w:val="BodyText"/>
    <w:link w:val="Heading1Char"/>
    <w:uiPriority w:val="9"/>
    <w:qFormat/>
    <w:rsid w:val="00504E15"/>
    <w:pPr>
      <w:keepNext/>
      <w:keepLines/>
      <w:spacing w:after="80" w:before="360"/>
      <w:outlineLvl w:val="0"/>
    </w:pPr>
    <w:rPr>
      <w:rFonts w:cstheme="majorBidi" w:eastAsiaTheme="majorEastAsia"/>
      <w:b/>
      <w:color w:themeColor="accent1" w:themeShade="BF" w:val="0F4761"/>
      <w:sz w:val="24"/>
      <w:szCs w:val="40"/>
    </w:rPr>
  </w:style>
  <w:style w:styleId="Heading2" w:type="paragraph">
    <w:name w:val="heading 2"/>
    <w:basedOn w:val="Normal"/>
    <w:next w:val="BodyText"/>
    <w:link w:val="Heading2Char"/>
    <w:uiPriority w:val="9"/>
    <w:semiHidden/>
    <w:unhideWhenUsed/>
    <w:qFormat/>
    <w:rsid w:val="00504E15"/>
    <w:pPr>
      <w:keepNext/>
      <w:keepLines/>
      <w:spacing w:after="80" w:before="160"/>
      <w:outlineLvl w:val="1"/>
    </w:pPr>
    <w:rPr>
      <w:rFonts w:cstheme="majorBidi" w:eastAsiaTheme="majorEastAsia"/>
      <w:b/>
      <w:color w:themeColor="accent1" w:themeShade="BF" w:val="0F4761"/>
      <w:szCs w:val="32"/>
    </w:rPr>
  </w:style>
  <w:style w:styleId="Heading3" w:type="paragraph">
    <w:name w:val="heading 3"/>
    <w:basedOn w:val="Normal"/>
    <w:next w:val="BodyText"/>
    <w:link w:val="Heading3Char"/>
    <w:uiPriority w:val="9"/>
    <w:semiHidden/>
    <w:unhideWhenUsed/>
    <w:qFormat/>
    <w:rsid w:val="00504E15"/>
    <w:pPr>
      <w:keepNext/>
      <w:keepLines/>
      <w:spacing w:after="80" w:before="160"/>
      <w:outlineLvl w:val="2"/>
    </w:pPr>
    <w:rPr>
      <w:rFonts w:cstheme="majorBidi" w:eastAsiaTheme="majorEastAsia"/>
      <w:color w:themeColor="accent1" w:themeShade="BF" w:val="0F476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rsid w:val="00F76AAA"/>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504E15"/>
    <w:pPr>
      <w:spacing w:after="80"/>
      <w:contextualSpacing/>
      <w:jc w:val="center"/>
    </w:pPr>
    <w:rPr>
      <w:rFonts w:cstheme="majorBidi" w:eastAsiaTheme="majorEastAsia"/>
      <w:b/>
      <w:sz w:val="24"/>
      <w:szCs w:val="56"/>
    </w:rPr>
  </w:style>
  <w:style w:customStyle="1" w:styleId="TitleChar" w:type="character">
    <w:name w:val="Title Char"/>
    <w:basedOn w:val="DefaultParagraphFont"/>
    <w:link w:val="Title"/>
    <w:uiPriority w:val="10"/>
    <w:rsid w:val="00504E15"/>
    <w:rPr>
      <w:rFonts w:ascii="Times New Roman" w:cstheme="majorBidi" w:eastAsiaTheme="majorEastAsia" w:hAnsi="Times New Roman"/>
      <w:b/>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Cs w:val="24"/>
    </w:rPr>
  </w:style>
  <w:style w:styleId="Date" w:type="paragraph">
    <w:name w:val="Date"/>
    <w:basedOn w:val="Title"/>
    <w:next w:val="BodyText"/>
    <w:qFormat/>
    <w:pPr>
      <w:keepNext/>
      <w:keepLines/>
    </w:pPr>
    <w:rPr>
      <w:szCs w:val="24"/>
    </w:r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504E15"/>
    <w:rPr>
      <w:rFonts w:ascii="Times New Roman" w:cstheme="majorBidi" w:eastAsiaTheme="majorEastAsia" w:hAnsi="Times New Roman"/>
      <w:b/>
      <w:color w:themeColor="accent1" w:themeShade="BF" w:val="0F4761"/>
      <w:szCs w:val="40"/>
    </w:rPr>
  </w:style>
  <w:style w:customStyle="1" w:styleId="Heading2Char" w:type="character">
    <w:name w:val="Heading 2 Char"/>
    <w:basedOn w:val="DefaultParagraphFont"/>
    <w:link w:val="Heading2"/>
    <w:uiPriority w:val="9"/>
    <w:semiHidden/>
    <w:rsid w:val="00504E15"/>
    <w:rPr>
      <w:rFonts w:ascii="Times New Roman" w:cstheme="majorBidi" w:eastAsiaTheme="majorEastAsia" w:hAnsi="Times New Roman"/>
      <w:b/>
      <w:color w:themeColor="accent1" w:themeShade="BF" w:val="0F4761"/>
      <w:sz w:val="20"/>
      <w:szCs w:val="32"/>
    </w:rPr>
  </w:style>
  <w:style w:customStyle="1" w:styleId="Heading3Char" w:type="character">
    <w:name w:val="Heading 3 Char"/>
    <w:basedOn w:val="DefaultParagraphFont"/>
    <w:link w:val="Heading3"/>
    <w:uiPriority w:val="9"/>
    <w:semiHidden/>
    <w:rsid w:val="00504E15"/>
    <w:rPr>
      <w:rFonts w:ascii="Times New Roman" w:cstheme="majorBidi" w:eastAsiaTheme="majorEastAsia" w:hAnsi="Times New Roman"/>
      <w:color w:themeColor="accent1" w:themeShade="BF" w:val="0F4761"/>
      <w:sz w:val="20"/>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www.scrf.gov.ru/security/economic/Arctic_stratery/" TargetMode="External" /><Relationship Type="http://schemas.openxmlformats.org/officeDocument/2006/relationships/hyperlink" Id="rId55" Target="https://doi.org/10.1002/2015GL067232" TargetMode="External" /><Relationship Type="http://schemas.openxmlformats.org/officeDocument/2006/relationships/hyperlink" Id="rId57" Target="https://doi.org/10.1002/qj.2401" TargetMode="External" /><Relationship Type="http://schemas.openxmlformats.org/officeDocument/2006/relationships/hyperlink" Id="rId45" Target="https://doi.org/10.1007/s00382-016-3388-9" TargetMode="External" /><Relationship Type="http://schemas.openxmlformats.org/officeDocument/2006/relationships/hyperlink" Id="rId59" Target="https://doi.org/10.1007/s40641-020-00162-y" TargetMode="External" /><Relationship Type="http://schemas.openxmlformats.org/officeDocument/2006/relationships/hyperlink" Id="rId69" Target="https://doi.org/10.1029/2005JC003384" TargetMode="External" /><Relationship Type="http://schemas.openxmlformats.org/officeDocument/2006/relationships/hyperlink" Id="rId51" Target="https://doi.org/10.1029/2019GL083831" TargetMode="External" /><Relationship Type="http://schemas.openxmlformats.org/officeDocument/2006/relationships/hyperlink" Id="rId47" Target="https://doi.org/10.1029/2020GL088335" TargetMode="External" /><Relationship Type="http://schemas.openxmlformats.org/officeDocument/2006/relationships/hyperlink" Id="rId53" Target="https://doi.org/10.1029/2020JC016277" TargetMode="External" /><Relationship Type="http://schemas.openxmlformats.org/officeDocument/2006/relationships/hyperlink" Id="rId41" Target="https://doi.org/10.1038/s41467-021-25257-4" TargetMode="External" /><Relationship Type="http://schemas.openxmlformats.org/officeDocument/2006/relationships/hyperlink" Id="rId73" Target="https://doi.org/10.1080/1088937X.2020.1766592" TargetMode="External" /><Relationship Type="http://schemas.openxmlformats.org/officeDocument/2006/relationships/hyperlink" Id="rId67" Target="https://doi.org/10.1098/rsta.2014.0159" TargetMode="External" /><Relationship Type="http://schemas.openxmlformats.org/officeDocument/2006/relationships/hyperlink" Id="rId61" Target="https://doi.org/10.1109/TGRS.2014.2310136" TargetMode="External" /><Relationship Type="http://schemas.openxmlformats.org/officeDocument/2006/relationships/hyperlink" Id="rId81" Target="https://doi.org/10.24411/2658-4255-2019-10071" TargetMode="External" /><Relationship Type="http://schemas.openxmlformats.org/officeDocument/2006/relationships/hyperlink" Id="rId85" Target="https://doi.org/10.24411/2658-4255-2020-12102" TargetMode="External" /><Relationship Type="http://schemas.openxmlformats.org/officeDocument/2006/relationships/hyperlink" Id="rId83" Target="https://doi.org/10.24412/2658-4255-20214-40-53" TargetMode="External" /><Relationship Type="http://schemas.openxmlformats.org/officeDocument/2006/relationships/hyperlink" Id="rId79" Target="https://doi.org/10.32743/UniTech.2024.119.2.16904" TargetMode="External" /><Relationship Type="http://schemas.openxmlformats.org/officeDocument/2006/relationships/hyperlink" Id="rId75" Target="https://doi.org/10.3389/fmars.2022.860403" TargetMode="External" /><Relationship Type="http://schemas.openxmlformats.org/officeDocument/2006/relationships/hyperlink" Id="rId77" Target="https://doi.org/10.3390/geosciences9040152" TargetMode="External" /><Relationship Type="http://schemas.openxmlformats.org/officeDocument/2006/relationships/hyperlink" Id="rId65" Target="https://doi.org/10.3390/jmse9030330" TargetMode="External" /><Relationship Type="http://schemas.openxmlformats.org/officeDocument/2006/relationships/hyperlink" Id="rId49" Target="https://doi.org/10.3390/rs9121305" TargetMode="External" /><Relationship Type="http://schemas.openxmlformats.org/officeDocument/2006/relationships/hyperlink" Id="rId43" Target="https://doi.org/10.33933/2713-3001-2022-68-508-524" TargetMode="External" /><Relationship Type="http://schemas.openxmlformats.org/officeDocument/2006/relationships/hyperlink" Id="rId71" Target="https://doi.org/10.5194/egusphere-2023-2648" TargetMode="External" /><Relationship Type="http://schemas.openxmlformats.org/officeDocument/2006/relationships/hyperlink" Id="rId63" Target="https://doi.org/10.5194/tc-13-49-2019" TargetMode="External" /></Relationships>
</file>

<file path=word/_rels/footnotes.xml.rels><?xml version="1.0" encoding="UTF-8"?><Relationships xmlns="http://schemas.openxmlformats.org/package/2006/relationships"><Relationship Type="http://schemas.openxmlformats.org/officeDocument/2006/relationships/hyperlink" Id="rId39" Target="http://www.scrf.gov.ru/security/economic/Arctic_stratery/" TargetMode="External" /><Relationship Type="http://schemas.openxmlformats.org/officeDocument/2006/relationships/hyperlink" Id="rId55" Target="https://doi.org/10.1002/2015GL067232" TargetMode="External" /><Relationship Type="http://schemas.openxmlformats.org/officeDocument/2006/relationships/hyperlink" Id="rId57" Target="https://doi.org/10.1002/qj.2401" TargetMode="External" /><Relationship Type="http://schemas.openxmlformats.org/officeDocument/2006/relationships/hyperlink" Id="rId45" Target="https://doi.org/10.1007/s00382-016-3388-9" TargetMode="External" /><Relationship Type="http://schemas.openxmlformats.org/officeDocument/2006/relationships/hyperlink" Id="rId59" Target="https://doi.org/10.1007/s40641-020-00162-y" TargetMode="External" /><Relationship Type="http://schemas.openxmlformats.org/officeDocument/2006/relationships/hyperlink" Id="rId69" Target="https://doi.org/10.1029/2005JC003384" TargetMode="External" /><Relationship Type="http://schemas.openxmlformats.org/officeDocument/2006/relationships/hyperlink" Id="rId51" Target="https://doi.org/10.1029/2019GL083831" TargetMode="External" /><Relationship Type="http://schemas.openxmlformats.org/officeDocument/2006/relationships/hyperlink" Id="rId47" Target="https://doi.org/10.1029/2020GL088335" TargetMode="External" /><Relationship Type="http://schemas.openxmlformats.org/officeDocument/2006/relationships/hyperlink" Id="rId53" Target="https://doi.org/10.1029/2020JC016277" TargetMode="External" /><Relationship Type="http://schemas.openxmlformats.org/officeDocument/2006/relationships/hyperlink" Id="rId41" Target="https://doi.org/10.1038/s41467-021-25257-4" TargetMode="External" /><Relationship Type="http://schemas.openxmlformats.org/officeDocument/2006/relationships/hyperlink" Id="rId73" Target="https://doi.org/10.1080/1088937X.2020.1766592" TargetMode="External" /><Relationship Type="http://schemas.openxmlformats.org/officeDocument/2006/relationships/hyperlink" Id="rId67" Target="https://doi.org/10.1098/rsta.2014.0159" TargetMode="External" /><Relationship Type="http://schemas.openxmlformats.org/officeDocument/2006/relationships/hyperlink" Id="rId61" Target="https://doi.org/10.1109/TGRS.2014.2310136" TargetMode="External" /><Relationship Type="http://schemas.openxmlformats.org/officeDocument/2006/relationships/hyperlink" Id="rId81" Target="https://doi.org/10.24411/2658-4255-2019-10071" TargetMode="External" /><Relationship Type="http://schemas.openxmlformats.org/officeDocument/2006/relationships/hyperlink" Id="rId85" Target="https://doi.org/10.24411/2658-4255-2020-12102" TargetMode="External" /><Relationship Type="http://schemas.openxmlformats.org/officeDocument/2006/relationships/hyperlink" Id="rId83" Target="https://doi.org/10.24412/2658-4255-20214-40-53" TargetMode="External" /><Relationship Type="http://schemas.openxmlformats.org/officeDocument/2006/relationships/hyperlink" Id="rId79" Target="https://doi.org/10.32743/UniTech.2024.119.2.16904" TargetMode="External" /><Relationship Type="http://schemas.openxmlformats.org/officeDocument/2006/relationships/hyperlink" Id="rId75" Target="https://doi.org/10.3389/fmars.2022.860403" TargetMode="External" /><Relationship Type="http://schemas.openxmlformats.org/officeDocument/2006/relationships/hyperlink" Id="rId77" Target="https://doi.org/10.3390/geosciences9040152" TargetMode="External" /><Relationship Type="http://schemas.openxmlformats.org/officeDocument/2006/relationships/hyperlink" Id="rId65" Target="https://doi.org/10.3390/jmse9030330" TargetMode="External" /><Relationship Type="http://schemas.openxmlformats.org/officeDocument/2006/relationships/hyperlink" Id="rId49" Target="https://doi.org/10.3390/rs9121305" TargetMode="External" /><Relationship Type="http://schemas.openxmlformats.org/officeDocument/2006/relationships/hyperlink" Id="rId43" Target="https://doi.org/10.33933/2713-3001-2022-68-508-524" TargetMode="External" /><Relationship Type="http://schemas.openxmlformats.org/officeDocument/2006/relationships/hyperlink" Id="rId71" Target="https://doi.org/10.5194/egusphere-2023-2648" TargetMode="External" /><Relationship Type="http://schemas.openxmlformats.org/officeDocument/2006/relationships/hyperlink" Id="rId63" Target="https://doi.org/10.5194/tc-13-49-20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Words>
  <Characters>10</Characters>
  <Application>Microsoft Office Word</Application>
  <DocSecurity>0</DocSecurity>
  <Lines>1</Lines>
  <Paragraphs>1</Paragraphs>
  <ScaleCrop>false</ScaleCrop>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Методология валидации нейросетевых прогнозов ледовой обстановки на основе декомпозиции интегрированной ледовой пограничной ошибки</dc:title>
  <dc:creator/>
  <dc:language>ru-RU</dc:language>
  <cp:keywords/>
  <dcterms:created xsi:type="dcterms:W3CDTF">2026-01-14T14:01:49Z</dcterms:created>
  <dcterms:modified xsi:type="dcterms:W3CDTF">2026-01-14T14:01:49Z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/Users/ilya/research/zotero-library/zotero-library.bib.json</vt:lpwstr>
  </property>
  <property fmtid="{D5CDD505-2E9C-101B-9397-08002B2CF9AE}" pid="3" name="csl">
    <vt:lpwstr>config/gost-r-7-0-5-2008-numeric-alphabetical.csl</vt:lpwstr>
  </property>
</Properties>
</file>