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B180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28"/>
          <w:szCs w:val="28"/>
        </w:rPr>
      </w:pPr>
      <w:r>
        <w:rPr>
          <w:rFonts w:ascii="FranklinGothic-DemiCmpr" w:hAnsi="FranklinGothic-DemiCmpr" w:cs="FranklinGothic-DemiCmpr"/>
          <w:b/>
          <w:bCs/>
          <w:sz w:val="28"/>
          <w:szCs w:val="28"/>
        </w:rPr>
        <w:t>LESSON SET 2</w:t>
      </w:r>
    </w:p>
    <w:p w14:paraId="2C7262FA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28"/>
          <w:szCs w:val="28"/>
        </w:rPr>
      </w:pPr>
      <w:r>
        <w:rPr>
          <w:rFonts w:ascii="FranklinGothic-DemiCmpr" w:hAnsi="FranklinGothic-DemiCmpr" w:cs="FranklinGothic-DemiCmpr"/>
          <w:b/>
          <w:bCs/>
          <w:sz w:val="28"/>
          <w:szCs w:val="28"/>
        </w:rPr>
        <w:t>_____________________________________________________</w:t>
      </w:r>
    </w:p>
    <w:p w14:paraId="3B4BE4BE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60"/>
          <w:szCs w:val="60"/>
        </w:rPr>
      </w:pPr>
      <w:r>
        <w:rPr>
          <w:rFonts w:ascii="FranklinGothic-DemiCmpr" w:hAnsi="FranklinGothic-DemiCmpr" w:cs="FranklinGothic-DemiCmpr"/>
          <w:b/>
          <w:bCs/>
          <w:sz w:val="60"/>
          <w:szCs w:val="60"/>
        </w:rPr>
        <w:t>Introduction to the C++ Programming Language</w:t>
      </w:r>
    </w:p>
    <w:p w14:paraId="69931148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60"/>
          <w:szCs w:val="60"/>
        </w:rPr>
      </w:pPr>
    </w:p>
    <w:p w14:paraId="4A0AE334" w14:textId="77777777" w:rsidR="008B18C2" w:rsidRDefault="008B18C2" w:rsidP="008B18C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OBJECTIVES FOR STUDENT</w:t>
      </w:r>
    </w:p>
    <w:p w14:paraId="1EBB18E2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0AB66B86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2A:</w:t>
      </w:r>
    </w:p>
    <w:p w14:paraId="1347A9DB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3F4BF68C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To learn the basic components of a C++ program</w:t>
      </w:r>
    </w:p>
    <w:p w14:paraId="603E3758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To gain a basic knowledge of how memory is used in programming</w:t>
      </w:r>
    </w:p>
    <w:p w14:paraId="4DDE06AE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3. To understand the basic data types:</w:t>
      </w:r>
    </w:p>
    <w:p w14:paraId="59B327A3" w14:textId="77777777" w:rsidR="008B18C2" w:rsidRDefault="008B18C2" w:rsidP="008B18C2">
      <w:pPr>
        <w:widowControl w:val="0"/>
        <w:autoSpaceDE w:val="0"/>
        <w:autoSpaceDN w:val="0"/>
        <w:adjustRightInd w:val="0"/>
        <w:ind w:left="720"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a. Integer</w:t>
      </w:r>
    </w:p>
    <w:p w14:paraId="49047DAB" w14:textId="77777777" w:rsidR="008B18C2" w:rsidRDefault="008B18C2" w:rsidP="008B18C2">
      <w:pPr>
        <w:widowControl w:val="0"/>
        <w:autoSpaceDE w:val="0"/>
        <w:autoSpaceDN w:val="0"/>
        <w:adjustRightInd w:val="0"/>
        <w:ind w:left="720"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b. Character</w:t>
      </w:r>
    </w:p>
    <w:p w14:paraId="4C55E0B6" w14:textId="77777777" w:rsidR="008B18C2" w:rsidRDefault="008B18C2" w:rsidP="008B18C2">
      <w:pPr>
        <w:widowControl w:val="0"/>
        <w:autoSpaceDE w:val="0"/>
        <w:autoSpaceDN w:val="0"/>
        <w:adjustRightInd w:val="0"/>
        <w:ind w:left="720"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c. Float</w:t>
      </w:r>
    </w:p>
    <w:p w14:paraId="159A8CEC" w14:textId="77777777" w:rsidR="008B18C2" w:rsidRDefault="008B18C2" w:rsidP="008B18C2">
      <w:pPr>
        <w:widowControl w:val="0"/>
        <w:autoSpaceDE w:val="0"/>
        <w:autoSpaceDN w:val="0"/>
        <w:adjustRightInd w:val="0"/>
        <w:ind w:left="720"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d. Boolean</w:t>
      </w:r>
    </w:p>
    <w:p w14:paraId="651CF54D" w14:textId="77777777" w:rsidR="008B18C2" w:rsidRDefault="008B18C2" w:rsidP="008B18C2">
      <w:pPr>
        <w:widowControl w:val="0"/>
        <w:autoSpaceDE w:val="0"/>
        <w:autoSpaceDN w:val="0"/>
        <w:adjustRightInd w:val="0"/>
        <w:ind w:left="720"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e. String (the </w:t>
      </w:r>
      <w:r w:rsidRPr="00CA0AE7">
        <w:rPr>
          <w:rFonts w:ascii="Courier New" w:hAnsi="Courier New" w:cs="Courier New"/>
          <w:sz w:val="20"/>
          <w:szCs w:val="20"/>
        </w:rPr>
        <w:t>string</w:t>
      </w:r>
      <w:r>
        <w:rPr>
          <w:rFonts w:ascii="Garamond-Light" w:hAnsi="Garamond-Light" w:cs="Garamond-Light"/>
          <w:sz w:val="21"/>
          <w:szCs w:val="21"/>
        </w:rPr>
        <w:t xml:space="preserve"> class is treated as a data type here)</w:t>
      </w:r>
    </w:p>
    <w:p w14:paraId="22FB7453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4. To introduce the five fundamental instructions and to use the assign and</w:t>
      </w:r>
    </w:p>
    <w:p w14:paraId="23AA5677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output statements</w:t>
      </w:r>
    </w:p>
    <w:p w14:paraId="58C3E38D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6DFD8DA2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2B:</w:t>
      </w:r>
    </w:p>
    <w:p w14:paraId="332F71E5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3E31235A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5. To develop a small program using simple C++ instructions</w:t>
      </w:r>
    </w:p>
    <w:p w14:paraId="7E260045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6.  To work with characters and strings</w:t>
      </w:r>
    </w:p>
    <w:p w14:paraId="12E54956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013B1BDF" w14:textId="77777777" w:rsidR="008B18C2" w:rsidRDefault="008B18C2" w:rsidP="008B18C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ASSUMPTIONS</w:t>
      </w:r>
    </w:p>
    <w:p w14:paraId="53A8F342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1388FC21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2A:</w:t>
      </w:r>
    </w:p>
    <w:p w14:paraId="093D3211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0BB672DF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Students have a basic knowledge of the programming environment. They can open, edit,</w:t>
      </w:r>
    </w:p>
    <w:p w14:paraId="71618D6E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compile and run simple programs.</w:t>
      </w:r>
    </w:p>
    <w:p w14:paraId="467BAC8C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11974CCE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2B:</w:t>
      </w:r>
    </w:p>
    <w:p w14:paraId="746A3B6C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2A768E1B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Students are familiar with the output and assignment statements in C++</w:t>
      </w:r>
    </w:p>
    <w:p w14:paraId="21365CA1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Students are familiar with the general basic outline of a C++ program so</w:t>
      </w:r>
    </w:p>
    <w:p w14:paraId="3D8C5685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 that they can generate a simple program</w:t>
      </w:r>
    </w:p>
    <w:p w14:paraId="4BDFF17A" w14:textId="77777777" w:rsidR="008B18C2" w:rsidRDefault="008B18C2" w:rsidP="008B18C2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3.  Students are familiar with the basic data types including character and string (class treated  </w:t>
      </w:r>
    </w:p>
    <w:p w14:paraId="693FA1E5" w14:textId="77777777" w:rsidR="008B18C2" w:rsidRDefault="008B18C2" w:rsidP="008B18C2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 as a data type )</w:t>
      </w:r>
    </w:p>
    <w:p w14:paraId="4932C075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3B0E226B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PRE-LAB WRITING ASSIGNMENT SOLUTIONS</w:t>
      </w:r>
    </w:p>
    <w:p w14:paraId="284B3B83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_____________________________________________________________________________</w:t>
      </w:r>
    </w:p>
    <w:p w14:paraId="6936E5DB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constant</w:t>
      </w:r>
    </w:p>
    <w:p w14:paraId="7A1CF785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Integer</w:t>
      </w:r>
    </w:p>
    <w:p w14:paraId="445097E9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3. Real or Floating point</w:t>
      </w:r>
    </w:p>
    <w:p w14:paraId="62E0A361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lastRenderedPageBreak/>
        <w:t>4. Modulus or mod</w:t>
      </w:r>
    </w:p>
    <w:p w14:paraId="5EE8A2FE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5. output</w:t>
      </w:r>
    </w:p>
    <w:p w14:paraId="1DC1D38D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6. Boolean</w:t>
      </w:r>
    </w:p>
    <w:p w14:paraId="2FDD8391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7. 8</w:t>
      </w:r>
    </w:p>
    <w:p w14:paraId="600D261E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8. comment</w:t>
      </w:r>
    </w:p>
    <w:p w14:paraId="737C41EF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9. variable</w:t>
      </w:r>
    </w:p>
    <w:p w14:paraId="00FA6364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       10. string</w:t>
      </w:r>
    </w:p>
    <w:p w14:paraId="20C3A6A8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0CDD3EC5" w14:textId="77777777" w:rsidR="008B18C2" w:rsidRDefault="008B18C2" w:rsidP="008B18C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LAB ASSIGNMENTS</w:t>
      </w:r>
    </w:p>
    <w:p w14:paraId="1EBDD257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733B095D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2A:</w:t>
      </w:r>
    </w:p>
    <w:p w14:paraId="3AE32E5B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38763B24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Lab 2.1: Working with the </w:t>
      </w:r>
      <w:proofErr w:type="spellStart"/>
      <w:r>
        <w:rPr>
          <w:rFonts w:ascii="Courier" w:hAnsi="Courier" w:cs="Courier"/>
          <w:sz w:val="18"/>
          <w:szCs w:val="18"/>
        </w:rPr>
        <w:t>cout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>statement.</w:t>
      </w:r>
    </w:p>
    <w:p w14:paraId="2AC7A501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2.2: Working with constants, variables and arithmetic operators</w:t>
      </w:r>
    </w:p>
    <w:p w14:paraId="4811D16F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6E9C6065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2B:</w:t>
      </w:r>
    </w:p>
    <w:p w14:paraId="002AF111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0A6EBBB9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2.3: Rectangle area and perimeter</w:t>
      </w:r>
    </w:p>
    <w:p w14:paraId="55245191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2.4 Working with characters and Strings</w:t>
      </w:r>
      <w:r>
        <w:rPr>
          <w:rFonts w:ascii="Garamond-Light" w:hAnsi="Garamond-Light" w:cs="Garamond-Light"/>
          <w:sz w:val="21"/>
          <w:szCs w:val="21"/>
        </w:rPr>
        <w:tab/>
      </w:r>
    </w:p>
    <w:p w14:paraId="6D5A1A14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34A77032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LESSON 2A</w:t>
      </w:r>
    </w:p>
    <w:p w14:paraId="1687FC9E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79F2F3B0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 xml:space="preserve">LAB 2.1: Working with the </w:t>
      </w:r>
      <w:proofErr w:type="spellStart"/>
      <w:r>
        <w:rPr>
          <w:rFonts w:ascii="Courier-Bold" w:hAnsi="Courier-Bold" w:cs="Courier-Bold"/>
          <w:b/>
          <w:bCs/>
          <w:sz w:val="18"/>
          <w:szCs w:val="18"/>
        </w:rPr>
        <w:t>cout</w:t>
      </w:r>
      <w:proofErr w:type="spellEnd"/>
      <w:r>
        <w:rPr>
          <w:rFonts w:ascii="Courier-Bold" w:hAnsi="Courier-Bold" w:cs="Courier-Bold"/>
          <w:b/>
          <w:bCs/>
          <w:sz w:val="18"/>
          <w:szCs w:val="18"/>
        </w:rPr>
        <w:t xml:space="preserve"> </w:t>
      </w:r>
      <w:r>
        <w:rPr>
          <w:rFonts w:ascii="Garamond-Bold" w:hAnsi="Garamond-Bold" w:cs="Garamond-Bold"/>
          <w:b/>
          <w:bCs/>
          <w:sz w:val="21"/>
          <w:szCs w:val="21"/>
        </w:rPr>
        <w:t>Statement</w:t>
      </w:r>
    </w:p>
    <w:p w14:paraId="787BB346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3C998CE0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This is a simple lab that works with the </w:t>
      </w:r>
      <w:proofErr w:type="spellStart"/>
      <w:r>
        <w:rPr>
          <w:rFonts w:ascii="Courier" w:hAnsi="Courier" w:cs="Courier"/>
          <w:sz w:val="18"/>
          <w:szCs w:val="18"/>
        </w:rPr>
        <w:t>cout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 xml:space="preserve">statement. </w:t>
      </w:r>
    </w:p>
    <w:p w14:paraId="69BE3E5F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426BA9EA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nameKey.cpp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2.</w:t>
      </w:r>
    </w:p>
    <w:p w14:paraId="376242F6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4FAF9FBF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2.2: Working with Constants, Variables and Arithmetic Operators</w:t>
      </w:r>
    </w:p>
    <w:p w14:paraId="1F904E10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7E0F6FF6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This is a simple lab that continues to work with the </w:t>
      </w:r>
      <w:proofErr w:type="spellStart"/>
      <w:r>
        <w:rPr>
          <w:rFonts w:ascii="Courier" w:hAnsi="Courier" w:cs="Courier"/>
          <w:sz w:val="18"/>
          <w:szCs w:val="18"/>
        </w:rPr>
        <w:t>cout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>statement and introduces</w:t>
      </w:r>
    </w:p>
    <w:p w14:paraId="31471A64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the assignment </w:t>
      </w:r>
      <w:proofErr w:type="gramStart"/>
      <w:r>
        <w:rPr>
          <w:rFonts w:ascii="Garamond-Light" w:hAnsi="Garamond-Light" w:cs="Garamond-Light"/>
          <w:sz w:val="21"/>
          <w:szCs w:val="21"/>
        </w:rPr>
        <w:t>statement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. </w:t>
      </w:r>
    </w:p>
    <w:p w14:paraId="0FCC4912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2B1BE9BE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circleareaKey.cpp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2.</w:t>
      </w:r>
    </w:p>
    <w:p w14:paraId="68E2EC52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6490FEDF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LESSON 2B</w:t>
      </w:r>
    </w:p>
    <w:p w14:paraId="298E9F3C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5F7F7BB0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2.3: Rectangle Area and Perimeter</w:t>
      </w:r>
    </w:p>
    <w:p w14:paraId="38B9064D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2D337903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Although Lab 2.3 asks students to create a program from scratch, it is not labeled</w:t>
      </w:r>
    </w:p>
    <w:p w14:paraId="2AB6350B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as optional since it is so </w:t>
      </w:r>
      <w:proofErr w:type="gramStart"/>
      <w:r>
        <w:rPr>
          <w:rFonts w:ascii="Garamond-Light" w:hAnsi="Garamond-Light" w:cs="Garamond-Light"/>
          <w:sz w:val="21"/>
          <w:szCs w:val="21"/>
        </w:rPr>
        <w:t>similar to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Lab 2.2 that most students should not find it</w:t>
      </w:r>
    </w:p>
    <w:p w14:paraId="2B1DAF61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too difficult. </w:t>
      </w:r>
    </w:p>
    <w:p w14:paraId="2CDDE18C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5722925F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rectangleKey.cpp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2.</w:t>
      </w:r>
    </w:p>
    <w:p w14:paraId="64563089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18"/>
          <w:szCs w:val="18"/>
        </w:rPr>
      </w:pPr>
    </w:p>
    <w:p w14:paraId="5990D26E" w14:textId="77777777" w:rsidR="008B18C2" w:rsidRDefault="008B18C2" w:rsidP="008B18C2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18"/>
          <w:szCs w:val="18"/>
        </w:rPr>
      </w:pPr>
    </w:p>
    <w:p w14:paraId="23E5BDEC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2.3: Working with characters and Strings</w:t>
      </w:r>
    </w:p>
    <w:p w14:paraId="3FB3D928" w14:textId="77777777" w:rsidR="008B18C2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</w:p>
    <w:p w14:paraId="719EA5E0" w14:textId="77777777" w:rsidR="008B18C2" w:rsidRDefault="008B18C2" w:rsidP="008B18C2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This lab introduces characters and the </w:t>
      </w:r>
      <w:r w:rsidRPr="0080386B">
        <w:rPr>
          <w:rFonts w:ascii="Courier New" w:hAnsi="Courier New" w:cs="Courier New"/>
          <w:sz w:val="20"/>
          <w:szCs w:val="20"/>
        </w:rPr>
        <w:t>string</w:t>
      </w:r>
      <w:r>
        <w:rPr>
          <w:rFonts w:ascii="Garamond-Light" w:hAnsi="Garamond-Light" w:cs="Garamond-Light"/>
          <w:sz w:val="21"/>
          <w:szCs w:val="21"/>
        </w:rPr>
        <w:t xml:space="preserve"> class which is treated as a data type.  The distinction of the </w:t>
      </w:r>
      <w:r w:rsidRPr="0080386B">
        <w:rPr>
          <w:rFonts w:ascii="Courier New" w:hAnsi="Courier New" w:cs="Courier New"/>
          <w:sz w:val="20"/>
          <w:szCs w:val="20"/>
        </w:rPr>
        <w:t>string</w:t>
      </w:r>
      <w:r>
        <w:rPr>
          <w:rFonts w:ascii="Garamond-Light" w:hAnsi="Garamond-Light" w:cs="Garamond-Light"/>
          <w:sz w:val="21"/>
          <w:szCs w:val="21"/>
        </w:rPr>
        <w:t xml:space="preserve"> class from true data types is not explained until the student is introduced to arrays of characters later in the manual.  </w:t>
      </w:r>
    </w:p>
    <w:p w14:paraId="6E4E741D" w14:textId="77777777" w:rsidR="008B18C2" w:rsidRDefault="008B18C2" w:rsidP="008B18C2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</w:p>
    <w:p w14:paraId="52C9728C" w14:textId="77777777" w:rsidR="008B18C2" w:rsidRDefault="008B18C2" w:rsidP="008B18C2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lastRenderedPageBreak/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stringcharKey.cpp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2.</w:t>
      </w:r>
    </w:p>
    <w:p w14:paraId="153C4200" w14:textId="77777777" w:rsidR="008B18C2" w:rsidRPr="001A6C94" w:rsidRDefault="008B18C2" w:rsidP="008B18C2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</w:p>
    <w:p w14:paraId="43BCA502" w14:textId="77777777" w:rsidR="008B18C2" w:rsidRDefault="008B18C2" w:rsidP="008B18C2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Possible solutions to all labs are given in the instructor’s folder for Lesson Set 2.</w:t>
      </w:r>
    </w:p>
    <w:p w14:paraId="05B239C3" w14:textId="77777777" w:rsidR="00E12F17" w:rsidRDefault="00E12F17">
      <w:bookmarkStart w:id="0" w:name="_GoBack"/>
      <w:bookmarkEnd w:id="0"/>
    </w:p>
    <w:sectPr w:rsidR="00E1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DemiCmp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XCmp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Light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C2"/>
    <w:rsid w:val="00082746"/>
    <w:rsid w:val="00282269"/>
    <w:rsid w:val="008B18C2"/>
    <w:rsid w:val="00E1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0866"/>
  <w15:chartTrackingRefBased/>
  <w15:docId w15:val="{65FD7C3E-3E52-45F9-8765-C8A6B80C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</dc:creator>
  <cp:keywords/>
  <dc:description/>
  <cp:lastModifiedBy>xiaoli</cp:lastModifiedBy>
  <cp:revision>1</cp:revision>
  <dcterms:created xsi:type="dcterms:W3CDTF">2019-08-03T20:18:00Z</dcterms:created>
  <dcterms:modified xsi:type="dcterms:W3CDTF">2019-08-03T20:18:00Z</dcterms:modified>
</cp:coreProperties>
</file>