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ДЕТАЛЬНЫЙ ОПРОСНЫЙ ЛИСТ</w:t>
      </w:r>
    </w:p>
    <w:p>
      <w:pPr>
        <w:pStyle w:val="Heading1"/>
      </w:pPr>
      <w:r>
        <w:t>Базовые подсистемы автоматизации</w:t>
      </w:r>
    </w:p>
    <w:p>
      <w:pPr>
        <w:pStyle w:val="IntenseQuote"/>
      </w:pPr>
      <w:r>
        <w:t>Управление освещением</w:t>
      </w:r>
    </w:p>
    <w:p>
      <w:pPr>
        <w:pStyle w:val="ListBullet"/>
      </w:pPr>
      <w:r>
        <w:rPr>
          <w:b/>
        </w:rPr>
        <w:t>Тип управления светильниками</w:t>
      </w:r>
    </w:p>
    <w:p>
      <w:pPr>
        <w:pStyle w:val="ListBullet2"/>
      </w:pPr>
      <w:r>
        <w:t>RGB-регулирование ("цветовые сценарии")</w:t>
      </w:r>
    </w:p>
    <w:p>
      <w:pPr>
        <w:pStyle w:val="ListBullet2"/>
      </w:pPr>
      <w:r>
        <w:t>диммируемые группы</w:t>
      </w:r>
    </w:p>
    <w:p>
      <w:pPr>
        <w:pStyle w:val="IntenseQuote"/>
      </w:pPr>
      <w:r>
        <w:t>Управление розетками и нагрузками</w:t>
      </w:r>
    </w:p>
    <w:p>
      <w:pPr>
        <w:pStyle w:val="ListBullet"/>
      </w:pPr>
      <w:r>
        <w:rPr>
          <w:b/>
        </w:rPr>
        <w:t>Выборочное отключение розеточных групп</w:t>
      </w:r>
    </w:p>
    <w:p>
      <w:pPr>
        <w:pStyle w:val="ListBullet2"/>
      </w:pPr>
      <w:r>
        <w:t>особые "зимние" группы: гирлянды/елка/фасад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