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ДЕТАЛЬНЫЙ ОПРОСНЫЙ ЛИСТ</w:t>
      </w:r>
    </w:p>
    <w:p>
      <w:pPr>
        <w:pStyle w:val="Heading1"/>
      </w:pPr>
      <w:r>
        <w:t>Базовые подсистемы автоматизации</w:t>
      </w:r>
    </w:p>
    <w:p>
      <w:pPr>
        <w:pStyle w:val="IntenseQuote"/>
      </w:pPr>
      <w:r>
        <w:t>Управление освещением</w:t>
      </w:r>
    </w:p>
    <w:p>
      <w:pPr>
        <w:pStyle w:val="ListBullet"/>
      </w:pPr>
      <w:r>
        <w:rPr>
          <w:b/>
        </w:rPr>
        <w:t>Тип управления светильниками</w:t>
      </w:r>
    </w:p>
    <w:p>
      <w:pPr>
        <w:pStyle w:val="ListBullet2"/>
      </w:pPr>
      <w:r>
        <w:t>RGB-регулирование ("цветовые сценарии")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