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Presupuesto estimado MoviManrique45</w:t>
      </w:r>
    </w:p>
    <w:p>
      <w:pPr>
        <w:spacing w:after="280"/>
      </w:pPr>
      <w:r>
        <w:rPr>
          <w:rFonts w:ascii="Aptos" w:hAnsi="Aptos"/>
          <w:color w:val="536779"/>
          <w:sz w:val="22"/>
        </w:rPr>
        <w:t>Proyección de implementación integral durante seis meses</w:t>
      </w:r>
    </w:p>
    <w:p>
      <w:pPr>
        <w:spacing w:line="254" w:lineRule="auto"/>
      </w:pPr>
      <w:r>
        <w:t>Las cifras son estimaciones de planeación para un piloto integral. No constituyen cotizaciones, ofertas comerciales ni presupuesto aprobado. El total no incorpora obras físicas, las cuales requieren estudios, diseños, permisos y contratación.</w:t>
      </w:r>
    </w:p>
    <w:p>
      <w:pPr>
        <w:pStyle w:val="Heading1"/>
      </w:pPr>
      <w:r>
        <w:t>Estimación de seis meses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494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Rubro</w:t>
            </w:r>
          </w:p>
        </w:tc>
        <w:tc>
          <w:tcPr>
            <w:tcW w:type="dxa" w:w="4535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Supuesto de planeación</w:t>
            </w:r>
          </w:p>
        </w:tc>
        <w:tc>
          <w:tcPr>
            <w:tcW w:type="dxa" w:w="1871"/>
            <w:shd w:fill="17324D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COP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Dirección técnica y gestión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Dedicación parcial durante seis meses</w:t>
            </w:r>
          </w:p>
        </w:tc>
        <w:tc>
          <w:tcPr>
            <w:tcW w:type="dxa" w:w="187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54.000.000</w:t>
            </w:r>
          </w:p>
        </w:tc>
      </w:tr>
      <w:tr>
        <w:tc>
          <w:tcPr>
            <w:tcW w:type="dxa" w:w="24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Ingeniería de datos y geoespacial</w:t>
            </w:r>
          </w:p>
        </w:tc>
        <w:tc>
          <w:tcPr>
            <w:tcW w:type="dxa" w:w="4535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Dos perfiles parciales durante seis meses</w:t>
            </w:r>
          </w:p>
        </w:tc>
        <w:tc>
          <w:tcPr>
            <w:tcW w:type="dxa" w:w="1871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96.000.000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Diseño y desarrollo de visualización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Un perfil parcial durante cinco meses</w:t>
            </w:r>
          </w:p>
        </w:tc>
        <w:tc>
          <w:tcPr>
            <w:tcW w:type="dxa" w:w="187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35.000.000</w:t>
            </w:r>
          </w:p>
        </w:tc>
      </w:tr>
      <w:tr>
        <w:tc>
          <w:tcPr>
            <w:tcW w:type="dxa" w:w="24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Validación técnica y QA</w:t>
            </w:r>
          </w:p>
        </w:tc>
        <w:tc>
          <w:tcPr>
            <w:tcW w:type="dxa" w:w="4535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Revisión independiente y pruebas</w:t>
            </w:r>
          </w:p>
        </w:tc>
        <w:tc>
          <w:tcPr>
            <w:tcW w:type="dxa" w:w="1871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22.000.000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Trabajo de campo y participación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Aforos, accesibilidad y talleres, sujeto a permisos</w:t>
            </w:r>
          </w:p>
        </w:tc>
        <w:tc>
          <w:tcPr>
            <w:tcW w:type="dxa" w:w="187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48.000.000</w:t>
            </w:r>
          </w:p>
        </w:tc>
      </w:tr>
      <w:tr>
        <w:tc>
          <w:tcPr>
            <w:tcW w:type="dxa" w:w="24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Infraestructura y licencias</w:t>
            </w:r>
          </w:p>
        </w:tc>
        <w:tc>
          <w:tcPr>
            <w:tcW w:type="dxa" w:w="4535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Servicios locales o nube, respaldo y herramientas</w:t>
            </w:r>
          </w:p>
        </w:tc>
        <w:tc>
          <w:tcPr>
            <w:tcW w:type="dxa" w:w="1871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18.000.000</w:t>
            </w:r>
          </w:p>
        </w:tc>
      </w:tr>
      <w:tr>
        <w:tc>
          <w:tcPr>
            <w:tcW w:type="dxa" w:w="249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Contingencia</w:t>
            </w:r>
          </w:p>
        </w:tc>
        <w:tc>
          <w:tcPr>
            <w:tcW w:type="dxa" w:w="4535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10 % de costos anteriores</w:t>
            </w:r>
          </w:p>
        </w:tc>
        <w:tc>
          <w:tcPr>
            <w:tcW w:type="dxa" w:w="1871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27.300.000</w:t>
            </w:r>
          </w:p>
        </w:tc>
      </w:tr>
      <w:tr>
        <w:tc>
          <w:tcPr>
            <w:tcW w:type="dxa" w:w="2494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Total estimado sin obra física</w:t>
            </w:r>
          </w:p>
        </w:tc>
        <w:tc>
          <w:tcPr>
            <w:tcW w:type="dxa" w:w="4535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</w:r>
          </w:p>
        </w:tc>
        <w:tc>
          <w:tcPr>
            <w:tcW w:type="dxa" w:w="1871"/>
            <w:shd w:fill="EAF2F4"/>
            <w:vAlign w:val="center"/>
            <w:tcBorders>
              <w:top w:val="single" w:sz="6" w:color="D9E2E8"/>
              <w:left w:val="single" w:sz="6" w:color="D9E2E8"/>
              <w:bottom w:val="single" w:sz="6" w:color="D9E2E8"/>
              <w:right w:val="single" w:sz="6" w:color="D9E2E8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000000"/>
                <w:sz w:val="17"/>
              </w:rPr>
              <w:t>300.300.000</w:t>
            </w:r>
          </w:p>
        </w:tc>
      </w:tr>
    </w:tbl>
    <w:p>
      <w:pPr>
        <w:spacing w:after="20"/>
      </w:pPr>
    </w:p>
    <w:p>
      <w:pPr>
        <w:pStyle w:val="Heading1"/>
      </w:pPr>
      <w:r>
        <w:t>Intervenciones físicas</w:t>
      </w:r>
    </w:p>
    <w:p>
      <w:pPr>
        <w:spacing w:line="254" w:lineRule="auto"/>
      </w:pPr>
      <w:r>
        <w:t>Las intervenciones físicas forman un rubro separado y no se cuantifican con los datos actuales. La definición de cruces, señalización, accesibilidad, calmado de tráfico u otras obras requiere inspección de campo, estudios de tránsito, diseño autorizado y proceso contractual.</w:t>
      </w:r>
    </w:p>
    <w:p>
      <w:pPr>
        <w:pStyle w:val="Heading1"/>
      </w:pPr>
      <w:r>
        <w:t>Condiciones de uso</w:t>
      </w:r>
    </w:p>
    <w:p>
      <w:pPr>
        <w:spacing w:line="254" w:lineRule="auto"/>
      </w:pPr>
      <w:r>
        <w:t>La estimación sirve para planeación inicial. Cualquier decisión presupuestal debe actualizar salarios, licencias, precios de infraestructura, alcance del trabajo de campo y requerimientos de la autoridad competente.</w:t>
      </w:r>
    </w:p>
    <w:sectPr w:rsidR="00FC693F" w:rsidRPr="0006063C" w:rsidSect="00034616">
      <w:footerReference w:type="default" r:id="rId9"/>
      <w:pgSz w:w="12240" w:h="15840"/>
      <w:pgMar w:top="879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779"/>
        <w:sz w:val="16"/>
      </w:rPr>
      <w:t>MoviManrique45  |  Comuna 3 Manrique  |  Octubre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2B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