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AAAAAA"/>
          <w:sz w:val="16"/>
          <w:szCs w:val="16"/>
        </w:rPr>
        <w:t xml:space="preserve">PARQUE DE BOMBEROS · LOS PALACIOS Y VILLAFRANCA</w:t>
      </w:r>
    </w:p>
    <w:p>
      <w:pPr>
        <w:pBdr>
          <w:bottom w:val="single" w:color="922B21" w:sz="6"/>
        </w:pBdr>
        <w:spacing w:after="160"/>
      </w:pPr>
      <w:r>
        <w:rPr>
          <w:rFonts w:ascii="Arial" w:cs="Arial" w:eastAsia="Arial" w:hAnsi="Arial"/>
          <w:b/>
          <w:bCs/>
          <w:color w:val="922B21"/>
          <w:sz w:val="36"/>
          <w:szCs w:val="36"/>
        </w:rPr>
        <w:t xml:space="preserve">FICHA DE BIEN PATRIMONIAL</w:t>
      </w:r>
    </w:p>
    <w:p>
      <w:pPr>
        <w:pBdr>
          <w:bottom w:val="single" w:color="922B21" w:sz="4"/>
        </w:pBdr>
        <w:shd w:fill="2E4053" w:val="clear"/>
        <w:spacing w:after="80" w:before="200"/>
        <w:ind w:left="0" w:right="0"/>
      </w:pPr>
      <w:r>
        <w:rPr>
          <w:rFonts w:ascii="Arial" w:cs="Arial" w:eastAsia="Arial" w:hAnsi="Arial"/>
          <w:b/>
          <w:bCs/>
          <w:color w:val="FFFFFF"/>
          <w:sz w:val="20"/>
          <w:szCs w:val="20"/>
        </w:rPr>
        <w:t xml:space="preserve">1. IDENTIFICACIÓN DEL BIEN</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Denominación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Capilla de Nuestra Señora de la Aurora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Nombre popular</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Capilla de la Aurora / Capilla del Gran Poder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Tipología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Capilla / Ermita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Titularidad</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Arzobispado de Sevilla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Gestión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Real, Ilustre y Fervorosa Hermandad y Cofradía de Nazarenos de Ntro. Padre Jesús del Gran Poder y María Stma. de la Soledad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Dirección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 Nuestra Señora de la Aurora, s/n — Los Palacios y Villafranca (Sevilla)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Referencia catastral</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Pendiente de obtener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Nivel de protección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Pendiente de confirmar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Arquitecto conservador</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Manuel Rosa Sánchez (nombrado en 2009)</w:t>
            </w:r>
          </w:p>
        </w:tc>
      </w:tr>
    </w:tbl>
    <w:p>
      <w:pPr>
        <w:spacing w:after="80" w:before="80"/>
      </w:pPr>
      <w:r>
        <w:t xml:space="preserve"/>
      </w:r>
    </w:p>
    <w:p>
      <w:pPr>
        <w:pBdr>
          <w:bottom w:val="single" w:color="922B21" w:sz="4"/>
        </w:pBdr>
        <w:shd w:fill="2E4053" w:val="clear"/>
        <w:spacing w:after="80" w:before="200"/>
        <w:ind w:left="0" w:right="0"/>
      </w:pPr>
      <w:r>
        <w:rPr>
          <w:rFonts w:ascii="Arial" w:cs="Arial" w:eastAsia="Arial" w:hAnsi="Arial"/>
          <w:b/>
          <w:bCs/>
          <w:color w:val="FFFFFF"/>
          <w:sz w:val="20"/>
          <w:szCs w:val="20"/>
        </w:rPr>
        <w:t xml:space="preserve">2. DESCRIPCIÓN ARQUITECTÓNICA</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Época de construcción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Siglo XVIII. Obras iniciadas en 1710, primera fase finalizada en 1725. Crucero añadido en 1774.</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Estilo</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Popular con connotaciones neoclásicas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Planta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Cruz latina con una sola nave abovedada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Naves</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Una nave con tres tramos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Arcos</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De medio punto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Cubierta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Cúpula de media naranja sin tambor sobre el crucero. Techo de madera en la nave.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Materiales</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Ladrillo, mampostería y tapial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Portada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Apilastrada, adintelada y de líneas muy sencillas. Ampliada en 1971 para paso de pasos procesionales.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Elementos singulares</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Cúpula de media naranja sin tambor. Yeserías interiores del siglo XVIII restauradas con policromía, estofados y dorados. Alicatado de azulejos con motivos geométricos de estilo mozárabe (década de 1940). Camarín de la Virgen de la Aurora con escalera oculta descubierta en 1995. Coro con escalera de caracol de hierro (1995). Sacristía.</w:t>
            </w:r>
          </w:p>
        </w:tc>
      </w:tr>
    </w:tbl>
    <w:p>
      <w:pPr>
        <w:spacing w:after="80" w:before="80"/>
      </w:pPr>
      <w:r>
        <w:t xml:space="preserve"/>
      </w:r>
    </w:p>
    <w:p>
      <w:pPr>
        <w:spacing w:after="60" w:before="60"/>
        <w:jc w:val="both"/>
      </w:pPr>
      <w:r>
        <w:rPr>
          <w:rFonts w:ascii="Arial" w:cs="Arial" w:eastAsia="Arial" w:hAnsi="Arial"/>
          <w:i w:val="false"/>
          <w:iCs w:val="false"/>
          <w:sz w:val="20"/>
          <w:szCs w:val="20"/>
        </w:rPr>
        <w:t xml:space="preserve">La fisonomía actual no corresponde a la originaria. El edificio ha experimentado numerosas intervenciones a lo largo de los siglos. En 1710 se construyó únicamente con planta rectangular a excepción del crucero; en 1774 se realizaron obras importantes; en la década de 1940 se restauró la cúpula y se alicataron los muros interiores; en 1995 se amplió el presbiterio y se acondicionó el coro; y entre 1999 y 2005 se realizaron las restauraciones más importantes del siglo, incluyendo el saneamiento de paredes, tratamiento del techo de madera, nueva instalación eléctrica y restauración de yeserías y retablos.</w:t>
      </w:r>
    </w:p>
    <w:p>
      <w:pPr>
        <w:spacing w:after="80" w:before="80"/>
      </w:pPr>
      <w:r>
        <w:t xml:space="preserve"/>
      </w:r>
    </w:p>
    <w:p>
      <w:pPr>
        <w:pBdr>
          <w:bottom w:val="single" w:color="922B21" w:sz="4"/>
        </w:pBdr>
        <w:shd w:fill="2E4053" w:val="clear"/>
        <w:spacing w:after="80" w:before="200"/>
        <w:ind w:left="0" w:right="0"/>
      </w:pPr>
      <w:r>
        <w:rPr>
          <w:rFonts w:ascii="Arial" w:cs="Arial" w:eastAsia="Arial" w:hAnsi="Arial"/>
          <w:b/>
          <w:bCs/>
          <w:color w:val="FFFFFF"/>
          <w:sz w:val="20"/>
          <w:szCs w:val="20"/>
        </w:rPr>
        <w:t xml:space="preserve">3. RESEÑA HISTÓRICA</w:t>
      </w:r>
    </w:p>
    <w:p>
      <w:pPr>
        <w:spacing w:after="80" w:before="80"/>
      </w:pPr>
      <w:r>
        <w:t xml:space="preserve"/>
      </w:r>
    </w:p>
    <w:p>
      <w:pPr>
        <w:spacing w:after="60" w:before="60"/>
        <w:jc w:val="both"/>
      </w:pPr>
      <w:r>
        <w:rPr>
          <w:rFonts w:ascii="Arial" w:cs="Arial" w:eastAsia="Arial" w:hAnsi="Arial"/>
          <w:i w:val="false"/>
          <w:iCs w:val="false"/>
          <w:sz w:val="20"/>
          <w:szCs w:val="20"/>
        </w:rPr>
        <w:t xml:space="preserve">La Capilla de Nuestra Señora de la Aurora fue erigida a iniciativa de una corporación rosariana que practicaba el rezo callejero del Santo Rosario, tras las misiones llevadas a cabo en Los Palacios por los Padres Franciscanos del Convento de San Antonio de Arcos de la Frontera. Al frente de dicha hermandad rosariana destacó don Salvador Díaz Cano, quien junto con otros once vecinos elevó escrito al Vicario General del Arzobispado solicitando licencia para construir la capilla.</w:t>
      </w:r>
    </w:p>
    <w:p>
      <w:pPr>
        <w:spacing w:after="60" w:before="60"/>
        <w:jc w:val="both"/>
      </w:pPr>
      <w:r>
        <w:rPr>
          <w:rFonts w:ascii="Arial" w:cs="Arial" w:eastAsia="Arial" w:hAnsi="Arial"/>
          <w:i w:val="false"/>
          <w:iCs w:val="false"/>
          <w:sz w:val="20"/>
          <w:szCs w:val="20"/>
        </w:rPr>
        <w:t xml:space="preserve">Las obras fueron financiadas mediante limosnas entre el vecindario, trabajo voluntario de fieles y la contribución económica del Duque de Arcos, señor de la Villa de Los Palacios. La devoción a la Virgen de la Aurora fue tan grande que la calle donde se ubica la ermita, una de las arterias neurálgicas del pueblo, pasó a denominarse Calle Nuestra Señora de la Aurora.</w:t>
      </w:r>
    </w:p>
    <w:p>
      <w:pPr>
        <w:spacing w:after="60" w:before="60"/>
        <w:jc w:val="both"/>
      </w:pPr>
      <w:r>
        <w:rPr>
          <w:rFonts w:ascii="Arial" w:cs="Arial" w:eastAsia="Arial" w:hAnsi="Arial"/>
          <w:i w:val="false"/>
          <w:iCs w:val="false"/>
          <w:sz w:val="20"/>
          <w:szCs w:val="20"/>
        </w:rPr>
        <w:t xml:space="preserve">El 21 de marzo de 1971, la Hermandad del Gran Poder trasladó su residencia canónica a la Capilla de la Aurora, tras 88 años en la Parroquia de Santa María la Blanca. Desde entonces es la sede de la cofradía. El 16 de abril de 2007, el Ayuntamiento otorgó por unanimidad la Medalla de Oro de la Villa a la imagen de Nuestro Padre Jesús del Gran Poder.</w:t>
      </w:r>
    </w:p>
    <w:p>
      <w:pPr>
        <w:spacing w:after="60" w:before="60"/>
        <w:jc w:val="both"/>
      </w:pPr>
      <w:r>
        <w:rPr>
          <w:rFonts w:ascii="Arial" w:cs="Arial" w:eastAsia="Arial" w:hAnsi="Arial"/>
          <w:i w:val="false"/>
          <w:iCs w:val="false"/>
          <w:sz w:val="20"/>
          <w:szCs w:val="20"/>
        </w:rPr>
        <w:t xml:space="preserve">En 2025 se conmemoró el III Centenario de la finalización de la primera fase constructiva de la capilla (1725).</w:t>
      </w:r>
    </w:p>
    <w:p>
      <w:pPr>
        <w:spacing w:after="80" w:before="80"/>
      </w:pPr>
      <w:r>
        <w:t xml:space="preserve"/>
      </w:r>
    </w:p>
    <w:p>
      <w:pPr>
        <w:pBdr>
          <w:bottom w:val="single" w:color="922B21" w:sz="4"/>
        </w:pBdr>
        <w:shd w:fill="922B21" w:val="clear"/>
        <w:spacing w:after="80" w:before="200"/>
        <w:ind w:left="0" w:right="0"/>
      </w:pPr>
      <w:r>
        <w:rPr>
          <w:rFonts w:ascii="Arial" w:cs="Arial" w:eastAsia="Arial" w:hAnsi="Arial"/>
          <w:b/>
          <w:bCs/>
          <w:color w:val="FFFFFF"/>
          <w:sz w:val="20"/>
          <w:szCs w:val="20"/>
        </w:rPr>
        <w:t xml:space="preserve">4. BIENES MUEBLES — INVENTARIO PARA INTERVENCIÓN</w:t>
      </w:r>
    </w:p>
    <w:p>
      <w:pPr>
        <w:spacing w:after="80" w:before="80"/>
      </w:pPr>
      <w:r>
        <w:t xml:space="preserve"/>
      </w:r>
    </w:p>
    <w:p>
      <w:pPr>
        <w:spacing w:after="60" w:before="80"/>
      </w:pPr>
      <w:r>
        <w:rPr>
          <w:rFonts w:ascii="Arial" w:cs="Arial" w:eastAsia="Arial" w:hAnsi="Arial"/>
          <w:b/>
          <w:bCs/>
          <w:color w:val="922B21"/>
          <w:sz w:val="20"/>
          <w:szCs w:val="20"/>
        </w:rPr>
        <w:t xml:space="preserve">Imágenes titulares (máxima prioridad de rescate)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200"/>
        <w:gridCol w:w="1680"/>
        <w:gridCol w:w="1880"/>
      </w:tblGrid>
      <w:tr>
        <w:tc>
          <w:tcPr>
            <w:tcW w:type="dxa" w:w="4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Nº</w:t>
            </w:r>
          </w:p>
        </w:tc>
        <w:tc>
          <w:tcPr>
            <w:tcW w:type="dxa" w:w="32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Denominación</w:t>
            </w:r>
          </w:p>
        </w:tc>
        <w:tc>
          <w:tcPr>
            <w:tcW w:type="dxa" w:w="220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Cronología</w:t>
            </w:r>
          </w:p>
        </w:tc>
        <w:tc>
          <w:tcPr>
            <w:tcW w:type="dxa" w:w="168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Autor</w:t>
            </w:r>
          </w:p>
        </w:tc>
        <w:tc>
          <w:tcPr>
            <w:tcW w:type="dxa" w:w="1880"/>
            <w:tcBorders>
              <w:top w:val="single" w:color="CCCCCC" w:sz="1"/>
              <w:left w:val="single" w:color="CCCCCC" w:sz="1"/>
              <w:bottom w:val="single" w:color="CCCCCC" w:sz="1"/>
              <w:right w:val="single" w:color="CCCCCC" w:sz="1"/>
            </w:tcBorders>
            <w:shd w:fill="922B21" w:val="clear"/>
            <w:tcMar>
              <w:top w:type="dxa" w:w="80"/>
              <w:left w:type="dxa" w:w="100"/>
              <w:bottom w:type="dxa" w:w="80"/>
              <w:right w:type="dxa" w:w="100"/>
            </w:tcMar>
          </w:tcPr>
          <w:p>
            <w:r>
              <w:rPr>
                <w:rFonts w:ascii="Arial" w:cs="Arial" w:eastAsia="Arial" w:hAnsi="Arial"/>
                <w:b/>
                <w:bCs/>
                <w:color w:val="FFFFFF"/>
                <w:sz w:val="18"/>
                <w:szCs w:val="18"/>
              </w:rPr>
              <w:t xml:space="preserve">Ubicación en capilla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Ntra. Sra. de la Asunción (Virgen de la Aurora)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 XVIII</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Anónimo</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Altar mayor / Camarín</w:t>
            </w:r>
          </w:p>
        </w:tc>
      </w:tr>
      <w:tr>
        <w:tc>
          <w:tcPr>
            <w:tcW w:type="dxa" w:w="4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18"/>
                <w:szCs w:val="18"/>
              </w:rPr>
              <w:t xml:space="preserve">2</w:t>
            </w:r>
          </w:p>
        </w:tc>
        <w:tc>
          <w:tcPr>
            <w:tcW w:type="dxa" w:w="32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8"/>
                <w:szCs w:val="18"/>
              </w:rPr>
              <w:t xml:space="preserve">Ntro. Padre Jesús del Gran Poder</w:t>
            </w:r>
          </w:p>
        </w:tc>
        <w:tc>
          <w:tcPr>
            <w:tcW w:type="dxa" w:w="22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8"/>
                <w:szCs w:val="18"/>
              </w:rPr>
              <w:t xml:space="preserve">Pendiente</w:t>
            </w:r>
          </w:p>
        </w:tc>
        <w:tc>
          <w:tcPr>
            <w:tcW w:type="dxa" w:w="168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8"/>
                <w:szCs w:val="18"/>
              </w:rPr>
              <w:t xml:space="preserve">Pendiente</w:t>
            </w:r>
          </w:p>
        </w:tc>
        <w:tc>
          <w:tcPr>
            <w:tcW w:type="dxa" w:w="188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8"/>
                <w:szCs w:val="18"/>
              </w:rPr>
              <w:t xml:space="preserve">Retablo lado derecho del crucero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María Stma. de la Soledad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Pendiente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Pendiente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Retablo lado derecho del crucero</w:t>
            </w:r>
          </w:p>
        </w:tc>
      </w:tr>
      <w:tr>
        <w:tc>
          <w:tcPr>
            <w:tcW w:type="dxa" w:w="4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bCs/>
                <w:sz w:val="18"/>
                <w:szCs w:val="18"/>
              </w:rPr>
              <w:t xml:space="preserve">4</w:t>
            </w:r>
          </w:p>
        </w:tc>
        <w:tc>
          <w:tcPr>
            <w:tcW w:type="dxa" w:w="32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8"/>
                <w:szCs w:val="18"/>
              </w:rPr>
              <w:t xml:space="preserve">San Juan Evangelista</w:t>
            </w:r>
          </w:p>
        </w:tc>
        <w:tc>
          <w:tcPr>
            <w:tcW w:type="dxa" w:w="22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8"/>
                <w:szCs w:val="18"/>
              </w:rPr>
              <w:t xml:space="preserve">Pendiente</w:t>
            </w:r>
          </w:p>
        </w:tc>
        <w:tc>
          <w:tcPr>
            <w:tcW w:type="dxa" w:w="168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8"/>
                <w:szCs w:val="18"/>
              </w:rPr>
              <w:t xml:space="preserve">Pendiente</w:t>
            </w:r>
          </w:p>
        </w:tc>
        <w:tc>
          <w:tcPr>
            <w:tcW w:type="dxa" w:w="188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b w:val="false"/>
                <w:bCs w:val="false"/>
                <w:sz w:val="18"/>
                <w:szCs w:val="18"/>
              </w:rPr>
              <w:t xml:space="preserve">Capilla — pendiente de confirmar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Ntra. Sra. de los Dolores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2ª mitad S. XVIII</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Anónimo</w:t>
            </w:r>
          </w:p>
        </w:tc>
        <w:tc>
          <w:tcPr>
            <w:tcW w:type="dxa" w:w="1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Junto al titular cristífero</w:t>
            </w:r>
          </w:p>
        </w:tc>
      </w:tr>
    </w:tbl>
    <w:p>
      <w:pPr>
        <w:spacing w:after="80" w:before="80"/>
      </w:pPr>
      <w:r>
        <w:t xml:space="preserve"/>
      </w:r>
    </w:p>
    <w:p>
      <w:pPr>
        <w:spacing w:after="60" w:before="80"/>
      </w:pPr>
      <w:r>
        <w:rPr>
          <w:rFonts w:ascii="Arial" w:cs="Arial" w:eastAsia="Arial" w:hAnsi="Arial"/>
          <w:b/>
          <w:bCs/>
          <w:color w:val="2E4053"/>
          <w:sz w:val="20"/>
          <w:szCs w:val="20"/>
        </w:rPr>
        <w:t xml:space="preserve">Otros bienes de interés</w:t>
      </w:r>
    </w:p>
    <w:p>
      <w:pPr>
        <w:pStyle w:val="ListParagraph"/>
        <w:numPr>
          <w:ilvl w:val="0"/>
          <w:numId w:val="2"/>
        </w:numPr>
        <w:spacing w:after="40" w:before="40"/>
      </w:pPr>
      <w:r>
        <w:rPr>
          <w:rFonts w:ascii="Arial" w:cs="Arial" w:eastAsia="Arial" w:hAnsi="Arial"/>
          <w:sz w:val="20"/>
          <w:szCs w:val="20"/>
        </w:rPr>
        <w:t xml:space="preserve">Retablos restaurados (todos excepto el de Santo Domingo y el Tríptico de la Hermandad) — restaurados por Antonio Manuel Romero Triguero con nueva policromía, dorados y estofados</w:t>
      </w:r>
    </w:p>
    <w:p>
      <w:pPr>
        <w:pStyle w:val="ListParagraph"/>
        <w:numPr>
          <w:ilvl w:val="0"/>
          <w:numId w:val="2"/>
        </w:numPr>
        <w:spacing w:after="40" w:before="40"/>
      </w:pPr>
      <w:r>
        <w:rPr>
          <w:rFonts w:ascii="Arial" w:cs="Arial" w:eastAsia="Arial" w:hAnsi="Arial"/>
          <w:sz w:val="20"/>
          <w:szCs w:val="20"/>
        </w:rPr>
        <w:t xml:space="preserve">Retablo de Santo Domingo — pendiente de catalogar</w:t>
      </w:r>
    </w:p>
    <w:p>
      <w:pPr>
        <w:pStyle w:val="ListParagraph"/>
        <w:numPr>
          <w:ilvl w:val="0"/>
          <w:numId w:val="2"/>
        </w:numPr>
        <w:spacing w:after="40" w:before="40"/>
      </w:pPr>
      <w:r>
        <w:rPr>
          <w:rFonts w:ascii="Arial" w:cs="Arial" w:eastAsia="Arial" w:hAnsi="Arial"/>
          <w:sz w:val="20"/>
          <w:szCs w:val="20"/>
        </w:rPr>
        <w:t xml:space="preserve">Tríptico de la Hermandad — pendiente de catalogar</w:t>
      </w:r>
    </w:p>
    <w:p>
      <w:pPr>
        <w:pStyle w:val="ListParagraph"/>
        <w:numPr>
          <w:ilvl w:val="0"/>
          <w:numId w:val="2"/>
        </w:numPr>
        <w:spacing w:after="40" w:before="40"/>
      </w:pPr>
      <w:r>
        <w:rPr>
          <w:rFonts w:ascii="Arial" w:cs="Arial" w:eastAsia="Arial" w:hAnsi="Arial"/>
          <w:sz w:val="20"/>
          <w:szCs w:val="20"/>
        </w:rPr>
        <w:t xml:space="preserve">Yeserías del siglo XVIII con simbología mariana e inscripciones bíblicas en latín</w:t>
      </w:r>
    </w:p>
    <w:p>
      <w:pPr>
        <w:pStyle w:val="ListParagraph"/>
        <w:numPr>
          <w:ilvl w:val="0"/>
          <w:numId w:val="2"/>
        </w:numPr>
        <w:spacing w:after="40" w:before="40"/>
      </w:pPr>
      <w:r>
        <w:rPr>
          <w:rFonts w:ascii="Arial" w:cs="Arial" w:eastAsia="Arial" w:hAnsi="Arial"/>
          <w:sz w:val="20"/>
          <w:szCs w:val="20"/>
        </w:rPr>
        <w:t xml:space="preserve">Alicatado de azulejos con motivos geométricos estilo mozárabe (década de 1940, sufragados por Doña Amalia Caro)</w:t>
      </w:r>
    </w:p>
    <w:p>
      <w:pPr>
        <w:pStyle w:val="ListParagraph"/>
        <w:numPr>
          <w:ilvl w:val="0"/>
          <w:numId w:val="2"/>
        </w:numPr>
        <w:spacing w:after="40" w:before="40"/>
      </w:pPr>
      <w:r>
        <w:rPr>
          <w:rFonts w:ascii="Arial" w:cs="Arial" w:eastAsia="Arial" w:hAnsi="Arial"/>
          <w:sz w:val="20"/>
          <w:szCs w:val="20"/>
        </w:rPr>
        <w:t xml:space="preserve">Retablo cerámico dedicado a Ntro. Padre Jesús del Gran Poder en el Cementerio municipal de San José</w:t>
      </w:r>
    </w:p>
    <w:p>
      <w:pPr>
        <w:spacing w:after="80" w:before="80"/>
      </w:pPr>
      <w:r>
        <w:t xml:space="preserve"/>
      </w:r>
    </w:p>
    <w:p>
      <w:pPr>
        <w:pBdr>
          <w:bottom w:val="single" w:color="922B21" w:sz="4"/>
        </w:pBdr>
        <w:shd w:fill="922B21" w:val="clear"/>
        <w:spacing w:after="80" w:before="200"/>
        <w:ind w:left="0" w:right="0"/>
      </w:pPr>
      <w:r>
        <w:rPr>
          <w:rFonts w:ascii="Arial" w:cs="Arial" w:eastAsia="Arial" w:hAnsi="Arial"/>
          <w:b/>
          <w:bCs/>
          <w:color w:val="FFFFFF"/>
          <w:sz w:val="20"/>
          <w:szCs w:val="20"/>
        </w:rPr>
        <w:t xml:space="preserve">5. INFORMACIÓN OPERATIVA PARA INTERVENCIÓN</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Tiempo desde parque</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922B21"/>
                <w:sz w:val="20"/>
                <w:szCs w:val="20"/>
              </w:rPr>
              <w:t xml:space="preserve">4 minutos (aprox.)</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Distancia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1,5 km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Ruta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Avda. Miguel Ángel → C/ Rodrigo Caro → C/ Real de Villafranca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Acceso rodado</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Vehículo en C/ Tartessos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Entrada principal</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C/ Aurora (peatonal) — acceso a pie desde C/ Tartessos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Hidrante más cercano</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Esquina C/ Tartessos / C/ Ntra. Sra. de la Aurora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CCCCC" w:sz="1"/>
              <w:left w:val="single" w:color="CCCCCC" w:sz="1"/>
              <w:bottom w:val="single" w:color="CCCCCC" w:sz="1"/>
              <w:right w:val="single" w:color="CCCCCC" w:sz="1"/>
            </w:tcBorders>
            <w:shd w:fill="922B21"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906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20"/>
            </w:tcMar>
          </w:tcPr>
          <w:p>
            <w:r>
              <w:rPr>
                <w:rFonts w:ascii="Arial" w:cs="Arial" w:eastAsia="Arial" w:hAnsi="Arial"/>
                <w:color w:val="333333"/>
                <w:sz w:val="18"/>
                <w:szCs w:val="18"/>
              </w:rPr>
              <w:t xml:space="preserve">ENTRADA PEATONAL — El tendido de manguera desde el vehículo hasta la entrada debe hacerse a pie. Posicionamiento obligatorio en C/ Tartessos.</w:t>
            </w:r>
          </w:p>
        </w:tc>
      </w:tr>
    </w:tbl>
    <w:p>
      <w:pPr>
        <w:spacing w:after="80" w:before="80"/>
      </w:pPr>
      <w:r>
        <w:t xml:space="preserve"/>
      </w:r>
    </w:p>
    <w:p>
      <w:pPr>
        <w:pBdr>
          <w:bottom w:val="single" w:color="922B21" w:sz="4"/>
        </w:pBdr>
        <w:shd w:fill="922B21" w:val="clear"/>
        <w:spacing w:after="80" w:before="200"/>
        <w:ind w:left="0" w:right="0"/>
      </w:pPr>
      <w:r>
        <w:rPr>
          <w:rFonts w:ascii="Arial" w:cs="Arial" w:eastAsia="Arial" w:hAnsi="Arial"/>
          <w:b/>
          <w:bCs/>
          <w:color w:val="FFFFFF"/>
          <w:sz w:val="20"/>
          <w:szCs w:val="20"/>
        </w:rPr>
        <w:t xml:space="preserve">6. RIESGOS ESPECÍFICOS PARA LA INTERVENCIÓN</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Cúpula de media naranja sin tambor — riesgo de colapso en caso de incendio prolongado</w:t>
      </w:r>
    </w:p>
    <w:p>
      <w:pPr>
        <w:pStyle w:val="ListParagraph"/>
        <w:numPr>
          <w:ilvl w:val="0"/>
          <w:numId w:val="2"/>
        </w:numPr>
        <w:spacing w:after="40" w:before="40"/>
      </w:pPr>
      <w:r>
        <w:rPr>
          <w:rFonts w:ascii="Arial" w:cs="Arial" w:eastAsia="Arial" w:hAnsi="Arial"/>
          <w:sz w:val="20"/>
          <w:szCs w:val="20"/>
        </w:rPr>
        <w:t xml:space="preserve">Techo de madera en la nave — propagación rápida del fuego</w:t>
      </w:r>
    </w:p>
    <w:p>
      <w:pPr>
        <w:pStyle w:val="ListParagraph"/>
        <w:numPr>
          <w:ilvl w:val="0"/>
          <w:numId w:val="2"/>
        </w:numPr>
        <w:spacing w:after="40" w:before="40"/>
      </w:pPr>
      <w:r>
        <w:rPr>
          <w:rFonts w:ascii="Arial" w:cs="Arial" w:eastAsia="Arial" w:hAnsi="Arial"/>
          <w:sz w:val="20"/>
          <w:szCs w:val="20"/>
        </w:rPr>
        <w:t xml:space="preserve">Instalación eléctrica renovada en 1999 pero con antigüedad de más de 25 años</w:t>
      </w:r>
    </w:p>
    <w:p>
      <w:pPr>
        <w:pStyle w:val="ListParagraph"/>
        <w:numPr>
          <w:ilvl w:val="0"/>
          <w:numId w:val="2"/>
        </w:numPr>
        <w:spacing w:after="40" w:before="40"/>
      </w:pPr>
      <w:r>
        <w:rPr>
          <w:rFonts w:ascii="Arial" w:cs="Arial" w:eastAsia="Arial" w:hAnsi="Arial"/>
          <w:sz w:val="20"/>
          <w:szCs w:val="20"/>
        </w:rPr>
        <w:t xml:space="preserve">Planta de cruz latina con una sola nave — evacuación de bienes muebles por un único acceso principal</w:t>
      </w:r>
    </w:p>
    <w:p>
      <w:pPr>
        <w:pStyle w:val="ListParagraph"/>
        <w:numPr>
          <w:ilvl w:val="0"/>
          <w:numId w:val="2"/>
        </w:numPr>
        <w:spacing w:after="40" w:before="40"/>
      </w:pPr>
      <w:r>
        <w:rPr>
          <w:rFonts w:ascii="Arial" w:cs="Arial" w:eastAsia="Arial" w:hAnsi="Arial"/>
          <w:sz w:val="20"/>
          <w:szCs w:val="20"/>
        </w:rPr>
        <w:t xml:space="preserve">Camarín de la Virgen en altura con escalera de caracol — acceso difícil en emergencia</w:t>
      </w:r>
    </w:p>
    <w:p>
      <w:pPr>
        <w:pStyle w:val="ListParagraph"/>
        <w:numPr>
          <w:ilvl w:val="0"/>
          <w:numId w:val="2"/>
        </w:numPr>
        <w:spacing w:after="40" w:before="40"/>
      </w:pPr>
      <w:r>
        <w:rPr>
          <w:rFonts w:ascii="Arial" w:cs="Arial" w:eastAsia="Arial" w:hAnsi="Arial"/>
          <w:sz w:val="20"/>
          <w:szCs w:val="20"/>
        </w:rPr>
        <w:t xml:space="preserve">Yeserías y ornamentación mural de gran valor — extremadamente sensibles al agua y al calor</w:t>
      </w:r>
    </w:p>
    <w:p>
      <w:pPr>
        <w:spacing w:after="80" w:before="80"/>
      </w:pPr>
      <w:r>
        <w:t xml:space="preserve"/>
      </w:r>
    </w:p>
    <w:p>
      <w:pPr>
        <w:pBdr>
          <w:bottom w:val="single" w:color="922B21" w:sz="4"/>
        </w:pBdr>
        <w:shd w:fill="2E4053" w:val="clear"/>
        <w:spacing w:after="80" w:before="200"/>
        <w:ind w:left="0" w:right="0"/>
      </w:pPr>
      <w:r>
        <w:rPr>
          <w:rFonts w:ascii="Arial" w:cs="Arial" w:eastAsia="Arial" w:hAnsi="Arial"/>
          <w:b/>
          <w:bCs/>
          <w:color w:val="FFFFFF"/>
          <w:sz w:val="20"/>
          <w:szCs w:val="20"/>
        </w:rPr>
        <w:t xml:space="preserve">7. ESTADO DE DOCUMENTACIÓN</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Plan de salvaguarda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E67E22"/>
                <w:sz w:val="20"/>
                <w:szCs w:val="20"/>
              </w:rPr>
              <w:t xml:space="preserve">No consta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Plan de emergencia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E67E22"/>
                <w:sz w:val="20"/>
                <w:szCs w:val="20"/>
              </w:rPr>
              <w:t xml:space="preserve">No consta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Planos del interior</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Levantados por el arquitecto Manuel Rosa Sánchez (2009) — pendiente de obtener copia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Última restauración</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2005 — construcción de coro y ampliación de casa hermandad (inaugurada enero 2006)</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Fecha de revisión de esta ficha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Mayo 2026</w:t>
            </w:r>
          </w:p>
        </w:tc>
      </w:tr>
    </w:tbl>
    <w:p>
      <w:pPr>
        <w:spacing w:after="80" w:before="80"/>
      </w:pPr>
      <w:r>
        <w:t xml:space="preserve"/>
      </w:r>
    </w:p>
    <w:p>
      <w:pPr>
        <w:pBdr>
          <w:bottom w:val="single" w:color="922B21" w:sz="4"/>
        </w:pBdr>
        <w:shd w:fill="2E4053" w:val="clear"/>
        <w:spacing w:after="80" w:before="200"/>
        <w:ind w:left="0" w:right="0"/>
      </w:pPr>
      <w:r>
        <w:rPr>
          <w:rFonts w:ascii="Arial" w:cs="Arial" w:eastAsia="Arial" w:hAnsi="Arial"/>
          <w:b/>
          <w:bCs/>
          <w:color w:val="FFFFFF"/>
          <w:sz w:val="20"/>
          <w:szCs w:val="20"/>
        </w:rPr>
        <w:t xml:space="preserve">8. CONTACTOS</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Hermandad del Gran Poder</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Pendiente de obtener teléfono de contacto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Arquitecto conservador</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Manuel Rosa Sánchez — pendiente de obtener teléfono</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sz="0"/>
              <w:left w:val="none" w:sz="0"/>
              <w:bottom w:val="single" w:color="DDDDDD" w:sz="1"/>
              <w:right w:val="none" w:sz="0"/>
            </w:tcBorders>
            <w:shd w:fill="F4F6F7" w:val="clear"/>
            <w:tcMar>
              <w:top w:type="dxa" w:w="60"/>
              <w:left w:type="dxa" w:w="120"/>
              <w:bottom w:type="dxa" w:w="60"/>
              <w:right w:type="dxa" w:w="80"/>
            </w:tcMar>
          </w:tcPr>
          <w:p>
            <w:r>
              <w:rPr>
                <w:rFonts w:ascii="Arial" w:cs="Arial" w:eastAsia="Arial" w:hAnsi="Arial"/>
                <w:b/>
                <w:bCs/>
                <w:color w:val="626567"/>
                <w:sz w:val="18"/>
                <w:szCs w:val="18"/>
              </w:rPr>
              <w:t xml:space="preserve">Arzobispado de Sevilla</w:t>
            </w:r>
          </w:p>
        </w:tc>
        <w:tc>
          <w:tcPr>
            <w:tcW w:type="dxa" w:w="6860"/>
            <w:tcBorders>
              <w:top w:val="none" w:sz="0"/>
              <w:left w:val="none" w:sz="0"/>
              <w:bottom w:val="single" w:color="DDDDDD" w:sz="1"/>
              <w:right w:val="none" w:sz="0"/>
            </w:tcBorders>
            <w:tcMar>
              <w:top w:type="dxa" w:w="60"/>
              <w:left w:type="dxa" w:w="120"/>
              <w:bottom w:type="dxa" w:w="60"/>
              <w:right w:type="dxa" w:w="120"/>
            </w:tcMar>
          </w:tcPr>
          <w:p>
            <w:r>
              <w:rPr>
                <w:rFonts w:ascii="Arial" w:cs="Arial" w:eastAsia="Arial" w:hAnsi="Arial"/>
                <w:color w:val="1C2833"/>
                <w:sz w:val="20"/>
                <w:szCs w:val="20"/>
              </w:rPr>
              <w:t xml:space="preserve">Propietario del inmueble — pendiente de contacto</w:t>
            </w:r>
          </w:p>
        </w:tc>
      </w:tr>
    </w:tbl>
    <w:p>
      <w:pPr>
        <w:spacing w:after="80" w:before="80"/>
      </w:pPr>
      <w:r>
        <w:t xml:space="preserve"/>
      </w:r>
    </w:p>
    <w:p>
      <w:pPr>
        <w:pBdr>
          <w:top w:val="single" w:color="CCCCCC" w:sz="2"/>
        </w:pBdr>
        <w:spacing w:before="240"/>
        <w:jc w:val="center"/>
      </w:pPr>
      <w:r>
        <w:rPr>
          <w:rFonts w:ascii="Arial" w:cs="Arial" w:eastAsia="Arial" w:hAnsi="Arial"/>
          <w:i/>
          <w:iCs/>
          <w:color w:val="AAAAAA"/>
          <w:sz w:val="14"/>
          <w:szCs w:val="14"/>
        </w:rPr>
        <w:t xml:space="preserve">Parque de Bomberos de Los Palacios y Villafranca · Avda. San Miguel s/n · Documento de uso interno · Revisión: Mayo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2026-05-11T16:11:28.019Z</dcterms:created>
  <dcterms:modified xsi:type="dcterms:W3CDTF">2026-05-11T16:11:28.019Z</dcterms:modified>
</cp:coreProperties>
</file>

<file path=docProps/custom.xml><?xml version="1.0" encoding="utf-8"?>
<Properties xmlns="http://schemas.openxmlformats.org/officeDocument/2006/custom-properties" xmlns:vt="http://schemas.openxmlformats.org/officeDocument/2006/docPropsVTypes"/>
</file>