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Clase 1 – Generalidades y definiciones actuales de las Altas Capacidades</w:t>
      </w:r>
    </w:p>
    <w:p>
      <w:pPr>
        <w:spacing w:after="40"/>
      </w:pPr>
      <w:r>
        <w:rPr>
          <w:i/>
          <w:iCs/>
          <w:color w:val="595959"/>
        </w:rPr>
        <w:t xml:space="preserve">Jueves 16 de abril de 2026 · Lic. Mariela Vergara Panzeri</w:t>
      </w:r>
    </w:p>
    <w:p>
      <w:pPr>
        <w:spacing w:after="40"/>
      </w:pPr>
      <w:r>
        <w:rPr>
          <w:i/>
          <w:iCs/>
          <w:color w:val="595959"/>
        </w:rPr>
        <w:t xml:space="preserve">Temas: generalidades y definiciones actuales; el cerebro dotado (neurobiología de las AACC); características; diferencias entre niños y niñas; mitos, confusiones y errores diagnósticos.</w:t>
      </w:r>
    </w:p>
    <w:p>
      <w:pPr>
        <w:pStyle w:val="Heading1"/>
      </w:pPr>
      <w:r>
        <w:t xml:space="preserve">1. Del "superdotado" al "talento": cómo cambió el concepto (Tourón, 2004)</w:t>
      </w:r>
    </w:p>
    <w:p>
      <w:r>
        <w:t xml:space="preserve">Javier Tourón (Universidad de Navarra) muestra que no existe una única definición de superdotación: el concepto evolucionó junto con las teorías de la inteligencia. La idea central es que se pasó de una </w:t>
      </w:r>
      <w:r>
        <w:rPr>
          <w:b/>
          <w:bCs/>
        </w:rPr>
        <w:t xml:space="preserve">mirada cuantitativa</w:t>
      </w:r>
      <w:r>
        <w:t xml:space="preserve"> (un número de CI) a una </w:t>
      </w:r>
      <w:r>
        <w:rPr>
          <w:b/>
          <w:bCs/>
        </w:rPr>
        <w:t xml:space="preserve">mirada cualitativa y de desarrollo</w:t>
      </w:r>
      <w:r>
        <w:t xml:space="preserve">, donde el potencial necesita ser cultivado.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7"/>
        <w:gridCol w:w="5441"/>
      </w:tblGrid>
      <w:tr>
        <w:trPr>
          <w:tblHeader/>
        </w:trPr>
        <w:tc>
          <w:tcPr>
            <w:tcW w:type="dxa" w:w="4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Paradigma tradicional</w:t>
            </w:r>
          </w:p>
        </w:tc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Paradigma actual</w:t>
            </w:r>
          </w:p>
        </w:tc>
      </w:tr>
      <w:tr>
        <w:trPr>
          <w:tblHeader w:val="false"/>
        </w:trPr>
        <w:tc>
          <w:tcPr>
            <w:tcW w:type="dxa" w:w="4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Superdotación = CI alto</w:t>
            </w:r>
          </w:p>
        </w:tc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superdotación es multifacética</w:t>
            </w:r>
          </w:p>
        </w:tc>
      </w:tr>
      <w:tr>
        <w:trPr>
          <w:tblHeader w:val="false"/>
        </w:trPr>
        <w:tc>
          <w:tcPr>
            <w:tcW w:type="dxa" w:w="4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Rasgo estable e invariable ("se tiene o no se tiene")</w:t>
            </w:r>
          </w:p>
        </w:tc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Teoría evolutiva, orientada a procesos: el potencial se desarrolla</w:t>
            </w:r>
          </w:p>
        </w:tc>
      </w:tr>
      <w:tr>
        <w:trPr>
          <w:tblHeader w:val="false"/>
        </w:trPr>
        <w:tc>
          <w:tcPr>
            <w:tcW w:type="dxa" w:w="4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Identificación basada sólo en tests (una "fotografía")</w:t>
            </w:r>
          </w:p>
        </w:tc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Identificación con medidas múltiples y rendimiento (un "collage")</w:t>
            </w:r>
          </w:p>
        </w:tc>
      </w:tr>
      <w:tr>
        <w:trPr>
          <w:tblHeader w:val="false"/>
        </w:trPr>
        <w:tc>
          <w:tcPr>
            <w:tcW w:type="dxa" w:w="4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Selectiva y exclusiva: busca a los "auténticos"</w:t>
            </w:r>
          </w:p>
        </w:tc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Diagnóstica e inclusiva: busca promover el potencial</w:t>
            </w:r>
          </w:p>
        </w:tc>
      </w:tr>
      <w:tr>
        <w:trPr>
          <w:tblHeader w:val="false"/>
        </w:trPr>
        <w:tc>
          <w:tcPr>
            <w:tcW w:type="dxa" w:w="4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expresa sola, sin intervención</w:t>
            </w:r>
          </w:p>
        </w:tc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contexto es crucial; requiere intervención</w:t>
            </w:r>
          </w:p>
        </w:tc>
      </w:tr>
      <w:tr>
        <w:trPr>
          <w:tblHeader w:val="false"/>
        </w:trPr>
        <w:tc>
          <w:tcPr>
            <w:tcW w:type="dxa" w:w="4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Programas únicos, separados del currículo</w:t>
            </w:r>
          </w:p>
        </w:tc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Opciones flexibles, basadas en las características actuales del alumno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Hitos históricos:</w:t>
      </w:r>
      <w:r>
        <w:t xml:space="preserve"> Galton (genio hereditario); Terman (estudio longitudinal con CI ≥ 140; él mismo reconoce que el CI no predice el éxito adulto); Guilford (estructura del intelecto, pensamiento divergente) y Torrance (creatividad: fluidez, flexibilidad, originalidad, elaboración); Informe Marland (EE.UU., 1972): primera definición oficial, que incluye talentos específicos y necesidades educativas especiales.</w:t>
      </w:r>
    </w:p>
    <w:p>
      <w:r>
        <w:rPr>
          <w:b/>
          <w:bCs/>
        </w:rPr>
        <w:t xml:space="preserve">Principales modelos explicativos: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Renzulli – Modelo de los tres anillos.</w:t>
      </w:r>
      <w:r>
        <w:t xml:space="preserve"> La conducta superdotada surge de la intersección de: (1) capacidad por encima de la media, (2) compromiso con la tarea (motivación, perseverancia) y (3) creatividad. Distingue la superdotación "escolar" (buen rendimiento académico) de la "creativo-productiva". Las conductas superdotadas aparecen "en determinadas personas, en determinados momentos y bajo ciertas circunstancias". Asociado a la compactación del currículo y al enriquecimiento.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Mönks – Interdependencia triádica.</w:t>
      </w:r>
      <w:r>
        <w:t xml:space="preserve"> Agrega a los tres anillos el contexto social: </w:t>
      </w:r>
      <w:r>
        <w:rPr>
          <w:b/>
          <w:bCs/>
        </w:rPr>
        <w:t xml:space="preserve">familia, escuela y pares</w:t>
      </w:r>
      <w:r>
        <w:t xml:space="preserve">. La competencia social es clave y el docente debe favorecer independencia, autoconfianza y responsabilidad.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Tannenbaum – Modelo de la estrella.</w:t>
      </w:r>
      <w:r>
        <w:t xml:space="preserve"> Cinco factores necesarios (ninguno suficiente por sí solo): inteligencia general superior, aptitudes específicas, factores no intelectivos (motivación, personalidad), ambiente estimulante y </w:t>
      </w:r>
      <w:r>
        <w:rPr>
          <w:b/>
          <w:bCs/>
        </w:rPr>
        <w:t xml:space="preserve">suerte</w:t>
      </w:r>
      <w:r>
        <w:t xml:space="preserve"> en momentos clave.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Gagné – Modelo Diferenciado de Dotación y Talento (DMGT).</w:t>
      </w:r>
      <w:r>
        <w:t xml:space="preserve"> Distinción fundamental: la </w:t>
      </w:r>
      <w:r>
        <w:rPr>
          <w:b/>
          <w:bCs/>
        </w:rPr>
        <w:t xml:space="preserve">dotación</w:t>
      </w:r>
      <w:r>
        <w:t xml:space="preserve"> son capacidades </w:t>
      </w:r>
      <w:r>
        <w:rPr>
          <w:b/>
          <w:bCs/>
        </w:rPr>
        <w:t xml:space="preserve">naturales</w:t>
      </w:r>
      <w:r>
        <w:t xml:space="preserve"> (potencial) y el </w:t>
      </w:r>
      <w:r>
        <w:rPr>
          <w:b/>
          <w:bCs/>
        </w:rPr>
        <w:t xml:space="preserve">talento</w:t>
      </w:r>
      <w:r>
        <w:t xml:space="preserve"> son capacidades </w:t>
      </w:r>
      <w:r>
        <w:rPr>
          <w:b/>
          <w:bCs/>
        </w:rPr>
        <w:t xml:space="preserve">sistemáticamente desarrolladas</w:t>
      </w:r>
      <w:r>
        <w:t xml:space="preserve"> (rendimiento en un campo). Entre ambas median el proceso de aprendizaje y los </w:t>
      </w:r>
      <w:r>
        <w:rPr>
          <w:b/>
          <w:bCs/>
        </w:rPr>
        <w:t xml:space="preserve">catalizadores</w:t>
      </w:r>
      <w:r>
        <w:t xml:space="preserve"> intrapersonales (motivación, voluntad, personalidad) y ambientales (personas, recursos, sucesos), además del azar. "No hay rendimiento sin potencial, pero el potencial puede no desarrollarse". Critica el "cognocentrismo": hay dotaciones intelectuales, socioafectivas, sensoriomotrices, creativas, etc.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SMPY – Julian Stanley (Johns Hopkins, 1971).</w:t>
      </w:r>
      <w:r>
        <w:t xml:space="preserve"> Centrado en el talento académico y la </w:t>
      </w:r>
      <w:r>
        <w:rPr>
          <w:b/>
          <w:bCs/>
        </w:rPr>
        <w:t xml:space="preserve">precocidad</w:t>
      </w:r>
      <w:r>
        <w:t xml:space="preserve">: el niño de alta capacidad aprende al nivel de personas varios años mayores. Usa la </w:t>
      </w:r>
      <w:r>
        <w:rPr>
          <w:b/>
          <w:bCs/>
        </w:rPr>
        <w:t xml:space="preserve">búsqueda de talento</w:t>
      </w:r>
      <w:r>
        <w:t xml:space="preserve"> en dos etapas (pruebas de nivel y luego pruebas </w:t>
      </w:r>
      <w:r>
        <w:rPr>
          <w:i/>
          <w:iCs/>
        </w:rPr>
        <w:t xml:space="preserve">out of level</w:t>
      </w:r>
      <w:r>
        <w:t xml:space="preserve">, pensadas para alumnos mayores, para evitar el efecto techo). Principios: </w:t>
      </w:r>
      <w:r>
        <w:rPr>
          <w:b/>
          <w:bCs/>
        </w:rPr>
        <w:t xml:space="preserve">"optimal match"</w:t>
      </w:r>
      <w:r>
        <w:t xml:space="preserve"> (desafío ajustado: si es muy fácil produce aburrimiento; si es muy rápido, confusión) y </w:t>
      </w:r>
      <w:r>
        <w:rPr>
          <w:b/>
          <w:bCs/>
        </w:rPr>
        <w:t xml:space="preserve">DT-PI</w:t>
      </w:r>
      <w:r>
        <w:t xml:space="preserve"> (diagnóstico seguido de instrucción prescriptiva: "sólo se enseña lo que no se sabe"). Se ubica al alumno por </w:t>
      </w:r>
      <w:r>
        <w:rPr>
          <w:b/>
          <w:bCs/>
        </w:rPr>
        <w:t xml:space="preserve">competencia y no por edad</w:t>
      </w:r>
      <w:r>
        <w:t xml:space="preserve">; la aceleración es la medida con mayor apoyo empírico.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Sternberg – La superdotación como pericia en desarrollo.</w:t>
      </w:r>
      <w:r>
        <w:t xml:space="preserve"> Las capacidades son formas de pericia que se desarrollan mediante metacognición, aprendizaje, pensamiento (analítico, creativo y práctico), conocimiento y motivación. Los superdotados desarrollan pericia más rápido, a mayor nivel o de forma cualitativamente distinta. Implicación educativa: la superdotación </w:t>
      </w:r>
      <w:r>
        <w:rPr>
          <w:b/>
          <w:bCs/>
        </w:rPr>
        <w:t xml:space="preserve">puede desarrollarse</w:t>
      </w:r>
      <w:r>
        <w:t xml:space="preserve">.</w:t>
      </w:r>
    </w:p>
    <w:p>
      <w:pPr>
        <w:pBdr>
          <w:left w:val="single" w:color="1F4E79" w:sz="18" w:space="6"/>
        </w:pBdr>
        <w:shd w:fill="DEEAF6" w:color="auto" w:val="clear"/>
        <w:spacing w:after="120" w:before="80"/>
        <w:ind w:left="120" w:right="120"/>
      </w:pPr>
      <w:r>
        <w:t xml:space="preserve">Idea clave para el aula: más importante que decidir si un alumno "es o no superdotado" es reconocer sus puntos fuertes y determinar cómo ayudarlo a desarrollar todo su potencial.</w:t>
      </w:r>
    </w:p>
    <w:p>
      <w:pPr>
        <w:pStyle w:val="Heading1"/>
      </w:pPr>
      <w:r>
        <w:t xml:space="preserve">2. El cerebro superdotado: bases neurobiológicas (De la Cruz y Tirapu, 2011)</w:t>
      </w:r>
    </w:p>
    <w:p>
      <w:r>
        <w:rPr>
          <w:b/>
          <w:bCs/>
        </w:rPr>
        <w:t xml:space="preserve">Evolución de los modelos de inteligencia:</w:t>
      </w:r>
      <w:r>
        <w:t xml:space="preserve"> monolíticos (Binet, Terman, Spearman: un único índice; superdotación = CI &gt; 130), factoriales (Thurstone, Guilford: múltiples factores), jerárquicos y cognitivos (interesan los </w:t>
      </w:r>
      <w:r>
        <w:rPr>
          <w:b/>
          <w:bCs/>
        </w:rPr>
        <w:t xml:space="preserve">procesos</w:t>
      </w:r>
      <w:r>
        <w:t xml:space="preserve"> y estrategias, no sólo el resultado).</w:t>
      </w:r>
    </w:p>
    <w:p>
      <w:r>
        <w:rPr>
          <w:b/>
          <w:bCs/>
        </w:rPr>
        <w:t xml:space="preserve">Diferencias conceptuales (Castelló y Batlle):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Superdotación:</w:t>
      </w:r>
      <w:r>
        <w:t xml:space="preserve"> potencial alto en </w:t>
      </w:r>
      <w:r>
        <w:rPr>
          <w:b/>
          <w:bCs/>
        </w:rPr>
        <w:t xml:space="preserve">todas</w:t>
      </w:r>
      <w:r>
        <w:t xml:space="preserve"> las aptitudes intelectuales (por encima del percentil 75), que cristaliza alrededor de los 12-13 años.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Talento:</w:t>
      </w:r>
      <w:r>
        <w:t xml:space="preserve"> puntuaciones superiores al percentil 90 en uno (</w:t>
      </w:r>
      <w:r>
        <w:rPr>
          <w:b/>
          <w:bCs/>
        </w:rPr>
        <w:t xml:space="preserve">talento simple</w:t>
      </w:r>
      <w:r>
        <w:t xml:space="preserve">: verbal, numérico, espacial, creativo, etc.) o varios dominios (</w:t>
      </w:r>
      <w:r>
        <w:rPr>
          <w:b/>
          <w:bCs/>
        </w:rPr>
        <w:t xml:space="preserve">talento múltiple</w:t>
      </w:r>
      <w:r>
        <w:t xml:space="preserve">), pero no en todos.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Genio:</w:t>
      </w:r>
      <w:r>
        <w:t xml:space="preserve"> alta capacidad más alta creatividad y alta productividad en la vida adulta.</w:t>
      </w:r>
    </w:p>
    <w:p>
      <w:r>
        <w:t xml:space="preserve">La identificación debe entenderse como un </w:t>
      </w:r>
      <w:r>
        <w:rPr>
          <w:b/>
          <w:bCs/>
        </w:rPr>
        <w:t xml:space="preserve">proceso</w:t>
      </w:r>
      <w:r>
        <w:t xml:space="preserve">, con medidas multidimensionales de inteligencia, creatividad, actitudes y respuesta educativa, y no sólo con un CI.</w:t>
      </w:r>
    </w:p>
    <w:p>
      <w:r>
        <w:rPr>
          <w:b/>
          <w:bCs/>
        </w:rPr>
        <w:t xml:space="preserve">Qué dice la neurociencia: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Teoría P-FIT (Haier):</w:t>
      </w:r>
      <w:r>
        <w:t xml:space="preserve"> la inteligencia se asocia a una red que integra áreas </w:t>
      </w:r>
      <w:r>
        <w:rPr>
          <w:b/>
          <w:bCs/>
        </w:rPr>
        <w:t xml:space="preserve">frontales y parietales</w:t>
      </w:r>
      <w:r>
        <w:t xml:space="preserve">. Las funciones ejecutivas y la memoria de trabajo serían la base de la conducta inteligente.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Eficiencia neuronal:</w:t>
      </w:r>
      <w:r>
        <w:t xml:space="preserve"> los cerebros más inteligentes consumen </w:t>
      </w:r>
      <w:r>
        <w:rPr>
          <w:b/>
          <w:bCs/>
        </w:rPr>
        <w:t xml:space="preserve">menos energía</w:t>
      </w:r>
      <w:r>
        <w:t xml:space="preserve"> (menos glucosa) al resolver tareas, porque activan sólo las zonas necesarias e inhiben las irrelevantes.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Cuerpo calloso:</w:t>
      </w:r>
      <w:r>
        <w:t xml:space="preserve"> un mayor grosor del cuerpo calloso posterior se asocia con mejor comunicación entre hemisferios y mayor rendimiento. La creatividad se relaciona con la sustancia blanca frontal y con el sistema dopaminérgico.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Desarrollo cortical (Shaw):</w:t>
      </w:r>
      <w:r>
        <w:t xml:space="preserve"> en niños de inteligencia superior la corteza madura con un patrón distinto y con </w:t>
      </w:r>
      <w:r>
        <w:rPr>
          <w:b/>
          <w:bCs/>
        </w:rPr>
        <w:t xml:space="preserve">mayor plasticidad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Sastre-Riba:</w:t>
      </w:r>
      <w:r>
        <w:t xml:space="preserve"> usan menos zonas no específicas, distribuyen mejor los recursos y tienen una actividad más específica y simultánea, posiblemente por mayor mielinización.</w:t>
      </w:r>
    </w:p>
    <w:p>
      <w:r>
        <w:t xml:space="preserve">Conclusión de los autores: diagnosticar superdotación depende de </w:t>
      </w:r>
      <w:r>
        <w:rPr>
          <w:b/>
          <w:bCs/>
        </w:rPr>
        <w:t xml:space="preserve">qué</w:t>
      </w:r>
      <w:r>
        <w:t xml:space="preserve"> consideramos inteligencia. Se sigue usando el CI &gt; 130, pero la superdotación es un proceso en el que convergen factores neurobiológicos, motivacionales y ambientales.</w:t>
      </w:r>
    </w:p>
    <w:p>
      <w:pPr>
        <w:pStyle w:val="Heading1"/>
      </w:pPr>
      <w:r>
        <w:t xml:space="preserve">3. La disincronía (Terrassier)</w:t>
      </w:r>
    </w:p>
    <w:p>
      <w:r>
        <w:t xml:space="preserve">Jean-Charles Terrassier llama </w:t>
      </w:r>
      <w:r>
        <w:rPr>
          <w:b/>
          <w:bCs/>
        </w:rPr>
        <w:t xml:space="preserve">disincronía</w:t>
      </w:r>
      <w:r>
        <w:t xml:space="preserve"> al desfase entre el desarrollo intelectual y otras áreas del desarrollo en los niños precoces.</w:t>
      </w:r>
    </w:p>
    <w:p>
      <w:r>
        <w:rPr>
          <w:b/>
          <w:bCs/>
        </w:rPr>
        <w:t xml:space="preserve">Disincronía interna</w:t>
      </w:r>
      <w:r>
        <w:t xml:space="preserve"> (dentro del propio niño):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Inteligencia–psicomotricidad:</w:t>
      </w:r>
      <w:r>
        <w:t xml:space="preserve"> muchos leen antes de los 5 años, pero tienen dificultades con la </w:t>
      </w:r>
      <w:r>
        <w:rPr>
          <w:b/>
          <w:bCs/>
        </w:rPr>
        <w:t xml:space="preserve">escritura</w:t>
      </w:r>
      <w:r>
        <w:t xml:space="preserve"> (letra, ortografía); es más frecuente en varones. La mente va más rápido que la mano.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Lenguaje–razonamiento:</w:t>
      </w:r>
      <w:r>
        <w:t xml:space="preserve"> el razonamiento va por delante del lenguaje. La comprensión rápida genera la </w:t>
      </w:r>
      <w:r>
        <w:rPr>
          <w:b/>
          <w:bCs/>
        </w:rPr>
        <w:t xml:space="preserve">"trampa de la facilidad"</w:t>
      </w:r>
      <w:r>
        <w:t xml:space="preserve">: creen saber porque entienden, no desarrollan hábitos de memoria ni de esfuerzo y pueden explicar peor que un compañero que estudió.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Inteligencia–afectividad:</w:t>
      </w:r>
      <w:r>
        <w:t xml:space="preserve"> la madurez emocional no acompaña a la intelectual. Aparecen miedos y angustias (por ejemplo, a la noche), mayor angustia ante el fracaso y preguntas tempranas sobre la muerte, Dios o el universo. Defensa frecuente: la </w:t>
      </w:r>
      <w:r>
        <w:rPr>
          <w:b/>
          <w:bCs/>
        </w:rPr>
        <w:t xml:space="preserve">intelectualización</w:t>
      </w:r>
      <w:r>
        <w:t xml:space="preserve">. El aburrimiento puede ser una forma de depresión infantil.</w:t>
      </w:r>
    </w:p>
    <w:p>
      <w:r>
        <w:rPr>
          <w:b/>
          <w:bCs/>
        </w:rPr>
        <w:t xml:space="preserve">Disincronía social</w:t>
      </w:r>
      <w:r>
        <w:t xml:space="preserve"> (con el entorno):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Escuela:</w:t>
      </w:r>
      <w:r>
        <w:t xml:space="preserve"> un sistema que agrupa sólo por edad cronológica obliga al niño a avanzar por debajo de su potencial (puede trabajar de 3 a 5 años por debajo). Esto produce </w:t>
      </w:r>
      <w:r>
        <w:rPr>
          <w:b/>
          <w:bCs/>
        </w:rPr>
        <w:t xml:space="preserve">fracaso escolar paradójico</w:t>
      </w:r>
      <w:r>
        <w:t xml:space="preserve">, inhibición intelectual y la idea de que "no vale la pena esforzarse".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Efecto Pigmalión negativo:</w:t>
      </w:r>
      <w:r>
        <w:t xml:space="preserve"> padres, escuela y pares le piden ser "normal" para su edad; el niño se adapta a la norma y oculta o se culpabiliza por su inteligencia.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Pares:</w:t>
      </w:r>
      <w:r>
        <w:t xml:space="preserve"> busca amigos mayores o adultos para conversar y de su edad para jugar. Es más feliz cuando encuentra pares intelectuales.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Origen social:</w:t>
      </w:r>
      <w:r>
        <w:t xml:space="preserve"> los niños de entornos desfavorecidos tienen un fracaso mayor (más del 50 % en Francia). La escuela rígida perpetúa la desigualdad.</w:t>
      </w:r>
    </w:p>
    <w:p>
      <w:r>
        <w:t xml:space="preserve">Terrassier propone una escuela </w:t>
      </w:r>
      <w:r>
        <w:rPr>
          <w:b/>
          <w:bCs/>
        </w:rPr>
        <w:t xml:space="preserve">flexible y creativa</w:t>
      </w:r>
      <w:r>
        <w:t xml:space="preserve">, que respete el </w:t>
      </w:r>
      <w:r>
        <w:rPr>
          <w:b/>
          <w:bCs/>
        </w:rPr>
        <w:t xml:space="preserve">derecho a la diversidad</w:t>
      </w:r>
      <w:r>
        <w:t xml:space="preserve"> y a los ritmos individuales (por ejemplo, grupos por nivel en cada materia), en lugar de ubicar a los alumnos sólo por fecha de nacimiento.</w:t>
      </w:r>
    </w:p>
    <w:p>
      <w:pPr>
        <w:pStyle w:val="Heading1"/>
      </w:pPr>
      <w:r>
        <w:t xml:space="preserve">4. ¿Emocionalmente inmaduros o emocionalmente intensos? (Lesley Sword)</w:t>
      </w:r>
    </w:p>
    <w:p>
      <w:r>
        <w:t xml:space="preserve">La superdotación tiene una base </w:t>
      </w:r>
      <w:r>
        <w:rPr>
          <w:b/>
          <w:bCs/>
        </w:rPr>
        <w:t xml:space="preserve">emocional</w:t>
      </w:r>
      <w:r>
        <w:t xml:space="preserve"> además de cognitiva: "la complejidad cognitiva da lugar a la profundidad emocional". Estos niños no sólo piensan distinto: </w:t>
      </w:r>
      <w:r>
        <w:rPr>
          <w:b/>
          <w:bCs/>
        </w:rPr>
        <w:t xml:space="preserve">sienten distinto</w:t>
      </w:r>
      <w:r>
        <w:t xml:space="preserve">.</w:t>
      </w:r>
    </w:p>
    <w:p>
      <w:r>
        <w:rPr>
          <w:b/>
          <w:bCs/>
        </w:rPr>
        <w:t xml:space="preserve">Las sobreexcitabilidades (Dabrowski y Piechowski):</w:t>
      </w:r>
      <w:r>
        <w:t xml:space="preserve"> capacidad aumentada de responder a los estímulos, en intensidad y duración. Son una </w:t>
      </w:r>
      <w:r>
        <w:rPr>
          <w:b/>
          <w:bCs/>
        </w:rPr>
        <w:t xml:space="preserve">fuerza positiva</w:t>
      </w:r>
      <w:r>
        <w:t xml:space="preserve"> que alimenta el talento: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Psicomotora:</w:t>
      </w:r>
      <w:r>
        <w:t xml:space="preserve"> exceso de energía, inquietud, curiosidad.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Sensual:</w:t>
      </w:r>
      <w:r>
        <w:t xml:space="preserve"> gran placer sensorial y estético (y también molestia ante ruidos o texturas).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Intelectual:</w:t>
      </w:r>
      <w:r>
        <w:t xml:space="preserve"> análisis intenso, preguntas profundas, pensamiento teórico.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Imaginativa:</w:t>
      </w:r>
      <w:r>
        <w:t xml:space="preserve"> fantasía vívida, mundos imaginarios.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Emocional:</w:t>
      </w:r>
      <w:r>
        <w:t xml:space="preserve"> sentimientos intensos y complejos, empatía, apego, dificultad para adaptarse a los cambios.</w:t>
      </w:r>
    </w:p>
    <w:p>
      <w:r>
        <w:rPr>
          <w:b/>
          <w:bCs/>
        </w:rPr>
        <w:t xml:space="preserve">Manifestaciones de la intensidad emocional:</w:t>
      </w:r>
      <w:r>
        <w:t xml:space="preserve"> emociones extremas (reír y llorar a la vez), síntomas corporales (estómago tenso, rubor), timidez, memoria afectiva intensa, miedos y culpas, preocupación por la muerte, empatía muy fuerte con personas y animales, sensibilidad a la injusticia, autoexigencia y sentimientos de inferioridad.</w:t>
      </w:r>
    </w:p>
    <w:p>
      <w:r>
        <w:rPr>
          <w:b/>
          <w:bCs/>
        </w:rPr>
        <w:t xml:space="preserve">Asincronía:</w:t>
      </w:r>
      <w:r>
        <w:t xml:space="preserve"> desfase entre el desarrollo cognitivo, emocional y físico (por ejemplo, un niño de 5 años "ve" un caballo como uno de 8 pero no puede modelarlo con sus manos de 5). Áreas de vulnerabilidad: desarrollo desigual, </w:t>
      </w:r>
      <w:r>
        <w:rPr>
          <w:b/>
          <w:bCs/>
        </w:rPr>
        <w:t xml:space="preserve">perfeccionismo</w:t>
      </w:r>
      <w:r>
        <w:t xml:space="preserve">, expectativas excesivas de los adultos, sensibilidad, aislamiento, entornos inadecuados y </w:t>
      </w:r>
      <w:r>
        <w:rPr>
          <w:b/>
          <w:bCs/>
        </w:rPr>
        <w:t xml:space="preserve">depresión existencial</w:t>
      </w:r>
      <w:r>
        <w:t xml:space="preserve"> (preguntas tempranas sobre el sentido de la vida).</w:t>
      </w:r>
    </w:p>
    <w:p>
      <w:r>
        <w:rPr>
          <w:b/>
          <w:bCs/>
        </w:rPr>
        <w:t xml:space="preserve">Error frecuente:</w:t>
      </w:r>
      <w:r>
        <w:t xml:space="preserve"> interpretar esta intensidad como </w:t>
      </w:r>
      <w:r>
        <w:rPr>
          <w:b/>
          <w:bCs/>
        </w:rPr>
        <w:t xml:space="preserve">inmadurez o como un trastorno de conducta</w:t>
      </w:r>
      <w:r>
        <w:t xml:space="preserve">. Los ejemplos del texto (la niña que lee </w:t>
      </w:r>
      <w:r>
        <w:rPr>
          <w:i/>
          <w:iCs/>
        </w:rPr>
        <w:t xml:space="preserve">El Hobbit</w:t>
      </w:r>
      <w:r>
        <w:t xml:space="preserve"> y es obligada a leer al nivel de la clase, se retrae y luego es derivada por "oposicionismo") muestran cómo la falta de comprensión agrava el problema.</w:t>
      </w:r>
    </w:p>
    <w:p>
      <w:r>
        <w:rPr>
          <w:b/>
          <w:bCs/>
        </w:rPr>
        <w:t xml:space="preserve">Qué hacer:</w:t>
      </w:r>
      <w:r>
        <w:t xml:space="preserve"> que padres y docentes </w:t>
      </w:r>
      <w:r>
        <w:rPr>
          <w:b/>
          <w:bCs/>
        </w:rPr>
        <w:t xml:space="preserve">validen</w:t>
      </w:r>
      <w:r>
        <w:t xml:space="preserve"> la intensidad emocional como algo normal y valioso, ayuden al niño a usar su pensamiento para comprender sus emociones, eviten moralizar o minimizar, y no pongan expectativas de excelencia permanente.</w:t>
      </w:r>
    </w:p>
    <w:p>
      <w:pPr>
        <w:pStyle w:val="Heading1"/>
      </w:pPr>
      <w:r>
        <w:t xml:space="preserve">5. Mitos, confusiones y errores diagnósticos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9"/>
        <w:gridCol w:w="6109"/>
      </w:tblGrid>
      <w:tr>
        <w:trPr>
          <w:tblHeader/>
        </w:trPr>
        <w:tc>
          <w:tcPr>
            <w:tcW w:type="dxa" w:w="3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Mito</w:t>
            </w:r>
          </w:p>
        </w:tc>
        <w:tc>
          <w:tcPr>
            <w:tcW w:type="dxa" w:w="61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Realidad según la bibliografía</w:t>
            </w:r>
          </w:p>
        </w:tc>
      </w:tr>
      <w:tr>
        <w:trPr>
          <w:tblHeader w:val="false"/>
        </w:trPr>
        <w:tc>
          <w:tcPr>
            <w:tcW w:type="dxa" w:w="3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"Es superdotado si tiene CI mayor a 130"</w:t>
            </w:r>
          </w:p>
        </w:tc>
        <w:tc>
          <w:tcPr>
            <w:tcW w:type="dxa" w:w="61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CI es un dato más; la AACC es multidimensional e incluye creatividad, motivación y contexto.</w:t>
            </w:r>
          </w:p>
        </w:tc>
      </w:tr>
      <w:tr>
        <w:trPr>
          <w:tblHeader w:val="false"/>
        </w:trPr>
        <w:tc>
          <w:tcPr>
            <w:tcW w:type="dxa" w:w="3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"Les va bien solos, no necesitan ayuda"</w:t>
            </w:r>
          </w:p>
        </w:tc>
        <w:tc>
          <w:tcPr>
            <w:tcW w:type="dxa" w:w="61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 respuesta educativa adecuada aparecen aburrimiento, inhibición y fracaso escolar paradójico.</w:t>
            </w:r>
          </w:p>
        </w:tc>
      </w:tr>
      <w:tr>
        <w:trPr>
          <w:tblHeader w:val="false"/>
        </w:trPr>
        <w:tc>
          <w:tcPr>
            <w:tcW w:type="dxa" w:w="3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"Si es tan inteligente, tiene que ser bueno en todo"</w:t>
            </w:r>
          </w:p>
        </w:tc>
        <w:tc>
          <w:tcPr>
            <w:tcW w:type="dxa" w:w="61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Hay talentos simples y múltiples, y disincronías (por ejemplo, lee muy bien pero escribe mal).</w:t>
            </w:r>
          </w:p>
        </w:tc>
      </w:tr>
      <w:tr>
        <w:trPr>
          <w:tblHeader w:val="false"/>
        </w:trPr>
        <w:tc>
          <w:tcPr>
            <w:tcW w:type="dxa" w:w="3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"Es inmaduro" o "tiene problemas de conducta"</w:t>
            </w:r>
          </w:p>
        </w:tc>
        <w:tc>
          <w:tcPr>
            <w:tcW w:type="dxa" w:w="61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Muchas veces es intensidad emocional o asincronía, no un trastorno.</w:t>
            </w:r>
          </w:p>
        </w:tc>
      </w:tr>
      <w:tr>
        <w:trPr>
          <w:tblHeader w:val="false"/>
        </w:trPr>
        <w:tc>
          <w:tcPr>
            <w:tcW w:type="dxa" w:w="3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"Es algo fijo, de nacimiento"</w:t>
            </w:r>
          </w:p>
        </w:tc>
        <w:tc>
          <w:tcPr>
            <w:tcW w:type="dxa" w:w="61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 un potencial que se desarrolla (Gagné, Sternberg); el ambiente y la escuela son determinantes.</w:t>
            </w:r>
          </w:p>
        </w:tc>
      </w:tr>
      <w:tr>
        <w:trPr>
          <w:tblHeader w:val="false"/>
        </w:trPr>
        <w:tc>
          <w:tcPr>
            <w:tcW w:type="dxa" w:w="3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"Siempre son de clase alta, y sobre todo varones"</w:t>
            </w:r>
          </w:p>
        </w:tc>
        <w:tc>
          <w:tcPr>
            <w:tcW w:type="dxa" w:w="61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Aparecen en todos los niveles sociales; las niñas suelen pasar más desapercibidas porque se adaptan a la norma (se profundiza en la Clase 3).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Ideas clave de la Clase 1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alta capacidad es un </w:t>
      </w:r>
      <w:r>
        <w:rPr>
          <w:b/>
          <w:bCs/>
        </w:rPr>
        <w:t xml:space="preserve">potencial multidimensional</w:t>
      </w:r>
      <w:r>
        <w:t xml:space="preserve"> que debe ser identificado y </w:t>
      </w:r>
      <w:r>
        <w:rPr>
          <w:b/>
          <w:bCs/>
        </w:rPr>
        <w:t xml:space="preserve">desarrollado</w:t>
      </w:r>
      <w:r>
        <w:t xml:space="preserve">; no basta con un número de CI.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Hay que distinguir </w:t>
      </w:r>
      <w:r>
        <w:rPr>
          <w:b/>
          <w:bCs/>
        </w:rPr>
        <w:t xml:space="preserve">superdotación</w:t>
      </w:r>
      <w:r>
        <w:t xml:space="preserve"> (alta en todas las áreas), </w:t>
      </w:r>
      <w:r>
        <w:rPr>
          <w:b/>
          <w:bCs/>
        </w:rPr>
        <w:t xml:space="preserve">talento</w:t>
      </w:r>
      <w:r>
        <w:t xml:space="preserve"> (simple o múltiple) y </w:t>
      </w:r>
      <w:r>
        <w:rPr>
          <w:b/>
          <w:bCs/>
        </w:rPr>
        <w:t xml:space="preserve">precocidad</w:t>
      </w:r>
      <w:r>
        <w:t xml:space="preserve"> (desarrollo temprano).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 </w:t>
      </w:r>
      <w:r>
        <w:rPr>
          <w:b/>
          <w:bCs/>
        </w:rPr>
        <w:t xml:space="preserve">contexto</w:t>
      </w:r>
      <w:r>
        <w:t xml:space="preserve"> (familia, escuela, pares) y los </w:t>
      </w:r>
      <w:r>
        <w:rPr>
          <w:b/>
          <w:bCs/>
        </w:rPr>
        <w:t xml:space="preserve">catalizadores</w:t>
      </w:r>
      <w:r>
        <w:t xml:space="preserve"> (motivación, oportunidades) determinan si el potencial se convierte en talento.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</w:t>
      </w:r>
      <w:r>
        <w:rPr>
          <w:b/>
          <w:bCs/>
        </w:rPr>
        <w:t xml:space="preserve">disincronía</w:t>
      </w:r>
      <w:r>
        <w:t xml:space="preserve"> y la </w:t>
      </w:r>
      <w:r>
        <w:rPr>
          <w:b/>
          <w:bCs/>
        </w:rPr>
        <w:t xml:space="preserve">intensidad emocional</w:t>
      </w:r>
      <w:r>
        <w:t xml:space="preserve"> son características normales del perfil: no son inmadurez ni patología.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escuela tiene un papel decisivo: una enseñanza rígida y uniforme puede generar fracaso; una escuela flexible permite que el talento florezca.</w:t>
      </w:r>
    </w:p>
    <w:p>
      <w:pPr>
        <w:pBdr>
          <w:top w:val="single" w:color="1F4E79" w:sz="6" w:space="4"/>
        </w:pBdr>
        <w:spacing w:after="40" w:before="160"/>
      </w:pPr>
      <w:r>
        <w:rPr>
          <w:color w:val="404040"/>
          <w:sz w:val="18"/>
          <w:szCs w:val="18"/>
        </w:rPr>
        <w:t xml:space="preserve">Bibliografía de la clase: Tourón, J. (2004). </w:t>
      </w:r>
      <w:r>
        <w:rPr>
          <w:i/>
          <w:iCs/>
          <w:color w:val="404040"/>
          <w:sz w:val="18"/>
          <w:szCs w:val="18"/>
        </w:rPr>
        <w:t xml:space="preserve">De la superdotación al talento: evolución de un paradigma</w:t>
      </w:r>
      <w:r>
        <w:rPr>
          <w:color w:val="404040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De la Cruz Sánchez, A. I. y Tirapu Ustárroz, J. (2011). </w:t>
      </w:r>
      <w:r>
        <w:rPr>
          <w:i/>
          <w:iCs/>
          <w:color w:val="404040"/>
          <w:sz w:val="18"/>
          <w:szCs w:val="18"/>
        </w:rPr>
        <w:t xml:space="preserve">El cerebro superdotado</w:t>
      </w:r>
      <w:r>
        <w:rPr>
          <w:color w:val="404040"/>
          <w:sz w:val="18"/>
          <w:szCs w:val="18"/>
        </w:rPr>
        <w:t xml:space="preserve">. Psicologia.com, 15:41.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Terrassier, J. C. (1992). </w:t>
      </w:r>
      <w:r>
        <w:rPr>
          <w:i/>
          <w:iCs/>
          <w:color w:val="404040"/>
          <w:sz w:val="18"/>
          <w:szCs w:val="18"/>
        </w:rPr>
        <w:t xml:space="preserve">La disincronía. Creatividad y rigidez en el aula frente al derecho a la diversidad</w:t>
      </w:r>
      <w:r>
        <w:rPr>
          <w:color w:val="404040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Sword, L. </w:t>
      </w:r>
      <w:r>
        <w:rPr>
          <w:i/>
          <w:iCs/>
          <w:color w:val="404040"/>
          <w:sz w:val="18"/>
          <w:szCs w:val="18"/>
        </w:rPr>
        <w:t xml:space="preserve">Niños superdotados: ¿emocionalmente inmaduros o emocionalmente intensos?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Material complementario: Sánchez Dauder, M. (2018). </w:t>
      </w:r>
      <w:r>
        <w:rPr>
          <w:i/>
          <w:iCs/>
          <w:color w:val="404040"/>
          <w:sz w:val="18"/>
          <w:szCs w:val="18"/>
        </w:rPr>
        <w:t xml:space="preserve">Género y altas capacidades: un traje invisible hecho a medida</w:t>
      </w:r>
      <w:r>
        <w:rPr>
          <w:color w:val="404040"/>
          <w:sz w:val="18"/>
          <w:szCs w:val="18"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Diplomado Virtual AACC 2026 · Resumen · 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60" w:before="12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1 – Generalidades y definiciones actuales de las Altas Capacidades</dc:title>
  <dc:creator>Resumen Diplomado AACC 2026</dc:creator>
  <cp:lastModifiedBy>Un-named</cp:lastModifiedBy>
  <cp:revision>1</cp:revision>
  <dcterms:created xsi:type="dcterms:W3CDTF">2026-10-24T02:16:49.719Z</dcterms:created>
  <dcterms:modified xsi:type="dcterms:W3CDTF">2026-10-24T02:16:49.719Z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