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Clase 3 – Género y Altas Capacidades. Doble excepcionalidad</w:t>
      </w:r>
    </w:p>
    <w:p>
      <w:pPr>
        <w:spacing w:after="40"/>
      </w:pPr>
      <w:r>
        <w:rPr>
          <w:i/>
          <w:iCs/>
          <w:color w:val="595959"/>
        </w:rPr>
        <w:t xml:space="preserve">Jueves 4 de junio de 2026 · Mg. Rocío Guerra González</w:t>
      </w:r>
    </w:p>
    <w:p>
      <w:pPr>
        <w:spacing w:after="40"/>
      </w:pPr>
      <w:r>
        <w:rPr>
          <w:i/>
          <w:iCs/>
          <w:color w:val="595959"/>
        </w:rPr>
        <w:t xml:space="preserve">Temas: género y altas capacidades; doble excepcionalidad (AACC con TDAH y con TEA); perfil del docente; enseñar a pensar (rutinas de pensamiento); el modelo de desarrollo del talento de Renzulli.</w:t>
      </w:r>
    </w:p>
    <w:p>
      <w:pPr>
        <w:pStyle w:val="Heading1"/>
      </w:pPr>
      <w:r>
        <w:t xml:space="preserve">1. Género y Altas Capacidades: las niñas invisibles</w:t>
      </w:r>
    </w:p>
    <w:p>
      <w:pPr>
        <w:pStyle w:val="Heading2"/>
      </w:pPr>
      <w:r>
        <w:t xml:space="preserve">El problema</w:t>
      </w:r>
    </w:p>
    <w:p>
      <w:r>
        <w:t xml:space="preserve">En todos los registros hay </w:t>
      </w:r>
      <w:r>
        <w:rPr>
          <w:b/>
          <w:bCs/>
        </w:rPr>
        <w:t xml:space="preserve">menos niñas que niños identificadas con AACC</w:t>
      </w:r>
      <w:r>
        <w:t xml:space="preserve">. En España (2016/2017), por ejemplo, el 55,4 % de los alumnos identificados eran varones y el 44,6 % mujeres, con regiones donde las niñas apenas llegan al 30 %. Sin embargo, </w:t>
      </w:r>
      <w:r>
        <w:rPr>
          <w:b/>
          <w:bCs/>
        </w:rPr>
        <w:t xml:space="preserve">ninguna investigación demuestra diferencias biológicas o cognitivas</w:t>
      </w:r>
      <w:r>
        <w:t xml:space="preserve"> que expliquen esta brecha (García Perales y otros, 2019).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Entre los 3 y los 5 años no hay diferencias en la cantidad de niñas y niños identificados. De 6 a 12 años la proporción es 48 % niñas y 52 % niños. </w:t>
      </w:r>
      <w:r>
        <w:rPr>
          <w:b/>
          <w:bCs/>
        </w:rPr>
        <w:t xml:space="preserve">De 13 a 17 años, la brecha se dispara: 27 % niñas frente a 73 % varones</w:t>
      </w:r>
      <w:r>
        <w:t xml:space="preserve"> (Comunidad de Madrid).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diferencias aparecen en el </w:t>
      </w:r>
      <w:r>
        <w:rPr>
          <w:b/>
          <w:bCs/>
        </w:rPr>
        <w:t xml:space="preserve">rendimiento en tareas específicas</w:t>
      </w:r>
      <w:r>
        <w:t xml:space="preserve"> (las niñas destacan en lo verbal; los varones, en lo matemático y espacial), no en el CI total, y aumentan con la edad.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explicación más aceptada es la </w:t>
      </w:r>
      <w:r>
        <w:rPr>
          <w:b/>
          <w:bCs/>
        </w:rPr>
        <w:t xml:space="preserve">socialización según el rol de género</w:t>
      </w:r>
      <w:r>
        <w:t xml:space="preserve">, no la biología. Como decía Leta Hollingworth, lo que una chica logra depende de sus dotes, pero el éxito que cosecha depende del ambiente.</w:t>
      </w:r>
    </w:p>
    <w:p>
      <w:pPr>
        <w:pStyle w:val="Heading2"/>
      </w:pPr>
      <w:r>
        <w:t xml:space="preserve">¿Por qué las niñas pasan desapercibidas? (Hermoso Soto, 2018)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 adaptan y se "camuflan"</w:t>
      </w:r>
      <w:r>
        <w:t xml:space="preserve">: ocultan sus capacidades para ser aceptadas por el grupo. Se produce una </w:t>
      </w:r>
      <w:r>
        <w:rPr>
          <w:b/>
          <w:bCs/>
        </w:rPr>
        <w:t xml:space="preserve">"invisibilización"</w:t>
      </w:r>
      <w:r>
        <w:t xml:space="preserve"> de ellas mismas.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Miedo al éxito</w:t>
      </w:r>
      <w:r>
        <w:t xml:space="preserve"> por temor al rechazo social o a parecer "poco femeninas", que se agrava en la adolescencia.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Falta de modelos femeninos</w:t>
      </w:r>
      <w:r>
        <w:t xml:space="preserve"> con los que identificarse (los libros de texto incluyen pocas autoras y científicas).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Conflicto entre talento y feminidad</w:t>
      </w:r>
      <w:r>
        <w:t xml:space="preserve"> y mensajes contradictorios: "desarrollá tus capacidades" pero "preocupate por lo social".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Baja autoestima:</w:t>
      </w:r>
      <w:r>
        <w:t xml:space="preserve"> atribuyen el éxito a factores externos (suerte, ayuda) y el fracaso a factores internos.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Familia y escuela reproducen estereotipos:</w:t>
      </w:r>
      <w:r>
        <w:t xml:space="preserve"> se protege más a las niñas, se ponen más expectativas en los varones y se les dedica más tiempo de interacción en clase. La misma agilidad mental que en un niño se lee como "precocidad", en una niña puede leerse como "molesta" o "agresiva". La escuela espera alumnas obedientes que no causen problemas.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Términos asociados: </w:t>
      </w:r>
      <w:r>
        <w:rPr>
          <w:b/>
          <w:bCs/>
        </w:rPr>
        <w:t xml:space="preserve">síndrome de la impostora</w:t>
      </w:r>
      <w:r>
        <w:t xml:space="preserve">, </w:t>
      </w:r>
      <w:r>
        <w:rPr>
          <w:b/>
          <w:bCs/>
        </w:rPr>
        <w:t xml:space="preserve">complejo de Cenicienta</w:t>
      </w:r>
      <w:r>
        <w:t xml:space="preserve">, </w:t>
      </w:r>
      <w:r>
        <w:rPr>
          <w:b/>
          <w:bCs/>
        </w:rPr>
        <w:t xml:space="preserve">síndrome de la perfección</w:t>
      </w:r>
      <w:r>
        <w:t xml:space="preserve"> y </w:t>
      </w:r>
      <w:r>
        <w:rPr>
          <w:b/>
          <w:bCs/>
        </w:rPr>
        <w:t xml:space="preserve">síndrome de la abeja reina</w:t>
      </w:r>
      <w:r>
        <w:t xml:space="preserve"> (mujeres exitosas que niegan la discriminación y ven a otras mujeres como rivales).</w:t>
      </w:r>
    </w:p>
    <w:p>
      <w:pPr>
        <w:pStyle w:val="Heading2"/>
      </w:pPr>
      <w:r>
        <w:t xml:space="preserve">La autoestima como factor clave (García Perales, Canuto y Cebrián, 2019)</w:t>
      </w:r>
    </w:p>
    <w:p>
      <w:r>
        <w:t xml:space="preserve">Estudio con 118 alumnos de 4.º a 6.º grado (Escala de Autoestima de Rosenberg):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</w:t>
      </w:r>
      <w:r>
        <w:rPr>
          <w:b/>
          <w:bCs/>
        </w:rPr>
        <w:t xml:space="preserve">niñas presentan niveles de autoestima significativamente más bajos</w:t>
      </w:r>
      <w:r>
        <w:t xml:space="preserve"> que los niños.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Los 5 alumnos con la autoestima más baja eran todas niñas con AACC diagnosticadas</w:t>
      </w:r>
      <w:r>
        <w:t xml:space="preserve">, y algunas tenían rendimiento académico alto.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rendimiento académico correlaciona positivamente con la autoestima.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Conclusión: la baja autoestima puede afectar el rendimiento futuro de las niñas y </w:t>
      </w:r>
      <w:r>
        <w:rPr>
          <w:b/>
          <w:bCs/>
        </w:rPr>
        <w:t xml:space="preserve">hacer invisible su alta capacidad</w:t>
      </w:r>
      <w:r>
        <w:t xml:space="preserve">.</w:t>
      </w:r>
    </w:p>
    <w:p>
      <w:pPr>
        <w:pStyle w:val="Heading2"/>
      </w:pPr>
      <w:r>
        <w:t xml:space="preserve">Señales para detectar a una niña con AACC (Sanz, 2016)</w:t>
      </w:r>
    </w:p>
    <w:p>
      <w:r>
        <w:t xml:space="preserve">Aburrimiento en clase y amistades mayores; autoexigencia consigo misma y con los demás; independencia o introversión; alta sensibilidad; intereses múltiples; apariencia distraída; </w:t>
      </w:r>
      <w:r>
        <w:rPr>
          <w:b/>
          <w:bCs/>
        </w:rPr>
        <w:t xml:space="preserve">descenso de las notas en la adolescencia</w:t>
      </w:r>
      <w:r>
        <w:t xml:space="preserve">; ansiedad o problemas de sueño. "Hay que estar más atentos y </w:t>
      </w:r>
      <w:r>
        <w:rPr>
          <w:b/>
          <w:bCs/>
        </w:rPr>
        <w:t xml:space="preserve">no quedarse con la imagen que nos quieren dar</w:t>
      </w:r>
      <w:r>
        <w:t xml:space="preserve">."</w:t>
      </w:r>
    </w:p>
    <w:p>
      <w:pPr>
        <w:pStyle w:val="Heading2"/>
      </w:pPr>
      <w:r>
        <w:t xml:space="preserve">Qué hacer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Escuela:</w:t>
      </w:r>
      <w:r>
        <w:t xml:space="preserve"> formar a los docentes en la detección y en perspectiva de género; incluir </w:t>
      </w:r>
      <w:r>
        <w:rPr>
          <w:b/>
          <w:bCs/>
        </w:rPr>
        <w:t xml:space="preserve">modelos de mujeres</w:t>
      </w:r>
      <w:r>
        <w:t xml:space="preserve"> referentes en todas las áreas; usar pedagogías participativas y cooperativas; observar desde la infancia.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Familia:</w:t>
      </w:r>
      <w:r>
        <w:t xml:space="preserve"> criar niñas independientes y asertivas que acepten sus capacidades con naturalidad; ayudarlas a tolerar la frustración y a aceptarse; mostrarles mujeres que desarrollaron sus posibilidades.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Sociedad:</w:t>
      </w:r>
      <w:r>
        <w:t xml:space="preserve"> igualdad real de oportunidades educativas entre géneros.</w:t>
      </w:r>
    </w:p>
    <w:p>
      <w:pPr>
        <w:pStyle w:val="Heading1"/>
      </w:pPr>
      <w:r>
        <w:t xml:space="preserve">2. La doble excepcionalidad (2e)</w:t>
      </w:r>
    </w:p>
    <w:p>
      <w:pPr>
        <w:pStyle w:val="Heading2"/>
      </w:pPr>
      <w:r>
        <w:t xml:space="preserve">Definición (Reis, Baum y Burke, 2014)</w:t>
      </w:r>
    </w:p>
    <w:p>
      <w:r>
        <w:t xml:space="preserve">Son estudiantes que muestran </w:t>
      </w:r>
      <w:r>
        <w:rPr>
          <w:b/>
          <w:bCs/>
        </w:rPr>
        <w:t xml:space="preserve">potencial de alto rendimiento o productividad creativa</w:t>
      </w:r>
      <w:r>
        <w:t xml:space="preserve"> en uno o más dominios (matemáticas, ciencias, artes, tecnología, etc.) </w:t>
      </w:r>
      <w:r>
        <w:rPr>
          <w:b/>
          <w:bCs/>
        </w:rPr>
        <w:t xml:space="preserve">y además una o más discapacidades o trastornos</w:t>
      </w:r>
      <w:r>
        <w:t xml:space="preserve">: dificultades específicas de aprendizaje, trastornos del habla y el lenguaje, trastornos emocionales o conductuales, discapacidades físicas, </w:t>
      </w:r>
      <w:r>
        <w:rPr>
          <w:b/>
          <w:bCs/>
        </w:rPr>
        <w:t xml:space="preserve">TEA</w:t>
      </w:r>
      <w:r>
        <w:t xml:space="preserve"> u otros como el </w:t>
      </w:r>
      <w:r>
        <w:rPr>
          <w:b/>
          <w:bCs/>
        </w:rPr>
        <w:t xml:space="preserve">TDAH</w:t>
      </w:r>
      <w:r>
        <w:t xml:space="preserve">.</w:t>
      </w:r>
    </w:p>
    <w:p>
      <w:pPr>
        <w:pBdr>
          <w:left w:val="single" w:color="1F4E79" w:sz="18" w:space="6"/>
        </w:pBdr>
        <w:shd w:fill="DEEAF6" w:color="auto" w:val="clear"/>
        <w:spacing w:after="120" w:before="80"/>
        <w:ind w:left="120" w:right="120"/>
      </w:pPr>
      <w:r>
        <w:t xml:space="preserve">"Sus dones pueden enmascarar sus discapacidades y sus discapacidades pueden enmascarar sus dones." Una discapacidad no excluye la alta capacidad.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Prevalencia estimada:</w:t>
      </w:r>
      <w:r>
        <w:t xml:space="preserve"> hasta un </w:t>
      </w:r>
      <w:r>
        <w:rPr>
          <w:b/>
          <w:bCs/>
        </w:rPr>
        <w:t xml:space="preserve">20 % de los alumnos con AACC</w:t>
      </w:r>
      <w:r>
        <w:t xml:space="preserve"> podría ser 2e. Alrededor del 9 % de los alumnos con alguna discapacidad podría tener también alta capacidad.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Los antecedentes se remontan a los años 70 (Elkind, 1973) y el concepto se consolida en los 80.</w:t>
      </w:r>
    </w:p>
    <w:p>
      <w:pPr>
        <w:pStyle w:val="Heading2"/>
      </w:pPr>
      <w:r>
        <w:t xml:space="preserve">Tres escenarios de enmascaramiento (Conejeros-Solar y otros, 2018)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La dificultad enmascara la AC:</w:t>
      </w:r>
      <w:r>
        <w:t xml:space="preserve"> el alumno tiene rendimiento bajo o normal. Se lo reconoce por su dificultad, pero no por su capacidad. </w:t>
      </w:r>
      <w:r>
        <w:rPr>
          <w:i/>
          <w:iCs/>
        </w:rPr>
        <w:t xml:space="preserve">Es el caso más frecuente.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La AC enmascara la dificultad:</w:t>
      </w:r>
      <w:r>
        <w:t xml:space="preserve"> el alumno compensa con sus fortalezas y logra buenos resultados. La dificultad pasa desapercibida durante años.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 xml:space="preserve">Se enmascaran mutuamente:</w:t>
      </w:r>
      <w:r>
        <w:t xml:space="preserve"> el desempeño es promedio, y es improbable que se lo identifique por cualquiera de las dos condiciones.</w:t>
      </w:r>
    </w:p>
    <w:p>
      <w:pPr>
        <w:pStyle w:val="Heading2"/>
      </w:pPr>
      <w:r>
        <w:t xml:space="preserve">AACC con TDAH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Por qué se confunden:</w:t>
      </w:r>
      <w:r>
        <w:t xml:space="preserve"> la intensa actividad mental, la impulsividad, la distracción y la "ensoñación" (sobreexcitabilidades psicomotora, intelectual e imaginativa de Dabrowski) se parecen mucho a los síntomas del TDAH.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Perfil cognitivo:</w:t>
      </w:r>
      <w:r>
        <w:t xml:space="preserve"> rendimiento </w:t>
      </w:r>
      <w:r>
        <w:rPr>
          <w:b/>
          <w:bCs/>
        </w:rPr>
        <w:t xml:space="preserve">inconsistente</w:t>
      </w:r>
      <w:r>
        <w:t xml:space="preserve"> en las pruebas y en la escuela; bajos puntajes en </w:t>
      </w:r>
      <w:r>
        <w:rPr>
          <w:b/>
          <w:bCs/>
        </w:rPr>
        <w:t xml:space="preserve">funciones ejecutivas, memoria de trabajo y velocidad de procesamiento</w:t>
      </w:r>
      <w:r>
        <w:t xml:space="preserve">; dificultades de </w:t>
      </w:r>
      <w:r>
        <w:rPr>
          <w:b/>
          <w:bCs/>
        </w:rPr>
        <w:t xml:space="preserve">organización y escritura</w:t>
      </w:r>
      <w:r>
        <w:t xml:space="preserve">, no de lectura (donde suelen ser superiores); </w:t>
      </w:r>
      <w:r>
        <w:rPr>
          <w:b/>
          <w:bCs/>
        </w:rPr>
        <w:t xml:space="preserve">alta creatividad</w:t>
      </w:r>
      <w:r>
        <w:t xml:space="preserve">, humor y pensamiento divergente. Repiten de grado con más frecuencia que sus pares con AACC sin TDAH.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Perfil socioemocional:</w:t>
      </w:r>
      <w:r>
        <w:t xml:space="preserve"> mayor intensidad emocional y más dificultades que quienes tienen sólo TDAH; </w:t>
      </w:r>
      <w:r>
        <w:rPr>
          <w:b/>
          <w:bCs/>
        </w:rPr>
        <w:t xml:space="preserve">el doble de probabilidad de baja autoestima</w:t>
      </w:r>
      <w:r>
        <w:t xml:space="preserve">; menor felicidad percibida. Valoran la confianza y el respeto en sus vínculos y reconocen como barrera el </w:t>
      </w:r>
      <w:r>
        <w:rPr>
          <w:b/>
          <w:bCs/>
        </w:rPr>
        <w:t xml:space="preserve">aburrimiento ante tareas repetitivas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alta capacidad puede funcionar como </w:t>
      </w:r>
      <w:r>
        <w:rPr>
          <w:b/>
          <w:bCs/>
        </w:rPr>
        <w:t xml:space="preserve">factor protector</w:t>
      </w:r>
      <w:r>
        <w:t xml:space="preserve"> (por ejemplo, en memoria verbal), pero no protege en lo socioemocional.</w:t>
      </w:r>
    </w:p>
    <w:p>
      <w:pPr>
        <w:pStyle w:val="Heading2"/>
      </w:pPr>
      <w:r>
        <w:t xml:space="preserve">AACC con TEA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Por qué se confunden:</w:t>
      </w:r>
      <w:r>
        <w:t xml:space="preserve"> ambos perfiles pueden mostrar fascinación por letras o números, intereses intensos y aprendizaje por repetición. En el TEA, sin embargo, las dificultades sensoriales, verbales y sociales son más severas y de origen neurológico.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Perfil cognitivo:</w:t>
      </w:r>
      <w:r>
        <w:t xml:space="preserve"> habilidades verbales y no verbales muy altas (percentil 97) junto con </w:t>
      </w:r>
      <w:r>
        <w:rPr>
          <w:b/>
          <w:bCs/>
        </w:rPr>
        <w:t xml:space="preserve">habilidades básicas promedio</w:t>
      </w:r>
      <w:r>
        <w:t xml:space="preserve"> (memoria de trabajo, velocidad de procesamiento), con una </w:t>
      </w:r>
      <w:r>
        <w:rPr>
          <w:b/>
          <w:bCs/>
        </w:rPr>
        <w:t xml:space="preserve">discrepancia mayor de lo habitual</w:t>
      </w:r>
      <w:r>
        <w:t xml:space="preserve">. Lectura muy superior; cálculo y resolución de problemas superiores, pero lentitud en operaciones simples; </w:t>
      </w:r>
      <w:r>
        <w:rPr>
          <w:b/>
          <w:bCs/>
        </w:rPr>
        <w:t xml:space="preserve">dificultades de motricidad fina</w:t>
      </w:r>
      <w:r>
        <w:t xml:space="preserve">; preferencia por sistemas cerrados y lógicos, y dificultad con lo ambiguo.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Perfil socioemocional:</w:t>
      </w:r>
      <w:r>
        <w:t xml:space="preserve"> dificultades en la </w:t>
      </w:r>
      <w:r>
        <w:rPr>
          <w:b/>
          <w:bCs/>
        </w:rPr>
        <w:t xml:space="preserve">interacción social recíproca</w:t>
      </w:r>
      <w:r>
        <w:t xml:space="preserve"> (expresiones faciales, conversación, juego imaginativo); </w:t>
      </w:r>
      <w:r>
        <w:rPr>
          <w:b/>
          <w:bCs/>
        </w:rPr>
        <w:t xml:space="preserve">necesidad de orden, rutina y previsibilidad</w:t>
      </w:r>
      <w:r>
        <w:t xml:space="preserve">; pocos amigos, en quienes buscan respeto y protección (muchos sufrieron </w:t>
      </w:r>
      <w:r>
        <w:rPr>
          <w:b/>
          <w:bCs/>
        </w:rPr>
        <w:t xml:space="preserve">bullying</w:t>
      </w:r>
      <w:r>
        <w:t xml:space="preserve">). Son conscientes de su dificultad, pero no necesariamente de su capacidad.</w:t>
      </w:r>
    </w:p>
    <w:p>
      <w:pPr>
        <w:pStyle w:val="Heading2"/>
      </w:pPr>
      <w:r>
        <w:t xml:space="preserve">Identificación: errores frecuentes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Subidentificación:</w:t>
      </w:r>
      <w:r>
        <w:t xml:space="preserve"> casi nunca se los nomina para programas de alta capacidad. En un estudio, sólo el 11 % de los alumnos 2e asistía a programas para talentosos.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Identificación errónea:</w:t>
      </w:r>
      <w:r>
        <w:t xml:space="preserve"> se los rotula por las conductas observadas, sin considerar el contexto.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No usar el CI total como punto de corte:</w:t>
      </w:r>
      <w:r>
        <w:t xml:space="preserve"> sus subpruebas son muy dispares. La comparación debe ser </w:t>
      </w:r>
      <w:r>
        <w:rPr>
          <w:b/>
          <w:bCs/>
        </w:rPr>
        <w:t xml:space="preserve">intrapersonal</w:t>
      </w:r>
      <w:r>
        <w:t xml:space="preserve"> (fortalezas frente a debilidades del propio alumno) y no contra la norma.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Adaptar la administración de los tests:</w:t>
      </w:r>
      <w:r>
        <w:t xml:space="preserve"> respetar los tiempos de respuesta (TEA), repetir consignas y monitorear la atención (TDAH).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Usar </w:t>
      </w:r>
      <w:r>
        <w:rPr>
          <w:b/>
          <w:bCs/>
        </w:rPr>
        <w:t xml:space="preserve">múltiples fuentes</w:t>
      </w:r>
      <w:r>
        <w:t xml:space="preserve">: pruebas cognitivas y motivacionales, autorreportes, informes de padres, docentes y pares.</w:t>
      </w:r>
    </w:p>
    <w:p>
      <w:pPr>
        <w:pStyle w:val="Heading2"/>
      </w:pPr>
      <w:r>
        <w:t xml:space="preserve">Intervención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Evitar el </w:t>
      </w:r>
      <w:r>
        <w:rPr>
          <w:b/>
          <w:bCs/>
        </w:rPr>
        <w:t xml:space="preserve">servicio "parcelado"</w:t>
      </w:r>
      <w:r>
        <w:t xml:space="preserve"> que sólo atiende la dificultad y deja de lado la alta capacidad.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Aplicar programas </w:t>
      </w:r>
      <w:r>
        <w:rPr>
          <w:b/>
          <w:bCs/>
        </w:rPr>
        <w:t xml:space="preserve">basados en las fortalezas</w:t>
      </w:r>
      <w:r>
        <w:t xml:space="preserve">, que combinen lo académico (diferenciación, foco en habilidades) con lo socioemocional (bienestar, confianza). Los alumnos pasan de la ansiedad y la desesperanza aprendida a la confianza.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Proponer actividades </w:t>
      </w:r>
      <w:r>
        <w:rPr>
          <w:b/>
          <w:bCs/>
        </w:rPr>
        <w:t xml:space="preserve">prácticas, "con las manos"</w:t>
      </w:r>
      <w:r>
        <w:t xml:space="preserve">, que permitan mostrar las fortalezas y también ayudan a identificar la AC oculta.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Ofrecer </w:t>
      </w:r>
      <w:r>
        <w:rPr>
          <w:b/>
          <w:bCs/>
        </w:rPr>
        <w:t xml:space="preserve">mentores</w:t>
      </w:r>
      <w:r>
        <w:t xml:space="preserve"> y entornos donde se sientan </w:t>
      </w:r>
      <w:r>
        <w:rPr>
          <w:b/>
          <w:bCs/>
        </w:rPr>
        <w:t xml:space="preserve">seguros, desafiados, valorados y aceptados</w:t>
      </w:r>
      <w:r>
        <w:t xml:space="preserve"> en su doble condición.</w:t>
      </w:r>
    </w:p>
    <w:p>
      <w:pPr>
        <w:pStyle w:val="Heading1"/>
      </w:pPr>
      <w:r>
        <w:t xml:space="preserve">3. El perfil docente para alumnos con AACC (Conejeros-Solar y otros, 2013)</w:t>
      </w:r>
    </w:p>
    <w:p>
      <w:r>
        <w:t xml:space="preserve">Estudio cualitativo con las evaluaciones de alumnos talentosos (11 a 17 años) del Programa BETA (PUCV, Chile). </w:t>
      </w:r>
      <w:r>
        <w:rPr>
          <w:b/>
          <w:bCs/>
        </w:rPr>
        <w:t xml:space="preserve">Qué valoran los propios alumnos en sus docentes: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0"/>
        <w:gridCol w:w="1164"/>
        <w:gridCol w:w="5564"/>
      </w:tblGrid>
      <w:tr>
        <w:trPr>
          <w:tblHeader/>
        </w:trPr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 valorado</w:t>
            </w:r>
          </w:p>
        </w:tc>
        <w:tc>
          <w:tcPr>
            <w:tcW w:type="dxa" w:w="1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55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rPr>
          <w:tblHeader w:val="false"/>
        </w:trPr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Pensamiento complejo y desafíos intelectuales</w:t>
            </w:r>
          </w:p>
        </w:tc>
        <w:tc>
          <w:tcPr>
            <w:tcW w:type="dxa" w:w="1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25 %</w:t>
            </w:r>
          </w:p>
        </w:tc>
        <w:tc>
          <w:tcPr>
            <w:tcW w:type="dxa" w:w="55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 los hagan preguntarse, analizar y criticar; retos altos y contenidos profundos.</w:t>
            </w:r>
          </w:p>
        </w:tc>
      </w:tr>
      <w:tr>
        <w:trPr>
          <w:tblHeader w:val="false"/>
        </w:trPr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Integración teoría-práctica</w:t>
            </w:r>
          </w:p>
        </w:tc>
        <w:tc>
          <w:tcPr>
            <w:tcW w:type="dxa" w:w="1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19 %</w:t>
            </w:r>
          </w:p>
        </w:tc>
        <w:tc>
          <w:tcPr>
            <w:tcW w:type="dxa" w:w="55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Experimentos, salidas, investigaciones: "nos enseñan a ser verdaderos investigadores".</w:t>
            </w:r>
          </w:p>
        </w:tc>
      </w:tr>
      <w:tr>
        <w:trPr>
          <w:tblHeader w:val="false"/>
        </w:trPr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Flexibilidad y diversidad de métodos</w:t>
            </w:r>
          </w:p>
        </w:tc>
        <w:tc>
          <w:tcPr>
            <w:tcW w:type="dxa" w:w="1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19 %</w:t>
            </w:r>
          </w:p>
        </w:tc>
        <w:tc>
          <w:tcPr>
            <w:tcW w:type="dxa" w:w="55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repetir siempre el mismo guion; distintas formas de demostrar lo aprendido.</w:t>
            </w:r>
          </w:p>
        </w:tc>
      </w:tr>
      <w:tr>
        <w:trPr>
          <w:tblHeader w:val="false"/>
        </w:trPr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Vínculo socioemocional</w:t>
            </w:r>
          </w:p>
        </w:tc>
        <w:tc>
          <w:tcPr>
            <w:tcW w:type="dxa" w:w="1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12 %</w:t>
            </w:r>
          </w:p>
        </w:tc>
        <w:tc>
          <w:tcPr>
            <w:tcW w:type="dxa" w:w="55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Cercanía, confianza, preocupación genuina por ellos.</w:t>
            </w:r>
          </w:p>
        </w:tc>
      </w:tr>
      <w:tr>
        <w:trPr>
          <w:tblHeader w:val="false"/>
        </w:trPr>
        <w:tc>
          <w:tcPr>
            <w:tcW w:type="dxa" w:w="29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Ritmo dinámico</w:t>
            </w:r>
          </w:p>
        </w:tc>
        <w:tc>
          <w:tcPr>
            <w:tcW w:type="dxa" w:w="11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8 %</w:t>
            </w:r>
          </w:p>
        </w:tc>
        <w:tc>
          <w:tcPr>
            <w:tcW w:type="dxa" w:w="55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Rechazo de la lentitud y la monotonía.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Perfil del docente eficaz</w:t>
      </w:r>
      <w:r>
        <w:t xml:space="preserve"> (síntesis de Vialle y Quigley y de las voces de los alumnos):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Conocimientos y habilidades:</w:t>
      </w:r>
      <w:r>
        <w:t xml:space="preserve"> dominio profundo de su disciplina, pasión por ella y conocimiento de las características de los alumnos con AACC.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Estilo de enseñanza:</w:t>
      </w:r>
      <w:r>
        <w:t xml:space="preserve"> adaptar y diferenciar el currículo; promover el pensamiento de orden superior (crítico, creativo, resolución de problemas); actuar como </w:t>
      </w:r>
      <w:r>
        <w:rPr>
          <w:b/>
          <w:bCs/>
        </w:rPr>
        <w:t xml:space="preserve">guía o facilitador</w:t>
      </w:r>
      <w:r>
        <w:t xml:space="preserve">; brindar oportunidades centradas en el alumno; dar retroalimentación en lugar de juzgar.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Cualidades personales:</w:t>
      </w:r>
      <w:r>
        <w:t xml:space="preserve"> flexibilidad, apertura, sentido del humor, entusiasmo, disposición a equivocarse, madurez y un clima de aula sin amenazas que favorezca la creatividad y la toma de riesgos.</w:t>
      </w:r>
    </w:p>
    <w:p>
      <w:r>
        <w:t xml:space="preserve">Los docentes </w:t>
      </w:r>
      <w:r>
        <w:rPr>
          <w:b/>
          <w:bCs/>
        </w:rPr>
        <w:t xml:space="preserve">capacitados</w:t>
      </w:r>
      <w:r>
        <w:t xml:space="preserve"> en AACC enseñan mejor, generan mejores climas de aula y tienen visiones más inclusivas del talento. Por eso es clave incluir el tema en la formación inicial y continua, y contar con una </w:t>
      </w:r>
      <w:r>
        <w:rPr>
          <w:b/>
          <w:bCs/>
        </w:rPr>
        <w:t xml:space="preserve">organización escolar flexible</w:t>
      </w:r>
      <w:r>
        <w:t xml:space="preserve"> y apoyo de los directivos.</w:t>
      </w:r>
    </w:p>
    <w:p>
      <w:pPr>
        <w:pStyle w:val="Heading1"/>
      </w:pPr>
      <w:r>
        <w:t xml:space="preserve">4. Hacer visible el pensamiento (Ritchhart, Church y Morrison, Proyecto Cero, Harvard)</w:t>
      </w:r>
    </w:p>
    <w:p>
      <w:r>
        <w:t xml:space="preserve">El libro propone que la escuela ponga </w:t>
      </w:r>
      <w:r>
        <w:rPr>
          <w:b/>
          <w:bCs/>
        </w:rPr>
        <w:t xml:space="preserve">el pensamiento en el centro</w:t>
      </w:r>
      <w:r>
        <w:t xml:space="preserve"> del aprendizaje y lo haga "visible" mediante </w:t>
      </w:r>
      <w:r>
        <w:rPr>
          <w:b/>
          <w:bCs/>
        </w:rPr>
        <w:t xml:space="preserve">rutinas de pensamiento</w:t>
      </w:r>
      <w:r>
        <w:t xml:space="preserve">: estructuras breves y repetibles que se usan en cualquier área y nivel. Son especialmente útiles para alumnos con AACC porque promueven la profundidad, la metacognición y la autonomía.</w:t>
      </w:r>
    </w:p>
    <w:p>
      <w:r>
        <w:rPr>
          <w:b/>
          <w:bCs/>
        </w:rPr>
        <w:t xml:space="preserve">Los movimientos del pensamiento que construyen comprensión</w:t>
      </w:r>
      <w:r>
        <w:t xml:space="preserve"> ("mapa de comprensión"): observar de cerca y describir; construir explicaciones e interpretaciones; razonar con evidencia; establecer conexiones; considerar distintos puntos de vista; captar lo esencial y llegar a conclusiones; preguntarse y hacer preguntas; descubrir la complejidad e ir más allá de la superficie.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290"/>
      </w:tblGrid>
      <w:tr>
        <w:trPr>
          <w:tblHeader/>
        </w:trPr>
        <w:tc>
          <w:tcPr>
            <w:tcW w:type="dxa" w:w="23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Rutinas (ejemplos)</w:t>
            </w:r>
          </w:p>
        </w:tc>
      </w:tr>
      <w:tr>
        <w:trPr>
          <w:tblHeader w:val="false"/>
        </w:trPr>
        <w:tc>
          <w:tcPr>
            <w:tcW w:type="dxa" w:w="23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Presentar y explorar ideas</w:t>
            </w:r>
          </w:p>
        </w:tc>
        <w:tc>
          <w:tcPr>
            <w:tcW w:type="dxa" w:w="7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Ver-Pensar-Preguntarse · Pensar-Inquietar-Explorar · Puente 3-2-1 · Conversación en papel · Puntos de la brújula · El juego de la explicación</w:t>
            </w:r>
          </w:p>
        </w:tc>
      </w:tr>
      <w:tr>
        <w:trPr>
          <w:tblHeader w:val="false"/>
        </w:trPr>
        <w:tc>
          <w:tcPr>
            <w:tcW w:type="dxa" w:w="23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Sintetizar y organizar ideas</w:t>
            </w:r>
          </w:p>
        </w:tc>
        <w:tc>
          <w:tcPr>
            <w:tcW w:type="dxa" w:w="7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Titular · Color-Símbolo-Imagen · Generar-Clasificar-Conectar-Elaborar (mapas conceptuales) · Conectar-Ampliar-Desafiar · Antes pensaba… ahora pienso…</w:t>
            </w:r>
          </w:p>
        </w:tc>
      </w:tr>
      <w:tr>
        <w:trPr>
          <w:tblHeader w:val="false"/>
        </w:trPr>
        <w:tc>
          <w:tcPr>
            <w:tcW w:type="dxa" w:w="23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Explorar ideas en profundidad</w:t>
            </w:r>
          </w:p>
        </w:tc>
        <w:tc>
          <w:tcPr>
            <w:tcW w:type="dxa" w:w="7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¿Qué te hace decir eso? · Círculo de puntos de vista · Ponerse en el lugar de… · Afirmar-Apoyar-Cuestionar · Oración-Frase-Palabra</w:t>
            </w:r>
          </w:p>
        </w:tc>
      </w:tr>
    </w:tbl>
    <w:p>
      <w:pPr>
        <w:spacing w:after="60"/>
      </w:pPr>
    </w:p>
    <w:p>
      <w:r>
        <w:t xml:space="preserve">Para que funcionen hace falta una </w:t>
      </w:r>
      <w:r>
        <w:rPr>
          <w:b/>
          <w:bCs/>
        </w:rPr>
        <w:t xml:space="preserve">cultura de pensamiento</w:t>
      </w:r>
      <w:r>
        <w:t xml:space="preserve"> en el aula, sostenida por el </w:t>
      </w:r>
      <w:r>
        <w:rPr>
          <w:b/>
          <w:bCs/>
        </w:rPr>
        <w:t xml:space="preserve">tiempo</w:t>
      </w:r>
      <w:r>
        <w:t xml:space="preserve"> para pensar, el </w:t>
      </w:r>
      <w:r>
        <w:rPr>
          <w:b/>
          <w:bCs/>
        </w:rPr>
        <w:t xml:space="preserve">lenguaje</w:t>
      </w:r>
      <w:r>
        <w:t xml:space="preserve"> del pensamiento, las </w:t>
      </w:r>
      <w:r>
        <w:rPr>
          <w:b/>
          <w:bCs/>
        </w:rPr>
        <w:t xml:space="preserve">oportunidades</w:t>
      </w:r>
      <w:r>
        <w:t xml:space="preserve"> y las </w:t>
      </w:r>
      <w:r>
        <w:rPr>
          <w:b/>
          <w:bCs/>
        </w:rPr>
        <w:t xml:space="preserve">interacciones</w:t>
      </w:r>
      <w:r>
        <w:t xml:space="preserve">: el docente escucha, documenta y valora las ideas de los alumnos.</w:t>
      </w:r>
    </w:p>
    <w:p>
      <w:pPr>
        <w:pStyle w:val="Heading1"/>
      </w:pPr>
      <w:r>
        <w:t xml:space="preserve">5. El modelo de desarrollo del talento de Renzulli para el siglo XXI (Renzulli, 2012)</w:t>
      </w:r>
    </w:p>
    <w:p>
      <w:r>
        <w:t xml:space="preserve">Renzulli propone </w:t>
      </w:r>
      <w:r>
        <w:rPr>
          <w:b/>
          <w:bCs/>
        </w:rPr>
        <w:t xml:space="preserve">etiquetar los servicios, no a los alumnos</w:t>
      </w:r>
      <w:r>
        <w:t xml:space="preserve">, y usar "superdotado" como adjetivo de conductas ("conductas superdotadas"). Distingue la superdotación </w:t>
      </w:r>
      <w:r>
        <w:rPr>
          <w:b/>
          <w:bCs/>
        </w:rPr>
        <w:t xml:space="preserve">escolar</w:t>
      </w:r>
      <w:r>
        <w:t xml:space="preserve"> (buen aprendiz de lecciones) de la </w:t>
      </w:r>
      <w:r>
        <w:rPr>
          <w:b/>
          <w:bCs/>
        </w:rPr>
        <w:t xml:space="preserve">creativo-productiva</w:t>
      </w:r>
      <w:r>
        <w:t xml:space="preserve"> (productores de conocimiento, no sólo consumidores). Su teoría integra cuatro partes: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/>
          <w:bCs/>
        </w:rPr>
        <w:t xml:space="preserve">Concepción de los tres anillos:</w:t>
      </w:r>
      <w:r>
        <w:t xml:space="preserve"> capacidad por encima de la media, compromiso con la tarea y creatividad.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/>
          <w:bCs/>
        </w:rPr>
        <w:t xml:space="preserve">Modelo de Enriquecimiento Triádico:</w:t>
      </w:r>
      <w:r>
        <w:t xml:space="preserve"> </w:t>
      </w:r>
      <w:r>
        <w:rPr>
          <w:b/>
          <w:bCs/>
        </w:rPr>
        <w:t xml:space="preserve">Tipo I</w:t>
      </w:r>
      <w:r>
        <w:t xml:space="preserve">, actividades exploratorias para </w:t>
      </w:r>
      <w:r>
        <w:rPr>
          <w:i/>
          <w:iCs/>
        </w:rPr>
        <w:t xml:space="preserve">todos</w:t>
      </w:r>
      <w:r>
        <w:t xml:space="preserve"> los alumnos (charlas, salidas, temas nuevos) que despiertan intereses. </w:t>
      </w:r>
      <w:r>
        <w:rPr>
          <w:b/>
          <w:bCs/>
        </w:rPr>
        <w:t xml:space="preserve">Tipo II</w:t>
      </w:r>
      <w:r>
        <w:t xml:space="preserve">, entrenamiento en habilidades cognitivas, metodológicas, de investigación y afectivas. </w:t>
      </w:r>
      <w:r>
        <w:rPr>
          <w:b/>
          <w:bCs/>
        </w:rPr>
        <w:t xml:space="preserve">Tipo III</w:t>
      </w:r>
      <w:r>
        <w:t xml:space="preserve">, investigaciones y productos reales, individuales o en pequeños grupos, sobre problemas auténticos.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/>
          <w:bCs/>
        </w:rPr>
        <w:t xml:space="preserve">Operación Houndstooth:</w:t>
      </w:r>
      <w:r>
        <w:t xml:space="preserve"> rasgos </w:t>
      </w:r>
      <w:r>
        <w:rPr>
          <w:b/>
          <w:bCs/>
        </w:rPr>
        <w:t xml:space="preserve">co-cognitivos</w:t>
      </w:r>
      <w:r>
        <w:t xml:space="preserve"> que orientan el talento hacia el bien común: optimismo, valentía, "romance" con un tema o disciplina, sensibilidad hacia los problemas humanos, energía física y mental, visión y sentido del destino.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/>
          <w:bCs/>
        </w:rPr>
        <w:t xml:space="preserve">Funciones ejecutivas orientadas a la acción:</w:t>
      </w:r>
      <w:r>
        <w:t xml:space="preserve"> liderazgo, organización, autodisciplina, ética y responsabilidad. La autodisciplina predice el rendimiento mejor que el CI.</w:t>
      </w:r>
    </w:p>
    <w:p>
      <w:pPr>
        <w:pStyle w:val="Heading1"/>
      </w:pPr>
      <w:r>
        <w:t xml:space="preserve">6. Ideas clave de la Clase 3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</w:t>
      </w:r>
      <w:r>
        <w:rPr>
          <w:b/>
          <w:bCs/>
        </w:rPr>
        <w:t xml:space="preserve">niñas con AACC</w:t>
      </w:r>
      <w:r>
        <w:t xml:space="preserve"> están subidentificadas por estereotipos de género, camuflaje social y baja autoestima, no por menor capacidad. La brecha se abre en la adolescencia.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 </w:t>
      </w:r>
      <w:r>
        <w:rPr>
          <w:b/>
          <w:bCs/>
        </w:rPr>
        <w:t xml:space="preserve">doble excepcionalidad</w:t>
      </w:r>
      <w:r>
        <w:t xml:space="preserve"> existe: la alta capacidad y la dificultad se enmascaran entre sí. Hay que evaluar comparando al alumno consigo mismo e intervenir desde sus fortalezas.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AACC + TDAH:</w:t>
      </w:r>
      <w:r>
        <w:t xml:space="preserve"> creatividad alta con fallas ejecutivas y baja autoestima. </w:t>
      </w:r>
      <w:r>
        <w:rPr>
          <w:b/>
          <w:bCs/>
        </w:rPr>
        <w:t xml:space="preserve">AACC + TEA:</w:t>
      </w:r>
      <w:r>
        <w:t xml:space="preserve"> perfil muy disarmónico, necesidad de estructura y dificultades sociales.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El </w:t>
      </w:r>
      <w:r>
        <w:rPr>
          <w:b/>
          <w:bCs/>
        </w:rPr>
        <w:t xml:space="preserve">docente ideal</w:t>
      </w:r>
      <w:r>
        <w:t xml:space="preserve"> desafía intelectualmente, integra teoría y práctica, es flexible y establece un vínculo cercano.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Las </w:t>
      </w:r>
      <w:r>
        <w:rPr>
          <w:b/>
          <w:bCs/>
        </w:rPr>
        <w:t xml:space="preserve">rutinas de pensamiento</w:t>
      </w:r>
      <w:r>
        <w:t xml:space="preserve"> y el </w:t>
      </w:r>
      <w:r>
        <w:rPr>
          <w:b/>
          <w:bCs/>
        </w:rPr>
        <w:t xml:space="preserve">enriquecimiento triádico</w:t>
      </w:r>
      <w:r>
        <w:t xml:space="preserve"> son herramientas concretas para el aula diversa.</w:t>
      </w:r>
    </w:p>
    <w:p>
      <w:pPr>
        <w:pBdr>
          <w:top w:val="single" w:color="1F4E79" w:sz="6" w:space="4"/>
        </w:pBdr>
        <w:spacing w:after="40" w:before="160"/>
      </w:pPr>
      <w:r>
        <w:rPr>
          <w:color w:val="404040"/>
          <w:sz w:val="18"/>
          <w:szCs w:val="18"/>
        </w:rPr>
        <w:t xml:space="preserve">Bibliografía de la clase: Hermoso Soto, A. E. (2018). </w:t>
      </w:r>
      <w:r>
        <w:rPr>
          <w:i/>
          <w:iCs/>
          <w:color w:val="404040"/>
          <w:sz w:val="18"/>
          <w:szCs w:val="18"/>
        </w:rPr>
        <w:t xml:space="preserve">Altas capacidades y género</w:t>
      </w:r>
      <w:r>
        <w:rPr>
          <w:color w:val="404040"/>
          <w:sz w:val="18"/>
          <w:szCs w:val="18"/>
        </w:rPr>
        <w:t xml:space="preserve">. I Congreso Iberoamericano de Docentes.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García Perales, R., Canuto González, I. y Cebrián Martínez, A. (2019). </w:t>
      </w:r>
      <w:r>
        <w:rPr>
          <w:i/>
          <w:iCs/>
          <w:color w:val="404040"/>
          <w:sz w:val="18"/>
          <w:szCs w:val="18"/>
        </w:rPr>
        <w:t xml:space="preserve">Alta capacidad y género: la autoestima como factor influyente en las diferencias entre sexos</w:t>
      </w:r>
      <w:r>
        <w:rPr>
          <w:color w:val="404040"/>
          <w:sz w:val="18"/>
          <w:szCs w:val="18"/>
        </w:rPr>
        <w:t xml:space="preserve">. Contextos Educativos, 24.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Conejeros-Solar, M. L., Gómez-Arizaga, M. P., Sandoval-Rodríguez, K. y Cáceres-Serrano, P. (2018). </w:t>
      </w:r>
      <w:r>
        <w:rPr>
          <w:i/>
          <w:iCs/>
          <w:color w:val="404040"/>
          <w:sz w:val="18"/>
          <w:szCs w:val="18"/>
        </w:rPr>
        <w:t xml:space="preserve">Aportes a la comprensión de la doble excepcionalidad</w:t>
      </w:r>
      <w:r>
        <w:rPr>
          <w:color w:val="404040"/>
          <w:sz w:val="18"/>
          <w:szCs w:val="18"/>
        </w:rPr>
        <w:t xml:space="preserve">. Revista Educación, 42(2).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Conejeros-Solar, M. L., Gómez-Arizaga, M. P. y Donoso-Osorio, E. (2013). </w:t>
      </w:r>
      <w:r>
        <w:rPr>
          <w:i/>
          <w:iCs/>
          <w:color w:val="404040"/>
          <w:sz w:val="18"/>
          <w:szCs w:val="18"/>
        </w:rPr>
        <w:t xml:space="preserve">Perfil docente para alumnos/as con altas capacidades</w:t>
      </w:r>
      <w:r>
        <w:rPr>
          <w:color w:val="404040"/>
          <w:sz w:val="18"/>
          <w:szCs w:val="18"/>
        </w:rPr>
        <w:t xml:space="preserve">. Magis, 5(11).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Ritchhart, R., Church, M. y Morrison, K. (2014). </w:t>
      </w:r>
      <w:r>
        <w:rPr>
          <w:i/>
          <w:iCs/>
          <w:color w:val="404040"/>
          <w:sz w:val="18"/>
          <w:szCs w:val="18"/>
        </w:rPr>
        <w:t xml:space="preserve">Hacer visible el pensamiento</w:t>
      </w:r>
      <w:r>
        <w:rPr>
          <w:color w:val="404040"/>
          <w:sz w:val="18"/>
          <w:szCs w:val="18"/>
        </w:rPr>
        <w:t xml:space="preserve">. Paidós.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color w:val="404040"/>
          <w:sz w:val="18"/>
          <w:szCs w:val="18"/>
        </w:rPr>
        <w:t xml:space="preserve">Renzulli, J. S. (2012). </w:t>
      </w:r>
      <w:r>
        <w:rPr>
          <w:i/>
          <w:iCs/>
          <w:color w:val="404040"/>
          <w:sz w:val="18"/>
          <w:szCs w:val="18"/>
        </w:rPr>
        <w:t xml:space="preserve">Reexamining the role of gifted education and talent development for the 21st century</w:t>
      </w:r>
      <w:r>
        <w:rPr>
          <w:color w:val="404040"/>
          <w:sz w:val="18"/>
          <w:szCs w:val="18"/>
        </w:rPr>
        <w:t xml:space="preserve">. Gifted Child Quarterly, 56(3).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Diplomado Virtual AACC 2026 · Resumen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3 – Género y Altas Capacidades. Doble excepcionalidad</dc:title>
  <dc:creator>Resumen Diplomado AACC 2026</dc:creator>
  <cp:lastModifiedBy>Un-named</cp:lastModifiedBy>
  <cp:revision>1</cp:revision>
  <dcterms:created xsi:type="dcterms:W3CDTF">2026-10-24T02:16:49.804Z</dcterms:created>
  <dcterms:modified xsi:type="dcterms:W3CDTF">2026-10-24T02:16:49.804Z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