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Clase 4 – Intervenciones en el aula diversa. Estrategias posibles</w:t>
      </w:r>
    </w:p>
    <w:p>
      <w:pPr>
        <w:spacing w:after="40"/>
      </w:pPr>
      <w:r>
        <w:rPr>
          <w:i/>
          <w:iCs/>
          <w:color w:val="595959"/>
        </w:rPr>
        <w:t xml:space="preserve">Jueves 6 de agosto de 2026 · Dra. Katia Sandoval Rodríguez (PUCV, Chile)</w:t>
      </w:r>
    </w:p>
    <w:p>
      <w:pPr>
        <w:spacing w:after="40"/>
      </w:pPr>
      <w:r>
        <w:rPr>
          <w:i/>
          <w:iCs/>
          <w:color w:val="595959"/>
        </w:rPr>
        <w:t xml:space="preserve">Temas: intervenciones en el aula diversa; diferenciación curricular; modelo centrado en fortalezas; doble excepcionalidad; precocidad intelectual en la primera infancia; el papel de las familias.</w:t>
      </w:r>
    </w:p>
    <w:p>
      <w:pPr>
        <w:pStyle w:val="Heading1"/>
      </w:pPr>
      <w:r>
        <w:t xml:space="preserve">1. Punto de partida: atender la diversidad desde las fortalezas</w:t>
      </w:r>
    </w:p>
    <w:p>
      <w:r>
        <w:t xml:space="preserve">La bibliografía de esta clase la produjo en su mayoría el equipo de la Pontificia Universidad Católica de Valparaíso (Conejeros-Solar, Sandoval-Rodríguez, Gómez-Arizaga y colaboradores). Comparte una idea central: </w:t>
      </w:r>
      <w:r>
        <w:rPr>
          <w:b/>
          <w:bCs/>
        </w:rPr>
        <w:t xml:space="preserve">el aula es diversa, y los alumnos con altas capacidades, incluidos los doblemente excepcionales, necesitan respuestas diferenciadas que partan de sus fortalezas y no sólo de sus dificultades.</w:t>
      </w:r>
    </w:p>
    <w:p>
      <w:r>
        <w:t xml:space="preserve">Las respuestas educativas pueden ordenarse en tres niveles (Gómez y Mir, citados en Conejeros-Solar y otros, 2024):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8"/>
        <w:gridCol w:w="6151"/>
        <w:gridCol w:w="2189"/>
      </w:tblGrid>
      <w:tr>
        <w:trPr>
          <w:tblHeader/>
        </w:trP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medida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2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Quién la implementa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Ordinarias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Adaptaciones que el docente hace dentro del aula: actividades diferenciadas, preguntas de mayor nivel, flexibilidad en los productos.</w:t>
            </w:r>
          </w:p>
        </w:tc>
        <w:tc>
          <w:tcPr>
            <w:tcW w:type="dxa" w:w="2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Docente de aula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Extraordinarias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Ampliación y enriquecimiento del currículo; desarrollo de la creatividad, la metacognición, la motivación y las habilidades sociales; cambios metodológicos.</w:t>
            </w:r>
          </w:p>
        </w:tc>
        <w:tc>
          <w:tcPr>
            <w:tcW w:type="dxa" w:w="2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Docente + equipo de orientación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Excepcionales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Aceleración</w:t>
            </w:r>
            <w:r>
              <w:rPr>
                <w:sz w:val="20"/>
                <w:szCs w:val="20"/>
              </w:rPr>
              <w:t xml:space="preserve"> (adelantar cursos, compactar el currículo, ingreso anticipado) y </w:t>
            </w:r>
            <w:r>
              <w:rPr>
                <w:b/>
                <w:bCs/>
                <w:sz w:val="20"/>
                <w:szCs w:val="20"/>
              </w:rPr>
              <w:t xml:space="preserve">agrupamiento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1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Institución, con plan individual</w:t>
            </w:r>
          </w:p>
        </w:tc>
      </w:tr>
    </w:tbl>
    <w:p>
      <w:pPr>
        <w:spacing w:after="60"/>
      </w:pPr>
    </w:p>
    <w:p>
      <w:r>
        <w:t xml:space="preserve">Las medidas extraordinarias y excepcionales se formalizan en </w:t>
      </w:r>
      <w:r>
        <w:rPr>
          <w:b/>
          <w:bCs/>
        </w:rPr>
        <w:t xml:space="preserve">planes individualizados</w:t>
      </w:r>
      <w:r>
        <w:t xml:space="preserve">, que describen los apoyos y adaptaciones que el alumno necesita.</w:t>
      </w:r>
    </w:p>
    <w:p>
      <w:pPr>
        <w:pStyle w:val="Heading1"/>
      </w:pPr>
      <w:r>
        <w:t xml:space="preserve">2. La diferenciación curricular</w:t>
      </w:r>
    </w:p>
    <w:p>
      <w:r>
        <w:rPr>
          <w:b/>
          <w:bCs/>
        </w:rPr>
        <w:t xml:space="preserve">Definición:</w:t>
      </w:r>
      <w:r>
        <w:t xml:space="preserve"> enriquecer el currículo común con estrategias diversas, partiendo del supuesto de que </w:t>
      </w:r>
      <w:r>
        <w:rPr>
          <w:b/>
          <w:bCs/>
        </w:rPr>
        <w:t xml:space="preserve">cada estudiante es diferente</w:t>
      </w:r>
      <w:r>
        <w:t xml:space="preserve">. Se arranca del punto en que está cada alumno y se ajusta la enseñanza a sus ritmos, intereses y necesidades (Tomlinson). Primero se identifican los </w:t>
      </w:r>
      <w:r>
        <w:rPr>
          <w:b/>
          <w:bCs/>
        </w:rPr>
        <w:t xml:space="preserve">"no negociables"</w:t>
      </w:r>
      <w:r>
        <w:t xml:space="preserve"> del currículo (lo fundamental que todos deben aprender) y, a partir de ahí, se diversifica.</w:t>
      </w:r>
    </w:p>
    <w:p>
      <w:r>
        <w:rPr>
          <w:b/>
          <w:bCs/>
        </w:rPr>
        <w:t xml:space="preserve">Modelo de diferenciación de June Maker:</w:t>
      </w:r>
      <w:r>
        <w:t xml:space="preserve"> el docente puede modificar cuatro elementos.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Contenido</w:t>
      </w:r>
      <w:r>
        <w:t xml:space="preserve"> (¿qué aprenderán?): ajustado al nivel real de conocimientos y capacidades del alumno, con temas más complejos, abstractos e interdisciplinarios.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Proceso</w:t>
      </w:r>
      <w:r>
        <w:t xml:space="preserve"> (¿cómo aprenderán?): métodos centrados en el pensamiento de alto nivel, la resolución creativa de problemas, la toma de decisiones y la planificación.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Producto</w:t>
      </w:r>
      <w:r>
        <w:t xml:space="preserve"> (¿cómo demostrarán lo aprendido?): productos variados y auténticos (investigaciones, maquetas, exposiciones, propuestas para problemas reales).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Ambiente de aprendizaje</w:t>
      </w:r>
      <w:r>
        <w:t xml:space="preserve"> (¿en qué condiciones?): el docente promueve la </w:t>
      </w:r>
      <w:r>
        <w:rPr>
          <w:b/>
          <w:bCs/>
        </w:rPr>
        <w:t xml:space="preserve">independencia</w:t>
      </w:r>
      <w:r>
        <w:t xml:space="preserve"> (no la dependencia) y </w:t>
      </w:r>
      <w:r>
        <w:rPr>
          <w:b/>
          <w:bCs/>
        </w:rPr>
        <w:t xml:space="preserve">acepta en lugar de juzgar</w:t>
      </w:r>
      <w:r>
        <w:t xml:space="preserve">.</w:t>
      </w:r>
    </w:p>
    <w:p>
      <w:r>
        <w:t xml:space="preserve">La diferenciación </w:t>
      </w:r>
      <w:r>
        <w:rPr>
          <w:b/>
          <w:bCs/>
        </w:rPr>
        <w:t xml:space="preserve">beneficia a todo el grupo</w:t>
      </w:r>
      <w:r>
        <w:t xml:space="preserve">, no sólo al alumno con AACC, porque parte de lo que cada uno ya sabe.</w:t>
      </w:r>
    </w:p>
    <w:p>
      <w:pPr>
        <w:pStyle w:val="Heading1"/>
      </w:pPr>
      <w:r>
        <w:t xml:space="preserve">3. El modelo centrado en fortalezas (Baum y otros)</w:t>
      </w:r>
    </w:p>
    <w:p>
      <w:r>
        <w:t xml:space="preserve">Es el enfoque recomendado para alumnos con AACC y, sobre todo, para los </w:t>
      </w:r>
      <w:r>
        <w:rPr>
          <w:b/>
          <w:bCs/>
        </w:rPr>
        <w:t xml:space="preserve">doblemente excepcionales</w:t>
      </w:r>
      <w:r>
        <w:t xml:space="preserve">. El alumno está en el centro de la intervención y se consideran cinco aspectos: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Dones, talentos e intereses:</w:t>
      </w:r>
      <w:r>
        <w:t xml:space="preserve"> la puerta de entrada para captar su interés y atención.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Diferencias de aprendizaje:</w:t>
      </w:r>
      <w:r>
        <w:t xml:space="preserve"> estilos y canales distintos (auditivo, visual, táctil); ofrecer varias vías de acceso.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Aspectos sociales y emocionales</w:t>
      </w:r>
      <w:r>
        <w:t xml:space="preserve">, que pueden favorecer o entorpecer el aprendizaje.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Discapacidades o dificultades:</w:t>
      </w:r>
      <w:r>
        <w:t xml:space="preserve"> anticipar sus manifestaciones sin perderlas de vista.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Contexto familiar:</w:t>
      </w:r>
      <w:r>
        <w:t xml:space="preserve"> comunicación directa y constante con los padres, que suelen tener un historial de experiencias escolares difíciles.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Si un alumno se niega a trabajar o rinde poco, el docente debería preguntarse: ¿el trabajo está a su nivel intelectual? ¿Tiene oportunidades constantes para desarrollar sus habilidades superiores? ¿La tarea está doblemente diferenciada, para sus fortalezas y para sus déficits? (Baum y otros, 2018)</w:t>
      </w:r>
    </w:p>
    <w:p>
      <w:r>
        <w:rPr>
          <w:b/>
          <w:bCs/>
        </w:rPr>
        <w:t xml:space="preserve">Paradojas típicas del alumno 2e</w:t>
      </w:r>
      <w:r>
        <w:t xml:space="preserve"> (Baum y otros, 2017):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Ideas creativas y sofisticadas, pero dificultad para concretarlas o ponerlas en papel.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Mucho compromiso con la tarea, pero dificultad para atender si el contenido es poco novedoso o exige escuchar mucho.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Potencial para la experticia, pero dificultad con las destrezas básicas y los automatismos.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Deseo de encajar, pero escasa conciencia social.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Perfeccionismo en lo que le interesa, pero inconsistencia y apatía con las tareas obligatorias.</w:t>
      </w:r>
    </w:p>
    <w:p>
      <w:r>
        <w:rPr>
          <w:b/>
          <w:bCs/>
        </w:rPr>
        <w:t xml:space="preserve">Metáfora del color verde:</w:t>
      </w:r>
      <w:r>
        <w:t xml:space="preserve"> las fortalezas son el amarillo y las dificultades el azul. Cada alumno 2e es una mezcla, pero no estática: se mueve en una amplia </w:t>
      </w:r>
      <w:r>
        <w:rPr>
          <w:b/>
          <w:bCs/>
        </w:rPr>
        <w:t xml:space="preserve">gama de verdes</w:t>
      </w:r>
      <w:r>
        <w:t xml:space="preserve"> según el momento y las circunstancias.</w:t>
      </w:r>
    </w:p>
    <w:p>
      <w:pPr>
        <w:pStyle w:val="Heading1"/>
      </w:pPr>
      <w:r>
        <w:t xml:space="preserve">4. Doble excepcionalidad: tipos, identificación e intervención (Conejeros, Sandoval, Valadez y Franco, 2025)</w:t>
      </w:r>
    </w:p>
    <w:p>
      <w:pPr>
        <w:pStyle w:val="Heading2"/>
      </w:pPr>
      <w:r>
        <w:t xml:space="preserve">Tipos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4"/>
        <w:gridCol w:w="5094"/>
      </w:tblGrid>
      <w:tr>
        <w:trPr>
          <w:tblHeader/>
        </w:trPr>
        <w:tc>
          <w:tcPr>
            <w:tcW w:type="dxa" w:w="4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5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rPr>
          <w:tblHeader w:val="false"/>
        </w:trPr>
        <w:tc>
          <w:tcPr>
            <w:tcW w:type="dxa" w:w="4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 capacidad + dificultad académica (DEA)</w:t>
            </w:r>
          </w:p>
        </w:tc>
        <w:tc>
          <w:tcPr>
            <w:tcW w:type="dxa" w:w="5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Dislexia, disgrafía, discalculia</w:t>
            </w:r>
          </w:p>
        </w:tc>
      </w:tr>
      <w:tr>
        <w:trPr>
          <w:tblHeader w:val="false"/>
        </w:trPr>
        <w:tc>
          <w:tcPr>
            <w:tcW w:type="dxa" w:w="4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 capacidad + condición del neurodesarrollo o emocional</w:t>
            </w:r>
          </w:p>
        </w:tc>
        <w:tc>
          <w:tcPr>
            <w:tcW w:type="dxa" w:w="5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TDAH, TEA, trastornos del procesamiento, ansiedad, TOC, depresión</w:t>
            </w:r>
          </w:p>
        </w:tc>
      </w:tr>
      <w:tr>
        <w:trPr>
          <w:tblHeader w:val="false"/>
        </w:trPr>
        <w:tc>
          <w:tcPr>
            <w:tcW w:type="dxa" w:w="4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 capacidad + dificultad conductual</w:t>
            </w:r>
          </w:p>
        </w:tc>
        <w:tc>
          <w:tcPr>
            <w:tcW w:type="dxa" w:w="5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Problemas de conducta</w:t>
            </w:r>
          </w:p>
        </w:tc>
      </w:tr>
    </w:tbl>
    <w:p>
      <w:pPr>
        <w:spacing w:after="60"/>
      </w:pPr>
    </w:p>
    <w:p>
      <w:r>
        <w:t xml:space="preserve">Puede haber </w:t>
      </w:r>
      <w:r>
        <w:rPr>
          <w:b/>
          <w:bCs/>
        </w:rPr>
        <w:t xml:space="preserve">multiexcepcionalidad</w:t>
      </w:r>
      <w:r>
        <w:t xml:space="preserve"> (más de una condición). El </w:t>
      </w:r>
      <w:r>
        <w:rPr>
          <w:b/>
          <w:bCs/>
        </w:rPr>
        <w:t xml:space="preserve">autoconcepto</w:t>
      </w:r>
      <w:r>
        <w:t xml:space="preserve"> de los alumnos 2e se parece más al de alumnos con dificultades de aprendizaje y es más bajo que el de alumnos con AACC sin otra condición.</w:t>
      </w:r>
    </w:p>
    <w:p>
      <w:pPr>
        <w:pStyle w:val="Heading2"/>
      </w:pPr>
      <w:r>
        <w:t xml:space="preserve">Orientaciones para la identificación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Condiciones de evaluación:</w:t>
      </w:r>
      <w:r>
        <w:t xml:space="preserve"> un lugar sin distractores sensoriales, pausas y descansos (incluso varias jornadas) y adecuaciones de acceso (letra más grande, adaptadores para lápices, auriculares contra el ruido, colaciones).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Cuatro planos de análisis (Sandoval, 2024):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Trayectoria:</w:t>
      </w:r>
      <w:r>
        <w:t xml:space="preserve"> anamnesis con los padres e historia escolar (precocidades, retrasos, transiciones, puntos de inflexión).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Curricular:</w:t>
      </w:r>
      <w:r>
        <w:t xml:space="preserve"> discrepancias entre la capacidad y el desempeño en lectura, escritura y matemática.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Conductual:</w:t>
      </w:r>
      <w:r>
        <w:t xml:space="preserve"> observación en el aula y el recreo, escalas para padres y docentes. Registrar las dificultades y </w:t>
      </w:r>
      <w:r>
        <w:rPr>
          <w:b/>
          <w:bCs/>
        </w:rPr>
        <w:t xml:space="preserve">especialmente las fortalezas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Psicométrico:</w:t>
      </w:r>
      <w:r>
        <w:t xml:space="preserve"> pruebas de capacidad (WISC-V, Raven, NNAT-3, CogAT) y de cada condición (TDAH: d2, Conners, SNAP-IV; TEA: ADOS-2, ADI-R; DEA: PROLEC-R, PROESC, TALE, TEDI-MATH, TEMA-3).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Analizar los índices uno por uno, no el CI total.</w:t>
      </w:r>
      <w:r>
        <w:t xml:space="preserve"> Según la NAGC (2018), alcanza con que </w:t>
      </w:r>
      <w:r>
        <w:rPr>
          <w:b/>
          <w:bCs/>
        </w:rPr>
        <w:t xml:space="preserve">un índice del WISC-V sea de 120 o más</w:t>
      </w:r>
      <w:r>
        <w:t xml:space="preserve">. Son esperables puntajes bajos en memoria de trabajo y velocidad de procesamiento.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 Chile existe la </w:t>
      </w:r>
      <w:r>
        <w:rPr>
          <w:b/>
          <w:bCs/>
        </w:rPr>
        <w:t xml:space="preserve">Escala para la Identificación del Estudiante Doblemente Excepcional</w:t>
      </w:r>
      <w:r>
        <w:t xml:space="preserve"> (versiones DE/TDAH y DE/TEA), que responden padres y docentes.</w:t>
      </w:r>
    </w:p>
    <w:p>
      <w:pPr>
        <w:pStyle w:val="Heading2"/>
      </w:pPr>
      <w:r>
        <w:t xml:space="preserve">Intervención en funciones ejecutivas (Kircher, 2021)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478"/>
      </w:tblGrid>
      <w:tr>
        <w:trPr>
          <w:tblHeader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concretas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Agendas o planificadores de actividades, revisados a diario por docentes y padres.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Lugares fijos para útiles y mochilas; ambiente ordenado y sin estímulos visuales o ruidos innecesarios.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Gestión del tiempo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Cronómetros visuales que muestran el tiempo restante.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Memoria de trabajo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Listas visuales en el pizarrón con los pasos de la actividad.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Metacognición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Reflexionar sobre el propio proceso, anticipar resultados y dar la oportunidad de mejorar el trabajo.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Inhibición de la respuesta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Pedirle que espere 3 a 5 minutos antes de responder, para analizar la tarea.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Autorregulación emocional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Atención plena (mindfulness), conciencia emocional, resolución de problemas con alternativas y consecuencias.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Flexibilidad cognitiva</w:t>
            </w:r>
          </w:p>
        </w:tc>
        <w:tc>
          <w:tcPr>
            <w:tcW w:type="dxa" w:w="7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Actividades sin una única respuesta correcta; propuestas creativas y lúdicas.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Intervención socioemocional</w:t>
      </w:r>
    </w:p>
    <w:p>
      <w:r>
        <w:t xml:space="preserve">Ayudar al alumno a </w:t>
      </w:r>
      <w:r>
        <w:rPr>
          <w:b/>
          <w:bCs/>
        </w:rPr>
        <w:t xml:space="preserve">reconocer, nombrar y procesar sus sentimientos</w:t>
      </w:r>
      <w:r>
        <w:t xml:space="preserve">; escuchar y </w:t>
      </w:r>
      <w:r>
        <w:rPr>
          <w:b/>
          <w:bCs/>
        </w:rPr>
        <w:t xml:space="preserve">validar</w:t>
      </w:r>
      <w:r>
        <w:t xml:space="preserve"> sus preocupaciones; dar tiempo para hablar después; usar el </w:t>
      </w:r>
      <w:r>
        <w:rPr>
          <w:b/>
          <w:bCs/>
        </w:rPr>
        <w:t xml:space="preserve">dibujo o la escritura</w:t>
      </w:r>
      <w:r>
        <w:t xml:space="preserve"> para expresarse; enseñar estrategias de afrontamiento (visualización, respiración, relajación); enseñarle a pedir ayuda.</w:t>
      </w:r>
    </w:p>
    <w:p>
      <w:pPr>
        <w:pStyle w:val="Heading1"/>
      </w:pPr>
      <w:r>
        <w:t xml:space="preserve">5. Voces de estudiantes 2e en la universidad (Sandoval-Rodríguez y Conejeros-Solar, 2024)</w:t>
      </w:r>
    </w:p>
    <w:p>
      <w:r>
        <w:t xml:space="preserve">Estudio de casos con cinco estudiantes con AACC y TDAH durante su primer año universitario: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Valoran la universidad por su </w:t>
      </w:r>
      <w:r>
        <w:rPr>
          <w:b/>
          <w:bCs/>
        </w:rPr>
        <w:t xml:space="preserve">diversidad y pluralismo</w:t>
      </w:r>
      <w:r>
        <w:t xml:space="preserve">: les da acceso a un conocimiento amplio, mayor autoconocimiento y la posibilidad de construir una </w:t>
      </w:r>
      <w:r>
        <w:rPr>
          <w:b/>
          <w:bCs/>
        </w:rPr>
        <w:t xml:space="preserve">identidad como estudiantes 2e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identificación tardía</w:t>
      </w:r>
      <w:r>
        <w:t xml:space="preserve"> de la alta capacidad afecta su identidad: muchos fueron reconocidos sólo por su TDAH, lo que les generó estrés y presión.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</w:t>
      </w:r>
      <w:r>
        <w:rPr>
          <w:b/>
          <w:bCs/>
        </w:rPr>
        <w:t xml:space="preserve">estrategias de compensación</w:t>
      </w:r>
      <w:r>
        <w:t xml:space="preserve"> que les funcionaban en la escuela no alcanzan en la universidad (mucha carga, nuevas formas de evaluación, ambientes ruidosos). Algunos enfrentan por primera vez el </w:t>
      </w:r>
      <w:r>
        <w:rPr>
          <w:b/>
          <w:bCs/>
        </w:rPr>
        <w:t xml:space="preserve">fracaso académico</w:t>
      </w:r>
      <w:r>
        <w:t xml:space="preserve">, que puede convertirse en un </w:t>
      </w:r>
      <w:r>
        <w:rPr>
          <w:b/>
          <w:bCs/>
        </w:rPr>
        <w:t xml:space="preserve">punto de inflexión</w:t>
      </w:r>
      <w:r>
        <w:t xml:space="preserve"> para desarrollar autorregulación.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Implicancia para la escuela:</w:t>
      </w:r>
      <w:r>
        <w:t xml:space="preserve"> identificar a tiempo, acompañar durante toda la trayectoria y preparar las transiciones enseñando autonomía, organización y autorregulación.</w:t>
      </w:r>
    </w:p>
    <w:p>
      <w:pPr>
        <w:pStyle w:val="Heading1"/>
      </w:pPr>
      <w:r>
        <w:t xml:space="preserve">6. La precocidad intelectual en la primera infancia</w:t>
      </w:r>
    </w:p>
    <w:p>
      <w:pPr>
        <w:pStyle w:val="Heading2"/>
      </w:pPr>
      <w:r>
        <w:t xml:space="preserve">Qué es (Conejeros-Solar y otros, 2024, revisión sistemática de 26 estudios)</w:t>
      </w:r>
    </w:p>
    <w:p>
      <w:r>
        <w:t xml:space="preserve">La </w:t>
      </w:r>
      <w:r>
        <w:rPr>
          <w:b/>
          <w:bCs/>
        </w:rPr>
        <w:t xml:space="preserve">precocidad intelectual (PI)</w:t>
      </w:r>
      <w:r>
        <w:t xml:space="preserve"> es la expresión temprana y acelerada de habilidades lingüísticas, cognitivas, psicomotrices y socioemocionales por encima de lo esperado para la edad. Es un </w:t>
      </w:r>
      <w:r>
        <w:rPr>
          <w:b/>
          <w:bCs/>
        </w:rPr>
        <w:t xml:space="preserve">proceso de desarrollo</w:t>
      </w:r>
      <w:r>
        <w:t xml:space="preserve">: puede o no culminar en una alta capacidad, pero </w:t>
      </w:r>
      <w:r>
        <w:rPr>
          <w:b/>
          <w:bCs/>
        </w:rPr>
        <w:t xml:space="preserve">requiere atención sistemática y temprana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Indicadores tempranos:</w:t>
      </w:r>
      <w:r>
        <w:t xml:space="preserve"> mayor velocidad y precisión en el razonamiento; percepción aguda y detallada; vocabulario amplio; lectura y escritura autodidactas; matemática y resolución de problemas; </w:t>
      </w:r>
      <w:r>
        <w:rPr>
          <w:b/>
          <w:bCs/>
        </w:rPr>
        <w:t xml:space="preserve">funciones ejecutivas más avanzadas</w:t>
      </w:r>
      <w:r>
        <w:t xml:space="preserve"> (memoria de trabajo, flexibilidad, control inhibitorio, planificación); también talento en artes visuales.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Respuestas educativas:</w:t>
      </w:r>
      <w:r>
        <w:t xml:space="preserve"> enriquecimiento, aprendizaje basado en proyectos, diferenciación curricular, compactación y avance de cursos. El </w:t>
      </w:r>
      <w:r>
        <w:rPr>
          <w:b/>
          <w:bCs/>
        </w:rPr>
        <w:t xml:space="preserve">ingreso anticipado</w:t>
      </w:r>
      <w:r>
        <w:t xml:space="preserve"> está poco considerado, aunque es muy pertinente en esta etapa. También se destaca el trabajo </w:t>
      </w:r>
      <w:r>
        <w:rPr>
          <w:b/>
          <w:bCs/>
        </w:rPr>
        <w:t xml:space="preserve">socioemocional</w:t>
      </w:r>
      <w:r>
        <w:t xml:space="preserve">, que mejora la autopercepción de competencia y las relaciones con pares.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Se necesitan definiciones integrales que incluyan </w:t>
      </w:r>
      <w:r>
        <w:rPr>
          <w:b/>
          <w:bCs/>
        </w:rPr>
        <w:t xml:space="preserve">género y diversidad</w:t>
      </w:r>
      <w:r>
        <w:t xml:space="preserve">, la observación directa en el aula y la voz de los propios niños.</w:t>
      </w:r>
    </w:p>
    <w:p>
      <w:pPr>
        <w:pStyle w:val="Heading2"/>
      </w:pPr>
      <w:r>
        <w:t xml:space="preserve">Talento matemático en niños con precocidad (Conejeros-Solar y otros, 2026)</w:t>
      </w:r>
    </w:p>
    <w:p>
      <w:r>
        <w:t xml:space="preserve">Estudio con 54 niños de jardín (5 años) identificados con PI, evaluados con el </w:t>
      </w:r>
      <w:r>
        <w:rPr>
          <w:b/>
          <w:bCs/>
        </w:rPr>
        <w:t xml:space="preserve">TEMA-3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Gran variabilidad:</w:t>
      </w:r>
      <w:r>
        <w:t xml:space="preserve"> el 17 % alcanzó un nivel muy superior, el 26 % un nivel sobre la media, el 48 % un nivel medio y el 9 % un nivel por debajo de la media. </w:t>
      </w:r>
      <w:r>
        <w:rPr>
          <w:b/>
          <w:bCs/>
        </w:rPr>
        <w:t xml:space="preserve">La precocidad no implica un desarrollo homogéneo</w:t>
      </w:r>
      <w:r>
        <w:t xml:space="preserve"> en todas las áreas.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</w:t>
      </w:r>
      <w:r>
        <w:rPr>
          <w:b/>
          <w:bCs/>
        </w:rPr>
        <w:t xml:space="preserve">niñas</w:t>
      </w:r>
      <w:r>
        <w:t xml:space="preserve"> mostraron resultados más homogéneos.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Desigualdad por tipo de escuela:</w:t>
      </w:r>
      <w:r>
        <w:t xml:space="preserve"> las escuelas públicas concentraron puntajes más bajos, y las privadas pagas, los más altos y consistentes. La inequidad de oportunidades aparece desde el nivel inicial.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Conclusión práctica: "evaluar mejor, intervenir antes y sostener más".</w:t>
      </w:r>
      <w:r>
        <w:t xml:space="preserve"> Hacen falta evaluaciones individualizadas y multidimensionales (pruebas normativas más tareas de pensamiento matemático: patrones, generalización, explicaciones), sensibles al género y al contexto, que valoren el </w:t>
      </w:r>
      <w:r>
        <w:rPr>
          <w:b/>
          <w:bCs/>
        </w:rPr>
        <w:t xml:space="preserve">razonamiento y no sólo la rapidez</w:t>
      </w:r>
      <w:r>
        <w:t xml:space="preserve">. También hacen falta docentes con alto conocimiento matemático y tareas de alta demanda cognitiva.</w:t>
      </w:r>
    </w:p>
    <w:p>
      <w:pPr>
        <w:pStyle w:val="Heading1"/>
      </w:pPr>
      <w:r>
        <w:t xml:space="preserve">7. El papel de las familias (Conejeros-Solar y otros, 2026)</w:t>
      </w:r>
    </w:p>
    <w:p>
      <w:r>
        <w:t xml:space="preserve">Estudio con 52 familias chilenas de niños de 4 y 5 años con precocidad intelectual: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crianza de un niño con PI es un proceso </w:t>
      </w:r>
      <w:r>
        <w:rPr>
          <w:b/>
          <w:bCs/>
        </w:rPr>
        <w:t xml:space="preserve">complejo y exigente</w:t>
      </w:r>
      <w:r>
        <w:t xml:space="preserve">: implica responder a la </w:t>
      </w:r>
      <w:r>
        <w:rPr>
          <w:b/>
          <w:bCs/>
        </w:rPr>
        <w:t xml:space="preserve">asincronía</w:t>
      </w:r>
      <w:r>
        <w:t xml:space="preserve">, la </w:t>
      </w:r>
      <w:r>
        <w:rPr>
          <w:b/>
          <w:bCs/>
        </w:rPr>
        <w:t xml:space="preserve">intensidad emocional</w:t>
      </w:r>
      <w:r>
        <w:t xml:space="preserve">, el perfeccionismo y las preocupaciones por el futuro.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"Espejo intergeneracional":</w:t>
      </w:r>
      <w:r>
        <w:t xml:space="preserve"> muchos padres reconocen sus propios rasgos en el hijo. Eso facilita la comprensión, pero conviene diferenciarse para no proyectar expectativas.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El cuestionamiento de las normas</w:t>
      </w:r>
      <w:r>
        <w:t xml:space="preserve"> por parte del niño, ligado a su razonamiento avanzado, reconfigura la autoridad en la familia.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Los padres se preocupan por el </w:t>
      </w:r>
      <w:r>
        <w:rPr>
          <w:b/>
          <w:bCs/>
        </w:rPr>
        <w:t xml:space="preserve">ajuste escolar</w:t>
      </w:r>
      <w:r>
        <w:t xml:space="preserve"> y sienten poca respuesta de las instituciones.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Estrategias familiares:</w:t>
      </w:r>
      <w:r>
        <w:t xml:space="preserve"> andamiaje intelectual en casa, </w:t>
      </w:r>
      <w:r>
        <w:rPr>
          <w:b/>
          <w:bCs/>
        </w:rPr>
        <w:t xml:space="preserve">comunicación dialógica</w:t>
      </w:r>
      <w:r>
        <w:t xml:space="preserve"> (explicar el porqué de las normas) y </w:t>
      </w:r>
      <w:r>
        <w:rPr>
          <w:b/>
          <w:bCs/>
        </w:rPr>
        <w:t xml:space="preserve">defensa activa</w:t>
      </w:r>
      <w:r>
        <w:t xml:space="preserve"> de oportunidades educativas diferenciadas.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Implicancias:</w:t>
      </w:r>
      <w:r>
        <w:t xml:space="preserve"> orientar y acompañar a las familias (límites, regulación emocional, manejo de la intensidad y el perfeccionismo) y que la escuela ofrezca respuestas tempranas y flexibles, para que </w:t>
      </w:r>
      <w:r>
        <w:rPr>
          <w:b/>
          <w:bCs/>
        </w:rPr>
        <w:t xml:space="preserve">la carga no recaiga sólo en los padres</w:t>
      </w:r>
      <w:r>
        <w:t xml:space="preserve">.</w:t>
      </w:r>
    </w:p>
    <w:p>
      <w:pPr>
        <w:pStyle w:val="Heading1"/>
      </w:pPr>
      <w:r>
        <w:t xml:space="preserve">8. Ideas clave de la Clase 4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respuestas educativas van de las </w:t>
      </w:r>
      <w:r>
        <w:rPr>
          <w:b/>
          <w:bCs/>
        </w:rPr>
        <w:t xml:space="preserve">ordinarias</w:t>
      </w:r>
      <w:r>
        <w:t xml:space="preserve"> (en el aula) a las </w:t>
      </w:r>
      <w:r>
        <w:rPr>
          <w:b/>
          <w:bCs/>
        </w:rPr>
        <w:t xml:space="preserve">extraordinarias</w:t>
      </w:r>
      <w:r>
        <w:t xml:space="preserve"> (enriquecimiento) y las </w:t>
      </w:r>
      <w:r>
        <w:rPr>
          <w:b/>
          <w:bCs/>
        </w:rPr>
        <w:t xml:space="preserve">excepcionales</w:t>
      </w:r>
      <w:r>
        <w:t xml:space="preserve"> (aceleración y agrupamiento).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Diferenciar</w:t>
      </w:r>
      <w:r>
        <w:t xml:space="preserve"> es modificar </w:t>
      </w:r>
      <w:r>
        <w:rPr>
          <w:b/>
          <w:bCs/>
        </w:rPr>
        <w:t xml:space="preserve">contenido, proceso, producto y ambiente</w:t>
      </w:r>
      <w:r>
        <w:t xml:space="preserve"> a partir de lo que el alumno ya sabe.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intervención debe estar </w:t>
      </w:r>
      <w:r>
        <w:rPr>
          <w:b/>
          <w:bCs/>
        </w:rPr>
        <w:t xml:space="preserve">centrada en las fortalezas</w:t>
      </w:r>
      <w:r>
        <w:t xml:space="preserve">, sobre todo en la </w:t>
      </w:r>
      <w:r>
        <w:rPr>
          <w:b/>
          <w:bCs/>
        </w:rPr>
        <w:t xml:space="preserve">doble excepcionalidad</w:t>
      </w:r>
      <w:r>
        <w:t xml:space="preserve">, y complementarse con apoyos en </w:t>
      </w:r>
      <w:r>
        <w:rPr>
          <w:b/>
          <w:bCs/>
        </w:rPr>
        <w:t xml:space="preserve">funciones ejecutivas</w:t>
      </w:r>
      <w:r>
        <w:t xml:space="preserve"> y en lo </w:t>
      </w:r>
      <w:r>
        <w:rPr>
          <w:b/>
          <w:bCs/>
        </w:rPr>
        <w:t xml:space="preserve">socioemocional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precocidad</w:t>
      </w:r>
      <w:r>
        <w:t xml:space="preserve"> debe atenderse desde el nivel inicial: es heterogénea, sensible al contexto y al género.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Escuela y familia</w:t>
      </w:r>
      <w:r>
        <w:t xml:space="preserve"> deben trabajar juntas; las familias necesitan orientación y apoyo.</w:t>
      </w:r>
    </w:p>
    <w:p>
      <w:pPr>
        <w:pBdr>
          <w:top w:val="single" w:color="1F4E79" w:sz="6" w:space="4"/>
        </w:pBdr>
        <w:spacing w:after="40" w:before="160"/>
      </w:pPr>
      <w:r>
        <w:rPr>
          <w:color w:val="404040"/>
          <w:sz w:val="18"/>
          <w:szCs w:val="18"/>
        </w:rPr>
        <w:t xml:space="preserve">Bibliografía de la clase: Conejeros-Solar, M. L., Sandoval-Rodríguez, K., Valadez Sierra, M. D. y Franco López, B. (2025). </w:t>
      </w:r>
      <w:r>
        <w:rPr>
          <w:i/>
          <w:iCs/>
          <w:color w:val="404040"/>
          <w:sz w:val="18"/>
          <w:szCs w:val="18"/>
        </w:rPr>
        <w:t xml:space="preserve">Estudiantes con doble excepcionalidad: conceptualización, identificación e intervención</w:t>
      </w:r>
      <w:r>
        <w:rPr>
          <w:color w:val="404040"/>
          <w:sz w:val="18"/>
          <w:szCs w:val="18"/>
        </w:rPr>
        <w:t xml:space="preserve">. En Valadez, Betancourt y Zavala (eds.), </w:t>
      </w:r>
      <w:r>
        <w:rPr>
          <w:i/>
          <w:iCs/>
          <w:color w:val="404040"/>
          <w:sz w:val="18"/>
          <w:szCs w:val="18"/>
        </w:rPr>
        <w:t xml:space="preserve">Alumnos superdotados y talentosos</w:t>
      </w:r>
      <w:r>
        <w:rPr>
          <w:color w:val="404040"/>
          <w:sz w:val="18"/>
          <w:szCs w:val="18"/>
        </w:rPr>
        <w:t xml:space="preserve"> (3.ª ed.). El Manual Moderno.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Conejeros-Solar, M. L. y otros (2024). </w:t>
      </w:r>
      <w:r>
        <w:rPr>
          <w:i/>
          <w:iCs/>
          <w:color w:val="404040"/>
          <w:sz w:val="18"/>
          <w:szCs w:val="18"/>
        </w:rPr>
        <w:t xml:space="preserve">A systematic review of conceptualizations, early indicators, and educational provisions for intellectual precocity</w:t>
      </w:r>
      <w:r>
        <w:rPr>
          <w:color w:val="404040"/>
          <w:sz w:val="18"/>
          <w:szCs w:val="18"/>
        </w:rPr>
        <w:t xml:space="preserve">. Journal of Intelligence, 12(76).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Conejeros-Solar, M. L. y otros (2026). </w:t>
      </w:r>
      <w:r>
        <w:rPr>
          <w:i/>
          <w:iCs/>
          <w:color w:val="404040"/>
          <w:sz w:val="18"/>
          <w:szCs w:val="18"/>
        </w:rPr>
        <w:t xml:space="preserve">Parents' perceptions of intellectual precocity</w:t>
      </w:r>
      <w:r>
        <w:rPr>
          <w:color w:val="404040"/>
          <w:sz w:val="18"/>
          <w:szCs w:val="18"/>
        </w:rPr>
        <w:t xml:space="preserve">. Education Sciences, 16.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Conejeros-Solar, M. L. y otros (2026). </w:t>
      </w:r>
      <w:r>
        <w:rPr>
          <w:i/>
          <w:iCs/>
          <w:color w:val="404040"/>
          <w:sz w:val="18"/>
          <w:szCs w:val="18"/>
        </w:rPr>
        <w:t xml:space="preserve">Talento matemático en estudiantes con precocidad intelectual</w:t>
      </w:r>
      <w:r>
        <w:rPr>
          <w:color w:val="404040"/>
          <w:sz w:val="18"/>
          <w:szCs w:val="18"/>
        </w:rPr>
        <w:t xml:space="preserve">. Perspectiva Educacional, 65(1).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Sandoval-Rodríguez, K. y Conejeros-Solar, M. L. (2024). </w:t>
      </w:r>
      <w:r>
        <w:rPr>
          <w:i/>
          <w:iCs/>
          <w:color w:val="404040"/>
          <w:sz w:val="18"/>
          <w:szCs w:val="18"/>
        </w:rPr>
        <w:t xml:space="preserve">Voices of twice-exceptional students in their first year of higher education</w:t>
      </w:r>
      <w:r>
        <w:rPr>
          <w:color w:val="404040"/>
          <w:sz w:val="18"/>
          <w:szCs w:val="18"/>
        </w:rPr>
        <w:t xml:space="preserve">. Gifted and Talented International, 39(1).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Material complementario: www.2e.cl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Diplomado Virtual AACC 2026 · Resumen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4 – Intervenciones en el aula diversa. Estrategias posibles</dc:title>
  <dc:creator>Resumen Diplomado AACC 2026</dc:creator>
  <cp:lastModifiedBy>Un-named</cp:lastModifiedBy>
  <cp:revision>1</cp:revision>
  <dcterms:created xsi:type="dcterms:W3CDTF">2026-10-24T02:16:49.833Z</dcterms:created>
  <dcterms:modified xsi:type="dcterms:W3CDTF">2026-10-24T02:16:49.833Z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