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Clase 6 – DUA, enriquecimiento y aceleración. Proyectos de intervención y roles</w:t>
      </w:r>
    </w:p>
    <w:p>
      <w:pPr>
        <w:spacing w:after="40"/>
      </w:pPr>
      <w:r>
        <w:rPr>
          <w:i/>
          <w:iCs/>
          <w:color w:val="595959"/>
        </w:rPr>
        <w:t xml:space="preserve">Jueves 10 de septiembre de 2026 · Equipo de Educación AACArg</w:t>
      </w:r>
    </w:p>
    <w:p>
      <w:pPr>
        <w:spacing w:after="40"/>
      </w:pPr>
      <w:r>
        <w:rPr>
          <w:i/>
          <w:iCs/>
          <w:color w:val="595959"/>
        </w:rPr>
        <w:t xml:space="preserve">Temas: Diseño Universal para el Aprendizaje (DUA); enriquecimiento y aceleración; armado de proyectos de intervención; diferenciación de roles (docentes, EOE, directivos); herramientas de screening; marco pedagógico de CABA.</w:t>
      </w:r>
    </w:p>
    <w:p>
      <w:pPr>
        <w:pStyle w:val="Heading1"/>
      </w:pPr>
      <w:r>
        <w:t xml:space="preserve">1. ¿Por dónde empiezo? De lo general a lo particular</w:t>
      </w:r>
    </w:p>
    <w:p>
      <w:r>
        <w:t xml:space="preserve">El documento </w:t>
      </w:r>
      <w:r>
        <w:rPr>
          <w:i/>
          <w:iCs/>
        </w:rPr>
        <w:t xml:space="preserve">Intervención educativa en Altas Capacidades</w:t>
      </w:r>
      <w:r>
        <w:t xml:space="preserve"> (Equipo de Educación AACArg) parte de una pregunta concreta: </w:t>
      </w:r>
      <w:r>
        <w:rPr>
          <w:b/>
          <w:bCs/>
        </w:rPr>
        <w:t xml:space="preserve">ya tenemos el diagnóstico externo o la sospecha que surge del diagnóstico pedagógico, ¿y ahora?</w:t>
      </w:r>
      <w:r>
        <w:t xml:space="preserve"> La respuesta es diseñar estrategias </w:t>
      </w:r>
      <w:r>
        <w:rPr>
          <w:b/>
          <w:bCs/>
        </w:rPr>
        <w:t xml:space="preserve">centradas en el desarrollo del potencial</w:t>
      </w:r>
      <w:r>
        <w:t xml:space="preserve">, que vayan </w:t>
      </w:r>
      <w:r>
        <w:rPr>
          <w:b/>
          <w:bCs/>
        </w:rPr>
        <w:t xml:space="preserve">de lo general a lo particular</w:t>
      </w:r>
      <w:r>
        <w:t xml:space="preserve"> y se combinen entre sí. Hay dos niveles de intervención: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Para todo el grupo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Centradas en el alumno con AACC</w:t>
            </w:r>
          </w:p>
        </w:tc>
      </w:tr>
      <w:tr>
        <w:trPr>
          <w:tblHeader w:val="false"/>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Consignas suficientemente abiertas · acompañar la emocionalidad · motivación para trabajar · gamificación · técnicas de estudio · trabajo colaborativo · actividades desafiantes · metacognición · </w:t>
            </w:r>
            <w:r>
              <w:rPr>
                <w:b/>
                <w:bCs/>
                <w:sz w:val="20"/>
                <w:szCs w:val="20"/>
              </w:rPr>
              <w:t xml:space="preserve">DUA</w:t>
            </w:r>
            <w:r>
              <w:rPr>
                <w:sz w:val="20"/>
                <w:szCs w:val="20"/>
              </w:rPr>
              <w:t xml:space="preserve"> · </w:t>
            </w:r>
            <w:r>
              <w:rPr>
                <w:b/>
                <w:bCs/>
                <w:sz w:val="20"/>
                <w:szCs w:val="20"/>
              </w:rPr>
              <w:t xml:space="preserve">ABP</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Enriquecimiento curricular</w:t>
            </w:r>
            <w:r>
              <w:rPr>
                <w:sz w:val="20"/>
                <w:szCs w:val="20"/>
              </w:rPr>
              <w:t xml:space="preserve"> (horizontal y vertical) · </w:t>
            </w:r>
            <w:r>
              <w:rPr>
                <w:b/>
                <w:bCs/>
                <w:sz w:val="20"/>
                <w:szCs w:val="20"/>
              </w:rPr>
              <w:t xml:space="preserve">compactación curricular</w:t>
            </w:r>
            <w:r>
              <w:rPr>
                <w:sz w:val="20"/>
                <w:szCs w:val="20"/>
              </w:rPr>
              <w:t xml:space="preserve"> · </w:t>
            </w:r>
            <w:r>
              <w:rPr>
                <w:b/>
                <w:bCs/>
                <w:sz w:val="20"/>
                <w:szCs w:val="20"/>
              </w:rPr>
              <w:t xml:space="preserve">agrupamientos flexibles</w:t>
            </w:r>
            <w:r>
              <w:rPr>
                <w:sz w:val="20"/>
                <w:szCs w:val="20"/>
              </w:rPr>
              <w:t xml:space="preserve"> · </w:t>
            </w:r>
            <w:r>
              <w:rPr>
                <w:b/>
                <w:bCs/>
                <w:sz w:val="20"/>
                <w:szCs w:val="20"/>
              </w:rPr>
              <w:t xml:space="preserve">aceleración acompañada</w:t>
            </w:r>
          </w:p>
        </w:tc>
      </w:tr>
    </w:tbl>
    <w:p>
      <w:pPr>
        <w:spacing w:after="60"/>
      </w:pPr>
    </w:p>
    <w:p>
      <w:pPr>
        <w:pBdr>
          <w:left w:val="single" w:color="1F4E79" w:sz="18" w:space="6"/>
        </w:pBdr>
        <w:shd w:fill="DEEAF6" w:color="auto" w:val="clear"/>
        <w:spacing w:after="120" w:before="80"/>
        <w:ind w:left="120" w:right="120"/>
      </w:pPr>
      <w:r>
        <w:t xml:space="preserve">"Cada intervención debe ser pensada y aplicada cuidadosamente, como un traje a medida." (Equipo de Educación AACArg)</w:t>
      </w:r>
    </w:p>
    <w:p>
      <w:pPr>
        <w:pStyle w:val="Heading1"/>
      </w:pPr>
      <w:r>
        <w:t xml:space="preserve">2. El Diseño Universal para el Aprendizaje (DUA)</w:t>
      </w:r>
    </w:p>
    <w:p>
      <w:r>
        <w:t xml:space="preserve">El DUA propone </w:t>
      </w:r>
      <w:r>
        <w:rPr>
          <w:b/>
          <w:bCs/>
        </w:rPr>
        <w:t xml:space="preserve">planificar desde el inicio para la diversidad</w:t>
      </w:r>
      <w:r>
        <w:t xml:space="preserve"> del aula, en lugar de adaptar después. Se basa en tres principios, ligados a tres redes cerebrales: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3"/>
        <w:gridCol w:w="1186"/>
        <w:gridCol w:w="1729"/>
        <w:gridCol w:w="4450"/>
      </w:tblGrid>
      <w:tr>
        <w:trPr>
          <w:tblHeader/>
        </w:trPr>
        <w:tc>
          <w:tcPr>
            <w:tcW w:type="dxa" w:w="227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Principio</w:t>
            </w:r>
          </w:p>
        </w:tc>
        <w:tc>
          <w:tcPr>
            <w:tcW w:type="dxa" w:w="118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Pregunta</w:t>
            </w:r>
          </w:p>
        </w:tc>
        <w:tc>
          <w:tcPr>
            <w:tcW w:type="dxa" w:w="172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Red cerebral</w:t>
            </w:r>
          </w:p>
        </w:tc>
        <w:tc>
          <w:tcPr>
            <w:tcW w:type="dxa" w:w="44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Qué implica</w:t>
            </w:r>
          </w:p>
        </w:tc>
      </w:tr>
      <w:tr>
        <w:trPr>
          <w:tblHeader w:val="false"/>
        </w:trP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I. Múltiples formas de </w:t>
            </w:r>
            <w:r>
              <w:rPr>
                <w:b/>
                <w:bCs/>
                <w:sz w:val="20"/>
                <w:szCs w:val="20"/>
              </w:rPr>
              <w:t xml:space="preserve">representación</w:t>
            </w:r>
          </w:p>
        </w:tc>
        <w:tc>
          <w:tcPr>
            <w:tcW w:type="dxa" w:w="11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w:t>
            </w:r>
            <w:r>
              <w:rPr>
                <w:b/>
                <w:bCs/>
                <w:sz w:val="20"/>
                <w:szCs w:val="20"/>
              </w:rPr>
              <w:t xml:space="preserve">Qué</w:t>
            </w:r>
            <w:r>
              <w:rPr>
                <w:sz w:val="20"/>
                <w:szCs w:val="20"/>
              </w:rPr>
              <w:t xml:space="preserve"> aprendemos?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De reconocimiento</w:t>
            </w:r>
          </w:p>
        </w:tc>
        <w:tc>
          <w:tcPr>
            <w:tcW w:type="dxa" w:w="44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Presentar la información por diversos medios: texto, imágenes, audio, video, actividades interactivas.</w:t>
            </w:r>
          </w:p>
        </w:tc>
      </w:tr>
      <w:tr>
        <w:trPr>
          <w:tblHeader w:val="false"/>
        </w:trP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II. Múltiples formas de </w:t>
            </w:r>
            <w:r>
              <w:rPr>
                <w:b/>
                <w:bCs/>
                <w:sz w:val="20"/>
                <w:szCs w:val="20"/>
              </w:rPr>
              <w:t xml:space="preserve">acción y expresión</w:t>
            </w:r>
          </w:p>
        </w:tc>
        <w:tc>
          <w:tcPr>
            <w:tcW w:type="dxa" w:w="11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w:t>
            </w:r>
            <w:r>
              <w:rPr>
                <w:b/>
                <w:bCs/>
                <w:sz w:val="20"/>
                <w:szCs w:val="20"/>
              </w:rPr>
              <w:t xml:space="preserve">Cómo</w:t>
            </w:r>
            <w:r>
              <w:rPr>
                <w:sz w:val="20"/>
                <w:szCs w:val="20"/>
              </w:rPr>
              <w:t xml:space="preserve"> aprendemos?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Estratégicas (funciones ejecutivas)</w:t>
            </w:r>
          </w:p>
        </w:tc>
        <w:tc>
          <w:tcPr>
            <w:tcW w:type="dxa" w:w="44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Ofrecer distintas maneras de demostrar lo aprendido y herramientas para planificar y autorregularse.</w:t>
            </w:r>
          </w:p>
        </w:tc>
      </w:tr>
      <w:tr>
        <w:trPr>
          <w:tblHeader w:val="false"/>
        </w:trP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III. Múltiples formas de </w:t>
            </w:r>
            <w:r>
              <w:rPr>
                <w:b/>
                <w:bCs/>
                <w:sz w:val="20"/>
                <w:szCs w:val="20"/>
              </w:rPr>
              <w:t xml:space="preserve">implicación</w:t>
            </w:r>
          </w:p>
        </w:tc>
        <w:tc>
          <w:tcPr>
            <w:tcW w:type="dxa" w:w="11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w:t>
            </w:r>
            <w:r>
              <w:rPr>
                <w:b/>
                <w:bCs/>
                <w:sz w:val="20"/>
                <w:szCs w:val="20"/>
              </w:rPr>
              <w:t xml:space="preserve">Por qué</w:t>
            </w:r>
            <w:r>
              <w:rPr>
                <w:sz w:val="20"/>
                <w:szCs w:val="20"/>
              </w:rPr>
              <w:t xml:space="preserve"> aprendemos?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Afectivas</w:t>
            </w:r>
          </w:p>
        </w:tc>
        <w:tc>
          <w:tcPr>
            <w:tcW w:type="dxa" w:w="44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Captar y sostener el interés, conectar emocionalmente con el contenido, ofrecer desafíos y opciones.</w:t>
            </w:r>
          </w:p>
        </w:tc>
      </w:tr>
    </w:tbl>
    <w:p>
      <w:pPr>
        <w:spacing w:after="60"/>
      </w:pPr>
    </w:p>
    <w:p>
      <w:pPr>
        <w:pStyle w:val="Heading2"/>
      </w:pPr>
      <w:r>
        <w:t xml:space="preserve">Lista de cotejo DUA para docentes (AACArg)</w:t>
      </w:r>
    </w:p>
    <w:p>
      <w:r>
        <w:t xml:space="preserve">Es una herramienta para revisar la propia planificación. Cada ítem se puntúa 0 (ausente), 1 (medianamente presente) o 2 (presente), con un </w:t>
      </w:r>
      <w:r>
        <w:rPr>
          <w:b/>
          <w:bCs/>
        </w:rPr>
        <w:t xml:space="preserve">máximo de 82 puntos</w:t>
      </w:r>
      <w:r>
        <w:t xml:space="preserve">: cuanto más cerca del máximo, más "universal" es el diseño. Ejemplos de ítems:</w:t>
      </w:r>
    </w:p>
    <w:p>
      <w:pPr>
        <w:pStyle w:val="ListParagraph"/>
        <w:numPr>
          <w:ilvl w:val="0"/>
          <w:numId w:val="2"/>
        </w:numPr>
        <w:spacing w:after="30"/>
      </w:pPr>
      <w:r>
        <w:rPr>
          <w:b/>
          <w:bCs/>
        </w:rPr>
        <w:t xml:space="preserve">Representación:</w:t>
      </w:r>
      <w:r>
        <w:t xml:space="preserve"> tipografía clara de 12 puntos o más; imágenes relacionadas con la consigna; material audiovisual breve y subtitulado; información jerarquizada (títulos y subtítulos); glosarios, pictogramas y textos en lectura fácil; activación de conocimientos previos; </w:t>
      </w:r>
      <w:r>
        <w:rPr>
          <w:b/>
          <w:bCs/>
        </w:rPr>
        <w:t xml:space="preserve">consignas alternativas de mayor complejidad a partir del mismo enunciado</w:t>
      </w:r>
      <w:r>
        <w:t xml:space="preserve">.</w:t>
      </w:r>
    </w:p>
    <w:p>
      <w:pPr>
        <w:pStyle w:val="ListParagraph"/>
        <w:numPr>
          <w:ilvl w:val="0"/>
          <w:numId w:val="2"/>
        </w:numPr>
        <w:spacing w:after="30"/>
      </w:pPr>
      <w:r>
        <w:rPr>
          <w:b/>
          <w:bCs/>
        </w:rPr>
        <w:t xml:space="preserve">Acción y expresión:</w:t>
      </w:r>
      <w:r>
        <w:t xml:space="preserve"> permite resolver de distintas maneras (texto, audio, video, gráfico); entrena desde memorizar y comprender hasta </w:t>
      </w:r>
      <w:r>
        <w:rPr>
          <w:b/>
          <w:bCs/>
        </w:rPr>
        <w:t xml:space="preserve">analizar, evaluar y crear</w:t>
      </w:r>
      <w:r>
        <w:t xml:space="preserve">; combina actividades individuales y grupales; ofrece elegir materiales y </w:t>
      </w:r>
      <w:r>
        <w:rPr>
          <w:b/>
          <w:bCs/>
        </w:rPr>
        <w:t xml:space="preserve">niveles de dificultad</w:t>
      </w:r>
      <w:r>
        <w:t xml:space="preserve">; incluye autoevaluación, </w:t>
      </w:r>
      <w:r>
        <w:rPr>
          <w:i/>
          <w:iCs/>
        </w:rPr>
        <w:t xml:space="preserve">checklists</w:t>
      </w:r>
      <w:r>
        <w:t xml:space="preserve"> y herramientas de autocontrol (cronómetro, pasos, guía de revisión); permite ampliar información.</w:t>
      </w:r>
    </w:p>
    <w:p>
      <w:pPr>
        <w:pStyle w:val="ListParagraph"/>
        <w:numPr>
          <w:ilvl w:val="0"/>
          <w:numId w:val="2"/>
        </w:numPr>
        <w:spacing w:after="30"/>
      </w:pPr>
      <w:r>
        <w:rPr>
          <w:b/>
          <w:bCs/>
        </w:rPr>
        <w:t xml:space="preserve">Implicación:</w:t>
      </w:r>
      <w:r>
        <w:t xml:space="preserve"> actividades vinculadas a los intereses y la vida del grupo; títulos sugerentes, acertijos y retos; narrativa lúdica; papel activo del alumno; </w:t>
      </w:r>
      <w:r>
        <w:rPr>
          <w:b/>
          <w:bCs/>
        </w:rPr>
        <w:t xml:space="preserve">metas y submetas de dificultad creciente</w:t>
      </w:r>
      <w:r>
        <w:t xml:space="preserve">; posibilidad de elegir el nivel; recompensas (puntos, insignias); devolución inmediata; "recreos mentales"; autoevaluación y coevaluación; autonomía creciente.</w:t>
      </w:r>
    </w:p>
    <w:p>
      <w:r>
        <w:rPr>
          <w:b/>
          <w:bCs/>
        </w:rPr>
        <w:t xml:space="preserve">Por qué sirve para los alumnos con AACC:</w:t>
      </w:r>
      <w:r>
        <w:t xml:space="preserve"> el DUA ya incorpora en la planificación común </w:t>
      </w:r>
      <w:r>
        <w:rPr>
          <w:b/>
          <w:bCs/>
        </w:rPr>
        <w:t xml:space="preserve">niveles de mayor complejidad, elección y desafío</w:t>
      </w:r>
      <w:r>
        <w:t xml:space="preserve">, sin necesidad de una tarea "aparte". Así se evita etiquetar al alumno y otros compañeros también pueden aprovecharlo.</w:t>
      </w:r>
    </w:p>
    <w:p>
      <w:pPr>
        <w:pStyle w:val="Heading2"/>
      </w:pPr>
      <w:r>
        <w:t xml:space="preserve">Aprendizaje Basado en Proyectos (ABP)</w:t>
      </w:r>
    </w:p>
    <w:p>
      <w:r>
        <w:t xml:space="preserve">El alumno </w:t>
      </w:r>
      <w:r>
        <w:rPr>
          <w:b/>
          <w:bCs/>
        </w:rPr>
        <w:t xml:space="preserve">aprende haciendo</w:t>
      </w:r>
      <w:r>
        <w:t xml:space="preserve">: el docente plantea el problema y se convierte en </w:t>
      </w:r>
      <w:r>
        <w:rPr>
          <w:b/>
          <w:bCs/>
        </w:rPr>
        <w:t xml:space="preserve">facilitador</w:t>
      </w:r>
      <w:r>
        <w:t xml:space="preserve">. El proyecto surge de la intersección entre los </w:t>
      </w:r>
      <w:r>
        <w:rPr>
          <w:b/>
          <w:bCs/>
        </w:rPr>
        <w:t xml:space="preserve">contenidos del curso y los intereses de los alumnos</w:t>
      </w:r>
      <w:r>
        <w:t xml:space="preserve">. Tiene cuatro pasos: planteo del problema, investigación, puesta en común y evaluación (con fuerte peso de la </w:t>
      </w:r>
      <w:r>
        <w:rPr>
          <w:b/>
          <w:bCs/>
        </w:rPr>
        <w:t xml:space="preserve">autoevaluación</w:t>
      </w:r>
      <w:r>
        <w:t xml:space="preserve">). El alumno con AACC se siente escuchado y valorado, y </w:t>
      </w:r>
      <w:r>
        <w:rPr>
          <w:b/>
          <w:bCs/>
        </w:rPr>
        <w:t xml:space="preserve">su potencial se vuelve un aporte para todo el grupo</w:t>
      </w:r>
      <w:r>
        <w:t xml:space="preserve">.</w:t>
      </w:r>
    </w:p>
    <w:p>
      <w:pPr>
        <w:pStyle w:val="Heading1"/>
      </w:pPr>
      <w:r>
        <w:t xml:space="preserve">3. Estrategias centradas en el alumno con AACC</w:t>
      </w:r>
    </w:p>
    <w:p>
      <w:pPr>
        <w:pStyle w:val="ListParagraph"/>
        <w:numPr>
          <w:ilvl w:val="0"/>
          <w:numId w:val="2"/>
        </w:numPr>
        <w:spacing w:after="30"/>
      </w:pPr>
      <w:r>
        <w:rPr>
          <w:b/>
          <w:bCs/>
        </w:rPr>
        <w:t xml:space="preserve">Enriquecimiento curricular:</w:t>
      </w:r>
      <w:r>
        <w:t xml:space="preserve"> ampliar, profundizar o diversificar contenidos y actividades. Busca </w:t>
      </w:r>
      <w:r>
        <w:rPr>
          <w:b/>
          <w:bCs/>
        </w:rPr>
        <w:t xml:space="preserve">mayores desafíos, no "más tarea"</w:t>
      </w:r>
      <w:r>
        <w:t xml:space="preserve">.</w:t>
      </w:r>
    </w:p>
    <w:p>
      <w:pPr>
        <w:pStyle w:val="ListParagraph"/>
        <w:numPr>
          <w:ilvl w:val="1"/>
          <w:numId w:val="2"/>
        </w:numPr>
        <w:spacing w:after="20"/>
      </w:pPr>
      <w:r>
        <w:rPr>
          <w:b/>
          <w:bCs/>
        </w:rPr>
        <w:t xml:space="preserve">Horizontal:</w:t>
      </w:r>
      <w:r>
        <w:t xml:space="preserve"> ampliar con temas relacionados, proyectos interdisciplinarios y actividades creativas.</w:t>
      </w:r>
    </w:p>
    <w:p>
      <w:pPr>
        <w:pStyle w:val="ListParagraph"/>
        <w:numPr>
          <w:ilvl w:val="1"/>
          <w:numId w:val="2"/>
        </w:numPr>
        <w:spacing w:after="20"/>
      </w:pPr>
      <w:r>
        <w:rPr>
          <w:b/>
          <w:bCs/>
        </w:rPr>
        <w:t xml:space="preserve">Vertical:</w:t>
      </w:r>
      <w:r>
        <w:t xml:space="preserve"> profundizar con mayor complejidad, análisis crítico y pensamiento abstracto.</w:t>
      </w:r>
    </w:p>
    <w:p>
      <w:pPr>
        <w:pStyle w:val="ListParagraph"/>
        <w:numPr>
          <w:ilvl w:val="0"/>
          <w:numId w:val="2"/>
        </w:numPr>
        <w:spacing w:after="30"/>
      </w:pPr>
      <w:r>
        <w:rPr>
          <w:b/>
          <w:bCs/>
        </w:rPr>
        <w:t xml:space="preserve">Compactación curricular:</w:t>
      </w:r>
      <w:r>
        <w:t xml:space="preserve"> reducir o eliminar lo que el alumno ya domina, para que no repita y pueda avanzar hacia aprendizajes más desafiantes.</w:t>
      </w:r>
    </w:p>
    <w:p>
      <w:pPr>
        <w:pStyle w:val="ListParagraph"/>
        <w:numPr>
          <w:ilvl w:val="0"/>
          <w:numId w:val="2"/>
        </w:numPr>
        <w:spacing w:after="30"/>
      </w:pPr>
      <w:r>
        <w:rPr>
          <w:b/>
          <w:bCs/>
        </w:rPr>
        <w:t xml:space="preserve">Agrupamientos flexibles:</w:t>
      </w:r>
      <w:r>
        <w:t xml:space="preserve"> organizar un espacio-tiempo diferente al habitual.</w:t>
      </w:r>
    </w:p>
    <w:p>
      <w:pPr>
        <w:pStyle w:val="ListParagraph"/>
        <w:numPr>
          <w:ilvl w:val="1"/>
          <w:numId w:val="2"/>
        </w:numPr>
        <w:spacing w:after="20"/>
      </w:pPr>
      <w:r>
        <w:rPr>
          <w:b/>
          <w:bCs/>
        </w:rPr>
        <w:t xml:space="preserve">Dentro del aula:</w:t>
      </w:r>
      <w:r>
        <w:t xml:space="preserve"> grupos homogéneos o heterogéneos según los contenidos adquiridos, las habilidades blandas (sociales, comunicativas, actitudes) o los estilos de aprendizaje.</w:t>
      </w:r>
    </w:p>
    <w:p>
      <w:pPr>
        <w:pStyle w:val="ListParagraph"/>
        <w:numPr>
          <w:ilvl w:val="1"/>
          <w:numId w:val="2"/>
        </w:numPr>
        <w:spacing w:after="20"/>
      </w:pPr>
      <w:r>
        <w:rPr>
          <w:b/>
          <w:bCs/>
        </w:rPr>
        <w:t xml:space="preserve">Fuera del aula:</w:t>
      </w:r>
      <w:r>
        <w:t xml:space="preserve"> grupos de la misma o de distinta edad, por intereses comunes o complementarios para un proyecto, con </w:t>
      </w:r>
      <w:r>
        <w:rPr>
          <w:b/>
          <w:bCs/>
        </w:rPr>
        <w:t xml:space="preserve">mentores</w:t>
      </w:r>
      <w:r>
        <w:t xml:space="preserve"> internos (alumnos avanzados, docentes) o externos.</w:t>
      </w:r>
    </w:p>
    <w:p>
      <w:pPr>
        <w:pStyle w:val="ListParagraph"/>
        <w:numPr>
          <w:ilvl w:val="0"/>
          <w:numId w:val="2"/>
        </w:numPr>
        <w:spacing w:after="30"/>
      </w:pPr>
      <w:r>
        <w:rPr>
          <w:b/>
          <w:bCs/>
        </w:rPr>
        <w:t xml:space="preserve">Aceleración acompañada:</w:t>
      </w:r>
      <w:r>
        <w:t xml:space="preserve"> pasar al alumno al curso o nivel siguiente, de forma </w:t>
      </w:r>
      <w:r>
        <w:rPr>
          <w:b/>
          <w:bCs/>
        </w:rPr>
        <w:t xml:space="preserve">gradual, parcial o completa</w:t>
      </w:r>
      <w:r>
        <w:t xml:space="preserve">. Requiere </w:t>
      </w:r>
      <w:r>
        <w:rPr>
          <w:b/>
          <w:bCs/>
        </w:rPr>
        <w:t xml:space="preserve">evaluación integral, cuidado de los vínculos y acreditación de los contenidos prioritarios</w:t>
      </w:r>
      <w:r>
        <w:t xml:space="preserve">. En la decisión participan </w:t>
      </w:r>
      <w:r>
        <w:rPr>
          <w:b/>
          <w:bCs/>
        </w:rPr>
        <w:t xml:space="preserve">todos los actores</w:t>
      </w:r>
      <w:r>
        <w:t xml:space="preserve">: alumno, docentes, familia, directivos, EOE y equipo externo.</w:t>
      </w:r>
    </w:p>
    <w:p>
      <w:pPr>
        <w:pStyle w:val="Heading1"/>
      </w:pPr>
      <w:r>
        <w:t xml:space="preserve">4. Marco de acompañamiento pedagógico para estudiantes con ACI en CABA (2025)</w:t>
      </w:r>
    </w:p>
    <w:p>
      <w:r>
        <w:t xml:space="preserve">Es el </w:t>
      </w:r>
      <w:r>
        <w:rPr>
          <w:b/>
          <w:bCs/>
        </w:rPr>
        <w:t xml:space="preserve">Anexo I</w:t>
      </w:r>
      <w:r>
        <w:t xml:space="preserve"> de la normativa de la Ciudad de Buenos Aires, en el marco de la Política de Educación Inclusiva (Res. 860-GCABA-MEDGC/25). Rige para escuelas </w:t>
      </w:r>
      <w:r>
        <w:rPr>
          <w:b/>
          <w:bCs/>
        </w:rPr>
        <w:t xml:space="preserve">estatales y privadas</w:t>
      </w:r>
      <w:r>
        <w:t xml:space="preserve"> de los niveles obligatorios.</w:t>
      </w:r>
    </w:p>
    <w:p>
      <w:r>
        <w:rPr>
          <w:b/>
          <w:bCs/>
        </w:rPr>
        <w:t xml:space="preserve">Definición:</w:t>
      </w:r>
      <w:r>
        <w:t xml:space="preserve"> las ACI forman parte de la </w:t>
      </w:r>
      <w:r>
        <w:rPr>
          <w:b/>
          <w:bCs/>
        </w:rPr>
        <w:t xml:space="preserve">diversidad del aula</w:t>
      </w:r>
      <w:r>
        <w:t xml:space="preserve">. Abarcan a niños y adolescentes con un potencial de aprendizaje superior al promedio, que se manifiesta en un elevado desarrollo cognitivo, socioemocional, psicomotriz, artístico o creativo, en una o varias áreas.</w:t>
      </w:r>
    </w:p>
    <w:p>
      <w:r>
        <w:rPr>
          <w:b/>
          <w:bCs/>
        </w:rPr>
        <w:t xml:space="preserve">Cómo se identifican:</w:t>
      </w:r>
    </w:p>
    <w:p>
      <w:pPr>
        <w:pStyle w:val="ListParagraph"/>
        <w:numPr>
          <w:ilvl w:val="0"/>
          <w:numId w:val="2"/>
        </w:numPr>
        <w:spacing w:after="30"/>
      </w:pPr>
      <w:r>
        <w:rPr>
          <w:b/>
          <w:bCs/>
        </w:rPr>
        <w:t xml:space="preserve">Desde la familia:</w:t>
      </w:r>
      <w:r>
        <w:t xml:space="preserve"> la familia consulta a profesionales de la salud y lleva el informe a la escuela.</w:t>
      </w:r>
    </w:p>
    <w:p>
      <w:pPr>
        <w:pStyle w:val="ListParagraph"/>
        <w:numPr>
          <w:ilvl w:val="0"/>
          <w:numId w:val="2"/>
        </w:numPr>
        <w:spacing w:after="30"/>
      </w:pPr>
      <w:r>
        <w:rPr>
          <w:b/>
          <w:bCs/>
        </w:rPr>
        <w:t xml:space="preserve">Desde la escuela:</w:t>
      </w:r>
      <w:r>
        <w:t xml:space="preserve"> los docentes o equipos técnicos detectan indicadores y sugieren a la familia una consulta profesional.</w:t>
      </w:r>
    </w:p>
    <w:p>
      <w:r>
        <w:rPr>
          <w:b/>
          <w:bCs/>
        </w:rPr>
        <w:t xml:space="preserve">Lineamientos pedagógicos:</w:t>
      </w:r>
      <w:r>
        <w:t xml:space="preserve"> reconocimiento de la diversidad · </w:t>
      </w:r>
      <w:r>
        <w:rPr>
          <w:b/>
          <w:bCs/>
        </w:rPr>
        <w:t xml:space="preserve">flexibilidad educativa</w:t>
      </w:r>
      <w:r>
        <w:t xml:space="preserve"> (tiempos, ritmos, agrupamientos, recorridos) · </w:t>
      </w:r>
      <w:r>
        <w:rPr>
          <w:b/>
          <w:bCs/>
        </w:rPr>
        <w:t xml:space="preserve">integralidad</w:t>
      </w:r>
      <w:r>
        <w:t xml:space="preserve"> (lo cognitivo junto con lo emocional y lo social) · </w:t>
      </w:r>
      <w:r>
        <w:rPr>
          <w:b/>
          <w:bCs/>
        </w:rPr>
        <w:t xml:space="preserve">singularidad</w:t>
      </w:r>
      <w:r>
        <w:t xml:space="preserve"> de cada trayectoria · </w:t>
      </w:r>
      <w:r>
        <w:rPr>
          <w:b/>
          <w:bCs/>
        </w:rPr>
        <w:t xml:space="preserve">equidad y participación</w:t>
      </w:r>
      <w:r>
        <w:t xml:space="preserve"> · </w:t>
      </w:r>
      <w:r>
        <w:rPr>
          <w:b/>
          <w:bCs/>
        </w:rPr>
        <w:t xml:space="preserve">corresponsabilidad</w:t>
      </w:r>
      <w:r>
        <w:t xml:space="preserve"> entre escuela, familia y profesionales.</w:t>
      </w:r>
    </w:p>
    <w:p>
      <w:r>
        <w:rPr>
          <w:b/>
          <w:bCs/>
        </w:rPr>
        <w:t xml:space="preserve">Propuestas pedagógicas previstas:</w:t>
      </w:r>
    </w:p>
    <w:p>
      <w:pPr>
        <w:pStyle w:val="ListParagraph"/>
        <w:numPr>
          <w:ilvl w:val="0"/>
          <w:numId w:val="2"/>
        </w:numPr>
        <w:spacing w:after="30"/>
      </w:pPr>
      <w:r>
        <w:rPr>
          <w:b/>
          <w:bCs/>
        </w:rPr>
        <w:t xml:space="preserve">Enriquecimiento curricular:</w:t>
      </w:r>
      <w:r>
        <w:t xml:space="preserve"> portafolios y proyectos personales con itinerarios personalizados; estrategias de </w:t>
      </w:r>
      <w:r>
        <w:rPr>
          <w:b/>
          <w:bCs/>
        </w:rPr>
        <w:t xml:space="preserve">desafío cognitivo</w:t>
      </w:r>
      <w:r>
        <w:t xml:space="preserve"> con consignas divergentes de múltiples respuestas; propuestas artísticas y de expresión (inventar historias, construir modelos o prototipos); </w:t>
      </w:r>
      <w:r>
        <w:rPr>
          <w:b/>
          <w:bCs/>
        </w:rPr>
        <w:t xml:space="preserve">evaluación formativa</w:t>
      </w:r>
      <w:r>
        <w:t xml:space="preserve">.</w:t>
      </w:r>
    </w:p>
    <w:p>
      <w:pPr>
        <w:pStyle w:val="ListParagraph"/>
        <w:numPr>
          <w:ilvl w:val="0"/>
          <w:numId w:val="2"/>
        </w:numPr>
        <w:spacing w:after="30"/>
      </w:pPr>
      <w:r>
        <w:rPr>
          <w:b/>
          <w:bCs/>
        </w:rPr>
        <w:t xml:space="preserve">Compactación curricular:</w:t>
      </w:r>
      <w:r>
        <w:t xml:space="preserve"> evitar repetir lo que ya domina y liberar tiempo para proyectos personales o grupales interáreas.</w:t>
      </w:r>
    </w:p>
    <w:p>
      <w:pPr>
        <w:pStyle w:val="ListParagraph"/>
        <w:numPr>
          <w:ilvl w:val="0"/>
          <w:numId w:val="2"/>
        </w:numPr>
        <w:spacing w:after="30"/>
      </w:pPr>
      <w:r>
        <w:rPr>
          <w:b/>
          <w:bCs/>
        </w:rPr>
        <w:t xml:space="preserve">Agrupamientos flexibles</w:t>
      </w:r>
      <w:r>
        <w:t xml:space="preserve"> con pares de la misma o de distintas edades.</w:t>
      </w:r>
    </w:p>
    <w:p>
      <w:pPr>
        <w:pStyle w:val="ListParagraph"/>
        <w:numPr>
          <w:ilvl w:val="0"/>
          <w:numId w:val="2"/>
        </w:numPr>
        <w:spacing w:after="30"/>
      </w:pPr>
      <w:r>
        <w:rPr>
          <w:b/>
          <w:bCs/>
        </w:rPr>
        <w:t xml:space="preserve">Acompañamiento socioemocional:</w:t>
      </w:r>
      <w:r>
        <w:t xml:space="preserve"> espacios de diálogo, gestión de emociones, vínculos positivos, autonomía y autoestima.</w:t>
      </w:r>
    </w:p>
    <w:p>
      <w:pPr>
        <w:pStyle w:val="ListParagraph"/>
        <w:numPr>
          <w:ilvl w:val="0"/>
          <w:numId w:val="2"/>
        </w:numPr>
        <w:spacing w:after="30"/>
      </w:pPr>
      <w:r>
        <w:t xml:space="preserve">Todo se registra en un </w:t>
      </w:r>
      <w:r>
        <w:rPr>
          <w:b/>
          <w:bCs/>
        </w:rPr>
        <w:t xml:space="preserve">Plan Pedagógico Individual (PPI)</w:t>
      </w:r>
      <w:r>
        <w:t xml:space="preserve">, con seguimiento y evaluación periódica.</w:t>
      </w:r>
    </w:p>
    <w:p>
      <w:pPr>
        <w:pStyle w:val="ListParagraph"/>
        <w:numPr>
          <w:ilvl w:val="0"/>
          <w:numId w:val="2"/>
        </w:numPr>
        <w:spacing w:after="30"/>
      </w:pPr>
      <w:r>
        <w:t xml:space="preserve">En la </w:t>
      </w:r>
      <w:r>
        <w:rPr>
          <w:b/>
          <w:bCs/>
        </w:rPr>
        <w:t xml:space="preserve">doble excepcionalidad</w:t>
      </w:r>
      <w:r>
        <w:t xml:space="preserve">, las propuestas contemplan ambas condiciones: apoyos específicos más enriquecimiento.</w:t>
      </w:r>
    </w:p>
    <w:p>
      <w:r>
        <w:rPr>
          <w:b/>
          <w:bCs/>
        </w:rPr>
        <w:t xml:space="preserve">Promoción anticipada, aceleración o ingreso anticipado (estrategias excepcionales):</w:t>
      </w:r>
      <w:r>
        <w:t xml:space="preserve"> se consideran </w:t>
      </w:r>
      <w:r>
        <w:rPr>
          <w:b/>
          <w:bCs/>
        </w:rPr>
        <w:t xml:space="preserve">cuando ya se implementaron otras estrategias</w:t>
      </w:r>
      <w:r>
        <w:t xml:space="preserve"> y el alumno necesita mayores desafíos.</w:t>
      </w:r>
    </w:p>
    <w:p>
      <w:pPr>
        <w:pStyle w:val="ListParagraph"/>
        <w:numPr>
          <w:ilvl w:val="0"/>
          <w:numId w:val="2"/>
        </w:numPr>
        <w:spacing w:after="30"/>
      </w:pPr>
      <w:r>
        <w:rPr>
          <w:b/>
          <w:bCs/>
        </w:rPr>
        <w:t xml:space="preserve">Promoción anticipada o aceleración:</w:t>
      </w:r>
      <w:r>
        <w:t xml:space="preserve"> pasar a la sala, grado o año siguiente </w:t>
      </w:r>
      <w:r>
        <w:rPr>
          <w:b/>
          <w:bCs/>
        </w:rPr>
        <w:t xml:space="preserve">dentro del mismo nivel</w:t>
      </w:r>
      <w:r>
        <w:t xml:space="preserve">.</w:t>
      </w:r>
    </w:p>
    <w:p>
      <w:pPr>
        <w:pStyle w:val="ListParagraph"/>
        <w:numPr>
          <w:ilvl w:val="0"/>
          <w:numId w:val="2"/>
        </w:numPr>
        <w:spacing w:after="30"/>
      </w:pPr>
      <w:r>
        <w:rPr>
          <w:b/>
          <w:bCs/>
        </w:rPr>
        <w:t xml:space="preserve">Ingreso anticipado:</w:t>
      </w:r>
      <w:r>
        <w:t xml:space="preserve"> adelantarse al </w:t>
      </w:r>
      <w:r>
        <w:rPr>
          <w:b/>
          <w:bCs/>
        </w:rPr>
        <w:t xml:space="preserve">nivel siguiente</w:t>
      </w:r>
      <w:r>
        <w:t xml:space="preserve">.</w:t>
      </w:r>
    </w:p>
    <w:p>
      <w:pPr>
        <w:pStyle w:val="ListParagraph"/>
        <w:numPr>
          <w:ilvl w:val="0"/>
          <w:numId w:val="2"/>
        </w:numPr>
        <w:spacing w:after="30"/>
      </w:pPr>
      <w:r>
        <w:rPr>
          <w:b/>
          <w:bCs/>
        </w:rPr>
        <w:t xml:space="preserve">Plazos:</w:t>
      </w:r>
      <w:r>
        <w:t xml:space="preserve"> para hacerlo en el mismo año, se solicita desde el inicio de clases hasta el fin del 2.º bimestre. Para el año siguiente, desde el 3.er bimestre hasta el fin del ciclo.</w:t>
      </w:r>
    </w:p>
    <w:p>
      <w:pPr>
        <w:pStyle w:val="ListParagraph"/>
        <w:numPr>
          <w:ilvl w:val="0"/>
          <w:numId w:val="2"/>
        </w:numPr>
        <w:spacing w:after="30"/>
      </w:pPr>
      <w:r>
        <w:rPr>
          <w:b/>
          <w:bCs/>
        </w:rPr>
        <w:t xml:space="preserve">Procedimiento:</w:t>
      </w:r>
      <w:r>
        <w:t xml:space="preserve"> los docentes y equipos técnicos hacen una evaluación pedagógica, en diálogo con la familia. El equipo de conducción </w:t>
      </w:r>
      <w:r>
        <w:rPr>
          <w:b/>
          <w:bCs/>
        </w:rPr>
        <w:t xml:space="preserve">eleva un informe fundamentado</w:t>
      </w:r>
      <w:r>
        <w:t xml:space="preserve"> (modelo oficial del Apartado C) a la </w:t>
      </w:r>
      <w:r>
        <w:rPr>
          <w:b/>
          <w:bCs/>
        </w:rPr>
        <w:t xml:space="preserve">Supervisión Escolar</w:t>
      </w:r>
      <w:r>
        <w:t xml:space="preserve">, junto con el </w:t>
      </w:r>
      <w:r>
        <w:rPr>
          <w:b/>
          <w:bCs/>
        </w:rPr>
        <w:t xml:space="preserve">informe del profesional de salud</w:t>
      </w:r>
      <w:r>
        <w:t xml:space="preserve"> que acredita las ACI. La Supervisión evalúa y notifica, y se informa a la Coordinación General de Educación Inclusiva.</w:t>
      </w:r>
    </w:p>
    <w:p>
      <w:pPr>
        <w:pStyle w:val="ListParagraph"/>
        <w:numPr>
          <w:ilvl w:val="0"/>
          <w:numId w:val="2"/>
        </w:numPr>
        <w:spacing w:after="30"/>
      </w:pPr>
      <w:r>
        <w:rPr>
          <w:b/>
          <w:bCs/>
        </w:rPr>
        <w:t xml:space="preserve">Si se aprueba:</w:t>
      </w:r>
      <w:r>
        <w:t xml:space="preserve"> se arma un plan de continuidad con </w:t>
      </w:r>
      <w:r>
        <w:rPr>
          <w:b/>
          <w:bCs/>
        </w:rPr>
        <w:t xml:space="preserve">vinculación paulatina</w:t>
      </w:r>
      <w:r>
        <w:t xml:space="preserve"> (conocer al docente y al grupo nuevo, incrementar gradualmente el tiempo en el nuevo grado), participan todos los docentes involucrados, se ajusta el PPI y </w:t>
      </w:r>
      <w:r>
        <w:rPr>
          <w:b/>
          <w:bCs/>
        </w:rPr>
        <w:t xml:space="preserve">se escucha la voz del estudiante</w:t>
      </w:r>
      <w:r>
        <w:t xml:space="preserve">. </w:t>
      </w:r>
      <w:r>
        <w:rPr>
          <w:b/>
          <w:bCs/>
        </w:rPr>
        <w:t xml:space="preserve">Si no se aprueba:</w:t>
      </w:r>
      <w:r>
        <w:t xml:space="preserve"> se retoma el PPI con estrategias de mayor profundización.</w:t>
      </w:r>
    </w:p>
    <w:p>
      <w:r>
        <w:rPr>
          <w:b/>
          <w:bCs/>
        </w:rPr>
        <w:t xml:space="preserve">Indicadores del desarrollo integral (Apartado B), útiles para observar y para escribir informes:</w:t>
      </w:r>
    </w:p>
    <w:p>
      <w:pPr>
        <w:pStyle w:val="ListParagraph"/>
        <w:numPr>
          <w:ilvl w:val="0"/>
          <w:numId w:val="2"/>
        </w:numPr>
        <w:spacing w:after="30"/>
      </w:pPr>
      <w:r>
        <w:rPr>
          <w:b/>
          <w:bCs/>
        </w:rPr>
        <w:t xml:space="preserve">Socioemocional:</w:t>
      </w:r>
      <w:r>
        <w:t xml:space="preserve"> vínculos selectivos con pares afines; busca adultos que respeten su pensamiento; cuestiona las normas que percibe incoherentes; empatía y sensibilidad ante la injusticia; se autorregula mejor ante el desafío; el perfeccionismo puede generar miedo al error. </w:t>
      </w:r>
      <w:r>
        <w:rPr>
          <w:i/>
          <w:iCs/>
        </w:rPr>
        <w:t xml:space="preserve">Señales de alerta:</w:t>
      </w:r>
      <w:r>
        <w:t xml:space="preserve"> desmotivación persistente, aislamiento, oposición ante límites percibidos como arbitrarios, ansiedad, autocrítica intensa, verbalizaciones de "no encajo".</w:t>
      </w:r>
    </w:p>
    <w:p>
      <w:pPr>
        <w:pStyle w:val="ListParagraph"/>
        <w:numPr>
          <w:ilvl w:val="0"/>
          <w:numId w:val="2"/>
        </w:numPr>
        <w:spacing w:after="30"/>
      </w:pPr>
      <w:r>
        <w:rPr>
          <w:b/>
          <w:bCs/>
        </w:rPr>
        <w:t xml:space="preserve">Cognitivo:</w:t>
      </w:r>
      <w:r>
        <w:t xml:space="preserve"> atención prolongada ante el desafío y desconexión ante la repetición; memoria precisa; razonamiento abstracto e hipótesis complejas; </w:t>
      </w:r>
      <w:r>
        <w:rPr>
          <w:b/>
          <w:bCs/>
        </w:rPr>
        <w:t xml:space="preserve">estrategias originales y múltiples soluciones</w:t>
      </w:r>
      <w:r>
        <w:t xml:space="preserve">; resistencia a un único modo de resolución; transferencia a nuevas situaciones.</w:t>
      </w:r>
    </w:p>
    <w:p>
      <w:pPr>
        <w:pStyle w:val="ListParagraph"/>
        <w:numPr>
          <w:ilvl w:val="0"/>
          <w:numId w:val="2"/>
        </w:numPr>
        <w:spacing w:after="30"/>
      </w:pPr>
      <w:r>
        <w:rPr>
          <w:b/>
          <w:bCs/>
        </w:rPr>
        <w:t xml:space="preserve">Lenguaje:</w:t>
      </w:r>
      <w:r>
        <w:t xml:space="preserve"> comprende consignas complejas, metáforas e inferencias; vocabulario amplio y técnico; humor e ironía sofisticados; puede interrumpir por entusiasmo.</w:t>
      </w:r>
    </w:p>
    <w:p>
      <w:pPr>
        <w:pStyle w:val="ListParagraph"/>
        <w:numPr>
          <w:ilvl w:val="0"/>
          <w:numId w:val="2"/>
        </w:numPr>
        <w:spacing w:after="30"/>
      </w:pPr>
      <w:r>
        <w:rPr>
          <w:b/>
          <w:bCs/>
        </w:rPr>
        <w:t xml:space="preserve">Motor:</w:t>
      </w:r>
      <w:r>
        <w:t xml:space="preserve"> precisión cuando la tarea es significativa, pero desprolijidad o desorganización si es repetitiva; inquietud motriz en momentos de sobreexcitación.</w:t>
      </w:r>
    </w:p>
    <w:p>
      <w:pPr>
        <w:pStyle w:val="ListParagraph"/>
        <w:numPr>
          <w:ilvl w:val="0"/>
          <w:numId w:val="2"/>
        </w:numPr>
        <w:spacing w:after="30"/>
      </w:pPr>
      <w:r>
        <w:rPr>
          <w:b/>
          <w:bCs/>
        </w:rPr>
        <w:t xml:space="preserve">Pedagógico:</w:t>
      </w:r>
      <w:r>
        <w:t xml:space="preserve"> aprende rápido y transfiere; supera tempranamente los estándares con asincronías entre áreas; necesita enriquecimiento, compactación o aceleración para sostener el interés.</w:t>
      </w:r>
    </w:p>
    <w:p>
      <w:pPr>
        <w:pStyle w:val="Heading1"/>
      </w:pPr>
      <w:r>
        <w:t xml:space="preserve">5. Herramientas de detección (screenings)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8"/>
        <w:gridCol w:w="2267"/>
        <w:gridCol w:w="4253"/>
      </w:tblGrid>
      <w:tr>
        <w:trPr>
          <w:tblHeader/>
        </w:trPr>
        <w:tc>
          <w:tcPr>
            <w:tcW w:type="dxa" w:w="311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Herramienta</w:t>
            </w:r>
          </w:p>
        </w:tc>
        <w:tc>
          <w:tcPr>
            <w:tcW w:type="dxa" w:w="226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Edad</w:t>
            </w:r>
          </w:p>
        </w:tc>
        <w:tc>
          <w:tcPr>
            <w:tcW w:type="dxa" w:w="425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Cómo se usa</w:t>
            </w:r>
          </w:p>
        </w:tc>
      </w:tr>
      <w:tr>
        <w:trPr>
          <w:tblHeader w:val="false"/>
        </w:trP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Screening de detección temprana</w:t>
            </w:r>
            <w:r>
              <w:rPr>
                <w:sz w:val="20"/>
                <w:szCs w:val="20"/>
              </w:rPr>
              <w:t xml:space="preserve"> (Lic. Vergara Panzeri, Cedalp)</w:t>
            </w:r>
          </w:p>
        </w:tc>
        <w:tc>
          <w:tcPr>
            <w:tcW w:type="dxa" w:w="22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3 a 8 años (inicial y primeros años de primaria)</w:t>
            </w:r>
          </w:p>
        </w:tc>
        <w:tc>
          <w:tcPr>
            <w:tcW w:type="dxa" w:w="42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29 afirmaciones de SÍ/NO. </w:t>
            </w:r>
            <w:r>
              <w:rPr>
                <w:b/>
                <w:bCs/>
                <w:sz w:val="20"/>
                <w:szCs w:val="20"/>
              </w:rPr>
              <w:t xml:space="preserve">Con 10 o más respuestas positivas</w:t>
            </w:r>
            <w:r>
              <w:rPr>
                <w:sz w:val="20"/>
                <w:szCs w:val="20"/>
              </w:rPr>
              <w:t xml:space="preserve">, es probable que haya AACC: comunicar a la familia y derivar a diagnóstico profesional.</w:t>
            </w:r>
          </w:p>
        </w:tc>
      </w:tr>
      <w:tr>
        <w:trPr>
          <w:tblHeader w:val="false"/>
        </w:trP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Cuestionario de identificación</w:t>
            </w:r>
            <w:r>
              <w:rPr>
                <w:sz w:val="20"/>
                <w:szCs w:val="20"/>
              </w:rPr>
              <w:t xml:space="preserve"> (Pérez y López, 2007)</w:t>
            </w:r>
          </w:p>
        </w:tc>
        <w:tc>
          <w:tcPr>
            <w:tcW w:type="dxa" w:w="22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9 a 14 años</w:t>
            </w:r>
          </w:p>
        </w:tc>
        <w:tc>
          <w:tcPr>
            <w:tcW w:type="dxa" w:w="42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30 ítems valorados de 1 a 5, basados en conductas observables y no en el rendimiento. </w:t>
            </w:r>
            <w:r>
              <w:rPr>
                <w:b/>
                <w:bCs/>
                <w:sz w:val="20"/>
                <w:szCs w:val="20"/>
              </w:rPr>
              <w:t xml:space="preserve">Con más de 70 puntos</w:t>
            </w:r>
            <w:r>
              <w:rPr>
                <w:sz w:val="20"/>
                <w:szCs w:val="20"/>
              </w:rPr>
              <w:t xml:space="preserve">, conviene una evaluación especializada.</w:t>
            </w:r>
          </w:p>
        </w:tc>
      </w:tr>
    </w:tbl>
    <w:p>
      <w:pPr>
        <w:spacing w:after="60"/>
      </w:pPr>
    </w:p>
    <w:p>
      <w:r>
        <w:rPr>
          <w:b/>
          <w:bCs/>
        </w:rPr>
        <w:t xml:space="preserve">Algunos indicadores del screening de 3 a 8 años que suelen pasar desapercibidos:</w:t>
      </w:r>
    </w:p>
    <w:p>
      <w:pPr>
        <w:pStyle w:val="ListParagraph"/>
        <w:numPr>
          <w:ilvl w:val="0"/>
          <w:numId w:val="2"/>
        </w:numPr>
        <w:spacing w:after="30"/>
      </w:pPr>
      <w:r>
        <w:t xml:space="preserve">Perfil bajo con "chispazos" esporádicos de un saber inusual.</w:t>
      </w:r>
    </w:p>
    <w:p>
      <w:pPr>
        <w:pStyle w:val="ListParagraph"/>
        <w:numPr>
          <w:ilvl w:val="0"/>
          <w:numId w:val="2"/>
        </w:numPr>
        <w:spacing w:after="30"/>
      </w:pPr>
      <w:r>
        <w:t xml:space="preserve">Pérdida de interés a mitad de año: pasa de participativo a apagado.</w:t>
      </w:r>
    </w:p>
    <w:p>
      <w:pPr>
        <w:pStyle w:val="ListParagraph"/>
        <w:numPr>
          <w:ilvl w:val="0"/>
          <w:numId w:val="2"/>
        </w:numPr>
        <w:spacing w:after="30"/>
      </w:pPr>
      <w:r>
        <w:t xml:space="preserve">Parece desatento, pero cuando se le pregunta responde con detalle.</w:t>
      </w:r>
    </w:p>
    <w:p>
      <w:pPr>
        <w:pStyle w:val="ListParagraph"/>
        <w:numPr>
          <w:ilvl w:val="0"/>
          <w:numId w:val="2"/>
        </w:numPr>
        <w:spacing w:after="30"/>
      </w:pPr>
      <w:r>
        <w:t xml:space="preserve">Expresión oral rica, pero producciones escritas mediocres.</w:t>
      </w:r>
    </w:p>
    <w:p>
      <w:pPr>
        <w:pStyle w:val="ListParagraph"/>
        <w:numPr>
          <w:ilvl w:val="0"/>
          <w:numId w:val="2"/>
        </w:numPr>
        <w:spacing w:after="30"/>
      </w:pPr>
      <w:r>
        <w:t xml:space="preserve">Detecta errores o contradicciones del adulto, sin maldad.</w:t>
      </w:r>
    </w:p>
    <w:p>
      <w:pPr>
        <w:pStyle w:val="ListParagraph"/>
        <w:numPr>
          <w:ilvl w:val="0"/>
          <w:numId w:val="2"/>
        </w:numPr>
        <w:spacing w:after="30"/>
      </w:pPr>
      <w:r>
        <w:t xml:space="preserve">No tolera que los pares tarden en entender.</w:t>
      </w:r>
    </w:p>
    <w:p>
      <w:pPr>
        <w:pStyle w:val="ListParagraph"/>
        <w:numPr>
          <w:ilvl w:val="0"/>
          <w:numId w:val="2"/>
        </w:numPr>
        <w:spacing w:after="30"/>
      </w:pPr>
      <w:r>
        <w:t xml:space="preserve">Reacciones emocionales "desproporcionadas".</w:t>
      </w:r>
    </w:p>
    <w:p>
      <w:pPr>
        <w:pStyle w:val="ListParagraph"/>
        <w:numPr>
          <w:ilvl w:val="0"/>
          <w:numId w:val="2"/>
        </w:numPr>
        <w:spacing w:after="30"/>
      </w:pPr>
      <w:r>
        <w:t xml:space="preserve">Hipersensibilidades sensoriales.</w:t>
      </w:r>
    </w:p>
    <w:p>
      <w:pPr>
        <w:pStyle w:val="ListParagraph"/>
        <w:numPr>
          <w:ilvl w:val="0"/>
          <w:numId w:val="2"/>
        </w:numPr>
        <w:spacing w:after="30"/>
      </w:pPr>
      <w:r>
        <w:t xml:space="preserve">Busca a los adultos en el juego libre.</w:t>
      </w:r>
    </w:p>
    <w:p>
      <w:pPr>
        <w:pBdr>
          <w:left w:val="single" w:color="1F4E79" w:sz="18" w:space="6"/>
        </w:pBdr>
        <w:shd w:fill="DEEAF6" w:color="auto" w:val="clear"/>
        <w:spacing w:after="120" w:before="80"/>
        <w:ind w:left="120" w:right="120"/>
      </w:pPr>
      <w:r>
        <w:t xml:space="preserve">Ninguno de estos instrumentos diagnostica: orientan la detección y la derivación. Sí permiten que la escuela empiece a intervenir.</w:t>
      </w:r>
    </w:p>
    <w:p>
      <w:pPr>
        <w:pStyle w:val="Heading1"/>
      </w:pPr>
      <w:r>
        <w:t xml:space="preserve">6. Diferenciación de roles: ¿quién hace qué?</w:t>
      </w:r>
    </w:p>
    <w:p>
      <w:r>
        <w:t xml:space="preserve">Según las </w:t>
      </w:r>
      <w:r>
        <w:rPr>
          <w:i/>
          <w:iCs/>
        </w:rPr>
        <w:t xml:space="preserve">Orientaciones educativas</w:t>
      </w:r>
      <w:r>
        <w:t xml:space="preserve"> del Gobierno Vasco (2013), la GODACI y el marco de CABA, la atención de las AACC es un </w:t>
      </w:r>
      <w:r>
        <w:rPr>
          <w:b/>
          <w:bCs/>
        </w:rPr>
        <w:t xml:space="preserve">trabajo colaborativo y corresponsable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77"/>
        <w:gridCol w:w="5861"/>
      </w:tblGrid>
      <w:tr>
        <w:trPr>
          <w:tblHeader/>
        </w:trPr>
        <w:tc>
          <w:tcPr>
            <w:tcW w:type="dxa" w:w="37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Actor</w:t>
            </w:r>
          </w:p>
        </w:tc>
        <w:tc>
          <w:tcPr>
            <w:tcW w:type="dxa" w:w="586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pPr>
            <w:r>
              <w:rPr>
                <w:b/>
                <w:bCs/>
                <w:color w:val="FFFFFF"/>
                <w:sz w:val="20"/>
                <w:szCs w:val="20"/>
              </w:rPr>
              <w:t xml:space="preserve">Funciones principales</w:t>
            </w:r>
          </w:p>
        </w:tc>
      </w:tr>
      <w:tr>
        <w:trPr>
          <w:tblHeader w:val="false"/>
        </w:trPr>
        <w:tc>
          <w:tcPr>
            <w:tcW w:type="dxa" w:w="3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Docente de aula o tutor</w:t>
            </w:r>
          </w:p>
        </w:tc>
        <w:tc>
          <w:tcPr>
            <w:tcW w:type="dxa" w:w="58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Observar de forma continua las conductas y producciones (no sólo las notas, para evitar la "sobredotación encubierta"). Hacer el período diagnóstico y aplicar screenings. Planificar con DUA y diferenciar. Aplicar enriquecimiento y compactación. Acompañar lo emocional. Comunicarse con la familia. Coelaborar el PPI.</w:t>
            </w:r>
          </w:p>
        </w:tc>
      </w:tr>
      <w:tr>
        <w:trPr>
          <w:tblHeader w:val="false"/>
        </w:trPr>
        <w:tc>
          <w:tcPr>
            <w:tcW w:type="dxa" w:w="3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Equipo de Orientación Escolar (EOE) / equipos técnicos</w:t>
            </w:r>
          </w:p>
        </w:tc>
        <w:tc>
          <w:tcPr>
            <w:tcW w:type="dxa" w:w="58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Analizar junto con el docente los datos de detección. Hacer la evaluación psicopedagógica contextualizada y multidimensional (</w:t>
            </w:r>
            <w:r>
              <w:rPr>
                <w:b/>
                <w:bCs/>
                <w:sz w:val="20"/>
                <w:szCs w:val="20"/>
              </w:rPr>
              <w:t xml:space="preserve">nunca para etiquetar</w:t>
            </w:r>
            <w:r>
              <w:rPr>
                <w:sz w:val="20"/>
                <w:szCs w:val="20"/>
              </w:rPr>
              <w:t xml:space="preserve">). Orientar las estrategias. Articular con los profesionales externos. Coelaborar el PPI y los informes. Hacer el seguimiento.</w:t>
            </w:r>
          </w:p>
        </w:tc>
      </w:tr>
      <w:tr>
        <w:trPr>
          <w:tblHeader w:val="false"/>
        </w:trPr>
        <w:tc>
          <w:tcPr>
            <w:tcW w:type="dxa" w:w="3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Equipo directivo</w:t>
            </w:r>
          </w:p>
        </w:tc>
        <w:tc>
          <w:tcPr>
            <w:tcW w:type="dxa" w:w="58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Generar una </w:t>
            </w:r>
            <w:r>
              <w:rPr>
                <w:b/>
                <w:bCs/>
                <w:sz w:val="20"/>
                <w:szCs w:val="20"/>
              </w:rPr>
              <w:t xml:space="preserve">organización flexible</w:t>
            </w:r>
            <w:r>
              <w:rPr>
                <w:sz w:val="20"/>
                <w:szCs w:val="20"/>
              </w:rPr>
              <w:t xml:space="preserve"> (horarios, espacios, agrupamientos). Incluir las AACC en el proyecto institucional y en el plan de atención a la diversidad. Promover la formación docente y el trabajo en equipo. Garantizar el diálogo con las familias. </w:t>
            </w:r>
            <w:r>
              <w:rPr>
                <w:b/>
                <w:bCs/>
                <w:sz w:val="20"/>
                <w:szCs w:val="20"/>
              </w:rPr>
              <w:t xml:space="preserve">Elevar a Supervisión</w:t>
            </w:r>
            <w:r>
              <w:rPr>
                <w:sz w:val="20"/>
                <w:szCs w:val="20"/>
              </w:rPr>
              <w:t xml:space="preserve"> las solicitudes de aceleración. Comunicar las decisiones al alumno y a la familia.</w:t>
            </w:r>
          </w:p>
        </w:tc>
      </w:tr>
      <w:tr>
        <w:trPr>
          <w:tblHeader w:val="false"/>
        </w:trPr>
        <w:tc>
          <w:tcPr>
            <w:tcW w:type="dxa" w:w="3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Familia</w:t>
            </w:r>
          </w:p>
        </w:tc>
        <w:tc>
          <w:tcPr>
            <w:tcW w:type="dxa" w:w="58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Aportar la historia evolutiva y la información del hogar. Participar en las decisiones. Ajustar expectativas, evitar la presión excesiva y valorar el error como aprendizaje. Colaborar con la escuela.</w:t>
            </w:r>
          </w:p>
        </w:tc>
      </w:tr>
      <w:tr>
        <w:trPr>
          <w:tblHeader w:val="false"/>
        </w:trPr>
        <w:tc>
          <w:tcPr>
            <w:tcW w:type="dxa" w:w="3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Alumno</w:t>
            </w:r>
          </w:p>
        </w:tc>
        <w:tc>
          <w:tcPr>
            <w:tcW w:type="dxa" w:w="58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Aportar su voz: intereses, autobiografía y opinión sobre las medidas. Participar en el armado de su propio proyecto.</w:t>
            </w:r>
          </w:p>
        </w:tc>
      </w:tr>
      <w:tr>
        <w:trPr>
          <w:tblHeader w:val="false"/>
        </w:trPr>
        <w:tc>
          <w:tcPr>
            <w:tcW w:type="dxa" w:w="3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Pares</w:t>
            </w:r>
          </w:p>
        </w:tc>
        <w:tc>
          <w:tcPr>
            <w:tcW w:type="dxa" w:w="58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Nominaciones y sociogramas que ayudan a la detección. Trabajo cooperativo y pertenencia al grupo.</w:t>
            </w:r>
          </w:p>
        </w:tc>
      </w:tr>
      <w:tr>
        <w:trPr>
          <w:tblHeader w:val="false"/>
        </w:trPr>
        <w:tc>
          <w:tcPr>
            <w:tcW w:type="dxa" w:w="3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20"/>
                <w:szCs w:val="20"/>
              </w:rPr>
              <w:t xml:space="preserve">Profesionales externos</w:t>
            </w:r>
          </w:p>
        </w:tc>
        <w:tc>
          <w:tcPr>
            <w:tcW w:type="dxa" w:w="58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20"/>
                <w:szCs w:val="20"/>
              </w:rPr>
              <w:t xml:space="preserve">Diagnóstico y orientaciones, que se integran a la evaluación escolar.</w:t>
            </w:r>
          </w:p>
        </w:tc>
      </w:tr>
    </w:tbl>
    <w:p>
      <w:pPr>
        <w:spacing w:after="60"/>
      </w:pPr>
    </w:p>
    <w:p>
      <w:r>
        <w:rPr>
          <w:b/>
          <w:bCs/>
        </w:rPr>
        <w:t xml:space="preserve">Barreras para el aprendizaje que hay que eliminar</w:t>
      </w:r>
      <w:r>
        <w:t xml:space="preserve"> (Gobierno Vasco, 2013):</w:t>
      </w:r>
    </w:p>
    <w:p>
      <w:pPr>
        <w:pStyle w:val="ListParagraph"/>
        <w:numPr>
          <w:ilvl w:val="0"/>
          <w:numId w:val="2"/>
        </w:numPr>
        <w:spacing w:after="30"/>
      </w:pPr>
      <w:r>
        <w:rPr>
          <w:b/>
          <w:bCs/>
        </w:rPr>
        <w:t xml:space="preserve">En el aula:</w:t>
      </w:r>
      <w:r>
        <w:t xml:space="preserve"> clase magistral, propuesta única para todos (mismo trabajo, tiempo y evaluación), tareas repetitivas, evaluación centrada sólo en el producto y la memoria, penalizar soluciones alternativas, expectativas de perfección.</w:t>
      </w:r>
    </w:p>
    <w:p>
      <w:pPr>
        <w:pStyle w:val="ListParagraph"/>
        <w:numPr>
          <w:ilvl w:val="0"/>
          <w:numId w:val="2"/>
        </w:numPr>
        <w:spacing w:after="30"/>
      </w:pPr>
      <w:r>
        <w:rPr>
          <w:b/>
          <w:bCs/>
        </w:rPr>
        <w:t xml:space="preserve">En la escuela:</w:t>
      </w:r>
      <w:r>
        <w:t xml:space="preserve"> rigidez, falta de formación, prejuicios y miedo del docente a "no saber responder". Aceptar que no saber una respuesta no implica perder autoridad.</w:t>
      </w:r>
    </w:p>
    <w:p>
      <w:pPr>
        <w:pStyle w:val="ListParagraph"/>
        <w:numPr>
          <w:ilvl w:val="0"/>
          <w:numId w:val="2"/>
        </w:numPr>
        <w:spacing w:after="30"/>
      </w:pPr>
      <w:r>
        <w:rPr>
          <w:b/>
          <w:bCs/>
        </w:rPr>
        <w:t xml:space="preserve">En la familia:</w:t>
      </w:r>
      <w:r>
        <w:t xml:space="preserve"> sobrevaloración de algunas capacidades, presión por triunfar, desacuerdos con la escuela.</w:t>
      </w:r>
    </w:p>
    <w:p>
      <w:pPr>
        <w:pStyle w:val="ListParagraph"/>
        <w:numPr>
          <w:ilvl w:val="0"/>
          <w:numId w:val="2"/>
        </w:numPr>
        <w:spacing w:after="30"/>
      </w:pPr>
      <w:r>
        <w:rPr>
          <w:b/>
          <w:bCs/>
        </w:rPr>
        <w:t xml:space="preserve">En el propio alumno:</w:t>
      </w:r>
      <w:r>
        <w:t xml:space="preserve"> autocensura, miedo al error, perfeccionismo disfuncional, aislamiento y aburrimiento.</w:t>
      </w:r>
    </w:p>
    <w:p>
      <w:pPr>
        <w:pStyle w:val="Heading1"/>
      </w:pPr>
      <w:r>
        <w:t xml:space="preserve">7. Cómo armar un proyecto de intervención (síntesis práctica)</w:t>
      </w:r>
    </w:p>
    <w:p>
      <w:pPr>
        <w:pStyle w:val="ListParagraph"/>
        <w:numPr>
          <w:ilvl w:val="0"/>
          <w:numId w:val="3"/>
        </w:numPr>
        <w:spacing w:after="30"/>
      </w:pPr>
      <w:r>
        <w:rPr>
          <w:b/>
          <w:bCs/>
        </w:rPr>
        <w:t xml:space="preserve">Motivo de la intervención:</w:t>
      </w:r>
      <w:r>
        <w:t xml:space="preserve"> observación escolar, screening institucional o diagnóstico que trae la familia.</w:t>
      </w:r>
    </w:p>
    <w:p>
      <w:pPr>
        <w:pStyle w:val="ListParagraph"/>
        <w:numPr>
          <w:ilvl w:val="0"/>
          <w:numId w:val="3"/>
        </w:numPr>
        <w:spacing w:after="30"/>
      </w:pPr>
      <w:r>
        <w:rPr>
          <w:b/>
          <w:bCs/>
        </w:rPr>
        <w:t xml:space="preserve">Descripción del alumno:</w:t>
      </w:r>
      <w:r>
        <w:t xml:space="preserve"> edad, nivel, características generales y contexto familiar.</w:t>
      </w:r>
    </w:p>
    <w:p>
      <w:pPr>
        <w:pStyle w:val="ListParagraph"/>
        <w:numPr>
          <w:ilvl w:val="0"/>
          <w:numId w:val="3"/>
        </w:numPr>
        <w:spacing w:after="30"/>
      </w:pPr>
      <w:r>
        <w:rPr>
          <w:b/>
          <w:bCs/>
        </w:rPr>
        <w:t xml:space="preserve">Evaluación integral:</w:t>
      </w:r>
      <w:r>
        <w:t xml:space="preserve"> fortalezas y debilidades (cognitivas, socioemocionales, motrices, de lenguaje), áreas de mayor capacidad, estilo de aprendizaje e intereses. Usar los indicadores del Apartado B de CABA.</w:t>
      </w:r>
    </w:p>
    <w:p>
      <w:pPr>
        <w:pStyle w:val="ListParagraph"/>
        <w:numPr>
          <w:ilvl w:val="0"/>
          <w:numId w:val="3"/>
        </w:numPr>
        <w:spacing w:after="30"/>
      </w:pPr>
      <w:r>
        <w:rPr>
          <w:b/>
          <w:bCs/>
        </w:rPr>
        <w:t xml:space="preserve">Barreras para el aprendizaje</w:t>
      </w:r>
      <w:r>
        <w:t xml:space="preserve"> que justifican la intervención (en el aula, la escuela, la familia o el propio alumno).</w:t>
      </w:r>
    </w:p>
    <w:p>
      <w:pPr>
        <w:pStyle w:val="ListParagraph"/>
        <w:numPr>
          <w:ilvl w:val="0"/>
          <w:numId w:val="3"/>
        </w:numPr>
        <w:spacing w:after="30"/>
      </w:pPr>
      <w:r>
        <w:rPr>
          <w:b/>
          <w:bCs/>
        </w:rPr>
        <w:t xml:space="preserve">Objetivos</w:t>
      </w:r>
      <w:r>
        <w:t xml:space="preserve"> (diarios, mensuales o anuales) en distintas áreas, con </w:t>
      </w:r>
      <w:r>
        <w:rPr>
          <w:b/>
          <w:bCs/>
        </w:rPr>
        <w:t xml:space="preserve">actividad, tipo de adecuación</w:t>
      </w:r>
      <w:r>
        <w:t xml:space="preserve"> (DUA, enriquecimiento horizontal o vertical, compactación, agrupamiento, aceleración) y su fundamentación.</w:t>
      </w:r>
    </w:p>
    <w:p>
      <w:pPr>
        <w:pStyle w:val="ListParagraph"/>
        <w:numPr>
          <w:ilvl w:val="0"/>
          <w:numId w:val="3"/>
        </w:numPr>
        <w:spacing w:after="30"/>
      </w:pPr>
      <w:r>
        <w:rPr>
          <w:b/>
          <w:bCs/>
        </w:rPr>
        <w:t xml:space="preserve">Roles y tiempos:</w:t>
      </w:r>
      <w:r>
        <w:t xml:space="preserve"> quién hace qué (docente, EOE, directivos, familia) y con qué cronograma.</w:t>
      </w:r>
    </w:p>
    <w:p>
      <w:pPr>
        <w:pStyle w:val="ListParagraph"/>
        <w:numPr>
          <w:ilvl w:val="0"/>
          <w:numId w:val="3"/>
        </w:numPr>
        <w:spacing w:after="30"/>
      </w:pPr>
      <w:r>
        <w:rPr>
          <w:b/>
          <w:bCs/>
        </w:rPr>
        <w:t xml:space="preserve">Seguimiento y evaluación:</w:t>
      </w:r>
      <w:r>
        <w:t xml:space="preserve"> formativa y periódica, con ajustes del PPI y la participación del alumno y la familia.</w:t>
      </w:r>
    </w:p>
    <w:p>
      <w:pPr>
        <w:pStyle w:val="Heading1"/>
      </w:pPr>
      <w:r>
        <w:t xml:space="preserve">8. Ideas clave de la Clase 6</w:t>
      </w:r>
    </w:p>
    <w:p>
      <w:pPr>
        <w:pStyle w:val="ListParagraph"/>
        <w:numPr>
          <w:ilvl w:val="0"/>
          <w:numId w:val="2"/>
        </w:numPr>
        <w:spacing w:after="30"/>
      </w:pPr>
      <w:r>
        <w:t xml:space="preserve">La intervención va </w:t>
      </w:r>
      <w:r>
        <w:rPr>
          <w:b/>
          <w:bCs/>
        </w:rPr>
        <w:t xml:space="preserve">de lo general a lo particular</w:t>
      </w:r>
      <w:r>
        <w:t xml:space="preserve">: primero un aula con </w:t>
      </w:r>
      <w:r>
        <w:rPr>
          <w:b/>
          <w:bCs/>
        </w:rPr>
        <w:t xml:space="preserve">DUA y ABP</w:t>
      </w:r>
      <w:r>
        <w:t xml:space="preserve"> que beneficia a todos, después las medidas específicas para el alumno con AACC.</w:t>
      </w:r>
    </w:p>
    <w:p>
      <w:pPr>
        <w:pStyle w:val="ListParagraph"/>
        <w:numPr>
          <w:ilvl w:val="0"/>
          <w:numId w:val="2"/>
        </w:numPr>
        <w:spacing w:after="30"/>
      </w:pPr>
      <w:r>
        <w:rPr>
          <w:b/>
          <w:bCs/>
        </w:rPr>
        <w:t xml:space="preserve">Enriquecer</w:t>
      </w:r>
      <w:r>
        <w:t xml:space="preserve"> (horizontal y verticalmente) y </w:t>
      </w:r>
      <w:r>
        <w:rPr>
          <w:b/>
          <w:bCs/>
        </w:rPr>
        <w:t xml:space="preserve">compactar</w:t>
      </w:r>
      <w:r>
        <w:t xml:space="preserve"> son las bases. El </w:t>
      </w:r>
      <w:r>
        <w:rPr>
          <w:b/>
          <w:bCs/>
        </w:rPr>
        <w:t xml:space="preserve">agrupamiento flexible</w:t>
      </w:r>
      <w:r>
        <w:t xml:space="preserve"> y la </w:t>
      </w:r>
      <w:r>
        <w:rPr>
          <w:b/>
          <w:bCs/>
        </w:rPr>
        <w:t xml:space="preserve">aceleración acompañada</w:t>
      </w:r>
      <w:r>
        <w:t xml:space="preserve"> completan la respuesta.</w:t>
      </w:r>
    </w:p>
    <w:p>
      <w:pPr>
        <w:pStyle w:val="ListParagraph"/>
        <w:numPr>
          <w:ilvl w:val="0"/>
          <w:numId w:val="2"/>
        </w:numPr>
        <w:spacing w:after="30"/>
      </w:pPr>
      <w:r>
        <w:rPr>
          <w:b/>
          <w:bCs/>
        </w:rPr>
        <w:t xml:space="preserve">CABA</w:t>
      </w:r>
      <w:r>
        <w:t xml:space="preserve"> cuenta desde 2025 con un </w:t>
      </w:r>
      <w:r>
        <w:rPr>
          <w:b/>
          <w:bCs/>
        </w:rPr>
        <w:t xml:space="preserve">marco específico</w:t>
      </w:r>
      <w:r>
        <w:t xml:space="preserve">: PPI, estrategias de enriquecimiento y un procedimiento formal (plazos, informe, Supervisión) para la aceleración y el ingreso anticipado.</w:t>
      </w:r>
    </w:p>
    <w:p>
      <w:pPr>
        <w:pStyle w:val="ListParagraph"/>
        <w:numPr>
          <w:ilvl w:val="0"/>
          <w:numId w:val="2"/>
        </w:numPr>
        <w:spacing w:after="30"/>
      </w:pPr>
      <w:r>
        <w:t xml:space="preserve">Los </w:t>
      </w:r>
      <w:r>
        <w:rPr>
          <w:b/>
          <w:bCs/>
        </w:rPr>
        <w:t xml:space="preserve">screenings</w:t>
      </w:r>
      <w:r>
        <w:t xml:space="preserve"> (3 a 8 y 9 a 14 años) orientan la detección; </w:t>
      </w:r>
      <w:r>
        <w:rPr>
          <w:b/>
          <w:bCs/>
        </w:rPr>
        <w:t xml:space="preserve">no diagnostican</w:t>
      </w:r>
      <w:r>
        <w:t xml:space="preserve">.</w:t>
      </w:r>
    </w:p>
    <w:p>
      <w:pPr>
        <w:pStyle w:val="ListParagraph"/>
        <w:numPr>
          <w:ilvl w:val="0"/>
          <w:numId w:val="2"/>
        </w:numPr>
        <w:spacing w:after="30"/>
      </w:pPr>
      <w:r>
        <w:t xml:space="preserve">La respuesta es </w:t>
      </w:r>
      <w:r>
        <w:rPr>
          <w:b/>
          <w:bCs/>
        </w:rPr>
        <w:t xml:space="preserve">corresponsable</w:t>
      </w:r>
      <w:r>
        <w:t xml:space="preserve">: cada actor tiene un rol, y la voz del alumno siempre debe estar presente.</w:t>
      </w:r>
    </w:p>
    <w:p>
      <w:pPr>
        <w:pBdr>
          <w:top w:val="single" w:color="1F4E79" w:sz="6" w:space="4"/>
        </w:pBdr>
        <w:spacing w:after="40" w:before="160"/>
      </w:pPr>
      <w:r>
        <w:rPr>
          <w:color w:val="404040"/>
          <w:sz w:val="18"/>
          <w:szCs w:val="18"/>
        </w:rPr>
        <w:t xml:space="preserve">Bibliografía de la clase: Equipo de Educación AACArg. </w:t>
      </w:r>
      <w:r>
        <w:rPr>
          <w:i/>
          <w:iCs/>
          <w:color w:val="404040"/>
          <w:sz w:val="18"/>
          <w:szCs w:val="18"/>
        </w:rPr>
        <w:t xml:space="preserve">Intervención educativa en Altas Capacidades</w:t>
      </w:r>
      <w:r>
        <w:rPr>
          <w:color w:val="404040"/>
          <w:sz w:val="18"/>
          <w:szCs w:val="18"/>
        </w:rPr>
        <w:t xml:space="preserve">.</w:t>
      </w:r>
    </w:p>
    <w:p>
      <w:pPr>
        <w:pStyle w:val="ListParagraph"/>
        <w:numPr>
          <w:ilvl w:val="0"/>
          <w:numId w:val="2"/>
        </w:numPr>
        <w:spacing w:after="0"/>
      </w:pPr>
      <w:r>
        <w:rPr>
          <w:color w:val="404040"/>
          <w:sz w:val="18"/>
          <w:szCs w:val="18"/>
        </w:rPr>
        <w:t xml:space="preserve">AACArg. </w:t>
      </w:r>
      <w:r>
        <w:rPr>
          <w:i/>
          <w:iCs/>
          <w:color w:val="404040"/>
          <w:sz w:val="18"/>
          <w:szCs w:val="18"/>
        </w:rPr>
        <w:t xml:space="preserve">DUA: Diseño Universal del Aprendizaje. Lista de cotejo para docentes</w:t>
      </w:r>
      <w:r>
        <w:rPr>
          <w:color w:val="404040"/>
          <w:sz w:val="18"/>
          <w:szCs w:val="18"/>
        </w:rPr>
        <w:t xml:space="preserve">.</w:t>
      </w:r>
    </w:p>
    <w:p>
      <w:pPr>
        <w:pStyle w:val="ListParagraph"/>
        <w:numPr>
          <w:ilvl w:val="0"/>
          <w:numId w:val="2"/>
        </w:numPr>
        <w:spacing w:after="0"/>
      </w:pPr>
      <w:r>
        <w:rPr>
          <w:color w:val="404040"/>
          <w:sz w:val="18"/>
          <w:szCs w:val="18"/>
        </w:rPr>
        <w:t xml:space="preserve">Gobierno de la Ciudad de Buenos Aires (2025). </w:t>
      </w:r>
      <w:r>
        <w:rPr>
          <w:i/>
          <w:iCs/>
          <w:color w:val="404040"/>
          <w:sz w:val="18"/>
          <w:szCs w:val="18"/>
        </w:rPr>
        <w:t xml:space="preserve">Anexo I. Marco de acompañamiento pedagógico para estudiantes con Altas Capacidades Intelectuales</w:t>
      </w:r>
      <w:r>
        <w:rPr>
          <w:color w:val="404040"/>
          <w:sz w:val="18"/>
          <w:szCs w:val="18"/>
        </w:rPr>
        <w:t xml:space="preserve"> (IF-2025-46739214-GCABA-SSGDA).</w:t>
      </w:r>
    </w:p>
    <w:p>
      <w:pPr>
        <w:pStyle w:val="ListParagraph"/>
        <w:numPr>
          <w:ilvl w:val="0"/>
          <w:numId w:val="2"/>
        </w:numPr>
        <w:spacing w:after="0"/>
      </w:pPr>
      <w:r>
        <w:rPr>
          <w:color w:val="404040"/>
          <w:sz w:val="18"/>
          <w:szCs w:val="18"/>
        </w:rPr>
        <w:t xml:space="preserve">Albes, C. y otros (2013). </w:t>
      </w:r>
      <w:r>
        <w:rPr>
          <w:i/>
          <w:iCs/>
          <w:color w:val="404040"/>
          <w:sz w:val="18"/>
          <w:szCs w:val="18"/>
        </w:rPr>
        <w:t xml:space="preserve">Orientaciones educativas. Alumnado con altas capacidades intelectuales</w:t>
      </w:r>
      <w:r>
        <w:rPr>
          <w:color w:val="404040"/>
          <w:sz w:val="18"/>
          <w:szCs w:val="18"/>
        </w:rPr>
        <w:t xml:space="preserve">. Gobierno Vasco.</w:t>
      </w:r>
    </w:p>
    <w:p>
      <w:pPr>
        <w:pStyle w:val="ListParagraph"/>
        <w:numPr>
          <w:ilvl w:val="0"/>
          <w:numId w:val="2"/>
        </w:numPr>
        <w:spacing w:after="0"/>
      </w:pPr>
      <w:r>
        <w:rPr>
          <w:color w:val="404040"/>
          <w:sz w:val="18"/>
          <w:szCs w:val="18"/>
        </w:rPr>
        <w:t xml:space="preserve">Vergara Panzeri, M. E. </w:t>
      </w:r>
      <w:r>
        <w:rPr>
          <w:i/>
          <w:iCs/>
          <w:color w:val="404040"/>
          <w:sz w:val="18"/>
          <w:szCs w:val="18"/>
        </w:rPr>
        <w:t xml:space="preserve">Screening para la detección temprana de alumnos/as con altas capacidades intelectuales (3 a 8 años)</w:t>
      </w:r>
      <w:r>
        <w:rPr>
          <w:color w:val="404040"/>
          <w:sz w:val="18"/>
          <w:szCs w:val="18"/>
        </w:rPr>
        <w:t xml:space="preserve">.</w:t>
      </w:r>
    </w:p>
    <w:p>
      <w:pPr>
        <w:pStyle w:val="ListParagraph"/>
        <w:numPr>
          <w:ilvl w:val="0"/>
          <w:numId w:val="2"/>
        </w:numPr>
        <w:spacing w:after="0"/>
      </w:pPr>
      <w:r>
        <w:rPr>
          <w:color w:val="404040"/>
          <w:sz w:val="18"/>
          <w:szCs w:val="18"/>
        </w:rPr>
        <w:t xml:space="preserve">Pérez, L. y López, C. (2007). </w:t>
      </w:r>
      <w:r>
        <w:rPr>
          <w:i/>
          <w:iCs/>
          <w:color w:val="404040"/>
          <w:sz w:val="18"/>
          <w:szCs w:val="18"/>
        </w:rPr>
        <w:t xml:space="preserve">Cuestionario para la identificación de niños con altas capacidades (9 a 14 años)</w:t>
      </w:r>
      <w:r>
        <w:rPr>
          <w:color w:val="404040"/>
          <w:sz w:val="18"/>
          <w:szCs w:val="18"/>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Diplomado Virtual AACC 2026 · Resumen · Página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8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color w:val="1F4E79"/>
      <w:sz w:val="32"/>
      <w:szCs w:val="32"/>
    </w:rPr>
  </w:style>
  <w:style w:type="paragraph" w:styleId="Heading1">
    <w:name w:val="Heading 1"/>
    <w:basedOn w:val="Normal"/>
    <w:next w:val="Normal"/>
    <w:qFormat/>
    <w:pPr>
      <w:keepNext/>
      <w:spacing w:after="80" w:before="200"/>
      <w:outlineLvl w:val="0"/>
    </w:pPr>
    <w:rPr>
      <w:rFonts w:ascii="Arial" w:cs="Arial" w:eastAsia="Arial" w:hAnsi="Arial"/>
      <w:b/>
      <w:bCs/>
      <w:color w:val="1F4E79"/>
      <w:sz w:val="26"/>
      <w:szCs w:val="26"/>
    </w:rPr>
  </w:style>
  <w:style w:type="paragraph" w:styleId="Heading2">
    <w:name w:val="Heading 2"/>
    <w:basedOn w:val="Normal"/>
    <w:next w:val="Normal"/>
    <w:qFormat/>
    <w:pPr>
      <w:keepNext/>
      <w:spacing w:after="60" w:before="12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6 – DUA, enriquecimiento y aceleración. Proyectos de intervención y roles</dc:title>
  <dc:creator>Resumen Diplomado AACC 2026</dc:creator>
  <cp:lastModifiedBy>Un-named</cp:lastModifiedBy>
  <cp:revision>1</cp:revision>
  <dcterms:created xsi:type="dcterms:W3CDTF">2026-10-24T02:16:49.877Z</dcterms:created>
  <dcterms:modified xsi:type="dcterms:W3CDTF">2026-10-24T02:16:49.877Z</dcterms:modified>
</cp:coreProperties>
</file>

<file path=docProps/custom.xml><?xml version="1.0" encoding="utf-8"?>
<Properties xmlns="http://schemas.openxmlformats.org/officeDocument/2006/custom-properties" xmlns:vt="http://schemas.openxmlformats.org/officeDocument/2006/docPropsVTypes"/>
</file>