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p>
        </w:tc>
      </w:tr>
    </w:tbl>
    <w:p>
      <w:pPr>
        <w:pStyle w:val="5"/>
      </w:pPr>
      <w:r>
        <w:t>Summary</w:t>
      </w:r>
    </w:p>
    <w:p>
      <w:pPr>
        <w:rPr>
          <w:rFonts w:hint="default" w:eastAsia="宋体"/>
          <w:sz w:val="18"/>
          <w:szCs w:val="18"/>
          <w:lang w:val="en-US" w:eastAsia="zh-CN"/>
        </w:rPr>
      </w:pPr>
      <w:r>
        <w:rPr>
          <w:rFonts w:hint="eastAsia"/>
          <w:lang w:val="en-US" w:eastAsia="zh-CN"/>
        </w:rPr>
        <w:t>{{ summary }}</w:t>
      </w:r>
    </w:p>
    <w:p>
      <w:pPr>
        <w:rPr>
          <w:sz w:val="18"/>
          <w:szCs w:val="18"/>
        </w:rPr>
      </w:pPr>
    </w:p>
    <w:p>
      <w:pPr>
        <w:pStyle w:val="5"/>
      </w:pPr>
      <w:r>
        <w:t>Technical Skills</w:t>
      </w:r>
    </w:p>
    <w:p>
      <w:pPr>
        <w:rPr>
          <w:rFonts w:hint="default" w:eastAsia="宋体"/>
          <w:sz w:val="18"/>
          <w:szCs w:val="18"/>
          <w:highlight w:val="none"/>
          <w:lang w:val="en-US" w:eastAsia="zh-CN"/>
        </w:rPr>
      </w:pPr>
      <w:r>
        <w:rPr>
          <w:rFonts w:hint="eastAsia"/>
          <w:highlight w:val="none"/>
          <w:lang w:val="en-US" w:eastAsia="zh-CN"/>
        </w:rPr>
        <w:t>{{ technical_skills }}</w:t>
      </w: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for tr in education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rFonts w:hint="default" w:eastAsia="宋体"/>
                <w:sz w:val="18"/>
                <w:szCs w:val="18"/>
                <w:lang w:val="en-US" w:eastAsia="zh-CN"/>
              </w:rPr>
            </w:pPr>
            <w:r>
              <w:rPr>
                <w:rFonts w:hint="eastAsia"/>
                <w:sz w:val="18"/>
                <w:szCs w:val="18"/>
                <w:lang w:val="en-US" w:eastAsia="zh-CN"/>
              </w:rPr>
              <w:t>{{ tr[0] }}</w:t>
            </w:r>
          </w:p>
        </w:tc>
        <w:tc>
          <w:tcPr>
            <w:tcW w:w="5415" w:type="dxa"/>
          </w:tcPr>
          <w:p>
            <w:pPr>
              <w:rPr>
                <w:rFonts w:hint="default" w:eastAsia="宋体"/>
                <w:sz w:val="18"/>
                <w:szCs w:val="18"/>
                <w:lang w:val="en-US" w:eastAsia="zh-CN"/>
              </w:rPr>
            </w:pPr>
            <w:r>
              <w:rPr>
                <w:rFonts w:hint="eastAsia"/>
                <w:sz w:val="18"/>
                <w:szCs w:val="18"/>
                <w:lang w:val="en-US" w:eastAsia="zh-CN"/>
              </w:rPr>
              <w:t>{{ tr[1] }}</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endfor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8F84CF7"/>
    <w:rsid w:val="09BC4E4F"/>
    <w:rsid w:val="11154E5A"/>
    <w:rsid w:val="13022F0C"/>
    <w:rsid w:val="1E3958A5"/>
    <w:rsid w:val="25A5769B"/>
    <w:rsid w:val="33E7357F"/>
    <w:rsid w:val="34414B57"/>
    <w:rsid w:val="57284D36"/>
    <w:rsid w:val="61AC7224"/>
    <w:rsid w:val="698C1EE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7838B-AE26-4AD0-8410-AE18C85EE3E3}">
  <ds:schemaRefs/>
</ds:datastoreItem>
</file>

<file path=customXml/itemProps3.xml><?xml version="1.0" encoding="utf-8"?>
<ds:datastoreItem xmlns:ds="http://schemas.openxmlformats.org/officeDocument/2006/customXml" ds:itemID="{0018541A-503D-48F4-B267-F75D7C0C14B2}">
  <ds:schemaRefs/>
</ds:datastoreItem>
</file>

<file path=customXml/itemProps4.xml><?xml version="1.0" encoding="utf-8"?>
<ds:datastoreItem xmlns:ds="http://schemas.openxmlformats.org/officeDocument/2006/customXml" ds:itemID="{9DD3B645-E138-4232-A5A4-7F27B3C1437C}">
  <ds:schemaRefs/>
</ds:datastoreItem>
</file>

<file path=customXml/itemProps5.xml><?xml version="1.0" encoding="utf-8"?>
<ds:datastoreItem xmlns:ds="http://schemas.openxmlformats.org/officeDocument/2006/customXml" ds:itemID="{0569F94B-8DB4-4F61-ACC4-9C42B8CB6FB5}">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1138</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2024-04-08T02:33:54Z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