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C1A9B" w14:textId="37EDA563"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32594D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 However, we argue that congruence issues such as those established for certain models of diversification also occur in models as basic as Brownian motion and coin flipping. Taxon-heterogeneous models such as many SSE models appear not to have this particular issue.</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23897952" w14:textId="77777777" w:rsidR="00016EE6" w:rsidRDefault="00016EE6">
      <w:pPr>
        <w:spacing w:line="480" w:lineRule="auto"/>
        <w:ind w:firstLine="720"/>
        <w:rPr>
          <w:rFonts w:ascii="Times New Roman" w:eastAsia="Times New Roman" w:hAnsi="Times New Roman" w:cs="Times New Roman"/>
          <w:sz w:val="24"/>
          <w:szCs w:val="24"/>
        </w:rPr>
      </w:pPr>
    </w:p>
    <w:p w14:paraId="6BFFF64F" w14:textId="77777777" w:rsidR="00016EE6" w:rsidRDefault="00016EE6">
      <w:pPr>
        <w:spacing w:line="480" w:lineRule="auto"/>
        <w:rPr>
          <w:rFonts w:ascii="Times New Roman" w:eastAsia="Times New Roman" w:hAnsi="Times New Roman" w:cs="Times New Roman"/>
          <w:sz w:val="24"/>
          <w:szCs w:val="24"/>
        </w:rPr>
      </w:pPr>
    </w:p>
    <w:p w14:paraId="4D496CB4" w14:textId="77777777" w:rsidR="0087149D" w:rsidRDefault="0087149D">
      <w:pPr>
        <w:spacing w:line="480" w:lineRule="auto"/>
        <w:rPr>
          <w:rFonts w:ascii="Times New Roman" w:eastAsia="Times New Roman" w:hAnsi="Times New Roman" w:cs="Times New Roman"/>
          <w:b/>
          <w:sz w:val="24"/>
          <w:szCs w:val="24"/>
        </w:rPr>
      </w:pPr>
    </w:p>
    <w:p w14:paraId="55992564" w14:textId="034D7335"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F3C4E5C" w14:textId="0F00141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decades, molecular phylogenies have served as vital sources of historical information for deciphering the birth and the death dynamics of lineages. Hundreds, possibly thousands,  of studies of molecular phylogenies have been dedicated to investigating diversification. In theory, if birth and death rates were indeed constant across the tree, estimating them separately is possible because each has distinguishable effects on the tree shape and branch length distributions (Nee et al. 1994). However, constant rates is likely far too simplistic of an assumption, and there are a number of extensions that expand this simple model for characterizing diversification as a function of time or diversity (e.g., Nee et al. 1992; Rabosky 2006, 2009; Bokma 2008; Rabosky and Lovette 2008; Morlon et al. 2011; Etienne et al. 2012), which are used to infer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14:paraId="779701E0" w14:textId="110F7825"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Louca and Pennell (2020), the entire enterprise of estimating diversification rates, at least from molecular phylogenies alone, has been called into question (also see Pagel 2020). As it turns out, for any given phylogeny there are an infinite array of congruent models each having unique functions of speciation and/or extinction rates smoothly varying through time but with identical likelihood, and so indistinguishable from each other </w:t>
      </w:r>
      <w:r>
        <w:rPr>
          <w:rFonts w:ascii="Times New Roman" w:eastAsia="Times New Roman" w:hAnsi="Times New Roman" w:cs="Times New Roman"/>
          <w:sz w:val="24"/>
          <w:szCs w:val="24"/>
        </w:rPr>
        <w:lastRenderedPageBreak/>
        <w:t xml:space="preserve">despite telling very different stories about the diversification history. This is based on the property of both constant rate birth-death and time-varying models in which every lineage at any given time point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14:paraId="772FE24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Louca and Pennell (2020)” citation. It is also worth noting that the findings of Louca and Pennell (2020) are substantially similar, though much more detailed, to the ones presented by Kubo and Iwasa (1995) a quarter </w:t>
      </w:r>
      <w:r>
        <w:rPr>
          <w:rFonts w:ascii="Times New Roman" w:eastAsia="Times New Roman" w:hAnsi="Times New Roman" w:cs="Times New Roman"/>
          <w:sz w:val="24"/>
          <w:szCs w:val="24"/>
        </w:rPr>
        <w:lastRenderedPageBreak/>
        <w:t xml:space="preserve">century ago. These authors also described an infinite array of birth and death models fitting the data equally well, which has been effectively ignored by most later workers. </w:t>
      </w:r>
    </w:p>
    <w:p w14:paraId="03090ABA" w14:textId="24F02EF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Louca and Pennell (2020) and Kubo and Iwasa (1995) do represent substantial methodological problems for comparative biology. However, this does not signal the complete demise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reconstruct and 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exactly the same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Here, we briefly examine the case of time-constant, lineage heterogeneous (e.g., state-speciation and extinction, or SSE models; Maddison et al. 2007, Vasconcelos et al. 2022) models and show that they have access to information across clades not used by the former kind of models.  </w:t>
      </w:r>
    </w:p>
    <w:p w14:paraId="0CED2CF5"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address some of the other procedures proposed, explicitly or implicitly, by Louca and Pennell (2020): continuing with pulled diversification rate reconstruction (or the “effective diversification rate” that includes the effect of sampling), focusing on a point estimate only, no longer penalizing for model complexity, and how information is distributed on trees.</w:t>
      </w:r>
    </w:p>
    <w:p w14:paraId="01E26D01"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congruence can occur in areas as different as coin flipping and Brownian motion: it does not mean these models must be given up, only that certain questions are infeasible.</w:t>
      </w:r>
    </w:p>
    <w:p w14:paraId="5064EB40"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Time-varying, lineage homogeneous models that use just the information from a lineage through time curve (even if the input is a full phylogeny) to estimate changing speciation, extinction, diversification, turnover, or extinction fraction should be avoided due to congruence issues.</w:t>
      </w:r>
    </w:p>
    <w:p w14:paraId="4AA1DBDA"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(Louca and Pennell 2020) are identifiable, but they fail to incorporate the substantial uncertainty in reconstructions that come as a result of typically exponentially decreasing number of data points (lineages) as one approaches the root of a tree (this also plagues the methods in point 2)</w:t>
      </w:r>
    </w:p>
    <w:p w14:paraId="3E7C1FB9"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lineages through time curve and their utility remains intact in the face of Louca and Pennell (2020) and Kubo and Iwasa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28C1D2F5"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in a given direction through time. Using only extant species, can we detect horses getting bigger and with fewer digits, or increases in the mean seed size in flowering plants since the Cretaceous (e.g., Tifney 1984; Eriksson et al. 2000), </w:t>
      </w:r>
      <w:r>
        <w:rPr>
          <w:rFonts w:ascii="Times New Roman" w:eastAsia="Times New Roman" w:hAnsi="Times New Roman" w:cs="Times New Roman"/>
          <w:sz w:val="24"/>
          <w:szCs w:val="24"/>
        </w:rPr>
        <w:lastRenderedPageBreak/>
        <w:t xml:space="preserve">or, more generally, uncover an evolutionary arms race between predator and prey (e.g., Dawkins and Krebs 1979; Abrams 1986)? It is trivial to extend a simple Brownian motion model to include a parameter that allows for the focal trait to evolve along a trend, and this is available in popular software like the R package </w:t>
      </w:r>
      <w:r>
        <w:rPr>
          <w:rFonts w:ascii="Times New Roman" w:eastAsia="Times New Roman" w:hAnsi="Times New Roman" w:cs="Times New Roman"/>
          <w:i/>
          <w:sz w:val="24"/>
          <w:szCs w:val="24"/>
        </w:rPr>
        <w:t>geiger</w:t>
      </w:r>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as Felsenstein (1988) and Hansen and Martins (1996) have pointed out, even though trait values move in a given direction under a Brownian motion with a trend model, this does not affect the expected covariances or means among species trait values. Consequently,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rates, not directions.</w:t>
      </w:r>
    </w:p>
    <w:p w14:paraId="7753869B" w14:textId="0FFDC74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with body sizes ranging from 10-12 kg might have a reconstructed state near 11 kg under a model where the trend is forced to take an arbitrary value of </w:t>
      </w:r>
      <w:r w:rsidR="0087149D">
        <w:rPr>
          <w:rFonts w:ascii="Times New Roman" w:eastAsia="Times New Roman" w:hAnsi="Times New Roman" w:cs="Times New Roman"/>
          <w:sz w:val="24"/>
          <w:szCs w:val="24"/>
        </w:rPr>
        <w:t>zero but</w:t>
      </w:r>
      <w:r>
        <w:rPr>
          <w:rFonts w:ascii="Times New Roman" w:eastAsia="Times New Roman" w:hAnsi="Times New Roman" w:cs="Times New Roman"/>
          <w:sz w:val="24"/>
          <w:szCs w:val="24"/>
        </w:rPr>
        <w:t xml:space="preserve"> could have a reconstructed state of 50 kg under a model with a trend of an incremental trait decrease through time. By convention, we only use the former models, but the latter models could fit exactly as well. This makes ancestral state reconstruction dubious at best, but it does not mean that Brownian motion models are generally invalid for use on trees containing only modern taxa. We can still compare Brownian motion models with more complex models, such as Ornstein-Uhlenbeck models (e.g., Butler and King 2004; Beaulieu et al. 2012), Brownian models with more than one rate (e.g., O'Meara et al. 2006; Thomas et al. 2006), or </w:t>
      </w:r>
      <w:r>
        <w:rPr>
          <w:rFonts w:ascii="Times New Roman" w:eastAsia="Times New Roman" w:hAnsi="Times New Roman" w:cs="Times New Roman"/>
          <w:sz w:val="24"/>
          <w:szCs w:val="24"/>
        </w:rPr>
        <w:lastRenderedPageBreak/>
        <w:t>models where the Brownian motion rate itself changes over time (e.g., Revell, 2021). In other words, while Brownian motion with a trend model is unidentifiable with modern taxa only, we would not, for instance, say that any model that attempts to estimate rates of evolution on such trees is uninterpretable. Some models in this space give the same likelihoods and cannot be distinguished, but many others can, which calls for care and analysis, not panic. It does also point to issues that arise particularly when trying to estimate ancestral states.</w:t>
      </w:r>
    </w:p>
    <w:p w14:paraId="2B8D452B" w14:textId="3F86579C"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point out that model congruence occurs in other statistically-based disciplines. Consider the classic coin-flipping example. Suppose we toss a coin 10 times, and 2 of those tosses come up heads. The most straightforward fitted binomial model, which uses a single parameter,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One model could allow every coin to start out with a 100% probability of getting heads and exponentially decrease at some rate down to zero probability of heads: this also has one parameter to estimate. Or one could start out with any coin being fair and its probability of heads being multiplied by a constant every flip</w:t>
      </w:r>
      <w:r w:rsidR="00870F08">
        <w:rPr>
          <w:rFonts w:ascii="Times New Roman" w:eastAsia="Times New Roman" w:hAnsi="Times New Roman" w:cs="Times New Roman"/>
          <w:sz w:val="24"/>
          <w:szCs w:val="24"/>
        </w:rPr>
        <w:t>, also with one parameter to measure</w:t>
      </w:r>
      <w:r>
        <w:rPr>
          <w:rFonts w:ascii="Times New Roman" w:eastAsia="Times New Roman" w:hAnsi="Times New Roman" w:cs="Times New Roman"/>
          <w:sz w:val="24"/>
          <w:szCs w:val="24"/>
        </w:rPr>
        <w:t xml:space="preserve">. 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 </w:t>
      </w:r>
    </w:p>
    <w:p w14:paraId="65A342E8" w14:textId="1FDBD118" w:rsidR="00016EE6" w:rsidRDefault="00016EE6">
      <w:pPr>
        <w:spacing w:line="480" w:lineRule="auto"/>
        <w:ind w:firstLine="720"/>
        <w:rPr>
          <w:rFonts w:ascii="Times New Roman" w:eastAsia="Times New Roman" w:hAnsi="Times New Roman" w:cs="Times New Roman"/>
          <w:sz w:val="24"/>
          <w:szCs w:val="24"/>
        </w:rPr>
      </w:pPr>
    </w:p>
    <w:p w14:paraId="434AB8A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1</w:t>
      </w:r>
      <w:r>
        <w:rPr>
          <w:rFonts w:ascii="Times New Roman" w:eastAsia="Times New Roman" w:hAnsi="Times New Roman" w:cs="Times New Roman"/>
          <w:sz w:val="24"/>
          <w:szCs w:val="24"/>
        </w:rPr>
        <w:t xml:space="preserve">: Probability of heads per flip on different models of coin flipping. Each of these models can fit the same dataset of two heads, eight tails with equal likelihood but make very different predictions about the next flip. </w:t>
      </w:r>
    </w:p>
    <w:p w14:paraId="249A36CF" w14:textId="77777777" w:rsidR="00016EE6" w:rsidRDefault="00016EE6">
      <w:pPr>
        <w:spacing w:line="480" w:lineRule="auto"/>
        <w:ind w:firstLine="720"/>
        <w:rPr>
          <w:rFonts w:ascii="Times New Roman" w:eastAsia="Times New Roman" w:hAnsi="Times New Roman" w:cs="Times New Roman"/>
          <w:sz w:val="24"/>
          <w:szCs w:val="24"/>
        </w:rPr>
      </w:pPr>
    </w:p>
    <w:p w14:paraId="4B3564C3"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5A676434" w14:textId="7F2567CC"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millions of students struggling with their statistics homework might cheer the destruction of the concept of estimating the probability of heads from a set of coin flips, it is important to emphasize that even though these models are functionally congruent and have the same number of parameters, each provides different predictions after a new set of coin flips are made (e.g., what is the likeliest outcome of the eleventh flip?). That is, even though they are indistinguishable from a probabilistic point of view, we can still distinguish them when new data becomes available. Of course, with comparative methods we cannot simply “flip” evolution more times to distinguish among a set of congruent models. The emphasis, then, as Morlon et al. (2022) recently pointed out, becomes what we are trying to learn about the world, given what we know about how it works. It is generally true that with coins, we have a good idea that the probability of heads does not change meaningfully over flips, so we may be willing to assume a standard binomial model and then question the fairness of a coin, perhaps as a way of extrapolating to other coins (i.e., if this Euro coin has a probability of heads of 0.502, is that true for other Euro coins?). In other words, the parameter can be of interest because the model is not really in question. </w:t>
      </w:r>
    </w:p>
    <w:p w14:paraId="4B7C1726" w14:textId="590C08ED"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many diversification models, the central question is about which model fits best, which is at odds with a general lack of knowledge about any system to clearly know which kind of model is appropriate ahead of time. In our view, we are not yet at the stage where we can </w:t>
      </w:r>
      <w:r>
        <w:rPr>
          <w:rFonts w:ascii="Times New Roman" w:eastAsia="Times New Roman" w:hAnsi="Times New Roman" w:cs="Times New Roman"/>
          <w:sz w:val="24"/>
          <w:szCs w:val="24"/>
        </w:rPr>
        <w:lastRenderedPageBreak/>
        <w:t xml:space="preserve">confidently rule out a congruent model where extinction rates are driven by the position of a hypothetical dwarf star outside our solar system, which triggers periods of increased comet activity on Earth (e.g. Raup and Sepkowski 1984), over a more “sensible” model of, say, temperature clearly affecting speciation but not extinction rates. In such cases, asking questions about which of several indistinguishable models fit does not seem to us a good use of our time. </w:t>
      </w:r>
    </w:p>
    <w:p w14:paraId="7290FB1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important to emphasize that our argument here is not that the issues Louca and Pennell (2020) point out are trivial. In fact, there are many papers, and even entire research programs, dedicated to the development of time-varying, lineage homogeneous models of diversification, and trying to draw conclusions based on which models fit best. 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 (the “effective diversification rate” that includes the effect of sampling) recommended by Louca and Pennell (2020), do not have other congruent models with different parameters, such as models that change rates by taxa rather than solely by time. Work on non-parametric identifiability (Stoudt 2020; Louca and Pennell pers. comm.) may be fruitful for determining which models will end up being useful.</w:t>
      </w:r>
    </w:p>
    <w:p w14:paraId="3EFDD64F" w14:textId="77777777" w:rsidR="00016EE6" w:rsidRDefault="00016EE6">
      <w:pPr>
        <w:spacing w:line="480" w:lineRule="auto"/>
        <w:rPr>
          <w:rFonts w:ascii="Times New Roman" w:eastAsia="Times New Roman" w:hAnsi="Times New Roman" w:cs="Times New Roman"/>
          <w:sz w:val="24"/>
          <w:szCs w:val="24"/>
        </w:rPr>
      </w:pPr>
    </w:p>
    <w:p w14:paraId="2B1361A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21960C0D" w14:textId="6D9A5D7A"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Ancestral state reconstruction of characters remains one of the most popular and widely used approaches in phylogenetic comparative methods, despite the occasional discussion to dampen enthusiasm in them (e.g., Cunningham et al. 1998; Omland 1999; Oakley and Cunningham, 2000). Ancestral state reconstruction is useful for formulating testable hypotheses, </w:t>
      </w:r>
      <w:r>
        <w:rPr>
          <w:rFonts w:ascii="Times New Roman" w:eastAsia="Times New Roman" w:hAnsi="Times New Roman" w:cs="Times New Roman"/>
          <w:sz w:val="24"/>
          <w:szCs w:val="24"/>
        </w:rPr>
        <w:lastRenderedPageBreak/>
        <w:t xml:space="preserve">such as the synthesis and performance evaluation of putative ancestral proteins (e.g., Thornton et al. 2003; Pillai et al. 2020), biogeographic history and movements of clades through time (e.g., Ree and Smith, 2008; Landis et al. 2020), and the order and timing of character state changes (e.g., Schluter et al. 1997; Ackerly et al. 2006). Reconstructing diversification rates through time has a similar appeal, in that they too can point to testable hypotheses about the intrinsic and extrinsic factors that drive species diversity among groups. Armed with only a phylogeny of modern taxa, we can reconstruct how speciation rate, extinction rate, net diversification rate, or the new pulled diversification or pulled speciation rates, have changed through time. With the 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Ignoring uncertainty in branch lengths or topology, this makes a 10 Myr long edge equally informative regardless of whether it ended 3 million years ago or 30 million years ago. </w:t>
      </w:r>
    </w:p>
    <w:p w14:paraId="14591409" w14:textId="08074823"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many practitioners do not have a good intuitive sense of how information is distributed on a tree. Take, for example, Figure 2, which depicts  a tree with one million taxa (from Louca and Pennell 2020). This tree  gives 999,998 intervals between speciation events leading to extant tips, plus the interval after the last recovered speciation event, with which to estimate rates. The seemingly normal thing to do, which was done by Louca and Pennell (2020), is to split the tree into equal time bins (e.g., every 10 Myr) and estimate rates based on those bins. Even though the tree is far larger than any published study of diversification, they only estimate rates along 10 time intervals and for many of these bins there is only a trivial amount of data. For example, at the start of the 100 Myr to 90 Myr interval, there are just seven lineages, </w:t>
      </w:r>
      <w:r>
        <w:rPr>
          <w:rFonts w:ascii="Times New Roman" w:eastAsia="Times New Roman" w:hAnsi="Times New Roman" w:cs="Times New Roman"/>
          <w:sz w:val="24"/>
          <w:szCs w:val="24"/>
        </w:rPr>
        <w:lastRenderedPageBreak/>
        <w:t xml:space="preserve">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 Each of the next several intervals has a single jump. That is, it goes from 10 to 11 lineages from 90 to 80 Myr, and from just 11 to 12 from 80 Myr to 90 Myr. It is no wonder that these methods perform poorly; a single event on a 12 taxon tree does not contain much information about rates, whether pulled or not. Put another way, these methods are starving for data across large portions of the tree. Our intuition is that for big trees we have information for much or all of their history, but in reality nearly all the information is near the tips. In fact, the midpoint of the data is the point at which half the number of lineages have accumulated, which is not the halfway point along the time axis. Our failure of intuition comes about, we feel, because we are not used to thinking of exponential branching processes (as Maddison and FitzJohn 2015 noted, our field does not yet think in terms of the curvature of biodiversity-time)  </w:t>
      </w:r>
    </w:p>
    <w:p w14:paraId="3862516C" w14:textId="7ECF162A" w:rsidR="00016EE6" w:rsidRDefault="00016EE6">
      <w:pPr>
        <w:spacing w:line="480" w:lineRule="auto"/>
        <w:ind w:firstLine="720"/>
        <w:rPr>
          <w:rFonts w:ascii="Times New Roman" w:eastAsia="Times New Roman" w:hAnsi="Times New Roman" w:cs="Times New Roman"/>
          <w:sz w:val="24"/>
          <w:szCs w:val="24"/>
        </w:rPr>
      </w:pPr>
    </w:p>
    <w:p w14:paraId="2EDA5FE5" w14:textId="77777777" w:rsidR="00016EE6" w:rsidRDefault="00016EE6">
      <w:pPr>
        <w:spacing w:line="480" w:lineRule="auto"/>
        <w:ind w:firstLine="720"/>
        <w:rPr>
          <w:rFonts w:ascii="Times New Roman" w:eastAsia="Times New Roman" w:hAnsi="Times New Roman" w:cs="Times New Roman"/>
          <w:sz w:val="24"/>
          <w:szCs w:val="24"/>
        </w:rPr>
      </w:pPr>
    </w:p>
    <w:p w14:paraId="0A9DAEDC" w14:textId="77777777" w:rsidR="00016EE6" w:rsidRDefault="00016EE6">
      <w:pPr>
        <w:spacing w:line="480" w:lineRule="auto"/>
        <w:ind w:firstLine="720"/>
        <w:rPr>
          <w:rFonts w:ascii="Times New Roman" w:eastAsia="Times New Roman" w:hAnsi="Times New Roman" w:cs="Times New Roman"/>
          <w:sz w:val="24"/>
          <w:szCs w:val="24"/>
        </w:rPr>
      </w:pPr>
    </w:p>
    <w:p w14:paraId="5E49D927" w14:textId="69923AC6" w:rsidR="00016EE6" w:rsidRDefault="00016EE6">
      <w:pPr>
        <w:spacing w:line="480" w:lineRule="auto"/>
        <w:ind w:firstLine="720"/>
        <w:rPr>
          <w:rFonts w:ascii="Times New Roman" w:eastAsia="Times New Roman" w:hAnsi="Times New Roman" w:cs="Times New Roman"/>
          <w:sz w:val="24"/>
          <w:szCs w:val="24"/>
        </w:rPr>
      </w:pPr>
    </w:p>
    <w:p w14:paraId="521CA5F4" w14:textId="1E17EA3B"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A one million taxon tree taken from Louca and Pennell (2020). The purple lines represent regimes if the tree is split into equal sized chunks according to some time interval (here an interval is 10 Myr) to estimate rates. The number of edges within a given bin naturally decreases as one moves towards the root. The thin vertical lines in a rainbow separate regimes with exactly 100 speciation events within them representing equal-sized slices of data. Note that </w:t>
      </w:r>
      <w:r>
        <w:rPr>
          <w:rFonts w:ascii="Times New Roman" w:eastAsia="Times New Roman" w:hAnsi="Times New Roman" w:cs="Times New Roman"/>
          <w:sz w:val="24"/>
          <w:szCs w:val="24"/>
        </w:rPr>
        <w:lastRenderedPageBreak/>
        <w:t xml:space="preserve">when splitting the tree in this way, half the regimes are on   the right side of the green band, showing how much of the data are near the tips. Ignoring uncertainty in branch lengths or topology, this makes a 10 Myr long edge equally informative regardless of whether it ended 3 Mya or 30 Mya. </w:t>
      </w:r>
    </w:p>
    <w:p w14:paraId="301753FD" w14:textId="77777777" w:rsidR="00016EE6" w:rsidRDefault="00016EE6">
      <w:pPr>
        <w:spacing w:line="480" w:lineRule="auto"/>
        <w:rPr>
          <w:rFonts w:ascii="Times New Roman" w:eastAsia="Times New Roman" w:hAnsi="Times New Roman" w:cs="Times New Roman"/>
          <w:sz w:val="24"/>
          <w:szCs w:val="24"/>
        </w:rPr>
      </w:pPr>
    </w:p>
    <w:p w14:paraId="09FDDC4B" w14:textId="21401D4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reconstructions of the jiggles of rates backward in time (whether one does one rate per interval or allows a model to pick intervals) will contain increasing levels of uncertainty as one moves deeper in time. Nee et al. (1994) showed clearly that even rates from a constant birth-death model can carry substantial uncertainty. Yet most analyses doing the sort of work Louca and Pennell (2020) criticize, and even their examples, return a single point estimate for each parameter at a given time period. In a few cases, point estimates are summarized together across a set of trees, which is better, but still likely reflects substantially less uncertainty than what is truly present in any single estimate. </w:t>
      </w:r>
    </w:p>
    <w:p w14:paraId="6AF8D261" w14:textId="33AFF387" w:rsidR="00016EE6" w:rsidRDefault="00016EE6">
      <w:pPr>
        <w:spacing w:line="480" w:lineRule="auto"/>
        <w:ind w:firstLine="720"/>
        <w:rPr>
          <w:rFonts w:ascii="Times New Roman" w:eastAsia="Times New Roman" w:hAnsi="Times New Roman" w:cs="Times New Roman"/>
          <w:sz w:val="24"/>
          <w:szCs w:val="24"/>
        </w:rPr>
      </w:pPr>
    </w:p>
    <w:p w14:paraId="67405A37" w14:textId="3DE1437F"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w:t>
      </w:r>
      <w:r w:rsidR="0051017E">
        <w:rPr>
          <w:rFonts w:ascii="Times New Roman" w:eastAsia="Times New Roman" w:hAnsi="Times New Roman" w:cs="Times New Roman"/>
          <w:sz w:val="24"/>
          <w:szCs w:val="24"/>
        </w:rPr>
        <w:t xml:space="preserve">The black background shows the limits all the curves (generated with a variety of approaches) that were within 2.0 log likelihood units of the optimum, and so represents an estimate of the </w:t>
      </w:r>
      <w:r w:rsidR="0051017E">
        <w:rPr>
          <w:rFonts w:ascii="Times New Roman" w:eastAsia="Times New Roman" w:hAnsi="Times New Roman" w:cs="Times New Roman"/>
          <w:sz w:val="24"/>
          <w:szCs w:val="24"/>
        </w:rPr>
        <w:lastRenderedPageBreak/>
        <w:t xml:space="preserve">uncertainty of the rates. </w:t>
      </w:r>
      <w:r w:rsidR="003B1868">
        <w:rPr>
          <w:rFonts w:ascii="Times New Roman" w:eastAsia="Times New Roman" w:hAnsi="Times New Roman" w:cs="Times New Roman"/>
          <w:sz w:val="24"/>
          <w:szCs w:val="24"/>
        </w:rPr>
        <w:t>The true uncertainty is undoubtedly much higher; the need for new code to even attempt an estimate of the uncertainty for this figure points to a lack of attention to this issue in the field</w:t>
      </w:r>
      <w:r w:rsidR="00C837E3">
        <w:rPr>
          <w:rFonts w:ascii="Times New Roman" w:eastAsia="Times New Roman" w:hAnsi="Times New Roman" w:cs="Times New Roman"/>
          <w:sz w:val="24"/>
          <w:szCs w:val="24"/>
        </w:rPr>
        <w:t>.</w:t>
      </w:r>
      <w:r w:rsidR="00121772">
        <w:rPr>
          <w:rFonts w:ascii="Times New Roman" w:eastAsia="Times New Roman" w:hAnsi="Times New Roman" w:cs="Times New Roman"/>
          <w:sz w:val="24"/>
          <w:szCs w:val="24"/>
        </w:rPr>
        <w:t xml:space="preserve"> Note that</w:t>
      </w:r>
      <w:r w:rsidR="00913267">
        <w:rPr>
          <w:rFonts w:ascii="Times New Roman" w:eastAsia="Times New Roman" w:hAnsi="Times New Roman" w:cs="Times New Roman"/>
          <w:sz w:val="24"/>
          <w:szCs w:val="24"/>
        </w:rPr>
        <w:t xml:space="preserve"> for legibility</w:t>
      </w:r>
      <w:r w:rsidR="00121772">
        <w:rPr>
          <w:rFonts w:ascii="Times New Roman" w:eastAsia="Times New Roman" w:hAnsi="Times New Roman" w:cs="Times New Roman"/>
          <w:sz w:val="24"/>
          <w:szCs w:val="24"/>
        </w:rPr>
        <w:t xml:space="preserve"> the speciation and extinction plots are truncated at a</w:t>
      </w:r>
      <w:r w:rsidR="00895967">
        <w:rPr>
          <w:rFonts w:ascii="Times New Roman" w:eastAsia="Times New Roman" w:hAnsi="Times New Roman" w:cs="Times New Roman"/>
          <w:sz w:val="24"/>
          <w:szCs w:val="24"/>
        </w:rPr>
        <w:t xml:space="preserve"> maximum</w:t>
      </w:r>
      <w:r w:rsidR="00121772">
        <w:rPr>
          <w:rFonts w:ascii="Times New Roman" w:eastAsia="Times New Roman" w:hAnsi="Times New Roman" w:cs="Times New Roman"/>
          <w:sz w:val="24"/>
          <w:szCs w:val="24"/>
        </w:rPr>
        <w:t xml:space="preserve"> rate of 0.3 events/MY, but the uncertainty goes far higher.</w:t>
      </w:r>
    </w:p>
    <w:p w14:paraId="2AD1D73C" w14:textId="77777777" w:rsidR="00016EE6" w:rsidRDefault="00016EE6" w:rsidP="001E24A9">
      <w:pPr>
        <w:spacing w:line="480" w:lineRule="auto"/>
        <w:rPr>
          <w:rFonts w:ascii="Times New Roman" w:eastAsia="Times New Roman" w:hAnsi="Times New Roman" w:cs="Times New Roman"/>
          <w:sz w:val="24"/>
          <w:szCs w:val="24"/>
        </w:rPr>
      </w:pPr>
    </w:p>
    <w:p w14:paraId="4F3AD7D0" w14:textId="2C689D83" w:rsidR="00016EE6" w:rsidRPr="001E24A9" w:rsidRDefault="00000000">
      <w:pPr>
        <w:spacing w:line="480" w:lineRule="auto"/>
        <w:ind w:firstLine="720"/>
        <w:rPr>
          <w:rFonts w:ascii="Times New Roman" w:eastAsia="Times New Roman" w:hAnsi="Times New Roman" w:cs="Times New Roman"/>
          <w:sz w:val="24"/>
          <w:szCs w:val="24"/>
          <w:highlight w:val="white"/>
        </w:rPr>
      </w:pPr>
      <w:r w:rsidRPr="001E24A9">
        <w:rPr>
          <w:rFonts w:ascii="Times New Roman" w:eastAsia="Times New Roman" w:hAnsi="Times New Roman" w:cs="Times New Roman"/>
          <w:sz w:val="24"/>
          <w:szCs w:val="24"/>
          <w:highlight w:val="white"/>
        </w:rPr>
        <w:t>Besides unexamined uncertainty in point estimates, there is substantial uncertainty in which model fits best, even if one ignores the congruence issue. We took as an example of solid research work in the field, recent work by</w:t>
      </w:r>
      <w:r w:rsidR="00314700">
        <w:rPr>
          <w:rFonts w:ascii="Times New Roman" w:eastAsia="Times New Roman" w:hAnsi="Times New Roman" w:cs="Times New Roman"/>
          <w:sz w:val="24"/>
          <w:szCs w:val="24"/>
          <w:highlight w:val="white"/>
        </w:rPr>
        <w:t xml:space="preserve"> </w:t>
      </w:r>
      <w:r w:rsidRPr="001E24A9">
        <w:rPr>
          <w:rFonts w:ascii="Times New Roman" w:eastAsia="Times New Roman" w:hAnsi="Times New Roman" w:cs="Times New Roman"/>
          <w:sz w:val="24"/>
          <w:szCs w:val="24"/>
          <w:highlight w:val="white"/>
        </w:rPr>
        <w:t xml:space="preserve">Condamine et al. (2020), which compared various models correlating various rates with angiosperm diversity (and other potential predictors) using just a phylogenetic tree; their best model showed an exponential dependence of conifer extinction rate with the number of angiosperms.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 This is similar in spirit as Rabosky and Goldberg (2015) showing that whale names could provide a better fit of diversification rates than constant rate models. We wanted to see if biologically implausible predictors could result in good fits. In this paper’s original model set, </w:t>
      </w:r>
      <w:r w:rsidRPr="001E24A9">
        <w:rPr>
          <w:rFonts w:ascii="Times New Roman" w:eastAsia="Gungsuh" w:hAnsi="Times New Roman" w:cs="Times New Roman"/>
          <w:sz w:val="24"/>
          <w:szCs w:val="24"/>
          <w:highlight w:val="white"/>
        </w:rPr>
        <w:t xml:space="preserve"> models nearly as good (∆AICc &lt; 2; see their Table S5) include an effect on speciation or both speciation and extinction (only 41% of the model weight is on variable extinction only models; 39% is on variable speciation only, and 21% on both varying)</w:t>
      </w:r>
      <w:r w:rsidRPr="001E24A9">
        <w:rPr>
          <w:rFonts w:ascii="Times New Roman" w:eastAsia="Times New Roman" w:hAnsi="Times New Roman" w:cs="Times New Roman"/>
          <w:sz w:val="24"/>
          <w:szCs w:val="24"/>
          <w:highlight w:val="white"/>
        </w:rPr>
        <w:t xml:space="preserve"> – there is extremely little signal in the data on what exactly is varying, making it hard to draw conclusions about mechanism from the best model. For example, by adding a random fitted (yellow) model in Figure 3, the diversification curves predict the conifer data even better but tell a very different story of constant speciation with decreases of extinction in the Cretaceous and </w:t>
      </w:r>
      <w:r w:rsidRPr="001E24A9">
        <w:rPr>
          <w:rFonts w:ascii="Times New Roman" w:eastAsia="Times New Roman" w:hAnsi="Times New Roman" w:cs="Times New Roman"/>
          <w:sz w:val="24"/>
          <w:szCs w:val="24"/>
          <w:highlight w:val="white"/>
        </w:rPr>
        <w:lastRenderedPageBreak/>
        <w:t xml:space="preserve">Neogene rather than the recovered pattern of a gradual rise of extinction in the Cretaceous onward. Even using ratings of a television show (the Simpsons, the red line) scaled for the appropriate time period predicts conifer diversification better than the postulated angiosperm mechanism. This is not to say that we believe that conifers did have an extinction decrease in the Cretaceous and Neogene, nor that a television program at all relates to diversification. </w:t>
      </w:r>
      <w:r w:rsidR="00D677B1" w:rsidRPr="00D677B1">
        <w:rPr>
          <w:rFonts w:ascii="Times New Roman" w:eastAsia="Times New Roman" w:hAnsi="Times New Roman" w:cs="Times New Roman"/>
          <w:sz w:val="24"/>
          <w:szCs w:val="24"/>
          <w:highlight w:val="white"/>
        </w:rPr>
        <w:t>But</w:t>
      </w:r>
      <w:r w:rsidRPr="001E24A9">
        <w:rPr>
          <w:rFonts w:ascii="Times New Roman" w:eastAsia="Times New Roman" w:hAnsi="Times New Roman" w:cs="Times New Roman"/>
          <w:sz w:val="24"/>
          <w:szCs w:val="24"/>
          <w:highlight w:val="white"/>
        </w:rPr>
        <w:t xml:space="preserve"> even very careful work in this domain is left uncertain due to issues with these models.</w:t>
      </w:r>
    </w:p>
    <w:p w14:paraId="1F761730" w14:textId="73D3AB7C" w:rsidR="00016EE6" w:rsidRDefault="00000000">
      <w:pPr>
        <w:spacing w:line="480" w:lineRule="auto"/>
        <w:ind w:firstLine="720"/>
        <w:rPr>
          <w:rFonts w:ascii="Times New Roman" w:eastAsia="Times New Roman" w:hAnsi="Times New Roman" w:cs="Times New Roman"/>
          <w:sz w:val="24"/>
          <w:szCs w:val="24"/>
          <w:highlight w:val="white"/>
        </w:rPr>
      </w:pPr>
      <w:r w:rsidRPr="00314700">
        <w:rPr>
          <w:rFonts w:ascii="Times New Roman" w:eastAsia="Gungsuh" w:hAnsi="Times New Roman" w:cs="Times New Roman"/>
          <w:sz w:val="24"/>
          <w:szCs w:val="24"/>
          <w:highlight w:val="white"/>
        </w:rPr>
        <w:t xml:space="preserve">Similarly, Morlon et al. (2011) looking at a paraphyletic set of 16 cetaceans found a constant speciation but variable extinction model fit best, but there were two other </w:t>
      </w:r>
      <w:r w:rsidR="00314700">
        <w:rPr>
          <w:rFonts w:ascii="Times New Roman" w:eastAsia="Gungsuh" w:hAnsi="Times New Roman" w:cs="Times New Roman"/>
          <w:sz w:val="24"/>
          <w:szCs w:val="24"/>
          <w:highlight w:val="white"/>
        </w:rPr>
        <w:t xml:space="preserve">good </w:t>
      </w:r>
      <w:r w:rsidRPr="00314700">
        <w:rPr>
          <w:rFonts w:ascii="Times New Roman" w:eastAsia="Gungsuh" w:hAnsi="Times New Roman" w:cs="Times New Roman"/>
          <w:sz w:val="24"/>
          <w:szCs w:val="24"/>
          <w:highlight w:val="white"/>
        </w:rPr>
        <w:t>models with a ∆AICc of less than 1 (including one where extinction does not vary) — this makes it hard to draw any firm conclusions from modern data alone.</w:t>
      </w:r>
      <w:r w:rsidRPr="00314700">
        <w:rPr>
          <w:rFonts w:ascii="Times New Roman" w:eastAsia="Times New Roman" w:hAnsi="Times New Roman" w:cs="Times New Roman"/>
          <w:sz w:val="24"/>
          <w:szCs w:val="24"/>
          <w:highlight w:val="white"/>
        </w:rPr>
        <w:t xml:space="preserve"> C</w:t>
      </w:r>
      <w:r>
        <w:rPr>
          <w:rFonts w:ascii="Times New Roman" w:eastAsia="Times New Roman" w:hAnsi="Times New Roman" w:cs="Times New Roman"/>
          <w:sz w:val="24"/>
          <w:szCs w:val="24"/>
          <w:highlight w:val="white"/>
        </w:rPr>
        <w:t xml:space="preserve">areful biologists, as shown in the studies above, will limit themselves to only feasible mechanisms, but as we know from other diversification models (Rabosky and Goldberg 2015, Beaulieu and O’Meara, 2016), if presented with a very simple model and more complex alternatives only, methods using our messy, complex empirical data will leap to use the more complex predictors. That is, if the only way to 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3006CCAC"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Louca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w:t>
      </w:r>
      <w:r>
        <w:rPr>
          <w:rFonts w:ascii="Times New Roman" w:eastAsia="Times New Roman" w:hAnsi="Times New Roman" w:cs="Times New Roman"/>
          <w:sz w:val="24"/>
          <w:szCs w:val="24"/>
        </w:rPr>
        <w:lastRenderedPageBreak/>
        <w:t xml:space="preserve">tree likelihood and the character model likelihood (or the sum of the log-likelihoods in log space), so the models are clearly related. One could certainly alter the SSE model to include realistic factors like mass extinctions and secular changes in rates through time, and any one of these features will undoubtedly lead to a set of models with identical likelihoods. However, in other ways, strict SSE models can be immune,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identifiable, though not immune to all the practical difficulties of estimating rates in the presence of extinction, finite data, errors in branch lengths and topology, and more. </w:t>
      </w:r>
    </w:p>
    <w:p w14:paraId="0FE6B97B" w14:textId="717D9448"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are immune to the issues of model congruence based on information in the lineage through time plot: SSE models use more information than this. In Figure 4, there are three trees with identical lineage through time curves, but different arrangements of topology. Under a constant rate Yule or birth-death model the likelihoods of these three trees are identical, as one would expect given the findings of Louca and Pennell (2020). However, if we allow for multiple rates to be inferred across the tree by fitting a hidden states-only model (which we call MiSSE; see Vasconcelos et al. 2021) the three trees have different likelihoods. This is because the MiSSE model uses information not </w:t>
      </w:r>
      <w:r>
        <w:rPr>
          <w:rFonts w:ascii="Times New Roman" w:eastAsia="Times New Roman" w:hAnsi="Times New Roman" w:cs="Times New Roman"/>
          <w:sz w:val="24"/>
          <w:szCs w:val="24"/>
        </w:rPr>
        <w:lastRenderedPageBreak/>
        <w:t xml:space="preserve">accessible to LTT methods, namely, the tree topology. Other methods that fit rate heterogeneity across taxa, such as BAMM (Rabosky 2014), MSBD (Barido-Sottani et al. 2018), and ClaDS (Maliet et al. 2019) may also not be bound by the issues that make different LTT models congruent. Even an approach as simple as sister group comparisons (e.g., Slowinski and Guyer 1993) can detect differences in the overall accumulation of species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Iwasa (1995) and Louca and Pennell (2020) does not </w:t>
      </w:r>
      <w:r w:rsidR="00314700">
        <w:rPr>
          <w:rFonts w:ascii="Times New Roman" w:eastAsia="Times New Roman" w:hAnsi="Times New Roman" w:cs="Times New Roman"/>
          <w:sz w:val="24"/>
          <w:szCs w:val="24"/>
        </w:rPr>
        <w:t xml:space="preserve">straightforwardly </w:t>
      </w:r>
      <w:r>
        <w:rPr>
          <w:rFonts w:ascii="Times New Roman" w:eastAsia="Times New Roman" w:hAnsi="Times New Roman" w:cs="Times New Roman"/>
          <w:sz w:val="24"/>
          <w:szCs w:val="24"/>
        </w:rPr>
        <w:t xml:space="preserve">apply to them. Vasconcelos et al. (2022) showed that under a variety of complex diversification models, including scenarios involving multiple regime, diversity-dependent rates, clade-specific models with hidden rates can perform surprisingly well. </w:t>
      </w:r>
    </w:p>
    <w:p w14:paraId="216652BE" w14:textId="79AE8271" w:rsidR="00016EE6" w:rsidRDefault="00016EE6">
      <w:pPr>
        <w:spacing w:line="480" w:lineRule="auto"/>
        <w:ind w:firstLine="720"/>
        <w:rPr>
          <w:rFonts w:ascii="Times New Roman" w:eastAsia="Times New Roman" w:hAnsi="Times New Roman" w:cs="Times New Roman"/>
          <w:sz w:val="24"/>
          <w:szCs w:val="24"/>
        </w:rPr>
      </w:pPr>
    </w:p>
    <w:p w14:paraId="07E4D985" w14:textId="5B93A114" w:rsidR="00016EE6" w:rsidRDefault="00000000" w:rsidP="001E24A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it, but maintain the same lineage through time curve. (B) Depicts the log-likelihood score among the three trees under a two-rate MiSSE model. These trees produce identical log-likelihoods under taxon-homogeneous, time-heterogeneous models that use LTT data. However, this is not the case here because allowing rates to vary among clades (shades of red represent faster rates, shades blue represent slower rates), as our MiSSE models do, avoids the trap of having an infinite array of congruent models. Helmstetter et al. (2021) reach similarly positive conclusions about the possibility of learning about diversification from SSE models. </w:t>
      </w:r>
    </w:p>
    <w:p w14:paraId="71797B96" w14:textId="08A6AC7B"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Still, there are scenarios that remain difficult for SSE models. For example, at the request of a reviewer, we also ran simulations of a model with no extinction and speciation rates exponentially increasing uniformly across the tree (simulated in the R package castor; Louca and Doebeli 2018). Thus, the generating model is outside the scope of typical SSE models in that it does not contain any state-specific or lineage-specific variation. When we analyzed these trees with MiSSE (Vasconcelos et al. 2022), despite the true underlying model having no extinction, MiSSE typically recovered an extinction rate about half the speciation rate. However, MiSSE did usually correctly find that the best model had no heterogeneity of rates. It also did a better job estimating speciation rates at the tips than net diversification rate (see Fig. S1). Nevertheless, given that both change continually through time it is a bit ambiguous what the “true” tip rate should be – the rate at the instant the simulation ended or the average rate for the previous one million years. These tests demonstrate that when MiSSE does not find evidence for clade-specific rate variation, extracting qualitative meaning from speciation rates across the tips is still possible, but that estimates of extinction rates are likely to be suspect. </w:t>
      </w:r>
    </w:p>
    <w:p w14:paraId="5C871324" w14:textId="77777777" w:rsidR="00016EE6" w:rsidRDefault="00016EE6">
      <w:pPr>
        <w:spacing w:line="480" w:lineRule="auto"/>
        <w:rPr>
          <w:rFonts w:ascii="Times New Roman" w:eastAsia="Times New Roman" w:hAnsi="Times New Roman" w:cs="Times New Roman"/>
          <w:sz w:val="24"/>
          <w:szCs w:val="24"/>
        </w:rPr>
      </w:pP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D338FEB"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w:t>
      </w:r>
      <w:r>
        <w:rPr>
          <w:rFonts w:ascii="Times New Roman" w:eastAsia="Times New Roman" w:hAnsi="Times New Roman" w:cs="Times New Roman"/>
          <w:sz w:val="24"/>
          <w:szCs w:val="24"/>
        </w:rPr>
        <w:lastRenderedPageBreak/>
        <w:t xml:space="preserve">perfectly constant through time, with no changes in extinction rates, no factors changing speciation rates, and more. We know the data comes from a heterogeneous, complex process and so any complex model, even if somewhat reasonable,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of our work on hidden rate models (e.g. Beaulieu et al. 2013; Beaulieu and O’Meara 2016; Caetano et al. 2018; Boyko and Beaulieu 2021) is motivated by this desire to give our preferred models an actual chance to lose against other models in the hope that we learn from this.</w:t>
      </w:r>
    </w:p>
    <w:p w14:paraId="072F5D5C" w14:textId="70E6D3D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Louca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diversification rates through time tell us very little, if anything, about the past. However, we would add that instead of tracing the wiggles of a single pulled diversification rate, or even take the extreme step of stopping analyses of diversification using modern phylogenies altogether, we should use the </w:t>
      </w:r>
      <w:r>
        <w:rPr>
          <w:rFonts w:ascii="Times New Roman" w:eastAsia="Times New Roman" w:hAnsi="Times New Roman" w:cs="Times New Roman"/>
          <w:sz w:val="24"/>
          <w:szCs w:val="24"/>
        </w:rPr>
        <w:lastRenderedPageBreak/>
        <w:t xml:space="preserve">valid methods we do have to answer biological questions, in the same way we can use Brownian motion even though different parameterizations can give identical likelihoods. Focus on analyses that lead to discoveries or confirmations of biological processes that are possible given available data. </w:t>
      </w:r>
    </w:p>
    <w:p w14:paraId="3F1D4AB2" w14:textId="625B150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whole,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Phylogenies of extant taxa convey an enormous amount of information about species and their direct ancestors, but they also necessarily miss much of the history of a particular clade. As a consequence, there will never be a clever analysis of a phylogeny of extant archosaurs (crocodilians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diversification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We can understand something about diversification patterns of extant birds, for example, including what traits are associated with faster diversification or turnover rates. Moreover, even in cases where we have samples through time, model congruence can still be an issue (Louca et al. 2021).</w:t>
      </w:r>
    </w:p>
    <w:p w14:paraId="61C751F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best example of procedures that illustrate where we think the field needs to reconsider are classic sister group comparisons (Mitter et al., 1988). These explicitly are about comparing modern clades and so are by their nature lineage-heterogeneous and limited to </w:t>
      </w:r>
      <w:r>
        <w:rPr>
          <w:rFonts w:ascii="Times New Roman" w:eastAsia="Times New Roman" w:hAnsi="Times New Roman" w:cs="Times New Roman"/>
          <w:sz w:val="24"/>
          <w:szCs w:val="24"/>
        </w:rPr>
        <w:lastRenderedPageBreak/>
        <w:t xml:space="preserve">examining factors leading to modern diversity. They do not claim to allow inference about rate shifts in the past, since they attempt to control for the effect of time. There can be important corrections for even these methods (Käfer and Mousset, 2014) but they prevent scientists from spinning tales from limited information about the past. They should also be far more robust to the concerns raised by Maddison and FitzJohn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(Beaulieu and O’Meara, 2016; Vasconcelos et al. 2021); they typically require only discrete characters (though see Harvey et al. 2020 and the bomeara/sisters package on github);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564FC11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w:t>
      </w:r>
      <w:r>
        <w:rPr>
          <w:rFonts w:ascii="Times New Roman" w:eastAsia="Times New Roman" w:hAnsi="Times New Roman" w:cs="Times New Roman"/>
          <w:sz w:val="24"/>
          <w:szCs w:val="24"/>
        </w:rPr>
        <w:lastRenderedPageBreak/>
        <w:t xml:space="preserve">been doing, not what the clade as a whole may have been doing. Thus, approaches that seek to paint pictures about potential past diversification regimes at very incremental time periods are certainly suspect, with Louca and Pennell (2020) pointing to additional congruence issues that can affect diversification models. </w:t>
      </w:r>
    </w:p>
    <w:p w14:paraId="4CAF4CF2" w14:textId="20B5EA29"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practitioners  continue to persist in this endeavor (and new metrics like pulled diversification rates have promise, with the caveat of difficulty in interpreting them), using normal statistical best practices are needed. Specifically, look at multiple credible models, do not rely on a single model for analysis when others are nearly as good, and do not completely ignore uncertainty in parameter estimates (and not just uncertainty from uncertainty in the tree, but the very substantial uncertainty present from estimate rates from mere handfuls of data). 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 with very little information on what happened along the way. Current SSE models and other models that infer rate heterogeneity across taxa, rather than across time, are more defensible in their use but still may have issues, albeit different from the particular issue raised by Kubo and Iwasa (1995) and Louca and Pennell (2020). . Sister group analyses may grow in importance in future studies of factors that lead to different amounts of extant diversity..</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77777777" w:rsidR="00016EE6" w:rsidRDefault="00016EE6">
      <w:pPr>
        <w:spacing w:line="480" w:lineRule="auto"/>
        <w:rPr>
          <w:rFonts w:ascii="Times New Roman" w:eastAsia="Times New Roman" w:hAnsi="Times New Roman" w:cs="Times New Roman"/>
          <w:b/>
          <w:sz w:val="24"/>
          <w:szCs w:val="24"/>
        </w:rPr>
      </w:pPr>
    </w:p>
    <w:p w14:paraId="56B7745E" w14:textId="77777777" w:rsidR="00016EE6" w:rsidRDefault="00016EE6">
      <w:pPr>
        <w:spacing w:line="480" w:lineRule="auto"/>
        <w:rPr>
          <w:rFonts w:ascii="Times New Roman" w:eastAsia="Times New Roman" w:hAnsi="Times New Roman" w:cs="Times New Roman"/>
          <w:b/>
          <w:sz w:val="24"/>
          <w:szCs w:val="24"/>
        </w:rPr>
      </w:pPr>
    </w:p>
    <w:p w14:paraId="56F81CFA" w14:textId="77777777" w:rsidR="00016EE6" w:rsidRDefault="00016EE6">
      <w:pPr>
        <w:spacing w:line="480" w:lineRule="auto"/>
        <w:rPr>
          <w:rFonts w:ascii="Times New Roman" w:eastAsia="Times New Roman" w:hAnsi="Times New Roman" w:cs="Times New Roman"/>
          <w:b/>
          <w:sz w:val="24"/>
          <w:szCs w:val="24"/>
        </w:rPr>
      </w:pPr>
    </w:p>
    <w:p w14:paraId="077C9311" w14:textId="77777777" w:rsidR="00016EE6" w:rsidRDefault="00016EE6">
      <w:pPr>
        <w:spacing w:line="480" w:lineRule="auto"/>
        <w:rPr>
          <w:rFonts w:ascii="Times New Roman" w:eastAsia="Times New Roman" w:hAnsi="Times New Roman" w:cs="Times New Roman"/>
          <w:b/>
          <w:sz w:val="24"/>
          <w:szCs w:val="24"/>
        </w:rPr>
      </w:pPr>
    </w:p>
    <w:p w14:paraId="5122AA66" w14:textId="77777777" w:rsidR="00016EE6" w:rsidRDefault="00016EE6">
      <w:pPr>
        <w:spacing w:line="480" w:lineRule="auto"/>
        <w:rPr>
          <w:rFonts w:ascii="Times New Roman" w:eastAsia="Times New Roman" w:hAnsi="Times New Roman" w:cs="Times New Roman"/>
          <w:b/>
          <w:sz w:val="24"/>
          <w:szCs w:val="24"/>
        </w:rPr>
      </w:pPr>
    </w:p>
    <w:p w14:paraId="39EFDFE0" w14:textId="77777777" w:rsidR="00016EE6" w:rsidRDefault="00016EE6">
      <w:pPr>
        <w:spacing w:line="480" w:lineRule="auto"/>
        <w:rPr>
          <w:rFonts w:ascii="Times New Roman" w:eastAsia="Times New Roman" w:hAnsi="Times New Roman" w:cs="Times New Roman"/>
          <w:b/>
          <w:sz w:val="24"/>
          <w:szCs w:val="24"/>
        </w:rPr>
      </w:pPr>
    </w:p>
    <w:p w14:paraId="426C5F87" w14:textId="77777777" w:rsidR="00016EE6" w:rsidRDefault="00016EE6">
      <w:pPr>
        <w:spacing w:line="480" w:lineRule="auto"/>
        <w:rPr>
          <w:rFonts w:ascii="Times New Roman" w:eastAsia="Times New Roman" w:hAnsi="Times New Roman" w:cs="Times New Roman"/>
          <w:b/>
          <w:sz w:val="24"/>
          <w:szCs w:val="24"/>
        </w:rPr>
      </w:pPr>
    </w:p>
    <w:p w14:paraId="52999F00" w14:textId="77777777" w:rsidR="00016EE6" w:rsidRDefault="00016EE6">
      <w:pPr>
        <w:spacing w:line="480" w:lineRule="auto"/>
        <w:rPr>
          <w:rFonts w:ascii="Times New Roman" w:eastAsia="Times New Roman" w:hAnsi="Times New Roman" w:cs="Times New Roman"/>
          <w:b/>
          <w:sz w:val="24"/>
          <w:szCs w:val="24"/>
        </w:rPr>
      </w:pPr>
    </w:p>
    <w:p w14:paraId="6A759E7C" w14:textId="77777777" w:rsidR="00016EE6" w:rsidRDefault="00016EE6">
      <w:pPr>
        <w:spacing w:line="480" w:lineRule="auto"/>
        <w:rPr>
          <w:rFonts w:ascii="Times New Roman" w:eastAsia="Times New Roman" w:hAnsi="Times New Roman" w:cs="Times New Roman"/>
          <w:b/>
          <w:sz w:val="24"/>
          <w:szCs w:val="24"/>
        </w:rPr>
      </w:pPr>
    </w:p>
    <w:p w14:paraId="3D4DF2EF" w14:textId="77777777" w:rsidR="00016EE6" w:rsidRDefault="00016EE6">
      <w:pPr>
        <w:spacing w:line="480" w:lineRule="auto"/>
        <w:rPr>
          <w:rFonts w:ascii="Times New Roman" w:eastAsia="Times New Roman" w:hAnsi="Times New Roman" w:cs="Times New Roman"/>
          <w:b/>
          <w:sz w:val="24"/>
          <w:szCs w:val="24"/>
        </w:rPr>
      </w:pPr>
    </w:p>
    <w:p w14:paraId="726D8646" w14:textId="77777777" w:rsidR="00016EE6" w:rsidRDefault="00016EE6">
      <w:pPr>
        <w:spacing w:line="480" w:lineRule="auto"/>
        <w:rPr>
          <w:rFonts w:ascii="Times New Roman" w:eastAsia="Times New Roman" w:hAnsi="Times New Roman" w:cs="Times New Roman"/>
          <w:b/>
          <w:sz w:val="24"/>
          <w:szCs w:val="24"/>
        </w:rPr>
      </w:pPr>
    </w:p>
    <w:p w14:paraId="6EC52842" w14:textId="77777777" w:rsidR="00016EE6" w:rsidRDefault="00016EE6">
      <w:pPr>
        <w:spacing w:line="480" w:lineRule="auto"/>
        <w:rPr>
          <w:rFonts w:ascii="Times New Roman" w:eastAsia="Times New Roman" w:hAnsi="Times New Roman" w:cs="Times New Roman"/>
          <w:b/>
          <w:sz w:val="24"/>
          <w:szCs w:val="24"/>
        </w:rPr>
      </w:pPr>
    </w:p>
    <w:p w14:paraId="1CA65D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355D8BC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60C9404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Ackerly, D.D., D.W. Schwilk, and C.O. Webb. 2006. Niche evolution and adaptive radiation: testing the order of trait divergence. Ecology 87:S50-S61.</w:t>
      </w:r>
    </w:p>
    <w:p w14:paraId="23B44AA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phylogenies. Systematic Biology 65:35-50.</w:t>
      </w:r>
    </w:p>
    <w:p w14:paraId="56A08E2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Barido-Sottani, J., T.G. Vaughan, and T. Stadler. 2018. Detection of HIV transmission clusters from phylogenetic trees using a multi-state birth-death model. Journal of the Royal Society Interface 15:https://doi.org/10.1098/rsif.2018.0512</w:t>
      </w:r>
    </w:p>
    <w:p w14:paraId="6879814C"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Beaulieu, J.M., D.-C. Jhwueng, C. Boettiger, and B.C. O'Meara. 2012. Modeling stabilizing selection: expanding the Ornstein-Uhlenbeck model of adaptive evolution. Evolution 66: 2369-2383.</w:t>
      </w:r>
    </w:p>
    <w:p w14:paraId="18621D6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B.C. O’Meara, M.J. Donoghue. 2013. Identifying hidden rate changes in the evolution of a binary morphological character: the evolution of plant habit in campanulid angiosperms. Systematic Biology 62: 725:737.</w:t>
      </w:r>
    </w:p>
    <w:p w14:paraId="070D9A6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FE959E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262ACFC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Bokma, F. 2008. Bayesian estimation of speciation and extinction probabilities from (in)complete phylogenies. Evolution 62:2441–2445.</w:t>
      </w:r>
    </w:p>
    <w:p w14:paraId="305916D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biogeographic models. Evolution 72:2308-2324.</w:t>
      </w:r>
    </w:p>
    <w:p w14:paraId="64CD537F"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D. Silvestro, E.B. Koppelhus, and A. Antonelli. 2020. The rise of angiosperms pushed conifers to decline during global cooling. Proceedings of the National Academy of Sciences, USA 117:28867-28875.</w:t>
      </w:r>
    </w:p>
    <w:p w14:paraId="34092DD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2019. Assessing the causes of diversification slowdowns: temperature-dependent diversity-dependent models receive equivalent support. Ecology Letters 22:1900-1912.</w:t>
      </w:r>
    </w:p>
    <w:p w14:paraId="5F3070D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Condamine, F.L., J. Rolland, and H. Morlon. 2013. Macroevolutionary perspectives to environmental change. Ecology Letters 16:72-85.</w:t>
      </w:r>
    </w:p>
    <w:p w14:paraId="6066AD5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Cunningham, C.W., K.E. Omland, and T.H. Oakley. 1998. Reconstructing ancestral character states: a critical reappraisal. Trends in Ecology and Evolution 13:361-366.</w:t>
      </w:r>
    </w:p>
    <w:p w14:paraId="5E15DC3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07AF225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Eriksson, O. E.M. Friis, and P. Lofgren. 2000. Seed size, fruit size, and dispersal systems in angiosperms from the Early Cretaceous to the Late Tertiary. The American Naturalist 156:47-58.</w:t>
      </w:r>
    </w:p>
    <w:p w14:paraId="64C5726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Etienne, R.S., B. Haegeman, T. Stadler, T. Aze, P. Pearson, A. Purvis, and A.Phillimore. 2012. Diversity-dependence brings molecular phylogenies closer to agreement with the fossil record. Proceedings of the Royal Society, B 279:1300–1309.</w:t>
      </w:r>
    </w:p>
    <w:p w14:paraId="05C354A8"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Felsenstein J. 1988. Phylogenies and quantitative characters. Annual Review of Ecology and Systematics 19:445-471.</w:t>
      </w:r>
    </w:p>
    <w:p w14:paraId="3193661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macroevolutionary patterns: the correlation structure of interspecific data. Evolution 50:1404-1417.</w:t>
      </w:r>
    </w:p>
    <w:p w14:paraId="7EBFFE2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Helmstetter, A.J., S. Glemin, J. Käfer, R. Zenil-Ferguson, H. Sauquet, H. de Boer, L-P. M.J. Dagallier, N. Mazet, E.L. Reboud, T.L.P. Couvreur, F.L. Condamine. 2021. Pulled diversification rates, lineages-through-time plots and modern macroevolutionary modeling. Systematic Biology in press.</w:t>
      </w:r>
    </w:p>
    <w:p w14:paraId="268720A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Käfer, J., and S. Mousset. 2014. Standard sister clade comparison fails when testing derived character states. Systematic Biology 63:601-609.</w:t>
      </w:r>
    </w:p>
    <w:p w14:paraId="28FC568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Kubo, T., and Y. Iwasa. 1995. Inferring the rates of branching and extinction from molecular phylogenies. Evolution 49:694-704.</w:t>
      </w:r>
    </w:p>
    <w:p w14:paraId="7391155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1FEBCA2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33B7DCA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Louca, S., and M. Doebeli. 2018. Efficient comparative phylogenetics on large trees. Bioinformatics 34:1053-1055.</w:t>
      </w:r>
    </w:p>
    <w:p w14:paraId="2F99481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Louca, S., and M.W. Pennell. 2020. Extant timetrees are consistent with a myriad of diversification histories. Nature 580:502-506.</w:t>
      </w:r>
    </w:p>
    <w:p w14:paraId="266E73A4"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Louca, S., A. McLaughlin, A. MacPherson, J.B. Joy, M.W. Pennell. 2021. Fundamental identifiability limits in molecular epidemiology. Molecular Biology and Evolution 38:4010-4024. </w:t>
      </w:r>
    </w:p>
    <w:p w14:paraId="76572EA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and R.G. FitzJohn. 2015. The unsolved challenge to phylogenetic correlation tests for categorical characters. Systematic Biology 64: 127-136.</w:t>
      </w:r>
    </w:p>
    <w:p w14:paraId="09A5688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29A6DA62" w14:textId="59C6CA8B"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Maliet, O., F. Hartig, and H. Morlon. 2019. A model with many small shifts for estimating species-specific diversification rates. Nature Ecology and Evolution 3:1086-1092.</w:t>
      </w:r>
    </w:p>
    <w:p w14:paraId="3A5525BA" w14:textId="1A7B343C" w:rsidR="009E2714" w:rsidRPr="001E24A9" w:rsidRDefault="009E2714" w:rsidP="009E2714">
      <w:pPr>
        <w:spacing w:line="48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r w:rsidR="00162651">
        <w:rPr>
          <w:rFonts w:ascii="Times New Roman" w:eastAsia="Times New Roman" w:hAnsi="Times New Roman" w:cs="Times New Roman"/>
          <w:sz w:val="24"/>
          <w:szCs w:val="24"/>
          <w:lang w:val="en-US"/>
        </w:rPr>
        <w:t>1: 1065</w:t>
      </w:r>
    </w:p>
    <w:p w14:paraId="011499F4"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Mitter, C. B. Farrell, B. Wiegmann. 1988. The phylogenetic study of adaptive zones: has phytophagy promoted insect diversification? American Naturalist 132: 107-128.</w:t>
      </w:r>
    </w:p>
    <w:p w14:paraId="0E62C98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Morlon, H., T.L. Parsons, and J.B. Plotkin. 2011. Reconciling molecular phylogenies with the fossil record. Proceedings of the National Academy of Sciences, USA 108:16327–16332.</w:t>
      </w:r>
    </w:p>
    <w:p w14:paraId="7EDA4078" w14:textId="2A9B1E86"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S. Robin,, and  F. Hartig. 2023.  Studying speciation and extinction dynamics from phylogenies: addressing identifiability issues. Trends in Ecology and Evolution 37:497-506.</w:t>
      </w:r>
    </w:p>
    <w:p w14:paraId="15E82DA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072CFB4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A.Ø. Mooers, and P.H. Harvey. 1992. The tempo and mode of evolution revealed from molecular phylogenies. Proceedings of the National Academy of Sciences, USA 89:8322–8326.</w:t>
      </w:r>
    </w:p>
    <w:p w14:paraId="63B0737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bacteriophage phylogeny. Evolution 54:397-405.</w:t>
      </w:r>
    </w:p>
    <w:p w14:paraId="034A5734"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O'Meara, B.C., C. Ané, M.J. Sanderson, and P.C. Wainwright. 2006. Testing for different rates of continuous trait evolution using likelihood. Evolution 60:922-933.</w:t>
      </w:r>
    </w:p>
    <w:p w14:paraId="5600177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Omland, K.E. 1999. The assumptions and challenges of ancestral state reconstructions. Systematic Biology 48:604-611.</w:t>
      </w:r>
    </w:p>
    <w:p w14:paraId="5C92200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Pennell M.W., J.M. Eastman, G.J. Slater, J.W. Brown, J.C. Uyeda, R.G. FitzJohn, M.E. Alfaro, and L.J. Harmon. 2014. geiger v2.0: an expanded suite of methods for fitting macroevolutionary models to phylogenetic trees. Bioinformatics 30:2216-2218.</w:t>
      </w:r>
    </w:p>
    <w:p w14:paraId="6CE49D6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Pillai, A.S., S.A. Chandler, Y. Liu, A.V. Signore, C.R. Cortez-Romero, J.L.P. Benesch, A. Laganowsky, J.F. Storz, G.K.A. Hochberg, and J.W. Thornton. 2020. Origin of complexity in haemoglobin evolution. Nature 581:480-485.</w:t>
      </w:r>
    </w:p>
    <w:p w14:paraId="1977CDA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Rabosky, D. L. 2006. Likelihood methods for detecting temporal shifts in diversification rates. Evolution 60:1152–1164.</w:t>
      </w:r>
    </w:p>
    <w:p w14:paraId="2419CAC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Rabosky, D. L. 2009. Heritability of extinction rates links diversification patterns in molecular phylogenies and fossils. Systematic Biology 58:629–640.</w:t>
      </w:r>
    </w:p>
    <w:p w14:paraId="0C85DE5C" w14:textId="77777777" w:rsidR="00016EE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Rabosky, D.L., and E.E. Goldberg. 2015. Model inadequacy and mistaken inferences of trait-dependent speciation. Systematic Biology 64:340–355.</w:t>
      </w:r>
    </w:p>
    <w:p w14:paraId="06B038A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Rabosky, D. L., and I. J. Lovette. 2008. Density-dependent diversification in North American wood warblers. Proceedings of the Royal Society, B 275:2363–2371.</w:t>
      </w:r>
    </w:p>
    <w:p w14:paraId="31793DB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Raup, D.M., and J.J. Sepkowski, Jr. 1984. Periodicity of extinction in the geological past. Proceedings of the National Academy of Sciences, USA 81:801-805.</w:t>
      </w:r>
    </w:p>
    <w:p w14:paraId="1341B5C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Ree, R.H., and S.A. Smith. 2008. Maximum likelihood inference of geographic range evolution by dispersal, local evolution, and cladogenesis. Systematic Biology 57:4-14.</w:t>
      </w:r>
    </w:p>
    <w:p w14:paraId="5AE674E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bioRxiv doi: </w:t>
      </w:r>
      <w:hyperlink r:id="rId5">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Schluter D., T. Price, A.Ø. Mooers, and D. Ludwig. 1997. Likelihood of ancestor states in adaptive radiation. Evolution 51:1699-1711.</w:t>
      </w:r>
    </w:p>
    <w:p w14:paraId="0A38F6C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Slowinski, J.B., C. Guyer. 1993. Testing whether certain traits have caused amplified diversification: an improved method based on a model of random speciation and extinction. The American Naturalist 142:1019-1024.</w:t>
      </w:r>
    </w:p>
    <w:p w14:paraId="4660FD8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hyperlink r:id="rId6" w:history="1">
        <w:r>
          <w:rPr>
            <w:rFonts w:ascii="Times New Roman" w:eastAsia="Times New Roman" w:hAnsi="Times New Roman" w:cs="Times New Roman"/>
            <w:sz w:val="24"/>
            <w:szCs w:val="24"/>
          </w:rPr>
          <w:t>https://escholarship.org/uc/item/2zq81799</w:t>
        </w:r>
      </w:hyperlink>
      <w:r>
        <w:rPr>
          <w:rFonts w:ascii="Times New Roman" w:eastAsia="Times New Roman" w:hAnsi="Times New Roman" w:cs="Times New Roman"/>
          <w:sz w:val="24"/>
          <w:szCs w:val="24"/>
        </w:rPr>
        <w:t xml:space="preserve"> </w:t>
      </w:r>
    </w:p>
    <w:p w14:paraId="11E9E7F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Thomas, G.H., R.P. Freckleton, and T. Szekely. 2006. Comparative analyses of the influence of developmental mode on phenotypic diversification rates in shorebirds. Proceedings of the Royal Society, B 273:1619-1624.</w:t>
      </w:r>
    </w:p>
    <w:p w14:paraId="5575187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83790D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Tifney, B.H. 1984. Seed size, dispersal syndromes, and the rise of angiosperms: evidence and hypothesis. Annals of the Missouri Botanical Garden 71:551-576.</w:t>
      </w:r>
    </w:p>
    <w:p w14:paraId="56BCC0F4" w14:textId="77777777" w:rsidR="00016EE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Vasconcelos, T., B.C. O'Meara, and J.M. Beaulieu. 2021. Hidden state-only speciation and extinction models provide accurate tip-estimates of diversification rates. Submitted. </w:t>
      </w:r>
    </w:p>
    <w:p w14:paraId="22432E9A" w14:textId="77777777" w:rsidR="00016EE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2021. Retiring “cradles” and “museums” of biodiversity. American Naturalist in press. https://doi.org/10.1086/717412</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20AFBF6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taxon tree from Louca and Pennell (2020). The purple lines separate the regimes used to estimate rates. The thin vertical lines in a rainbow separate regimes with 100 events within them representing equal-sized slices of data. Half the regimes are on each side of the green band, showing how much of the data are near the tips. The brackets show how many events 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17F1EF5C"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sidR="00D86BA9">
        <w:rPr>
          <w:rFonts w:ascii="Times New Roman" w:eastAsia="Times New Roman" w:hAnsi="Times New Roman" w:cs="Times New Roman"/>
          <w:sz w:val="24"/>
          <w:szCs w:val="24"/>
        </w:rPr>
        <w:t>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The black background shows the limits all the curves (generated with a variety of approaches) that were within 2.0 log likelihood units of the optimum, and so represents an estimate of the uncertainty of the rates. The true uncertainty is undoubtedly much higher; the need for new code to even attempt an estimate of the uncertainty for this figure points to a lack of attention to this issue in the field. Note that for legibility the speciation and extinction plots are truncated at a maximum rate of 0.3 events/MY, but the uncertainty goes far higher.</w:t>
      </w:r>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62B177A" w:rsidR="00870F0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it, but maintain the same lineage through time curve. (B) Depicts the log-likelihood score among the three trees under a two-rate MiSSE model. These trees produce identical log-likelihoods under taxon-homogeneous, time-heterogeneous models that use LTT data. However, this is not the case here because allowing rates to vary among clades, as our MiSSE models do, avoids the trap of having an infinite array of congruent models. </w:t>
      </w:r>
      <w:r>
        <w:rPr>
          <w:rFonts w:ascii="Times New Roman" w:eastAsia="Times New Roman" w:hAnsi="Times New Roman" w:cs="Times New Roman"/>
          <w:sz w:val="24"/>
          <w:szCs w:val="24"/>
        </w:rPr>
        <w:lastRenderedPageBreak/>
        <w:t xml:space="preserve">Helmstetter et al. (2021) reach similarly positive conclusions about the possibility of learning about diversification from SSE models. </w:t>
      </w:r>
    </w:p>
    <w:p w14:paraId="4E30791D" w14:textId="008AA765" w:rsidR="00870F08" w:rsidRDefault="00870F0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44880F" w14:textId="4B6AB311" w:rsidR="00870F08" w:rsidRPr="001E24A9" w:rsidRDefault="00870F08">
      <w:pPr>
        <w:spacing w:line="480" w:lineRule="auto"/>
        <w:rPr>
          <w:rFonts w:ascii="Times New Roman" w:eastAsia="Times New Roman" w:hAnsi="Times New Roman" w:cs="Times New Roman"/>
          <w:b/>
          <w:bCs/>
          <w:sz w:val="24"/>
          <w:szCs w:val="24"/>
        </w:rPr>
      </w:pPr>
      <w:r w:rsidRPr="001E24A9">
        <w:rPr>
          <w:rFonts w:ascii="Times New Roman" w:eastAsia="Times New Roman" w:hAnsi="Times New Roman" w:cs="Times New Roman"/>
          <w:b/>
          <w:bCs/>
          <w:sz w:val="24"/>
          <w:szCs w:val="24"/>
        </w:rPr>
        <w:lastRenderedPageBreak/>
        <w:t>Supplemental information</w:t>
      </w:r>
    </w:p>
    <w:p w14:paraId="0BA88D56" w14:textId="243D0C49" w:rsidR="00870F08" w:rsidRDefault="008F0C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tests done by Vasconcelos et al. (2022)</w:t>
      </w:r>
      <w:r w:rsidR="000702EF">
        <w:rPr>
          <w:rFonts w:ascii="Times New Roman" w:eastAsia="Times New Roman" w:hAnsi="Times New Roman" w:cs="Times New Roman"/>
          <w:sz w:val="24"/>
          <w:szCs w:val="24"/>
        </w:rPr>
        <w:t xml:space="preserve"> and the work for Figure 4,</w:t>
      </w:r>
      <w:r>
        <w:rPr>
          <w:rFonts w:ascii="Times New Roman" w:eastAsia="Times New Roman" w:hAnsi="Times New Roman" w:cs="Times New Roman"/>
          <w:sz w:val="24"/>
          <w:szCs w:val="24"/>
        </w:rPr>
        <w:t xml:space="preserve"> we tested the performance of MiSSE with a </w:t>
      </w:r>
      <w:r w:rsidR="00303988">
        <w:rPr>
          <w:rFonts w:ascii="Times New Roman" w:eastAsia="Times New Roman" w:hAnsi="Times New Roman" w:cs="Times New Roman"/>
          <w:sz w:val="24"/>
          <w:szCs w:val="24"/>
        </w:rPr>
        <w:t xml:space="preserve">model where the speciation rate exponentially increased towards the present. This is another case where there may be multiple congruent models through time and which violates the assumptions used by MiSSE (piecewise constant rates, though the rates can change across taxa and/or over time due to changes of state of a hidden character). </w:t>
      </w:r>
      <w:r w:rsidR="005D6674">
        <w:rPr>
          <w:rFonts w:ascii="Times New Roman" w:eastAsia="Times New Roman" w:hAnsi="Times New Roman" w:cs="Times New Roman"/>
          <w:sz w:val="24"/>
          <w:szCs w:val="24"/>
        </w:rPr>
        <w:t xml:space="preserve">Ideally, MiSSE would recover the true speciation rate exactly at the tip and zero extinction rate, with the same rates for all taxa. </w:t>
      </w:r>
      <w:r w:rsidR="000702EF">
        <w:rPr>
          <w:rFonts w:ascii="Times New Roman" w:eastAsia="Times New Roman" w:hAnsi="Times New Roman" w:cs="Times New Roman"/>
          <w:sz w:val="24"/>
          <w:szCs w:val="24"/>
        </w:rPr>
        <w:t>In theory, one could expect the speciation rate to be estimated to be lower than that at the tip: with an exponentially increasing rate, the rate over the entire tree until the last moment is lower than at the tip, and so the estimate given the available data should be lower than the rate at the final instant. However, we would still hope that extinction rate is estimated correctly, even under this unrealistic model (we know empirically that extinction is substantially high, not zero, for example (Marshall 2017)</w:t>
      </w:r>
      <w:r w:rsidR="00AF4231">
        <w:rPr>
          <w:rFonts w:ascii="Times New Roman" w:eastAsia="Times New Roman" w:hAnsi="Times New Roman" w:cs="Times New Roman"/>
          <w:sz w:val="24"/>
          <w:szCs w:val="24"/>
        </w:rPr>
        <w:t>, and exponentially increasing speciation rates would in short order lead to speciation becoming a daily occurrence for every surviving species</w:t>
      </w:r>
      <w:r w:rsidR="000702EF">
        <w:rPr>
          <w:rFonts w:ascii="Times New Roman" w:eastAsia="Times New Roman" w:hAnsi="Times New Roman" w:cs="Times New Roman"/>
          <w:sz w:val="24"/>
          <w:szCs w:val="24"/>
        </w:rPr>
        <w:t>)</w:t>
      </w:r>
      <w:r w:rsidR="00AF4231">
        <w:rPr>
          <w:rFonts w:ascii="Times New Roman" w:eastAsia="Times New Roman" w:hAnsi="Times New Roman" w:cs="Times New Roman"/>
          <w:sz w:val="24"/>
          <w:szCs w:val="24"/>
        </w:rPr>
        <w:t xml:space="preserve">. For the simulation, we used </w:t>
      </w:r>
      <w:r w:rsidR="00A76BAD">
        <w:rPr>
          <w:rFonts w:ascii="Times New Roman" w:eastAsia="Times New Roman" w:hAnsi="Times New Roman" w:cs="Times New Roman"/>
          <w:sz w:val="24"/>
          <w:szCs w:val="24"/>
        </w:rPr>
        <w:t>castor (Louca and Doebli, 2017), set to simulate 101 taxon trees, then deleted one of the two taxa originating from the most recent simulation event and then deleted half the length of the shortest tip branch (so that simulations did not exactly end with a speciation event). S</w:t>
      </w:r>
      <w:r w:rsidR="00353D06">
        <w:rPr>
          <w:rFonts w:ascii="Times New Roman" w:eastAsia="Times New Roman" w:hAnsi="Times New Roman" w:cs="Times New Roman"/>
          <w:sz w:val="24"/>
          <w:szCs w:val="24"/>
        </w:rPr>
        <w:t>imulation conditions that resulted in tips 89 to 152 arbitrary time units from the stem of the clades (4 to 120 time units from the crown</w:t>
      </w:r>
      <w:r w:rsidR="00F17F00">
        <w:rPr>
          <w:rFonts w:ascii="Times New Roman" w:eastAsia="Times New Roman" w:hAnsi="Times New Roman" w:cs="Times New Roman"/>
          <w:sz w:val="24"/>
          <w:szCs w:val="24"/>
        </w:rPr>
        <w:t xml:space="preserve"> group)</w:t>
      </w:r>
      <w:r w:rsidR="00A76BAD">
        <w:rPr>
          <w:rFonts w:ascii="Times New Roman" w:eastAsia="Times New Roman" w:hAnsi="Times New Roman" w:cs="Times New Roman"/>
          <w:sz w:val="24"/>
          <w:szCs w:val="24"/>
        </w:rPr>
        <w:t>. The speciation rate started at 0 and at the tips ranged from 0.07 to 0.18 events per time units.</w:t>
      </w:r>
      <w:r w:rsidR="00D74DB9">
        <w:rPr>
          <w:rFonts w:ascii="Times New Roman" w:eastAsia="Times New Roman" w:hAnsi="Times New Roman" w:cs="Times New Roman"/>
          <w:sz w:val="24"/>
          <w:szCs w:val="24"/>
        </w:rPr>
        <w:t xml:space="preserve"> The MiSSEGreedy() function of the R package hisse was used to automatically try models and select the best one for each simulation (multimodel inference is very possible and recommended for a single empirical study, but for simplicity across simulations we used the single best model for each simulation). </w:t>
      </w:r>
      <w:r w:rsidR="00EF4355">
        <w:rPr>
          <w:rFonts w:ascii="Times New Roman" w:eastAsia="Times New Roman" w:hAnsi="Times New Roman" w:cs="Times New Roman"/>
          <w:sz w:val="24"/>
          <w:szCs w:val="24"/>
        </w:rPr>
        <w:t xml:space="preserve">The best </w:t>
      </w:r>
      <w:r w:rsidR="00EF4355">
        <w:rPr>
          <w:rFonts w:ascii="Times New Roman" w:eastAsia="Times New Roman" w:hAnsi="Times New Roman" w:cs="Times New Roman"/>
          <w:sz w:val="24"/>
          <w:szCs w:val="24"/>
        </w:rPr>
        <w:lastRenderedPageBreak/>
        <w:t>models in 366 of 397 simulations had the same net diversification rates for all taxa. Supplemental Figure 1 shows the results</w:t>
      </w:r>
    </w:p>
    <w:p w14:paraId="67F0D92F" w14:textId="1DC8BE69" w:rsidR="00EF4355" w:rsidRDefault="00EF4355">
      <w:pPr>
        <w:spacing w:line="480" w:lineRule="auto"/>
        <w:rPr>
          <w:rFonts w:ascii="Times New Roman" w:eastAsia="Times New Roman" w:hAnsi="Times New Roman" w:cs="Times New Roman"/>
          <w:sz w:val="24"/>
          <w:szCs w:val="24"/>
        </w:rPr>
      </w:pPr>
    </w:p>
    <w:p w14:paraId="393D8FEC" w14:textId="1C8C5024" w:rsidR="00EF4355" w:rsidRDefault="00EF43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Supplemental Figure 1: Plots of the speciation, extinction, and net diversification rates, as well as a histogram of the range of </w:t>
      </w:r>
      <w:r w:rsidR="00C361DD">
        <w:rPr>
          <w:rFonts w:ascii="Times New Roman" w:eastAsia="Times New Roman" w:hAnsi="Times New Roman" w:cs="Times New Roman"/>
          <w:sz w:val="24"/>
          <w:szCs w:val="24"/>
        </w:rPr>
        <w:t xml:space="preserve">estimates across taxa within a single tree. </w:t>
      </w:r>
      <w:r w:rsidR="00D7651C">
        <w:rPr>
          <w:rFonts w:ascii="Times New Roman" w:eastAsia="Times New Roman" w:hAnsi="Times New Roman" w:cs="Times New Roman"/>
          <w:sz w:val="24"/>
          <w:szCs w:val="24"/>
        </w:rPr>
        <w:t>Red lines show the true rates. Dots indicate the phylogenetically uncorrected median of the tips (one dot per simulation); the gray lines are the median ± one standard deviation across the tip estimates. MiSSE worked fairly well at estimating speciation rates; it estimated extinction rates that were too high and thus an overall net diversification rate that was too low. The median extinction rate was estimated as about half the estimated speciation rate</w:t>
      </w:r>
      <w:r w:rsidR="00E109DB">
        <w:rPr>
          <w:rFonts w:ascii="Times New Roman" w:eastAsia="Times New Roman" w:hAnsi="Times New Roman" w:cs="Times New Roman"/>
          <w:sz w:val="24"/>
          <w:szCs w:val="24"/>
        </w:rPr>
        <w:t>, though with wide variation across replicates</w:t>
      </w:r>
      <w:r w:rsidR="00D7651C">
        <w:rPr>
          <w:rFonts w:ascii="Times New Roman" w:eastAsia="Times New Roman" w:hAnsi="Times New Roman" w:cs="Times New Roman"/>
          <w:sz w:val="24"/>
          <w:szCs w:val="24"/>
        </w:rPr>
        <w:t xml:space="preserve">: it should have been zero, but could have been as high </w:t>
      </w:r>
      <w:r w:rsidR="00E109DB">
        <w:rPr>
          <w:rFonts w:ascii="Times New Roman" w:eastAsia="Times New Roman" w:hAnsi="Times New Roman" w:cs="Times New Roman"/>
          <w:sz w:val="24"/>
          <w:szCs w:val="24"/>
        </w:rPr>
        <w:t>or higher than the speciation rate.</w:t>
      </w:r>
    </w:p>
    <w:p w14:paraId="33247ACE" w14:textId="1987F0FA" w:rsidR="00670D2E" w:rsidRDefault="00670D2E">
      <w:pPr>
        <w:spacing w:line="480" w:lineRule="auto"/>
        <w:rPr>
          <w:rFonts w:ascii="Times New Roman" w:eastAsia="Times New Roman" w:hAnsi="Times New Roman" w:cs="Times New Roman"/>
          <w:sz w:val="24"/>
          <w:szCs w:val="24"/>
        </w:rPr>
      </w:pPr>
    </w:p>
    <w:p w14:paraId="0F346CE2" w14:textId="77777777" w:rsidR="00670D2E" w:rsidRPr="001E24A9" w:rsidRDefault="00670D2E">
      <w:pPr>
        <w:spacing w:line="480" w:lineRule="auto"/>
        <w:rPr>
          <w:rFonts w:ascii="Times New Roman" w:eastAsia="Times New Roman" w:hAnsi="Times New Roman" w:cs="Times New Roman"/>
          <w:sz w:val="24"/>
          <w:szCs w:val="24"/>
        </w:rPr>
      </w:pPr>
    </w:p>
    <w:sectPr w:rsidR="00670D2E" w:rsidRPr="001E2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7274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702EF"/>
    <w:rsid w:val="00121772"/>
    <w:rsid w:val="00162651"/>
    <w:rsid w:val="001E24A9"/>
    <w:rsid w:val="00303988"/>
    <w:rsid w:val="00314700"/>
    <w:rsid w:val="00353D06"/>
    <w:rsid w:val="003B1868"/>
    <w:rsid w:val="00496C76"/>
    <w:rsid w:val="004B437C"/>
    <w:rsid w:val="004E6221"/>
    <w:rsid w:val="0051017E"/>
    <w:rsid w:val="00531906"/>
    <w:rsid w:val="005D6674"/>
    <w:rsid w:val="00670D2E"/>
    <w:rsid w:val="006C25E7"/>
    <w:rsid w:val="00810148"/>
    <w:rsid w:val="00870F08"/>
    <w:rsid w:val="0087149D"/>
    <w:rsid w:val="00895967"/>
    <w:rsid w:val="008F0CD0"/>
    <w:rsid w:val="00913267"/>
    <w:rsid w:val="00935E7A"/>
    <w:rsid w:val="009E2714"/>
    <w:rsid w:val="00A76BAD"/>
    <w:rsid w:val="00AF4231"/>
    <w:rsid w:val="00BE68A2"/>
    <w:rsid w:val="00C361DD"/>
    <w:rsid w:val="00C837E3"/>
    <w:rsid w:val="00D421DF"/>
    <w:rsid w:val="00D677B1"/>
    <w:rsid w:val="00D74DB9"/>
    <w:rsid w:val="00D7651C"/>
    <w:rsid w:val="00D86BA9"/>
    <w:rsid w:val="00E109DB"/>
    <w:rsid w:val="00EF4355"/>
    <w:rsid w:val="00F17F00"/>
    <w:rsid w:val="00F67C07"/>
    <w:rsid w:val="00FA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cholarship.org/uc/item/2zq81799" TargetMode="External"/><Relationship Id="rId5" Type="http://schemas.openxmlformats.org/officeDocument/2006/relationships/hyperlink" Target="https://doi.org/10.1101/2021.04.17.4402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8258</Words>
  <Characters>47074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O'Meara, Brian C</cp:lastModifiedBy>
  <cp:revision>4</cp:revision>
  <dcterms:created xsi:type="dcterms:W3CDTF">2022-08-05T20:57:00Z</dcterms:created>
  <dcterms:modified xsi:type="dcterms:W3CDTF">2022-08-05T21:01:00Z</dcterms:modified>
</cp:coreProperties>
</file>