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AMR Simulator Quick Start Guide</w:t>
      </w:r>
    </w:p>
    <w:p>
      <w:r>
        <w:t>Use this guide beside the AMR Simulator workbench. Complete the small-map exercise first, then inspect the supplied LTN project. Help &gt; Guided walkthrough presents the same steps inside the application. Each exercise ends with a saved run, investigated result and report export.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3456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d-walkthroug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B4B4B"/>
          <w:sz w:val="17"/>
        </w:rPr>
        <w:t>The two-exercise walkthrough stays open beside the workbench.</w:t>
      </w:r>
    </w:p>
    <w:p>
      <w:pPr>
        <w:pStyle w:val="Heading1"/>
      </w:pPr>
      <w:r>
        <w:t>Exercise 1 Small connected map</w:t>
      </w:r>
    </w:p>
    <w:p>
      <w:pPr>
        <w:pStyle w:val="Heading2"/>
      </w:pPr>
      <w:r>
        <w:t>1 Open the practice map</w:t>
      </w:r>
    </w:p>
    <w:p>
      <w:r>
        <w:rPr>
          <w:b/>
        </w:rPr>
        <w:t xml:space="preserve">Do this  </w:t>
      </w:r>
      <w:r>
        <w:t>Choose Open exercise project below, or File → Open project / JSON and select docs/quick-start/small-map.json from the application folder.</w:t>
      </w:r>
    </w:p>
    <w:p>
      <w:r>
        <w:rPr>
          <w:b/>
        </w:rPr>
        <w:t xml:space="preserve">Expected state  </w:t>
      </w:r>
      <w:r>
        <w:t>Layout shows A, B and C, with only A–B connected. Configuration contains two robot types, R1 and R2, and task T1. C is intentionally disconnected.</w:t>
      </w:r>
    </w:p>
    <w:p>
      <w:pPr>
        <w:pStyle w:val="Heading2"/>
      </w:pPr>
      <w:r>
        <w:t>2 Connect the last corridor</w:t>
      </w:r>
    </w:p>
    <w:p>
      <w:r>
        <w:rPr>
          <w:b/>
        </w:rPr>
        <w:t xml:space="preserve">Do this  </w:t>
      </w:r>
      <w:r>
        <w:t>In Layout choose Corridor. Click B, then C, using endpoint snapping. Press blank Enter to finish the drawing command.</w:t>
      </w:r>
    </w:p>
    <w:p>
      <w:r>
        <w:rPr>
          <w:b/>
        </w:rPr>
        <w:t xml:space="preserve">Expected state  </w:t>
      </w:r>
      <w:r>
        <w:t>The graph has A–B and B–C. The new section is one undoable edit. Escape before the second point cancels the uncommitted segment.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-map-lay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B4B4B"/>
          <w:sz w:val="17"/>
        </w:rPr>
        <w:t>The connected small map in Layout</w:t>
      </w:r>
    </w:p>
    <w:p>
      <w:pPr>
        <w:pStyle w:val="Heading2"/>
      </w:pPr>
      <w:r>
        <w:t>3 Save the project</w:t>
      </w:r>
    </w:p>
    <w:p>
      <w:r>
        <w:rPr>
          <w:b/>
        </w:rPr>
        <w:t xml:space="preserve">Do this  </w:t>
      </w:r>
      <w:r>
        <w:t>Choose File → Save project as and save small-map.amrproj in a folder you can find again.</w:t>
      </w:r>
    </w:p>
    <w:p>
      <w:r>
        <w:rPr>
          <w:b/>
        </w:rPr>
        <w:t xml:space="preserve">Expected state  </w:t>
      </w:r>
      <w:r>
        <w:t>The title shows the .amrproj file. Reopen it later to confirm the B–C connection and both robot types.</w:t>
      </w:r>
    </w:p>
    <w:p>
      <w:pPr>
        <w:pStyle w:val="Heading2"/>
      </w:pPr>
      <w:r>
        <w:t>4 Run Project checks</w:t>
      </w:r>
    </w:p>
    <w:p>
      <w:r>
        <w:rPr>
          <w:b/>
        </w:rPr>
        <w:t xml:space="preserve">Do this  </w:t>
      </w:r>
      <w:r>
        <w:t>Open Check and choose Run checks. Review the findings; use Go to affected settings for any issue.</w:t>
      </w:r>
    </w:p>
    <w:p>
      <w:r>
        <w:rPr>
          <w:b/>
        </w:rPr>
        <w:t xml:space="preserve">Expected state  </w:t>
      </w:r>
      <w:r>
        <w:t>The unreachable-task warning from the starting map is gone. This fixture has no check errors or warnings after B–C is connected; informational model-scope notes remain.</w:t>
      </w:r>
    </w:p>
    <w:p>
      <w:pPr>
        <w:pStyle w:val="Heading2"/>
      </w:pPr>
      <w:r>
        <w:t>5 Save a simulation run</w:t>
      </w:r>
    </w:p>
    <w:p>
      <w:r>
        <w:rPr>
          <w:b/>
        </w:rPr>
        <w:t xml:space="preserve">Do this  </w:t>
      </w:r>
      <w:r>
        <w:t>Open Simulate and choose Save, check and simulate. Review the checks dialog and start the run.</w:t>
      </w:r>
    </w:p>
    <w:p>
      <w:r>
        <w:rPr>
          <w:b/>
        </w:rPr>
        <w:t xml:space="preserve">Expected state  </w:t>
      </w:r>
      <w:r>
        <w:t>A completed run appears in the project’s run list and is saved in its external results folder. The reference input has one completed task, zero failed and zero pending.</w:t>
      </w:r>
    </w:p>
    <w:p>
      <w:pPr>
        <w:pStyle w:val="Heading2"/>
      </w:pPr>
      <w:r>
        <w:t>6 Inspect the result</w:t>
      </w:r>
    </w:p>
    <w:p>
      <w:r>
        <w:rPr>
          <w:b/>
        </w:rPr>
        <w:t xml:space="preserve">Do this  </w:t>
      </w:r>
      <w:r>
        <w:t>Select that run and choose Investigate selected run. Search for task T1 and open its supporting events; Playback selected run shows the recorded path.</w:t>
      </w:r>
    </w:p>
    <w:p>
      <w:r>
        <w:rPr>
          <w:b/>
        </w:rPr>
        <w:t xml:space="preserve">Expected state  </w:t>
      </w:r>
      <w:r>
        <w:t>Review shows T1 as completed, with its task timeline and linked event rows. The saved run uses frozen inputs even if the editable project changes later.</w:t>
      </w:r>
    </w:p>
    <w:p>
      <w:pPr>
        <w:pStyle w:val="Heading2"/>
      </w:pPr>
      <w:r>
        <w:t>7 Export a report</w:t>
      </w:r>
    </w:p>
    <w:p>
      <w:r>
        <w:rPr>
          <w:b/>
        </w:rPr>
        <w:t xml:space="preserve">Do this  </w:t>
      </w:r>
      <w:r>
        <w:t>Return to Simulate, select the run and choose Report selected run. In Report select sections and choose Generate report.</w:t>
      </w:r>
    </w:p>
    <w:p>
      <w:r>
        <w:rPr>
          <w:b/>
        </w:rPr>
        <w:t xml:space="preserve">Expected state  </w:t>
      </w:r>
      <w:r>
        <w:t>The report is saved under that run’s reports folder. Open generated PDF views it; the run’s CSV evidence remains alongside the saved run.</w:t>
      </w:r>
    </w:p>
    <w:p>
      <w:pPr>
        <w:pStyle w:val="Heading1"/>
      </w:pPr>
      <w:r>
        <w:t>Exercise 2 Supplied LTN project</w:t>
      </w:r>
    </w:p>
    <w:p>
      <w:pPr>
        <w:pStyle w:val="Heading2"/>
      </w:pPr>
      <w:r>
        <w:t>1 Open LTN</w:t>
      </w:r>
    </w:p>
    <w:p>
      <w:r>
        <w:rPr>
          <w:b/>
        </w:rPr>
        <w:t xml:space="preserve">Do this  </w:t>
      </w:r>
      <w:r>
        <w:t>Choose Open exercise project below, or File → Open project / JSON and select the supplied LTN project.</w:t>
      </w:r>
    </w:p>
    <w:p>
      <w:r>
        <w:rPr>
          <w:b/>
        </w:rPr>
        <w:t xml:space="preserve">Expected state  </w:t>
      </w:r>
      <w:r>
        <w:t>Layout shows the hospital graph and its floors. If you opened JSON, save it as .amrproj before running so the inputs and available drawings are captured.</w:t>
      </w:r>
    </w:p>
    <w:p>
      <w:pPr>
        <w:pStyle w:val="Heading2"/>
      </w:pPr>
      <w:r>
        <w:t>2 Choose a bounded run window</w:t>
      </w:r>
    </w:p>
    <w:p>
      <w:r>
        <w:rPr>
          <w:b/>
        </w:rPr>
        <w:t xml:space="preserve">Do this  </w:t>
      </w:r>
      <w:r>
        <w:t>In Configuration → Simulation settings choose Simple and set the end of the supplied 1 January 2026 start day to 11:00. Keep other inputs unchanged, then save the project.</w:t>
      </w:r>
    </w:p>
    <w:p>
      <w:r>
        <w:rPr>
          <w:b/>
        </w:rPr>
        <w:t xml:space="preserve">Expected state  </w:t>
      </w:r>
      <w:r>
        <w:t>The configured window is 05:00–11:00 on 1 January 2026. This bounded exercise avoids waiting for the full multi-day LTN run.</w:t>
      </w:r>
    </w:p>
    <w:p>
      <w:pPr>
        <w:pStyle w:val="Heading2"/>
      </w:pPr>
      <w:r>
        <w:t>3 Review checks and layout risk</w:t>
      </w:r>
    </w:p>
    <w:p>
      <w:r>
        <w:rPr>
          <w:b/>
        </w:rPr>
        <w:t xml:space="preserve">Do this  </w:t>
      </w:r>
      <w:r>
        <w:t>Open Check, choose Run checks, and search for LOCAL_BAY_ENTRY_OVERLAP. Select a finding and choose Go to affected settings. Review all warnings before acknowledging them.</w:t>
      </w:r>
    </w:p>
    <w:p>
      <w:r>
        <w:rPr>
          <w:b/>
        </w:rPr>
        <w:t xml:space="preserve">Expected state  </w:t>
      </w:r>
      <w:r>
        <w:t>Project checks navigate to affected drop-off locations, including D29, D32, D33, D35, D38, D39 and D41 in the supplied input. These are bay-bound risks, not proof that every task fails.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n-check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B4B4B"/>
          <w:sz w:val="17"/>
        </w:rPr>
        <w:t>LTN bay-entry warnings in Project checks</w:t>
      </w:r>
    </w:p>
    <w:p>
      <w:pPr>
        <w:pStyle w:val="Heading2"/>
      </w:pPr>
      <w:r>
        <w:t>4 Save the bounded run</w:t>
      </w:r>
    </w:p>
    <w:p>
      <w:r>
        <w:rPr>
          <w:b/>
        </w:rPr>
        <w:t xml:space="preserve">Do this  </w:t>
      </w:r>
      <w:r>
        <w:t>Open Simulate and choose Save, check and simulate. Confirm the checked inputs and start the run; do not edit the project while it runs.</w:t>
      </w:r>
    </w:p>
    <w:p>
      <w:r>
        <w:rPr>
          <w:b/>
        </w:rPr>
        <w:t xml:space="preserve">Expected state  </w:t>
      </w:r>
      <w:r>
        <w:t>The run appears in the saved run list when the process finishes. Its configuration, checks and event log are frozen in the external results folder.</w:t>
      </w:r>
    </w:p>
    <w:p>
      <w:pPr>
        <w:pStyle w:val="Heading2"/>
      </w:pPr>
      <w:r>
        <w:t>5 Investigate outcomes</w:t>
      </w:r>
    </w:p>
    <w:p>
      <w:r>
        <w:rPr>
          <w:b/>
        </w:rPr>
        <w:t xml:space="preserve">Do this  </w:t>
      </w:r>
      <w:r>
        <w:t>Select the saved run and choose Investigate selected run. Filter by outcome or task, then follow its task, journey, payload and lift records.</w:t>
      </w:r>
    </w:p>
    <w:p>
      <w:r>
        <w:rPr>
          <w:b/>
        </w:rPr>
        <w:t xml:space="preserve">Expected state  </w:t>
      </w:r>
      <w:r>
        <w:t>Review distinguishes completed, failed and pending-at-stop work. A six-hour run of the supplied portable LTN archive recorded 206 completed, zero failed and zero pending; edited inputs or other software revisions may differ.</w:t>
      </w:r>
    </w:p>
    <w:p>
      <w:pPr>
        <w:pStyle w:val="Heading2"/>
      </w:pPr>
      <w:r>
        <w:t>6 Export the LTN report</w:t>
      </w:r>
    </w:p>
    <w:p>
      <w:r>
        <w:rPr>
          <w:b/>
        </w:rPr>
        <w:t xml:space="preserve">Do this  </w:t>
      </w:r>
      <w:r>
        <w:t>Return to Simulate, choose Report selected run, select report sections and choose Generate report.</w:t>
      </w:r>
    </w:p>
    <w:p>
      <w:r>
        <w:rPr>
          <w:b/>
        </w:rPr>
        <w:t xml:space="preserve">Expected state  </w:t>
      </w:r>
      <w:r>
        <w:t>A PDF and supporting run CSV records are available under the selected run’s external folder. Report uses the frozen run, not current editable inputs.</w:t>
      </w:r>
    </w:p>
    <w:p>
      <w:pPr>
        <w:pStyle w:val="Heading1"/>
      </w:pPr>
      <w:r>
        <w:t>Controls reference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ct-simulation-sett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B4B4B"/>
          <w:sz w:val="17"/>
        </w:rPr>
        <w:t>Compact Simple simulation settings with optional mode details.</w:t>
      </w:r>
    </w:p>
    <w:p>
      <w:pPr>
        <w:pStyle w:val="Heading2"/>
      </w:pPr>
      <w:r>
        <w:t>Compact settings</w:t>
      </w:r>
    </w:p>
    <w:p>
      <w:r>
        <w:t>Task generation keeps categories on the left and department/group actions above focused settings tabs. Department settings use Details, Hours &amp; waste, and Task locations &amp; zones; Save there, then Save in the Departments list. Simulation settings keep four tabs; Run period groups Mode, Demand window, and Release and deferral. Show mode details reveals the complete findings. New projects and the small-map exercise use Simple mode.</w:t>
      </w:r>
    </w:p>
    <w:p>
      <w:pPr>
        <w:pStyle w:val="Heading2"/>
      </w:pPr>
      <w:r>
        <w:t>Project checks</w:t>
      </w:r>
    </w:p>
    <w:p>
      <w:r>
        <w:t>Run checks after editing. Errors need correction; acknowledge only warnings you have reviewed. Go to affected settings navigates current findings. An edit makes the prior review stale.</w:t>
      </w:r>
    </w:p>
    <w:p>
      <w:pPr>
        <w:pStyle w:val="Heading2"/>
      </w:pPr>
      <w:r>
        <w:t>Demand preview</w:t>
      </w:r>
    </w:p>
    <w:p>
      <w:r>
        <w:t>Configuration → Demand preview lets you choose dates and filters, inspect generated tasks and the weekly timetable, and read zero-work explanations before running.</w:t>
      </w:r>
    </w:p>
    <w:p>
      <w:pPr>
        <w:pStyle w:val="Heading2"/>
      </w:pPr>
      <w:r>
        <w:t>Snaps and selection</w:t>
      </w:r>
    </w:p>
    <w:p>
      <w:r>
        <w:t>The Layout toolbar selects grid and object snaps. Left-to-right windows enclose objects; right-to-left windows touch them. Shift or Ctrl changes a selection. Selection does not open Properties automatically.</w:t>
      </w:r>
    </w:p>
    <w:p>
      <w:pPr>
        <w:pStyle w:val="Heading2"/>
      </w:pPr>
      <w:r>
        <w:t>Undo and layers</w:t>
      </w:r>
    </w:p>
    <w:p>
      <w:r>
        <w:t>Use Undo/Redo for graph edits. View → Model layers controls assignment, visibility, locks and drawing style. Route permissions are separate. View → DXF layers changes imported underlay visibility only.</w:t>
      </w:r>
    </w:p>
    <w:p>
      <w:pPr>
        <w:pStyle w:val="Heading2"/>
      </w:pPr>
      <w:r>
        <w:t>Run investigation</w:t>
      </w:r>
    </w:p>
    <w:p>
      <w:r>
        <w:t>Simulate lists revision-bound runs. Investigate selected run filters tasks and links timelines to event evidence. Select a task, then use the timeline choice to follow its recorded payload, journey or lift identity across the run. Pending at stop is a recorded snapshot, not a failed task. Timelines page 500 events at a time; Export selected evidence includes every page of the chosen task, related identity, metric or lift check. Logs above 250,000 events or 300 MiB are rejected without truncation.</w:t>
      </w:r>
    </w:p>
    <w:p>
      <w:pPr>
        <w:pStyle w:val="Heading2"/>
      </w:pPr>
      <w:r>
        <w:t>Report export</w:t>
      </w:r>
    </w:p>
    <w:p>
      <w:r>
        <w:t>Select a completed run in Simulate, choose Report selected run, select sections, then Generate report. Open generated PDF and find supporting CSV records under the run’s external folder.</w:t>
      </w:r>
    </w:p>
    <w:p>
      <w:pPr>
        <w:pStyle w:val="Heading1"/>
      </w:pPr>
      <w:r>
        <w:t>Reading the outcomes</w:t>
      </w:r>
    </w:p>
    <w:p>
      <w:r>
        <w:t>The small-map completion count is a reference for the supplied practice input after B-C is connected. The LTN counts describe a six-hour run of the supplied portable archive. Different project inputs or software revisions can produce different outcomes; use Review to inspect the run you actually saved.</w:t>
      </w:r>
    </w:p>
    <w:sectPr w:rsidR="00FC693F" w:rsidRPr="0006063C" w:rsidSect="00034616">
      <w:pgSz w:w="12240" w:h="15840"/>
      <w:pgMar w:top="950" w:right="1123" w:bottom="95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