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16"/>
              <w:left w:val="single" w:color="1B3A6B" w:sz="16"/>
              <w:bottom w:val="single" w:color="1B3A6B" w:sz="16"/>
              <w:right w:val="single" w:color="1B3A6B" w:sz="16"/>
            </w:tcBorders>
            <w:shd w:fill="1B3A6B" w:val="clear"/>
            <w:tcMar>
              <w:top w:type="dxa" w:w="600"/>
              <w:left w:type="dxa" w:w="500"/>
              <w:bottom w:type="dxa" w:w="600"/>
              <w:right w:type="dxa" w:w="500"/>
            </w:tcMar>
          </w:tcPr>
          <w:p>
            <w:pPr>
              <w:spacing w:before="20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BBDD"/>
                <w:sz w:val="24"/>
                <w:szCs w:val="24"/>
              </w:rPr>
              <w:t xml:space="preserve">GUIA PROFISSIONAL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DCM &amp; ESTRUTURAÇÃO SOCIETÁRIA</w:t>
            </w:r>
          </w:p>
          <w:p>
            <w:pPr>
              <w:spacing w:before="60" w:after="1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8D8EC"/>
                <w:sz w:val="24"/>
                <w:szCs w:val="24"/>
              </w:rPr>
              <w:t xml:space="preserve">Holdings | Debêntures | CRI/CRA | Project Finance | SPEs</w:t>
            </w:r>
          </w:p>
          <w:p>
            <w:pPr>
              <w:spacing w:before="24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EE"/>
                <w:sz w:val="22"/>
                <w:szCs w:val="22"/>
              </w:rPr>
              <w:t xml:space="preserve">Gestão de Investimento · Gestão de Risco · Estruturação</w:t>
            </w:r>
          </w:p>
          <w:p>
            <w:pPr>
              <w:spacing w:before="80" w:after="2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AACC"/>
                <w:sz w:val="20"/>
                <w:szCs w:val="20"/>
              </w:rPr>
              <w:t xml:space="preserve">Práticas Aplicáveis | Arcabouço Regulatório Vigente | 2025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334155"/>
          <w:sz w:val="22"/>
          <w:szCs w:val="22"/>
        </w:rPr>
        <w:t xml:space="preserve">Este guia destina-se a profissionais de mercado de capitais, gestores de recursos e estruturadores atuando no ecossistema de dívida corporativa e estruturação societária brasileiro. O conteúdo integra práticas de gestão de investimento, gestão de risco e estruturação com referência ao arcabouço regulatório vigente (CVM, CMN, BACEN e legislação societária e tributária aplicável).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2"/>
          <w:szCs w:val="32"/>
        </w:rPr>
        <w:t xml:space="preserve">Sumário</w:t>
      </w:r>
    </w:p>
    <w:p>
      <w:pPr>
        <w:pBdr>
          <w:bottom w:val="single" w:color="1B3A6B" w:sz="6"/>
        </w:pBdr>
        <w:spacing w:before="10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tabs>
          <w:tab w:val="right" w:pos="9360"/>
        </w:tabs>
        <w:spacing w:before="120" w:after="60"/>
        <w:ind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PARTE I  Mercado de Dívida Brasileiro</w:t>
      </w:r>
    </w:p>
    <w:p>
      <w:pPr>
        <w:tabs>
          <w:tab w:val="right" w:pos="9360"/>
        </w:tabs>
        <w:spacing w:before="60" w:after="30"/>
        <w:ind w:left="48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Cap. 1  Panorama Regulatório do DCM</w:t>
      </w:r>
    </w:p>
    <w:p>
      <w:pPr>
        <w:tabs>
          <w:tab w:val="right" w:pos="9360"/>
        </w:tabs>
        <w:spacing w:before="60" w:after="30"/>
        <w:ind w:left="48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Cap. 2  Instrumentos de Dívida Corporativa</w:t>
      </w:r>
    </w:p>
    <w:p>
      <w:pPr>
        <w:tabs>
          <w:tab w:val="right" w:pos="9360"/>
        </w:tabs>
        <w:spacing w:before="120" w:after="60"/>
        <w:ind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PARTE II  Gestão de Investimento em DCM</w:t>
      </w:r>
    </w:p>
    <w:p>
      <w:pPr>
        <w:tabs>
          <w:tab w:val="right" w:pos="9360"/>
        </w:tabs>
        <w:spacing w:before="60" w:after="30"/>
        <w:ind w:left="48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Cap. 3  Mapeamento do Universo Investível</w:t>
      </w:r>
    </w:p>
    <w:p>
      <w:pPr>
        <w:tabs>
          <w:tab w:val="right" w:pos="9360"/>
        </w:tabs>
        <w:spacing w:before="60" w:after="30"/>
        <w:ind w:left="48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Cap. 4  Análise de Crédito e Tese de Investimento</w:t>
      </w:r>
    </w:p>
    <w:p>
      <w:pPr>
        <w:tabs>
          <w:tab w:val="right" w:pos="9360"/>
        </w:tabs>
        <w:spacing w:before="60" w:after="30"/>
        <w:ind w:left="48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Cap. 5  Alocação e Execução</w:t>
      </w:r>
    </w:p>
    <w:p>
      <w:pPr>
        <w:tabs>
          <w:tab w:val="right" w:pos="9360"/>
        </w:tabs>
        <w:spacing w:before="60" w:after="30"/>
        <w:ind w:left="48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Cap. 6  Monitoramento de Carteira</w:t>
      </w:r>
    </w:p>
    <w:p>
      <w:pPr>
        <w:tabs>
          <w:tab w:val="right" w:pos="9360"/>
        </w:tabs>
        <w:spacing w:before="120" w:after="60"/>
        <w:ind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PARTE III  Gestão de Risco em DCM</w:t>
      </w:r>
    </w:p>
    <w:p>
      <w:pPr>
        <w:tabs>
          <w:tab w:val="right" w:pos="9360"/>
        </w:tabs>
        <w:spacing w:before="60" w:after="30"/>
        <w:ind w:left="48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Cap. 7  Framework de Risco em DCM</w:t>
      </w:r>
    </w:p>
    <w:p>
      <w:pPr>
        <w:tabs>
          <w:tab w:val="right" w:pos="9360"/>
        </w:tabs>
        <w:spacing w:before="60" w:after="30"/>
        <w:ind w:left="48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Cap. 8  Risco de Crédito em DCM</w:t>
      </w:r>
    </w:p>
    <w:p>
      <w:pPr>
        <w:tabs>
          <w:tab w:val="right" w:pos="9360"/>
        </w:tabs>
        <w:spacing w:before="60" w:after="30"/>
        <w:ind w:left="48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Cap. 9  Risco de Mercado e Liquidez em DCM</w:t>
      </w:r>
    </w:p>
    <w:p>
      <w:pPr>
        <w:tabs>
          <w:tab w:val="right" w:pos="9360"/>
        </w:tabs>
        <w:spacing w:before="120" w:after="60"/>
        <w:ind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PARTE IV  Estruturação de Emissões DCM</w:t>
      </w:r>
    </w:p>
    <w:p>
      <w:pPr>
        <w:tabs>
          <w:tab w:val="right" w:pos="9360"/>
        </w:tabs>
        <w:spacing w:before="60" w:after="30"/>
        <w:ind w:left="48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Cap. 10  Processo de Estruturação</w:t>
      </w:r>
    </w:p>
    <w:p>
      <w:pPr>
        <w:tabs>
          <w:tab w:val="right" w:pos="9360"/>
        </w:tabs>
        <w:spacing w:before="120" w:after="60"/>
        <w:ind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PARTE V  Holdings e Estruturação Societária</w:t>
      </w:r>
    </w:p>
    <w:p>
      <w:pPr>
        <w:tabs>
          <w:tab w:val="right" w:pos="9360"/>
        </w:tabs>
        <w:spacing w:before="60" w:after="30"/>
        <w:ind w:left="48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Cap. 11  Tipologia e Formas Jurídicas</w:t>
      </w:r>
    </w:p>
    <w:p>
      <w:pPr>
        <w:tabs>
          <w:tab w:val="right" w:pos="9360"/>
        </w:tabs>
        <w:spacing w:before="60" w:after="30"/>
        <w:ind w:left="48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Cap. 12  Governança Corporativa em Holdings</w:t>
      </w:r>
    </w:p>
    <w:p>
      <w:pPr>
        <w:tabs>
          <w:tab w:val="right" w:pos="9360"/>
        </w:tabs>
        <w:spacing w:before="60" w:after="30"/>
        <w:ind w:left="48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Cap. 13  Planejamento Tributário em Holdings</w:t>
      </w:r>
    </w:p>
    <w:p>
      <w:pPr>
        <w:tabs>
          <w:tab w:val="right" w:pos="9360"/>
        </w:tabs>
        <w:spacing w:before="120" w:after="60"/>
        <w:ind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PARTE VI  Gestão de Investimento em Holdings</w:t>
      </w:r>
    </w:p>
    <w:p>
      <w:pPr>
        <w:tabs>
          <w:tab w:val="right" w:pos="9360"/>
        </w:tabs>
        <w:spacing w:before="60" w:after="30"/>
        <w:ind w:left="48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Cap. 14  Capital Allocation em Holdings</w:t>
      </w:r>
    </w:p>
    <w:p>
      <w:pPr>
        <w:tabs>
          <w:tab w:val="right" w:pos="9360"/>
        </w:tabs>
        <w:spacing w:before="60" w:after="30"/>
        <w:ind w:left="48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Cap. 15  Avaliação de Aquisições (M&amp;A)</w:t>
      </w:r>
    </w:p>
    <w:p>
      <w:pPr>
        <w:tabs>
          <w:tab w:val="right" w:pos="9360"/>
        </w:tabs>
        <w:spacing w:before="60" w:after="30"/>
        <w:ind w:left="48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Cap. 16  Monitoramento de Portfólio em Holdings</w:t>
      </w:r>
    </w:p>
    <w:p>
      <w:pPr>
        <w:tabs>
          <w:tab w:val="right" w:pos="9360"/>
        </w:tabs>
        <w:spacing w:before="120" w:after="60"/>
        <w:ind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PARTE VII  Gestão de Risco em Holdings</w:t>
      </w:r>
    </w:p>
    <w:p>
      <w:pPr>
        <w:tabs>
          <w:tab w:val="right" w:pos="9360"/>
        </w:tabs>
        <w:spacing w:before="60" w:after="30"/>
        <w:ind w:left="48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Cap. 17  Risco de Grupo e Contágio</w:t>
      </w:r>
    </w:p>
    <w:p>
      <w:pPr>
        <w:tabs>
          <w:tab w:val="right" w:pos="9360"/>
        </w:tabs>
        <w:spacing w:before="60" w:after="30"/>
        <w:ind w:left="48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Cap. 18  Risco Regulatório, Fiscal e de Compliance</w:t>
      </w:r>
    </w:p>
    <w:p>
      <w:pPr>
        <w:tabs>
          <w:tab w:val="right" w:pos="9360"/>
        </w:tabs>
        <w:spacing w:before="120" w:after="60"/>
        <w:ind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PARTE VIII  Estruturação Avançada</w:t>
      </w:r>
    </w:p>
    <w:p>
      <w:pPr>
        <w:tabs>
          <w:tab w:val="right" w:pos="9360"/>
        </w:tabs>
        <w:spacing w:before="60" w:after="30"/>
        <w:ind w:left="48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Cap. 19  SPEs e Project Finance</w:t>
      </w:r>
    </w:p>
    <w:p>
      <w:pPr>
        <w:tabs>
          <w:tab w:val="right" w:pos="9360"/>
        </w:tabs>
        <w:spacing w:before="60" w:after="30"/>
        <w:ind w:left="48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Cap. 20  Estruturas LBO e Instrumentos Híbridos</w:t>
      </w:r>
    </w:p>
    <w:p>
      <w:pPr>
        <w:tabs>
          <w:tab w:val="right" w:pos="9360"/>
        </w:tabs>
        <w:spacing w:before="120" w:after="60"/>
        <w:ind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PARTE IX  Integração DCM + Holdings</w:t>
      </w:r>
    </w:p>
    <w:p>
      <w:pPr>
        <w:tabs>
          <w:tab w:val="right" w:pos="9360"/>
        </w:tabs>
        <w:spacing w:before="60" w:after="30"/>
        <w:ind w:left="48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Cap. 21  Estruturas de Dívida em Holdings e SPEs</w:t>
      </w:r>
    </w:p>
    <w:p>
      <w:pPr>
        <w:tabs>
          <w:tab w:val="right" w:pos="9360"/>
        </w:tabs>
        <w:spacing w:before="60" w:after="30"/>
        <w:ind w:left="48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Cap. 22  Gestão de Risco Integrada: Holdings + DCM</w:t>
      </w:r>
    </w:p>
    <w:p>
      <w:pPr>
        <w:tabs>
          <w:tab w:val="right" w:pos="9360"/>
        </w:tabs>
        <w:spacing w:before="120" w:after="60"/>
        <w:ind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PARTE X  Diligências</w:t>
      </w:r>
    </w:p>
    <w:p>
      <w:pPr>
        <w:tabs>
          <w:tab w:val="right" w:pos="9360"/>
        </w:tabs>
        <w:spacing w:before="60" w:after="30"/>
        <w:ind w:left="48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Cap. 23  Due Diligence em Emissões DCM</w:t>
      </w:r>
    </w:p>
    <w:p>
      <w:pPr>
        <w:tabs>
          <w:tab w:val="right" w:pos="9360"/>
        </w:tabs>
        <w:spacing w:before="60" w:after="30"/>
        <w:ind w:left="48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Cap. 24  Due Diligence em Aquisições (M&amp;A DD)</w:t>
      </w:r>
    </w:p>
    <w:p>
      <w:pPr>
        <w:tabs>
          <w:tab w:val="right" w:pos="9360"/>
        </w:tabs>
        <w:spacing w:before="60" w:after="30"/>
        <w:ind w:left="48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Cap. 25  Due Diligence de Crédito Estruturado</w:t>
      </w:r>
    </w:p>
    <w:p>
      <w:pPr>
        <w:tabs>
          <w:tab w:val="right" w:pos="9360"/>
        </w:tabs>
        <w:spacing w:before="120" w:after="60"/>
        <w:ind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Referências Regulatórias e Bibliográficas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8"/>
              <w:left w:val="single" w:color="1B3A6B" w:sz="8"/>
              <w:bottom w:val="single" w:color="1B3A6B" w:sz="8"/>
              <w:right w:val="single" w:color="1B3A6B" w:sz="8"/>
            </w:tcBorders>
            <w:shd w:fill="1B3A6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BBDD"/>
                <w:sz w:val="18"/>
                <w:szCs w:val="18"/>
              </w:rPr>
              <w:t xml:space="preserve">PARTE I</w:t>
            </w:r>
          </w:p>
          <w:p>
            <w:pPr>
              <w:spacing w:before="2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MERCADO DE DÍVIDA BRASILEIRO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8D8EC"/>
                <w:sz w:val="20"/>
                <w:szCs w:val="20"/>
              </w:rPr>
              <w:t xml:space="preserve">Ecossistema, Regulação e Instrumentos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2"/>
          <w:szCs w:val="32"/>
        </w:rPr>
        <w:t xml:space="preserve">Capítulo 1 — Panorama Regulatório do DCM</w:t>
      </w:r>
    </w:p>
    <w:p>
      <w:pPr>
        <w:pBdr>
          <w:bottom w:val="single" w:color="1B3A6B" w:sz="6"/>
        </w:pBdr>
        <w:spacing w:before="10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1.1 Arcabouço Regulatório Vigente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mercado de dívida corporativa brasileiro opera sob camadas regulatórias complementares administradas pela CVM, CMN, BACEN e B3. A reforma regulatória de 2021–2023 modernizou significativamente o regime de ofertas e emissores.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Norma</w:t>
            </w:r>
          </w:p>
        </w:tc>
        <w:tc>
          <w:tcPr>
            <w:tcW w:type="dxa" w:w="61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Escopo e Relevância Prática</w:t>
            </w:r>
          </w:p>
        </w:tc>
      </w:tr>
      <w:tr>
        <w:tc>
          <w:tcPr>
            <w:tcW w:type="dxa" w:w="3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CVM 80/2022</w:t>
            </w:r>
          </w:p>
        </w:tc>
        <w:tc>
          <w:tcPr>
            <w:tcW w:type="dxa" w:w="61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Registro de emissores de valores mobiliários; substitui ICVM 480/2009; categorias A, B e ME</w:t>
            </w:r>
          </w:p>
        </w:tc>
      </w:tr>
      <w:tr>
        <w:tc>
          <w:tcPr>
            <w:tcW w:type="dxa" w:w="3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CVM 160/2022</w:t>
            </w:r>
          </w:p>
        </w:tc>
        <w:tc>
          <w:tcPr>
            <w:tcW w:type="dxa" w:w="61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Regime de ofertas públicas; unifica ICVM 400 e 476; institui oferta automática, POFV e dispensa de registro</w:t>
            </w:r>
          </w:p>
        </w:tc>
      </w:tr>
      <w:tr>
        <w:tc>
          <w:tcPr>
            <w:tcW w:type="dxa" w:w="3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CVM 60/2021</w:t>
            </w:r>
          </w:p>
        </w:tc>
        <w:tc>
          <w:tcPr>
            <w:tcW w:type="dxa" w:w="61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Registro e funcionamento de securitizadoras; CRI e CRA</w:t>
            </w:r>
          </w:p>
        </w:tc>
      </w:tr>
      <w:tr>
        <w:tc>
          <w:tcPr>
            <w:tcW w:type="dxa" w:w="3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CMN 5.118/2023</w:t>
            </w:r>
          </w:p>
        </w:tc>
        <w:tc>
          <w:tcPr>
            <w:tcW w:type="dxa" w:w="61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Debêntures de infraestrutura (nova geração da Lei 12.431/2011); critérios de projeto prioritário</w:t>
            </w:r>
          </w:p>
        </w:tc>
      </w:tr>
      <w:tr>
        <w:tc>
          <w:tcPr>
            <w:tcW w:type="dxa" w:w="3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CMN 4.751/2019</w:t>
            </w:r>
          </w:p>
        </w:tc>
        <w:tc>
          <w:tcPr>
            <w:tcW w:type="dxa" w:w="61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Regras para emissão de LIG (Letra Imobiliária Garantida)</w:t>
            </w:r>
          </w:p>
        </w:tc>
      </w:tr>
      <w:tr>
        <w:tc>
          <w:tcPr>
            <w:tcW w:type="dxa" w:w="3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Lei 14.195/2021</w:t>
            </w:r>
          </w:p>
        </w:tc>
        <w:tc>
          <w:tcPr>
            <w:tcW w:type="dxa" w:w="61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Modernização do ambiente de negócios; altera Lei das S.A. e CCivil; simplifica estruturas societárias</w:t>
            </w:r>
          </w:p>
        </w:tc>
      </w:tr>
      <w:tr>
        <w:tc>
          <w:tcPr>
            <w:tcW w:type="dxa" w:w="3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Lei 12.431/2011</w:t>
            </w:r>
          </w:p>
        </w:tc>
        <w:tc>
          <w:tcPr>
            <w:tcW w:type="dxa" w:w="61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Debêntures incentivadas de infraestrutura; isenção IR para PF e investidores estrangeiros</w:t>
            </w:r>
          </w:p>
        </w:tc>
      </w:tr>
      <w:tr>
        <w:tc>
          <w:tcPr>
            <w:tcW w:type="dxa" w:w="3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Res. CMN 5.008/2022</w:t>
            </w:r>
          </w:p>
        </w:tc>
        <w:tc>
          <w:tcPr>
            <w:tcW w:type="dxa" w:w="61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Marco de letras financeiras; LF, LFSN, LFSC</w:t>
            </w:r>
          </w:p>
        </w:tc>
      </w:tr>
      <w:tr>
        <w:tc>
          <w:tcPr>
            <w:tcW w:type="dxa" w:w="3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ANBIMA — Código ROVA</w:t>
            </w:r>
          </w:p>
        </w:tc>
        <w:tc>
          <w:tcPr>
            <w:tcW w:type="dxa" w:w="61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Regras de originação e distribuição no atacado; due diligence mínima de emissores</w:t>
            </w:r>
          </w:p>
        </w:tc>
      </w:tr>
      <w:tr>
        <w:tc>
          <w:tcPr>
            <w:tcW w:type="dxa" w:w="3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ANBIMA — Código MRC</w:t>
            </w:r>
          </w:p>
        </w:tc>
        <w:tc>
          <w:tcPr>
            <w:tcW w:type="dxa" w:w="61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Marcação a mercado; metodologia de precificação de debêntures e ativos de renda fixa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1.2 Modalidades de Oferta — CVM 160/2022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CVM 160/2022 consolidou os regimes de oferta em três modalidades principais, ampliando a eficiência do processo de captação para emissores e distribuidores: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Modalidade</w:t>
            </w:r>
          </w:p>
        </w:tc>
        <w:tc>
          <w:tcPr>
            <w:tcW w:type="dxa" w:w="65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Características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Oferta Pública com Registro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Destinada ao público em geral; prospecto e registro obrigatórios; prazo típico de 30–60 dias; volume ilimitado; exige emissor registrado (Cat. A ou B)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Oferta Automática (art. 36)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Emissores Categoria A com histórico; dispensa análise prévia CVM; prospecto simplificado; agilidade de 5 dias úteis após protocolo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Oferta com Dispensa de Registro (ex-476)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Até 75 investidores profissionais; máximo de 50 subscritores; sem prospecto completo; vedada negociação por 90 dias; mais usada em emissões corporativas fechadas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Oferta ao Público Alvo Qualificado (OPAQ)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Exclusiva para qualificados; requisitos intermediários; cobre espaço entre dispensa e oferta plena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1.3 Participantes e Funções no Ecossistema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Participante</w:t>
            </w:r>
          </w:p>
        </w:tc>
        <w:tc>
          <w:tcPr>
            <w:tcW w:type="dxa" w:w="68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Emissor</w:t>
            </w:r>
          </w:p>
        </w:tc>
        <w:tc>
          <w:tcPr>
            <w:tcW w:type="dxa" w:w="68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Companhia, SPE ou securitizadora que capta recursos mediante emissão de valores mobiliários de dívida</w:t>
            </w:r>
          </w:p>
        </w:tc>
      </w:tr>
      <w:tr>
        <w:tc>
          <w:tcPr>
            <w:tcW w:type="dxa" w:w="2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Coordenador Líder</w:t>
            </w:r>
          </w:p>
        </w:tc>
        <w:tc>
          <w:tcPr>
            <w:tcW w:type="dxa" w:w="68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Estrutura e distribui a emissão; responsável pelo bookbuilding, prospecto e CVM 160; tipicamente banco de investimento</w:t>
            </w:r>
          </w:p>
        </w:tc>
      </w:tr>
      <w:tr>
        <w:tc>
          <w:tcPr>
            <w:tcW w:type="dxa" w:w="2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Agente Fiduciário</w:t>
            </w:r>
          </w:p>
        </w:tc>
        <w:tc>
          <w:tcPr>
            <w:tcW w:type="dxa" w:w="68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Representa interesses dos debenturistas; monitora covenants; convoca assembleia; atua em eventos de crédito; regulado pela CVM 17/2021</w:t>
            </w:r>
          </w:p>
        </w:tc>
      </w:tr>
      <w:tr>
        <w:tc>
          <w:tcPr>
            <w:tcW w:type="dxa" w:w="2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Custodiante</w:t>
            </w:r>
          </w:p>
        </w:tc>
        <w:tc>
          <w:tcPr>
            <w:tcW w:type="dxa" w:w="68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B3 (para debêntures e notas comerciais) ou instituição específica; controle de posições</w:t>
            </w:r>
          </w:p>
        </w:tc>
      </w:tr>
      <w:tr>
        <w:tc>
          <w:tcPr>
            <w:tcW w:type="dxa" w:w="2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Rating Agency</w:t>
            </w:r>
          </w:p>
        </w:tc>
        <w:tc>
          <w:tcPr>
            <w:tcW w:type="dxa" w:w="68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Fitch, S&amp;P, Moody's, Austin; emite opinião sobre capacidade de pagamento do emissor e da emissão</w:t>
            </w:r>
          </w:p>
        </w:tc>
      </w:tr>
      <w:tr>
        <w:tc>
          <w:tcPr>
            <w:tcW w:type="dxa" w:w="2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Investidor Âncora</w:t>
            </w:r>
          </w:p>
        </w:tc>
        <w:tc>
          <w:tcPr>
            <w:tcW w:type="dxa" w:w="68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Instit. que assume parcela relevante da emissão; frequentemente define pricing de referência no bookbuilding</w:t>
            </w:r>
          </w:p>
        </w:tc>
      </w:tr>
      <w:tr>
        <w:tc>
          <w:tcPr>
            <w:tcW w:type="dxa" w:w="2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Formador de Mercado</w:t>
            </w:r>
          </w:p>
        </w:tc>
        <w:tc>
          <w:tcPr>
            <w:tcW w:type="dxa" w:w="68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Provê liquidez no mercado secundário; obrigações de cotação via regulação B3/CVM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2"/>
          <w:szCs w:val="32"/>
        </w:rPr>
        <w:t xml:space="preserve">Capítulo 2 — Instrumentos de Dívida Corporativa</w:t>
      </w:r>
    </w:p>
    <w:p>
      <w:pPr>
        <w:pBdr>
          <w:bottom w:val="single" w:color="1B3A6B" w:sz="6"/>
        </w:pBdr>
        <w:spacing w:before="10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2.1 Debêntures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As debêntures são o principal instrumento de dívida corporativa do mercado de capitais brasileiro, reguladas pelos arts. 52 a 74 da Lei 6.404/1976, com emissão exclusiva por sociedades por ações (S.A. aberta ou fechada).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Subtipo</w:t>
            </w:r>
          </w:p>
        </w:tc>
        <w:tc>
          <w:tcPr>
            <w:tcW w:type="dxa" w:w="49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Características</w:t>
            </w:r>
          </w:p>
        </w:tc>
      </w:tr>
      <w:tr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Debêntures Simples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Remuneração em CDI, IPCA ou prefixada; mais comuns no mercado; tributação padrão IOF/IR</w:t>
            </w:r>
          </w:p>
        </w:tc>
      </w:tr>
      <w:tr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Debêntures Incentivadas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Lei 12.431/2011; projetos prioritários de infraestrutura; isenção IR para PF residente e investidor estrangeiro; remuneração mínima IPCA + spread</w:t>
            </w:r>
          </w:p>
        </w:tc>
      </w:tr>
      <w:tr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Debêntures de Infraestrutura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CMN 5.118/2023; evolução da Lei 12.431; benefício fiscal na SPE emissora (IRPJ/CSLL); mais amplo que predecessor</w:t>
            </w:r>
          </w:p>
        </w:tc>
      </w:tr>
      <w:tr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Debêntures Conversíveis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Conversíveis em ações da emissora; instrumento híbrido dívida-equity; usadas em M&amp;A e venture debt</w:t>
            </w:r>
          </w:p>
        </w:tc>
      </w:tr>
      <w:tr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Debêntures Permutáveis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Conversíveis em ações de outra companhia (controlada ou terceiro); estrutura complexa de governança</w:t>
            </w:r>
          </w:p>
        </w:tc>
      </w:tr>
      <w:tr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Debêntures Perpétuas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Sem prazo de vencimento definido; resgataáveis por opção do emissor; tratamento contábil de patrimônio em IFRS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i w:val="false"/>
          <w:iCs w:val="false"/>
          <w:color w:val="334155"/>
          <w:sz w:val="22"/>
          <w:szCs w:val="22"/>
        </w:rPr>
        <w:t xml:space="preserve">Estrutura da Escritura de Emissão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escritura de emissão é o instrumento constitutivo das debêntures, devendo conter obrigatoriamente os elementos previstos no art. 61 da Lei 6.404/1976 e nos Arts. 23 a 40 da CVM 160/2022: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Cláusula</w:t>
            </w:r>
          </w:p>
        </w:tc>
        <w:tc>
          <w:tcPr>
            <w:tcW w:type="dxa" w:w="65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Conteúdo e Relevância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Série e Volume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Número de séries; valor total e unitário; possibilidade de sistema de vasos comunicantes entre séries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Remuneração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Índice de referência (CDI, IPCA, prefixado); spread; método de cálculo (252 dias úteis para CDI; 365/360 para IPCA)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Amortização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Cronograma de amortizações; possibilidade de bullet, SAC ou Price; eventos de liquidez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Covenants Financeiros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ICR mínimo; DSCR mínimo; alavancagem máxima (Dívida Líq./EBITDA); LTV máximo; cláusula de cross-default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Covenants Negativos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Restrições a alienações relevantes; vedação a novos endividamentos sem consentimento; limitações a distribuição de dividendos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Garantias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Alienação fiduciária de ativos; cessão fiduciária de recebíveis; penhor de quotas/ações; fiança/aval corporativo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Vencimento Antecipado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Triggers automáticos e opcionais; prazo de cura; quórum assemblear para waiver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Agente Fiduciário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Obrigatório para debêntures de distribuição pública; deveres de diligência permanente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2.2 CRI — Certificado de Recebíveis Imobiliários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CRI é um título de crédito nominativo, de livre negociação, lastreado em créditos imobiliários, emitido exclusivamente por securitizadoras reguladas pela CVM 60/2021. Isenção de IR para PF (Lei 12.024/2009).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E7490" w:sz="6"/>
              <w:left w:val="single" w:color="0E7490" w:sz="6"/>
              <w:bottom w:val="single" w:color="0E7490" w:sz="6"/>
              <w:right w:val="single" w:color="0E7490" w:sz="6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21"/>
                <w:szCs w:val="21"/>
              </w:rPr>
              <w:t xml:space="preserve">Estrutura Típica de Emissão de CRI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Originador (construtora, incorporadora, FII, empresa com passivo imobiliário) cede recebíveis à securitizadora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Securitizadora emite CRI lastreados nesses recebíveis — séries sênior e subordinada (retenção mínima de 5%)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Regime fiduciário: patrimônio separado (art. 9, Lei 9.514/1997) — isolamento de risco da securitizadora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Agente fiduciário monitora fluxo de recebíveis, inadimplência e triggers de reforço de crédito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Investidor recebe fluxo dos recebíveis imobiliários pro rata à série detida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 Remuneração: CDI+spread, IPCA+spread ou TR+spread (financiamentos habitacionais)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2.3 CRA — Certificado de Recebíveis do Agronegócio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Estrutura análoga ao CRI, lastreado em direitos creditórios originados de negócios entre produtores rurais (ou cooperativas) e terceiros (Lei 11.076/2004). Isenção IR para PF. Instrumentos originadores típicos: CPR, CDA, WA, CDCA.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Instrumento</w:t>
            </w:r>
          </w:p>
        </w:tc>
        <w:tc>
          <w:tcPr>
            <w:tcW w:type="dxa" w:w="63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Características</w:t>
            </w:r>
          </w:p>
        </w:tc>
      </w:tr>
      <w:tr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CPR — Cédula do Produto Rural</w:t>
            </w:r>
          </w:p>
        </w:tc>
        <w:tc>
          <w:tcPr>
            <w:tcW w:type="dxa" w:w="6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Promessa de entrega de produto rural; física ou financeira; principal originador de CRA</w:t>
            </w:r>
          </w:p>
        </w:tc>
      </w:tr>
      <w:tr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CDCA — Cédula de Direito Creditório do Agronegócio</w:t>
            </w:r>
          </w:p>
        </w:tc>
        <w:tc>
          <w:tcPr>
            <w:tcW w:type="dxa" w:w="6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Emitida por cooperativas e produtores rurais; lastreia CRA diretamente</w:t>
            </w:r>
          </w:p>
        </w:tc>
      </w:tr>
      <w:tr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CDA/WA — Certificado de Depósito Agropecuário</w:t>
            </w:r>
          </w:p>
        </w:tc>
        <w:tc>
          <w:tcPr>
            <w:tcW w:type="dxa" w:w="6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Representativo de mercadoria depositada em armazém; negociação em bolsa</w:t>
            </w:r>
          </w:p>
        </w:tc>
      </w:tr>
      <w:tr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LCA — Letra de Crédito do Agronegócio</w:t>
            </w:r>
          </w:p>
        </w:tc>
        <w:tc>
          <w:tcPr>
            <w:tcW w:type="dxa" w:w="6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Emitida por instituição financeira; isenta IR para PF; capta para repasse agro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2.4 Notas Comerciais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Instrumento criado pela Lei 14.195/2021 (art. 45 a 68); substitui a nota promissória como instrumento de curto/médio prazo. Pode ser emitida por qualquer sociedade (S.A. ou LTDA). Aceita emissão pública ou privada. Prazo livre; remuneração CDI ou prefixado. Registro obrigatório na B3 ou CETIP.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2.5 Outros Instrumentos de Dívida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Instrumento</w:t>
            </w:r>
          </w:p>
        </w:tc>
        <w:tc>
          <w:tcPr>
            <w:tcW w:type="dxa" w:w="65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Características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LCI — Letra de Crédito Imobiliário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Emitida por IF; lastreada em créditos imobiliários; isenta IR PF; prazo mínimo 12m (pós Res. CMN 5.119/2023)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LCA — Letra de Crédito do Agronegócio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Emitida por IF; lastreada em créditos agro; isenta IR PF; prazo mínimo 12m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LF — Letra Financeira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Emitida por IF (bancos); subordinada ou sênior; prazo mínimo 2 anos; LFSN (com cláusula de não-aceleração) e LFSC (conversível)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LIG — Letra Imobiliária Garantida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Emitida por IF; duplo recurso (emissora + carteira de cobertura); similar ao Covered Bond europeu; CMN 4.751/2019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CCB — Cédula de Crédito Bancário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Instrumento de dívida emitido pelo devedor em favor de IF; transferível; usado em financiamentos estruturados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CRI/CRA via CVM 60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Permite emissão por securitizadoras de CRI e CRA com múltiplos lastros em regime fiduciário único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8"/>
              <w:left w:val="single" w:color="1B3A6B" w:sz="8"/>
              <w:bottom w:val="single" w:color="1B3A6B" w:sz="8"/>
              <w:right w:val="single" w:color="1B3A6B" w:sz="8"/>
            </w:tcBorders>
            <w:shd w:fill="1B3A6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BBDD"/>
                <w:sz w:val="18"/>
                <w:szCs w:val="18"/>
              </w:rPr>
              <w:t xml:space="preserve">PARTE II</w:t>
            </w:r>
          </w:p>
          <w:p>
            <w:pPr>
              <w:spacing w:before="2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GESTÃO DE INVESTIMENTO EM DCM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8D8EC"/>
                <w:sz w:val="20"/>
                <w:szCs w:val="20"/>
              </w:rPr>
              <w:t xml:space="preserve">Do Mapeamento à Execução e Monitoramento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2"/>
          <w:szCs w:val="32"/>
        </w:rPr>
        <w:t xml:space="preserve">Capítulo 3 — Mapeamento do Universo Investível</w:t>
      </w:r>
    </w:p>
    <w:p>
      <w:pPr>
        <w:pBdr>
          <w:bottom w:val="single" w:color="1B3A6B" w:sz="6"/>
        </w:pBdr>
        <w:spacing w:before="10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3.1 Segmentação do Universo de Dívida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universo investível em DCM deve ser segmentado por dimensões complementares que permitam ao gestor identificar oportunidades, calibrar exposições e controlar risco de concentração de forma sistemática.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65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Por Instrumento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Debêntures simples, incentivadas, CRI, CRA, Notas Comerciais, LF, LCI/LCA — cada qual com perfil de liquidez, tributação e risco distinto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Por Setor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Infraestrutura (energia, saneamento, rodovias), imobiliário, agronegócio, consumo, financeiro, saúde — análise setorial de sensibilidade macro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Por Rating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AAA a BBB- (investment grade); BB+ a C (high yield); sem rating (private credit) — cada faixa exige modelo de análise e limite específico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Por Duration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Curto prazo (&lt;2 anos), médio (2–5 anos), longo (&gt;5 anos) — impacto na sensibilidade a taxa e custo de carregamento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Por Indexador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CDI (floating), IPCA (inflação real), prefixado — gestão ativa da exposição a curva e inflação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Por Estrutura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Bullet, amortizável, conversível, securitizado — implicações em fluxo de caixa e análise de garantias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Por Liquidez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Mercado primário (book); mercado secundário (CETIP/B3); private placement (restrito) — precificação e exit relevantes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Por Tamanho de Emissão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Small caps (&lt;R$100M), mid caps (R$100M–R$500M), large caps (&gt;R$500M) — liquidez e spreads diferenciados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3.2 Fontes de Originação e Fluxo de Deal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Bancos de investimento (BTG, Itaú BBA, Bradesco BBI, Santander, XP): mandatos de coordenação e distribuição; acesso ao book de demanda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Plataformas de distribuição (XP, BTG Digital, B3 Empresas): democratização de emissões e acesso a debêntures no mercado primário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Deal direto com emissores: gestores com equipe de originação própria negociam condições bilateralmente (private credit)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Mercado secundário CETIP/B3: rebalanceamento de portfólio, oportunidades em momentos de estresse de liquidez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Securitizadoras parceiras: fluxo de CRI/CRA estruturados com lastros verificados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Mandatos de FIDCs: o FIDC é estruturalmente similar ao DCM e frequentemente o veículo formal de private credit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3.3 Screening e Filtros de Elegibilidade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Antes da análise profunda, o gestor aplica filtros de elegibilidade para priorizar oportunidades com melhor relação risco-retorno e compatibilidade com a política de investimento: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Filtro</w:t>
            </w:r>
          </w:p>
        </w:tc>
        <w:tc>
          <w:tcPr>
            <w:tcW w:type="dxa" w:w="65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Critério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Rating Mínimo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Definido na Política de Investimento; tipicamente AA- ou superior para mandatos conservadores; B+ para crédito high yield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Volume Mínimo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Emissor com receita bruta mínima (ex: R$300M); emissão mínima para garantir liquidez secundária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Transparência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Demonstrações financeiras auditadas (Big4 preferível); disclosure regular; acesso a management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Governança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Estrutura societária clara; ausência de litígios relevantes; histórico de cumprimento de obrigações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Liquidez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Giro mínimo no secundário (ex: R$5M/mês); ou compromisso de formador de mercado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Spread Mínimo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Spread sobre CDI ou IPCA mínimo compatível com o rating; filtro por z-spread vs. curva ETTJ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Covenants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Existência de covenants financeiros adequados; agente fiduciário reputado; triggers de aceleração funcionais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ESG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Exclusão de setores incompatíveis (lista negativa); análise de exposições ambientais e trabalhistas para emissores prioritários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2"/>
          <w:szCs w:val="32"/>
        </w:rPr>
        <w:t xml:space="preserve">Capítulo 4 — Análise de Crédito e Tese de Investimento</w:t>
      </w:r>
    </w:p>
    <w:p>
      <w:pPr>
        <w:pBdr>
          <w:bottom w:val="single" w:color="1B3A6B" w:sz="6"/>
        </w:pBdr>
        <w:spacing w:before="10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4.1 Framework de Análise de Crédito Corporativo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análise de crédito em DCM exige avaliação multidimensional que vai além dos indicadores financeiros, incorporando qualidade da gestão, estrutura do setor, proteções contratuais e posicionamento estratégico do emissor.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i w:val="false"/>
          <w:iCs w:val="false"/>
          <w:color w:val="334155"/>
          <w:sz w:val="22"/>
          <w:szCs w:val="22"/>
        </w:rPr>
        <w:t xml:space="preserve">4.1.1 Análise Quantitativa — Indicadores-Chave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2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Referência</w:t>
            </w:r>
          </w:p>
        </w:tc>
        <w:tc>
          <w:tcPr>
            <w:tcW w:type="dxa" w:w="38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Relevância</w:t>
            </w:r>
          </w:p>
        </w:tc>
      </w:tr>
      <w:tr>
        <w:tc>
          <w:tcPr>
            <w:tcW w:type="dxa" w:w="3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Dívida Líquida / EBITDA</w:t>
            </w:r>
          </w:p>
        </w:tc>
        <w:tc>
          <w:tcPr>
            <w:tcW w:type="dxa" w:w="2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Alavancagem principal; referência: &lt;3,0x conservador; 3,0–5,0x moderado; &gt;5,0x alto risco; sensível ao setor</w:t>
            </w:r>
          </w:p>
        </w:tc>
      </w:tr>
      <w:tr>
        <w:tc>
          <w:tcPr>
            <w:tcW w:type="dxa" w:w="3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EBITDA / Despesa Financeira (ICR)</w:t>
            </w:r>
          </w:p>
        </w:tc>
        <w:tc>
          <w:tcPr>
            <w:tcW w:type="dxa" w:w="2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Cobertura de juros; referência: &gt;3,0x sólido; 2,0–3,0x adequado; &lt;2,0x alerta</w:t>
            </w:r>
          </w:p>
        </w:tc>
      </w:tr>
      <w:tr>
        <w:tc>
          <w:tcPr>
            <w:tcW w:type="dxa" w:w="3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DSCR (Debt Service Coverage Ratio)</w:t>
            </w:r>
          </w:p>
        </w:tc>
        <w:tc>
          <w:tcPr>
            <w:tcW w:type="dxa" w:w="2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Cobertura do serviço da dívida (principal + juros); crítico em project finance; mínimo 1,20x</w:t>
            </w:r>
          </w:p>
        </w:tc>
      </w:tr>
      <w:tr>
        <w:tc>
          <w:tcPr>
            <w:tcW w:type="dxa" w:w="3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FCF (Free Cash Flow) / Dívida</w:t>
            </w:r>
          </w:p>
        </w:tc>
        <w:tc>
          <w:tcPr>
            <w:tcW w:type="dxa" w:w="2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Capacidade de desalavancagem; quanto mais alto, menor risco de refinanciamento</w:t>
            </w:r>
          </w:p>
        </w:tc>
      </w:tr>
      <w:tr>
        <w:tc>
          <w:tcPr>
            <w:tcW w:type="dxa" w:w="3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LTV (Loan-to-Value)</w:t>
            </w:r>
          </w:p>
        </w:tc>
        <w:tc>
          <w:tcPr>
            <w:tcW w:type="dxa" w:w="2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Para ativos colateralizados; razão saldo devedor / valor do ativo; mínimo covenant típico: 60–70%</w:t>
            </w:r>
          </w:p>
        </w:tc>
      </w:tr>
      <w:tr>
        <w:tc>
          <w:tcPr>
            <w:tcW w:type="dxa" w:w="3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Margem EBITDA</w:t>
            </w:r>
          </w:p>
        </w:tc>
        <w:tc>
          <w:tcPr>
            <w:tcW w:type="dxa" w:w="2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Indicador de eficiência operacional e resiliência a choques de receita ou custo</w:t>
            </w:r>
          </w:p>
        </w:tc>
      </w:tr>
      <w:tr>
        <w:tc>
          <w:tcPr>
            <w:tcW w:type="dxa" w:w="3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Prazo Médio da Dívida</w:t>
            </w:r>
          </w:p>
        </w:tc>
        <w:tc>
          <w:tcPr>
            <w:tcW w:type="dxa" w:w="2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Concentração de vencimentos; risco de refinanciamento (refinancing risk)</w:t>
            </w:r>
          </w:p>
        </w:tc>
      </w:tr>
      <w:tr>
        <w:tc>
          <w:tcPr>
            <w:tcW w:type="dxa" w:w="3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Cobertura do Serviço da Dívida com Reserva (DSCR + DSRA)</w:t>
            </w:r>
          </w:p>
        </w:tc>
        <w:tc>
          <w:tcPr>
            <w:tcW w:type="dxa" w:w="2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Capacidade projetada incluindo reserva de caixa; padrão em emissões estruturadas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i w:val="false"/>
          <w:iCs w:val="false"/>
          <w:color w:val="334155"/>
          <w:sz w:val="22"/>
          <w:szCs w:val="22"/>
        </w:rPr>
        <w:t xml:space="preserve">4.1.2 Análise Qualitativa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65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Avaliação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Posição Competitiva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Market share, barreiras de entrada, poder de precificação, concentração de clientes/fornecedores — avaliação por Porter e análise setorial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Qualidade da Gestão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Histórico do CEO/CFO, alinhamento de incentivos, turnover executivo, track record em ciclos adversos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Estrutura de Capital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Perfil de vencimentos, acesso a linhas bancárias, relacionamento com bancos, presença em mercado de capitais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Risco Regulatório e Setorial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Regulação econômica, risco de concessões, exposição cambial, dependência de subsídios ou políticas governamentais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Risco Jurídico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Passivos contingentes (trabalhistas, tributários, ambientais); litígios relevantes; estrutura de blindagem patrimonial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Governança Corporativa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Nível de listagem B3, composição do Conselho, comitês, política de dividendos, auditoria independente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4.2 Análise de Estrutura — Creditor Perspective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Para emissões estruturadas, o analista de crédito deve avaliar especificamente a estrutura jurídica e os mecanismos de proteção ao credor: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Senioridade: posição na estrutura de capital (dívida sênior, subordinada, mezanino, equity); waterfall de pagamentos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Garantias reais: qualidade e liquidez do ativo dado em garantia; razão de cobertura; execução extrajudicial (alienação fiduciária)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Regime fiduciário (CRI/CRA): impermeabilidade do patrimônio separado; qualidade dos recebíveis lastro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Covenants: frequência de teste, cálculo (LTM vs. pontual), grace period, mecanismo de cura e waiver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Contas vinculadas (escrow, DSRA, RA): saldo mínimo; condições de liberação; controle do agente fiduciário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Cross-default e cross-acceleration: exposição a outras dívidas do grupo; risco de contágio corporativo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Change of control: proteção contra mudança de controlador que altere o perfil de risco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4.3 Valuation e Precificação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precificação de instrumentos de dívida requer análise de spread relativo e absoluto, com referências no mercado primário e secundário: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65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Aplicação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Spread sobre CDI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Diferencial de remuneração sobre o CDI; compara emissor vs. peers de mesmo rating/setor; análise de z-spread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NTNB + Spread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Para ativos indexados a IPCA; referência na curva NTN-B; spread real implica prêmio por risco de crédito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Curva ETTJ ANBIMA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Estrutura a termo de taxas de juros de referência; calcula duration e PU pelo método do fluxo descontado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Comparable Transactions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Emissões recentes de pares; ajuste por setor, rating, prazo e liquidez; fonte: ANBIMA Debentures, CVM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DCF do Emissor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Valuation da empresa para estimar recovery rate em cenário de default; piso de proteção do credor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Option-Adjusted Spread (OAS)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Para debêntures com opções embutidas (call, put, conversão); remove o valor da opção do spread bruto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2"/>
          <w:szCs w:val="32"/>
        </w:rPr>
        <w:t xml:space="preserve">Capítulo 5 — Alocação e Execução</w:t>
      </w:r>
    </w:p>
    <w:p>
      <w:pPr>
        <w:pBdr>
          <w:bottom w:val="single" w:color="1B3A6B" w:sz="6"/>
        </w:pBdr>
        <w:spacing w:before="10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5.1 Processo de Alocação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decisão de alocação integra análise de crédito, risco de portfólio e contexto macro. O fluxo tipicamente envolve Comitê de Crédito, com poderes delegados por alçada: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Análise prévia (screening): equipe de crédito verifica elegibilidade e prepara memo resumido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Deep dive analítico: analista responsável elabora Credit Memo completo (financeiro, estrutural, ESG, jurídico)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Comitê de Crédito: deliberação sobre limite de exposição, rating interno, spread-alvo e condições mínimas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Negociação de termos: interação com coordenador/emissor sobre estrutura, garantias e covenants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Aprovação final e comunicação ao portfólio manager para execução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Monitoramento pós-alocação: revisão periódica do Credit Memo; alertas de covenant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5.2 Participação no Mercado Primário (Bookbuilding)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65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Atividade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Análise do Infomemo / Prospecto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Leitura integral do documento; verificação de dados financeiros vs. balanço auditado; identificação de riscos divulgados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Roadshow e Management Presentation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Reunião com CFO/RI da emissora; perguntas técnicas sobre estrutura de capital, covenants e uso de recursos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Formação de Demanda (IOI)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Indicação de interesse (Indication of Interest) ao coordenador com volume e taxa; informação confidencial pré-book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Bookbuilding e Pricing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Acompanhamento da demanda; ajuste de spread final; decisão de participação vs. condições de mercado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Alocação e Liquidação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Liquidação via B3/CETIP; conferência de termos; integração ao sistema de custody e portfólio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5.3 Negociação no Mercado Secundário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mercado secundário de debêntures e CRI/CRA no Brasil ainda apresenta liquidez fragmentada, exigindo estratégias de execução específicas: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CETIP (B3): principal plataforma de registro e negociação eletrônica de debentures; consulta de PU e volume via ANBIMA e CETIP Trader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Mesa de renda fixa: negociação via corretoras e bancos de investimento — spread bid/ask relevante em ativos de baixo giro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TWAP/VWAP: estratégias de fracionamento de ordens para minimizar impacto de mercado em posições relevantes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Block trades: negociação direta entre institucionais para lotes grandes; frequentemente intermediada por dealer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Balcão organizado B3: mercado de balcão organizado para papéis de menor liquidez; contraparte identificada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Marcação a mercado: PU da posição deve refletir a curva ANBIMA + spread justo da emissão; impacto em NAV do fundo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2"/>
          <w:szCs w:val="32"/>
        </w:rPr>
        <w:t xml:space="preserve">Capítulo 6 — Monitoramento de Carteira</w:t>
      </w:r>
    </w:p>
    <w:p>
      <w:pPr>
        <w:pBdr>
          <w:bottom w:val="single" w:color="1B3A6B" w:sz="6"/>
        </w:pBdr>
        <w:spacing w:before="10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6.1 Framework de Monitoramento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monitoramento de carteira de DCM deve ser contínuo e sistemático, cobrindo tanto o desempenho financeiro quanto o comportamento dos instrumentos e dos emissores ao longo do tempo.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Processo</w:t>
            </w:r>
          </w:p>
        </w:tc>
        <w:tc>
          <w:tcPr>
            <w:tcW w:type="dxa" w:w="65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Monitoramento Financeiro dos Emissores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Review de resultados trimestrais; cálculo e verificação de covenants; análise de variações relevantes no EBITDA, endividamento e caixa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Acompanhamento de Mercado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Variações de spread no secundário; revisões de rating (upgrade/downgrade/CreditWatch); notícias e fatos relevantes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Revisão de Credit Memos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Atualização anual ou em eventos de crédito; reavaliação do rating interno e do limite de exposição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Monitoramento de Garantias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Verificação periódica do valor dos ativos dados em garantia; ratios de cobertura; necessidade de recomposição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Assembleia de Debenturistas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Acompanhamento de convocações; exercício de voto em propostas de waiver ou alteração de covenants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Watch List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Lista de emissores em situação de alerta; processo de revisão acelerada; plano de ação e estratégia de saída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Provisão para Perdas (PDD)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Metodologia de PECLD (Perda Esperada do Crédito ao Longo da Vida) baseada em IFRS 9; gatilhos de classificação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Stress Test de Portfólio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Simulação de cenários adversos sobre o portfólio; impacto em duration, spread e valor de mercado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6.2 Indicadores de Performance de Portfólio DCM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312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Definição</w:t>
            </w:r>
          </w:p>
        </w:tc>
        <w:tc>
          <w:tcPr>
            <w:tcW w:type="dxa" w:w="312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Yield to Maturity (YTM)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Taxa interna de retorno do portfólio considerando todos os fluxos futuros esperados</w:t>
            </w:r>
          </w:p>
        </w:tc>
      </w:tr>
      <w:tr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Duration Modificada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Sensibilidade do portfólio a variações na taxa de juros; gestão de risco de mercado</w:t>
            </w:r>
          </w:p>
        </w:tc>
      </w:tr>
      <w:tr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Spread Duration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Sensibilidade ao spread de crédito; complementar à duration de juros</w:t>
            </w:r>
          </w:p>
        </w:tc>
      </w:tr>
      <w:tr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Carrego (Carry)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Receita financeira líquida esperada do portfólio em cenário de manutenção de posições</w:t>
            </w:r>
          </w:p>
        </w:tc>
      </w:tr>
      <w:tr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Roll-down Return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Retorno adicional pela compressão natural do spread/taxa conforme o ativo se aproxima do vencimento</w:t>
            </w:r>
          </w:p>
        </w:tc>
      </w:tr>
      <w:tr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Taxa de Default Realizada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Percentual de emissores que entraram em default; comparação vs. taxa esperada por rating</w:t>
            </w:r>
          </w:p>
        </w:tc>
      </w:tr>
      <w:tr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Recovery Rate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Percentual recuperado em processos de inadimplência ou reestruturação</w:t>
            </w:r>
          </w:p>
        </w:tc>
      </w:tr>
      <w:tr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Sharpe de Crédito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Excesso de retorno vs. CDI por unidade de volatilidade de spread</w:t>
            </w:r>
          </w:p>
        </w:tc>
      </w:tr>
      <w:tr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Tracking Error vs. Benchmark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Para fundos com benchmark explícito (IDA-IPCA, IMAS, CDI+)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8"/>
              <w:left w:val="single" w:color="1B3A6B" w:sz="8"/>
              <w:bottom w:val="single" w:color="1B3A6B" w:sz="8"/>
              <w:right w:val="single" w:color="1B3A6B" w:sz="8"/>
            </w:tcBorders>
            <w:shd w:fill="1B3A6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BBDD"/>
                <w:sz w:val="18"/>
                <w:szCs w:val="18"/>
              </w:rPr>
              <w:t xml:space="preserve">PARTE III</w:t>
            </w:r>
          </w:p>
          <w:p>
            <w:pPr>
              <w:spacing w:before="2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GESTÃO DE RISCO EM DCM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8D8EC"/>
                <w:sz w:val="20"/>
                <w:szCs w:val="20"/>
              </w:rPr>
              <w:t xml:space="preserve">Framework, Metodologias e Controles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2"/>
          <w:szCs w:val="32"/>
        </w:rPr>
        <w:t xml:space="preserve">Capítulo 7 — Framework de Risco em DCM</w:t>
      </w:r>
    </w:p>
    <w:p>
      <w:pPr>
        <w:pBdr>
          <w:bottom w:val="single" w:color="1B3A6B" w:sz="6"/>
        </w:pBdr>
        <w:spacing w:before="10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7.1 Taxonomia de Riscos em Carteiras de Dívida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framework de risco em gestão de DCM deve cobrir cinco categorias primárias de risco, cada qual com métodos de mensuração e controle específicos: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65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Risco de Crédito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Probabilidade de default ou deterioração da qualidade creditícia; inclui risco de contraparte e de concentração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Risco de Mercado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Variação no valor de mercado dos ativos por mudanças em taxa de juros, spread de crédito ou índices de preços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Risco de Liquidez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Incapacidade de negociar ativos a preço justo ou de honrar resgates; risco de funding do fundo/carteira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Risco Operacional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Falhas em processos, sistemas, controles internos ou conduta; erros de pricing e liquidação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Risco Legal e Regulatório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Inadequação de documentação; mudanças regulatórias adversas; risco de execução de garantias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7.2 Estrutura de Governança de Risco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gestão de risco eficaz requer segregação clara de funções e níveis de alçada: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Comitê de Risco: delibera sobre políticas de risco, limites macro e mudanças metodológicas; participação da diretoria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Gestão de Risco (Risk Management): independent do front office; monitora limites, reporta breaches, mantém modelos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Compliance: verifica aderência às normas CVM, CMN e políticas internas; interface com reguladores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Comitê de Crédito: aprova exposições, limites por emissor e rating interno; alçadas por volume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Auditoria Interna: revisão periódica dos controles de risco; reporte ao Conselho ou Comitê de Auditoria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2"/>
          <w:szCs w:val="32"/>
        </w:rPr>
        <w:t xml:space="preserve">Capítulo 8 — Risco de Crédito em DCM</w:t>
      </w:r>
    </w:p>
    <w:p>
      <w:pPr>
        <w:pBdr>
          <w:bottom w:val="single" w:color="1B3A6B" w:sz="6"/>
        </w:pBdr>
        <w:spacing w:before="10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8.1 Mensuração do Risco de Crédito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65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Aplicação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Rating Interno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Modelo proprietário de scoring que combina indicadores quantitativos (60%) e qualitativos (40%); mapeamento para escala de rating externo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Probabilidade de Default (PD)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Estimativa de PD por rating e setor com base em séries históricas de inadimplência; calibração anual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Perda Dado o Default (LGD)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Estimativa de LGD considerando senioridade, qualidade de garantias e histórico de recovery setorial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Expected Loss (EL)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= PD × LGD × EAD; base para provisioning e precificação do risco de crédito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Credit VaR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Perda inesperada no portfólio de crédito a dado nível de confiança (99%); complementar ao EL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Concentração (HHI)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Índice de Herfindahl-Hirschman por emissor, setor e rating; limite máximo de HHI por portfólio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8.2 Limites de Exposição por Emissor e Grupo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Política de Investimento deve estabelecer limites explícitos de concentração, alinhados à regulação da CVM e às melhores práticas de gestão de crédito: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3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Limite Sugerido</w:t>
            </w:r>
          </w:p>
        </w:tc>
        <w:tc>
          <w:tcPr>
            <w:tcW w:type="dxa" w:w="45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1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AAA a AA-</w:t>
            </w:r>
          </w:p>
        </w:tc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10–15% do PL</w:t>
            </w:r>
          </w:p>
        </w:tc>
        <w:tc>
          <w:tcPr>
            <w:tcW w:type="dxa" w:w="4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5% recomendado por emissor em fundos diversificados</w:t>
            </w:r>
          </w:p>
        </w:tc>
      </w:tr>
      <w:tr>
        <w:tc>
          <w:tcPr>
            <w:tcW w:type="dxa" w:w="1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A+ a A-</w:t>
            </w:r>
          </w:p>
        </w:tc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8–10% do PL</w:t>
            </w:r>
          </w:p>
        </w:tc>
        <w:tc>
          <w:tcPr>
            <w:tcW w:type="dxa" w:w="4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Maior monitoramento de covenant e liquidez</w:t>
            </w:r>
          </w:p>
        </w:tc>
      </w:tr>
      <w:tr>
        <w:tc>
          <w:tcPr>
            <w:tcW w:type="dxa" w:w="1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BBB+ a BBB-</w:t>
            </w:r>
          </w:p>
        </w:tc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5–8% do PL</w:t>
            </w:r>
          </w:p>
        </w:tc>
        <w:tc>
          <w:tcPr>
            <w:tcW w:type="dxa" w:w="4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Limite de concentração setorial adicional</w:t>
            </w:r>
          </w:p>
        </w:tc>
      </w:tr>
      <w:tr>
        <w:tc>
          <w:tcPr>
            <w:tcW w:type="dxa" w:w="1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BB+ a B-</w:t>
            </w:r>
          </w:p>
        </w:tc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3–5% do PL</w:t>
            </w:r>
          </w:p>
        </w:tc>
        <w:tc>
          <w:tcPr>
            <w:tcW w:type="dxa" w:w="4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Exige rating interno + credit memo detalhado</w:t>
            </w:r>
          </w:p>
        </w:tc>
      </w:tr>
      <w:tr>
        <w:tc>
          <w:tcPr>
            <w:tcW w:type="dxa" w:w="1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Sem rating</w:t>
            </w:r>
          </w:p>
        </w:tc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1–3% do PL</w:t>
            </w:r>
          </w:p>
        </w:tc>
        <w:tc>
          <w:tcPr>
            <w:tcW w:type="dxa" w:w="4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Processo de aprovação especial; limite agregado de 10%</w:t>
            </w:r>
          </w:p>
        </w:tc>
      </w:tr>
      <w:tr>
        <w:tc>
          <w:tcPr>
            <w:tcW w:type="dxa" w:w="1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Emissor Único (qualquer rating)</w:t>
            </w:r>
          </w:p>
        </w:tc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Máx. 15% do PL</w:t>
            </w:r>
          </w:p>
        </w:tc>
        <w:tc>
          <w:tcPr>
            <w:tcW w:type="dxa" w:w="4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Limite absoluto regulatório para fundos CVM 175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8.3 Gestão de Eventos de Crédito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gestor deve ter protocolos estabelecidos para cada tipo de evento de crédito: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65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Protocolo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Downgrade de Rating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Revisão imediata de Credit Memo; reavaliação de limite; decisão de manutenção ou redução da posição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Breach de Covenant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Análise de materialidade; contato com agente fiduciário; avaliação de waiver vs. aceleração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Vencimento Antecipado Declarado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Ativação do protocolo de evento de crédito; verificação de cross-default com outras emissões do grupo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Default / Inadimplência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Provisioning integral ou parcial; participação na assembleia de debenturistas; estratégia de recovery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Pedido de Recuperação Judicial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Avaliação do plano de RJ; ranking de credores (quirografários vs. com garantia real); estratégia de voto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Reestruturação Consensual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Análise dos termos da reestruturação (haircut, extensão de prazo, troca de instrumento); NPV da reestruturação vs. liquidação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2"/>
          <w:szCs w:val="32"/>
        </w:rPr>
        <w:t xml:space="preserve">Capítulo 9 — Risco de Mercado e Liquidez em DCM</w:t>
      </w:r>
    </w:p>
    <w:p>
      <w:pPr>
        <w:pBdr>
          <w:bottom w:val="single" w:color="1B3A6B" w:sz="6"/>
        </w:pBdr>
        <w:spacing w:before="10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9.1 Risco de Taxa de Juros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65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Aplicação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Duration e DV01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Duration Modificada: sensibilidade a 100bps; DV01 (Dollar Value of 1bp): impacto monetário por 1bp de variação; gestão por bucket de prazo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Convexidade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Curvatura da relação preço-taxa; positiva para debêntures bullet; importante em portfólios de longa duration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Gap de Repricing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Análise dos fluxos que reprecificam em cada período; hedge com DI futuro ou CDS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Hedging com DI Futuro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Proteção da duration vs. CDI através de posição vendida em DI; calculada pelo PV01 do portfólio vs. contrato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9.2 Risco de Spread de Crédito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Além do risco de taxa livre de risco, carteiras de DCM carregam risco de ampliação de spreads de crédito, que independe da política monetária: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Spread duration: mede sensibilidade do portfólio a variações nos spreads de crédito; similar à duration de taxa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Correlação setorial: spreads de emissores do mesmo setor tendem a se mover conjuntamente em períodos de estresse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Spread VaR: perda potencial do portfólio por ampliação de spreads a 99% de confiança; complementa o risco de taxa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Beta de crédito: sensibilidade do portfólio ao índice de spreads de mercado (ex: IMAS da ANBIMA como proxy)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9.3 Risco de Liquidez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65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Gestão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Liquidez de Ativo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Capacidade de converter posição em caixa a preço justo; medida por turnover mensal no secundário e spread bid-ask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Liquidez de Passivo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Perfil de resgates do fundo; proporção de cotistas institucionais vs. varejo; prazo de cotização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Gap de Liquidez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Mismatch entre liquidez dos ativos e prazo de resgate do fundo; LCR interno mínimo definido em política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Colchão de Liquidez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Reserva mínima em ativos de alta liquidez (LFT, fundo DI); percentual do PL; mínimo de 5–10% recomendado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Plano de Contingência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Protocolo de resgates extraordinários; fontes de liquidez emergencial; linha de crédito comprometida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Stress de Liquidez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Simulação de resgate de 20–30% do PL em 5 dias; impacto no portfólio e necessidade de alienações forçadas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9.4 VaR e Stress Testing em DCM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Os modelos de mensuração de risco de mercado devem ser complementados por análises de cenário para capturar riscos tail: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65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Aplicação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 Paramétrico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Baseado em distribuição normal; estimativa diária/mensal de perda máxima; limitado por não capturar fat tails de crédito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 Histórico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Utiliza distribuição empírica de retornos passados; captura eventos de crise observados (2015/2016, COVID-2020)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CVaR / Expected Shortfall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Perda esperada além do VaR; padrão de risco para fundos AIMA e sob IFRS 7; superior ao VaR em distribuições assimétricas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Stress Testing — Alta de Juros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Impacto de +300bps na SELIC sobre o portfólio; sensibilidade por duration; exposição a ativos prefixados e IPCA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Stress Testing — Spread Widening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Ampliação de spreads em 200–400bps por rating; análogo à crise de crédito de 2015–2016 e COVID-2020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Stress Testing — Liquidez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Simulação de fechamento do mercado secundário por 30 dias; impacto em precificação e capacidade de resgate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Cenário Reverso (Reverse Stress)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Identificação de cenário que levaria à quebra do fundo; mapeamento de vulnerabilidades não cobertas por VaR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8"/>
              <w:left w:val="single" w:color="1B3A6B" w:sz="8"/>
              <w:bottom w:val="single" w:color="1B3A6B" w:sz="8"/>
              <w:right w:val="single" w:color="1B3A6B" w:sz="8"/>
            </w:tcBorders>
            <w:shd w:fill="1B3A6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BBDD"/>
                <w:sz w:val="18"/>
                <w:szCs w:val="18"/>
              </w:rPr>
              <w:t xml:space="preserve">PARTE IV</w:t>
            </w:r>
          </w:p>
          <w:p>
            <w:pPr>
              <w:spacing w:before="2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ESTRUTURAÇÃO DE EMISSÕES DCM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8D8EC"/>
                <w:sz w:val="20"/>
                <w:szCs w:val="20"/>
              </w:rPr>
              <w:t xml:space="preserve">Processo, Garantias, Covenants e Oferta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2"/>
          <w:szCs w:val="32"/>
        </w:rPr>
        <w:t xml:space="preserve">Capítulo 10 — Processo de Estruturação</w:t>
      </w:r>
    </w:p>
    <w:p>
      <w:pPr>
        <w:pBdr>
          <w:bottom w:val="single" w:color="1B3A6B" w:sz="6"/>
        </w:pBdr>
        <w:spacing w:before="10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10.1 Fases de uma Emissão de Debêntures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processo de estruturação de uma debênture pública vai desde o mandato inicial até o monitoramento pós-emissão. Cada fase tem responsabilidades definidas e documentação específica: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560"/>
      </w:tblGrid>
      <w:tr>
        <w:tc>
          <w:tcPr>
            <w:tcW w:type="dxa" w:w="1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65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Atividades</w:t>
            </w:r>
          </w:p>
        </w:tc>
      </w:tr>
      <w:tr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Mandato</w:t>
            </w:r>
          </w:p>
        </w:tc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Definição dos coordenadores; assinatura do mandato de distribuição; kick-off meeting</w:t>
            </w:r>
          </w:p>
        </w:tc>
      </w:tr>
      <w:tr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Due Diligence</w:t>
            </w:r>
          </w:p>
        </w:tc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Diligência financeira (CFA/auditores), jurídica (escritório de advocacia), de negócio (gestores e analistas)</w:t>
            </w:r>
          </w:p>
        </w:tc>
      </w:tr>
      <w:tr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Estruturação</w:t>
            </w:r>
          </w:p>
        </w:tc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Definição de instrumento, volume, séries, garantias, covenants, indexador, prazo e amortização</w:t>
            </w:r>
          </w:p>
        </w:tc>
      </w:tr>
      <w:tr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Rating (se aplicável)</w:t>
            </w:r>
          </w:p>
        </w:tc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Processo de rating com agência; apresentação ao comitê de rating; rating preliminar e final</w:t>
            </w:r>
          </w:p>
        </w:tc>
      </w:tr>
      <w:tr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Documentação</w:t>
            </w:r>
          </w:p>
        </w:tc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Escritura de emissão; prospecto preliminar e definitivo; contrato de distribuição; opinião legal</w:t>
            </w:r>
          </w:p>
        </w:tc>
      </w:tr>
      <w:tr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 Registro CVM / B3</w:t>
            </w:r>
          </w:p>
        </w:tc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Protocolo na CVM (ou dispensa CVM 160); registro na B3/CETIP; publicação de prospecto</w:t>
            </w:r>
          </w:p>
        </w:tc>
      </w:tr>
      <w:tr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7. Roadshow</w:t>
            </w:r>
          </w:p>
        </w:tc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Apresentação a investidores institucionais; bookbuilding; formação de demanda; precificação final</w:t>
            </w:r>
          </w:p>
        </w:tc>
      </w:tr>
      <w:tr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8. Liquidação</w:t>
            </w:r>
          </w:p>
        </w:tc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D+2 da data de precificação; liquidação financeira; registro das debêntures em nome dos subscritores</w:t>
            </w:r>
          </w:p>
        </w:tc>
      </w:tr>
      <w:tr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9. Pós-emissão</w:t>
            </w:r>
          </w:p>
        </w:tc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Relatórios trimestrais ao agente fiduciário; monitoramento de covenants; reporte periódico à CVM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10.2 Estrutura de Garantias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escolha e estruturação das garantias é determinante para o rating da emissão e para a recuperabilidade em cenário de default: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Garantia</w:t>
            </w:r>
          </w:p>
        </w:tc>
        <w:tc>
          <w:tcPr>
            <w:tcW w:type="dxa" w:w="65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Características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Alienação Fiduciária de Imóveis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Garantia real robusta; execução extrajudicial pela Lei 9.514/1997; imóvel não entra na massa falida; exige avaliação e registro em cartório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Cessão Fiduciária de Recebíveis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Cessão de contratos, duplicatas ou direitos creditórios; recebíveis ficam fora da massa; exige conta vinculada (escrow)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Penhor de Quotas/Ações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Ações ou quotas da operacional ou holding intermediária; execução exige procedimento judicial ou extrajudicial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Fiança Corporativa / Aval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Obrigação de pagamento do fiador (controlador ou holding); risco de contágio; verificar rating do fiador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FGO / FCO (Garantias de Agências)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FINEP, BNDES, SEBRAE; ampliam o crédito de emissores de médio porte; limite de cobertura parcial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Conta de Reserva (DSRA)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Saldo mínimo equivalente a N meses de serviço da dívida; depositada em conta vinculada ao agente fiduciário; primeira linha de defesa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Fundo de Liquidez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Pool de ativos líquidos segregados para cobertura de obrigações em caso de stress; estrutura mais elaborada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Subordinação Estrutural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Série subordinada absorve primeiras perdas; série sênior com maior proteção; análogo ao FIDC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10.3 Arquitetura de Covenants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Os covenants são mecanismos contratuais que protegem os credores durante a vida da emissão. Sua negociação é parte crítica da estruturação: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5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Conteúdo e Referências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Covenants Financeiros (Affirmative)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ICR mínimo (ex: &gt;2,5x); Dívida Líq./EBITDA máximo (ex: &lt;4,5x); DSCR mínimo (ex: &gt;1,15x); testados trimestralmente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Covenants Negativos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Limite de capex sem aprovação; vedação a dividendos acima de X% se leverage &gt; Y; restrição a novas dívidas sem consentimento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Covenants de Informação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Entrega de demonstrações auditadas em prazo (ex: 120 dias); relatório de covenant trimestral; notificação de eventos materiais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Cross-Default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Vencimento antecipado automático se qualquer dívida acima de R$ X do grupo entrar em default; análise de scope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Change of Control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Put option dos debenturistas a 101% do par se ocorrer mudança do controlador sem aprovação assemblear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MAC (Material Adverse Change)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Trigger de aceleração opcional se ocorrer evento que afete materialmente a capacidade de pagamento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Cura e Waiver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Prazo de cura típico: 5–30 dias úteis dependendo do covenant; waiver exige quórum de 2/3 dos debenturistas em assembleia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Step-Up de Juros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Spread adicional em caso de breach de rating (ex: +25bps por notch de downgrade abaixo de BBB-)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8"/>
              <w:left w:val="single" w:color="1B3A6B" w:sz="8"/>
              <w:bottom w:val="single" w:color="1B3A6B" w:sz="8"/>
              <w:right w:val="single" w:color="1B3A6B" w:sz="8"/>
            </w:tcBorders>
            <w:shd w:fill="1B3A6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BBDD"/>
                <w:sz w:val="18"/>
                <w:szCs w:val="18"/>
              </w:rPr>
              <w:t xml:space="preserve">PARTE V</w:t>
            </w:r>
          </w:p>
          <w:p>
            <w:pPr>
              <w:spacing w:before="2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HOLDINGS E ESTRUTURAÇÃO SOCIETÁRIA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8D8EC"/>
                <w:sz w:val="20"/>
                <w:szCs w:val="20"/>
              </w:rPr>
              <w:t xml:space="preserve">Tipologia, Formas Jurídicas, Governança e Tributação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2"/>
          <w:szCs w:val="32"/>
        </w:rPr>
        <w:t xml:space="preserve">Capítulo 11 — Tipologia e Formas Jurídicas</w:t>
      </w:r>
    </w:p>
    <w:p>
      <w:pPr>
        <w:pBdr>
          <w:bottom w:val="single" w:color="1B3A6B" w:sz="6"/>
        </w:pBdr>
        <w:spacing w:before="10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11.1 Tipos de Holdings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holding é o veículo societário que detém participações em outras sociedades, podendo acumular funções operacionais, patrimoniais, financeiras e de controle: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5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Características e Uso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Holding Pura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Detém exclusivamente participações em outras empresas; não exerce atividade operacional própria; simplifica consolidação e tributação de dividendos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Holding Mista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Combina participações com atividade operacional; mais comum em empresas familiares; maior complexidade tributária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Holding Patrimonial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Segregação de ativos (imóveis, investimentos financeiros) do patrimônio operacional; proteção patrimonial e sucessão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Holding de Controle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Centraliza poder de voto; estruturas dual-class, ações com voto plural (Lei 14.195/2021); proteção do controle em IPOs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Holding Financeira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Capta recursos (emissão de dívida, equity) e repassa às subsidiárias; upstream/downstream garantias; eficiência de capital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FIP como Holding Regulada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Fundo de Investimento em Participações (CVM 175/2022 + Instrução CVM 578); veículo regulado com benefícios tributários; usado em PE/VC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Holding de Infraestrutura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Estrutura para múltiplas SPEs de projetos; captura sinergia de gestão; emite dívida consolidada para financiar portfólio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Holding Internacional (BVI, Cayman, LLP)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Para estruturas com investidores ou ativos estrangeiros; planejamento de treaty shopping e eficiência fiscal global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11.2 Formas Jurídicas no Brasil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Forma</w:t>
            </w:r>
          </w:p>
        </w:tc>
        <w:tc>
          <w:tcPr>
            <w:tcW w:type="dxa" w:w="2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Regência</w:t>
            </w:r>
          </w:p>
        </w:tc>
        <w:tc>
          <w:tcPr>
            <w:tcW w:type="dxa" w:w="47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Características</w:t>
            </w:r>
          </w:p>
        </w:tc>
      </w:tr>
      <w:tr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S.A. Aberta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Lei 6.404/1976; registro na CVM (Cat. A ou B); acesso ao mercado de capitais; maior custo de compliance; mais usada em grupos com dezenas de investidores</w:t>
            </w:r>
          </w:p>
        </w:tc>
      </w:tr>
      <w:tr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S.A. Fechada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Lei 6.404/1976; sem registro obrigatório na CVM; flexibilidade estatutária; pode emitir debêntures em oferta restrita (CVM 160); padrão em PE e M&amp;A</w:t>
            </w:r>
          </w:p>
        </w:tc>
      </w:tr>
      <w:tr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LTDA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Código Civil arts. 1052-1087; quotas (não ações); acordo de quotistas; menor custo; adequada para holdings familiares e patrimoniais; vedada emissão de debêntures</w:t>
            </w:r>
          </w:p>
        </w:tc>
      </w:tr>
      <w:tr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FIP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CVM 175/2022 (ex-ICVM 578); fundo fechado; gestor CVM autorizado; benefício tributário (ganho de capital diferido); padrão em PE/VC; participação mínima de 5% ou influência</w:t>
            </w:r>
          </w:p>
        </w:tc>
      </w:tr>
      <w:tr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Cooperativa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Lei 5.764/1971; estrutura mutualista; sem fins lucrativos; usada em agronegócio e financeiras; regras próprias de governança</w:t>
            </w:r>
          </w:p>
        </w:tc>
      </w:tr>
      <w:tr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SCP — Sociedade em Conta de Participação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Sem personalidade jurídica; usado em projetos imobiliários e empreendimentos; sócio ostensivo responde perante terceiros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11.3 Voto Plural e Dual-Class após Lei 14.195/2021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Lei 14.195/2021 introduziu no Brasil a possibilidade de emissão de ações com voto plural (até 10 votos por ação) por S.A. de capital fechado ou aberta por até 7 anos. Relevante para: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Proteção do controle do fundador em IPO sem necessidade de manter maioria econômica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Estruturas de holdings com múltiplos sócios em que um controlador quer manter poder decisório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Prazo de 7 anos renovável por deliberação assemblear qualificada (2/3 dos votantes)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Sunset provisions: voto plural extingue-se automaticamente em determinados eventos (transferência para terceiro, falecimento, etc.)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2"/>
          <w:szCs w:val="32"/>
        </w:rPr>
        <w:t xml:space="preserve">Capítulo 12 — Governança Corporativa em Holdings</w:t>
      </w:r>
    </w:p>
    <w:p>
      <w:pPr>
        <w:pBdr>
          <w:bottom w:val="single" w:color="1B3A6B" w:sz="6"/>
        </w:pBdr>
        <w:spacing w:before="10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12.1 Acordo de Acionistas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acordo de acionistas (art. 118 da Lei 6.404/1976) é o instrumento central de governança em holdings com múltiplos sócios. Para ser oponível à companhia, deve ser arquivado na sede e averbado no registro de ações nominativas: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Cláusula</w:t>
            </w:r>
          </w:p>
        </w:tc>
        <w:tc>
          <w:tcPr>
            <w:tcW w:type="dxa" w:w="65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Bloqueio de Transferência de Ações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Direito de Preferência (ROFR); Direito de Primeira Oferta (ROFO); Lock-up; aprovação prévia para transferência a terceiros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Tag Along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Direito do minoritário de co-vender nas mesmas condições do controlador; percentual: 80% obrigatório (Lei 6.404) ou 100% por acordo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Drag Along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Obrigação do minoritário de vender se o controlador concluir venda para terceiro que exija 100% da companhia; preço mínimo garantido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Direitos de Liquidez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IPO right: controlador obrigado a fazer IPO em prazo; Put option: direito de vender ao controlador; Put to company: empresa recompra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Governança e Voto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Quórum qualificado para matérias relevantes (capex acima de X, M&amp;A, dividendos extraordinários, endividamento); composição do board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Anti-Dilution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Proteção contra diluição em novas rodadas (full ratchet ou broad-based weighted average); direito de preferência em novas emissões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Non-Compete / Non-Solicit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Vedação de sócios-gestores de atuar em concorrentes durante e após saída; raio geográfico, prazo e escopo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Resolução de Disputas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Arbitragem (Câmara FGV, CAMARB, ICC); foro de eleição; mediação prévia; dead-lock mechanisms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12.2 Estrutura de Governança Recomendada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Para holdings com múltiplos sócios institucionais ou com dívida emitida no mercado, a estrutura de governança deve garantir accountability e alinhamento de interesses: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Conselho de Administração: mínimo de 5 membros; presidente independente; reuniões mensais; comitês técnicos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Comitê de Auditoria: membros independentes; supervisa demonstrações financeiras e controles internos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Comitê Financeiro: aprova política de investimento, limites de endividamento, emissões de dívida e distribuição de caixa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Comitê de Remuneração: define remuneração da diretoria e política de bônus; previne conflitos de interesse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Diretoria Executiva: CEO, CFO, CRO (para holdings financeiras); poderes definidos no estatuto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Auditoria Independente: Big4 ou firma de reputação equivalente; rodízio de parceiro a cada 5 anos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Canal de Denúncias (Whistleblower): anônimo; relevante para covenants de emissões ESG e governance bonds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2"/>
          <w:szCs w:val="32"/>
        </w:rPr>
        <w:t xml:space="preserve">Capítulo 13 — Planejamento Tributário em Holdings</w:t>
      </w:r>
    </w:p>
    <w:p>
      <w:pPr>
        <w:pBdr>
          <w:bottom w:val="single" w:color="1B3A6B" w:sz="6"/>
        </w:pBdr>
        <w:spacing w:before="10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13.1 Tributação da Holding — Regime de Lucro Real vs. Presumido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Regime</w:t>
            </w:r>
          </w:p>
        </w:tc>
        <w:tc>
          <w:tcPr>
            <w:tcW w:type="dxa" w:w="65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Características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Lucro Real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Incide sobre o lucro contábil ajustado; obrigatório para holdings com receita &gt; R$78M; permite dedução de JCP; compensação de prejuízos; mais complexo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Lucro Presumido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Presunção de margem (8% receita bruta para IRPJ; 12% para CSLL em prestação de serviços); vedado para holdings com atividades financeiras acima dos limites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Simples Nacional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Vedado para holdings que detêm participação em outras empresas (art. 17, LC 123/2006)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Isenção de Dividendos Recebidos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Holdings pagam IRPJ/CSLL sobre receitas próprias, mas dividendos recebidos de subsidiárias são isentos (método de equivalência patrimonial)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13.2 JCP — Juros sobre Capital Próprio (Pós-Lei 14.789/2023)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Lei 14.789/2023 restringiu significativamente o benefício do JCP a partir de 2024. As principais mudanças que o estruturador deve considerar: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6"/>
              <w:left w:val="single" w:color="B45309" w:sz="6"/>
              <w:bottom w:val="single" w:color="B45309" w:sz="6"/>
              <w:right w:val="single" w:color="B45309" w:sz="6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1"/>
                <w:szCs w:val="21"/>
              </w:rPr>
              <w:t xml:space="preserve">Mudanças do JCP — Lei 14.789/2023 (vigência 2024)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Extinção: JCP deixa de ser dedutível na apuração do IRPJ/CSLL a partir de 01/01/2024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Recepcao transitória: empresas podem apropriar JCP de exercícios anteriores ainda sob o regime antigo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Impacto nas holdings: redução de 15–34% na eficiência tributária de estruturas que usavam JCP como mecanismo de retorno ao sócio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Alternativas: distribuição via dividendos (ainda isenta para PF), reestruturação de remuneração executiva, ou otimização via FIP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FIP como substituto: o FIP mantém eficiência tributária por diferimento do ganho de capital até o resgate das cotas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13.3 ITCMD e Planejamento Sucessório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65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Consideração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ITCMD — Incidência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Doação ou herança de participações societárias; base de cálculo: valor de mercado ou patrimonial (varia por estado)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Alíquotas Estaduais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São Paulo: 4%; Rio de Janeiro: 4% a 8% (progressivo após 2024); alguns estados até 8%; Emenda Constitucional 132/2023 prevê alíquota progressiva federal em discussão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Doação com Reserva de Usufruto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Transfere a nu-propriedade das quotas aos herdeiros com retenção do usufruto (voto e dividendos) pelo doador; reduz base de ITCMD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Protocolo de Integralização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Integralização de imóveis na holding pelo custo histórico; ITCMD incide sobre o valor de transferência; ganho de capital diferido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Precauções GAAR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Planejamentos com propósito negocial comprovado; documentação do business purpose; risco de autuação fiscal por ausência de substância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13.4 Tributação de Ganho de Capital e Dividendos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Dividendos de subsidiárias para holding: isentos de IRRF e IRPJ/CSLL (MEP — Método de Equivalência Patrimonial)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Dividendos da holding para PF sócia: isentos de IR para PF residente no Brasil (discussão legislativa sobre tributação está em aberto em 2025)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Ganho de capital na venda de participação societária: IRPJ 15% + adicional 10% sobre ganho acima de R$20k/mês para PF; alíquota variável para PJ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FIP: ganho de capital diferido até resgate; alíquota de 15% (investidor PF residente) ou isenção (investidor estrangeiro em países sem acordos)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Preços de transferência (IN RFB 1.312/2012 substituída por nova regulação OCDE 2024): relevante em estruturas com SPEs e intercompany transactions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8"/>
              <w:left w:val="single" w:color="1B3A6B" w:sz="8"/>
              <w:bottom w:val="single" w:color="1B3A6B" w:sz="8"/>
              <w:right w:val="single" w:color="1B3A6B" w:sz="8"/>
            </w:tcBorders>
            <w:shd w:fill="1B3A6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BBDD"/>
                <w:sz w:val="18"/>
                <w:szCs w:val="18"/>
              </w:rPr>
              <w:t xml:space="preserve">PARTE VI</w:t>
            </w:r>
          </w:p>
          <w:p>
            <w:pPr>
              <w:spacing w:before="2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GESTÃO DE INVESTIMENTO EM HOLDINGS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8D8EC"/>
                <w:sz w:val="20"/>
                <w:szCs w:val="20"/>
              </w:rPr>
              <w:t xml:space="preserve">Capital Allocation, M&amp;A e Monitoramento de Portfólio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2"/>
          <w:szCs w:val="32"/>
        </w:rPr>
        <w:t xml:space="preserve">Capítulo 14 — Capital Allocation em Holdings</w:t>
      </w:r>
    </w:p>
    <w:p>
      <w:pPr>
        <w:pBdr>
          <w:bottom w:val="single" w:color="1B3A6B" w:sz="6"/>
        </w:pBdr>
        <w:spacing w:before="10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14.1 Framework de Alocação de Capital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principal função de uma holding é alocar capital de forma eficiente entre as subsidiárias e projetos do grupo, maximizando retorno ajustado ao risco consolidado. O framework de capital allocation deve definir critérios claros de investimento e desinvestimento: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65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Aplicação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ROIC vs. WACC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Princípio fundamental: investir apenas onde ROIC &gt; WACC; medir por subsidiária e projeto; evitar destruição de valor em negócios abaixo do custo de capital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Matriz BCG / GE-McKinsey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Classificação do portfólio por crescimento e participação de mercado; guia de investir, manter ou desinvestir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EVA — Economic Value Added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EVA = NOPAT – (WACC × Capital Investido); métrica que captura criação de valor acima do custo do capital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TSR — Total Shareholder Return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Retorno total ao acionista (valorização + dividendos); comparação com peers e índices de referência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Capital Budgeting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TIR, VPL, Payback Descontado por projeto; hurdle rate mínima definida pelo conselho; análise de sensibilidade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Retorno Ajustado ao Risco (RAROC)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Risk-Adjusted Return on Capital; incorpora custo do capital econômico por linha de negócio; usado em holdings financeiras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14.2 Política de Dividendos e Distribuição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política de dividendos da holding deve equilibrar retorno ao acionista com necessidade de reinvestimento e manutenção de covenant headroom: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Dividendo mínimo obrigatório: 25% do lucro líquido ajustado (art. 202 da Lei 6.404/1976) para S.A.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Dividend policy explícita: payout ratio alvo (ex: 40–60%); condicionado a alavancagem &lt; X e cobertura de covenants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Restrições de covenants: muitos acordos de dívida limitam dividendos se leverage &gt; threshold; análise de restricted payments basket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Dividendos intermediários: antecipações de dividendos ao longo do exercício com base em balancetes mensais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JCP alternativo pós-2024: substituído por remuneração estruturada via debentures intragrupo ou outras estruturas de eficiência fiscal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2"/>
          <w:szCs w:val="32"/>
        </w:rPr>
        <w:t xml:space="preserve">Capítulo 15 — Avaliação de Aquisições (M&amp;A)</w:t>
      </w:r>
    </w:p>
    <w:p>
      <w:pPr>
        <w:pBdr>
          <w:bottom w:val="single" w:color="1B3A6B" w:sz="6"/>
        </w:pBdr>
        <w:spacing w:before="10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15.1 Processo de M&amp;A em Holdings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Originação: mapeamento de targets via M&amp;A advisors, bancos, redes proprietárias, screeners de múltiplos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Triagem estratégica: fit com tese da holding, tamanho, geografia, sinergias identificadas preliminarmente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IOI (Indicação de Interesse): proposta não-vinculante; NDA; acesso ao CIM (Confidential Information Memorandum)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Management Presentation: reunião com gestores do target; deep dive operacional e financeiro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Due Diligence: financeira, jurídica, tributária, técnica e ambiental (VDD ou Buy-side DD)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Valuation e Structuring: definição do enterprise value e equity value; estrutura de pagamento (caixa, earn-out, equity)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LOI / Term Sheet: proposta vinculante (ou quase); define valuation, estrutura, reps &amp; warranties, exclusividade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SPA / Documentação: Sale and Purchase Agreement; escrow; mecanismos de ajuste de preço (closing accounts, locked box)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Aprovações Regulatórias: CADE (se aplicável); CVM; banco central; órgãos setoriais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Closing e Integração (PMI): transferência de controle; plano de integração 100-days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15.2 Valuation de Subsidiárias 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65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Aplicação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DCF — Fluxo de Caixa Descontado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Projeção de FCF livre; WACC como taxa de desconto; valor terminal (Perpetuidade de Gordon ou múltiplo); cenários pessimista/base/otimista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Múltiplos de Mercado (EV/EBITDA)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EV/EBITDA, P/L, EV/Receita; comparáveis listados e transações precedentes; ajuste por tamanho e liquidez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Múltiplos de Transação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Transações M&amp;A recentes no setor; prêmio de controle típico (20–30%); ajuste para condições de mercado atuais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Soma das Partes (SOTP)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Holdings diversificadas: valuation por segmento e consolidação; desconto de conglomerado (10–30%)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Método do Custo (NAV)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Holdings patrimoniais e imobiliárias: valor de mercado dos ativos menos passivos; relevante para FIPs e holdings de infraestrutura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Opções Reais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Projetos com flexibilidade (expansão, abandono, adiamento); Black-Scholes ou árvore binomial; relevante em energia e mineração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15.3 Estruturação Financeira de Aquisições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Estrutura</w:t>
            </w:r>
          </w:p>
        </w:tc>
        <w:tc>
          <w:tcPr>
            <w:tcW w:type="dxa" w:w="65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Características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Acquisition Finance (Senior Debt)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Dívida sênior na SPE de aquisição; garantida pelos ativos/fluxo da target; tipicamente 3–5x EBITDA; covenants de desalavancagem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LBO — Leveraged Buyout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Aquisição majoritariamente financiada a dívida (60–75%); sponsor equity de 25–40%; foco em target com fluxo de caixa estável e ativos reais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Mezanino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Dívida subordinada entre sênior e equity; retorno 15–25% a.a.; estruturas com PIK (payment in kind) e warrants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Earn-out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Parte do preço condicionada à performance futura; alinha incentivos do vendedor; estruturar com métricas claras e auditáveis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Seller Financing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Vendedor financia parte do preço de venda; subordinado ao banco senior; facilita transações com gap de valuation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Equity Rollover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Vendedor mantém participação minoritária pós-transação; alinha interesse; diluído nas rodadas futuras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2"/>
          <w:szCs w:val="32"/>
        </w:rPr>
        <w:t xml:space="preserve">Capítulo 16 — Monitoramento de Portfólio em Holdings</w:t>
      </w:r>
    </w:p>
    <w:p>
      <w:pPr>
        <w:pBdr>
          <w:bottom w:val="single" w:color="1B3A6B" w:sz="6"/>
        </w:pBdr>
        <w:spacing w:before="10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16.1 KPIs Consolidados do Grupo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holding deve monitorar as subsidiárias de forma integrada, com visão de portfólio. O painel de KPIs consolidado deve cobrir: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8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Frequência</w:t>
            </w:r>
          </w:p>
        </w:tc>
      </w:tr>
      <w:tr>
        <w:tc>
          <w:tcPr>
            <w:tcW w:type="dxa" w:w="3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Receita Bruta Consolidada</w:t>
            </w:r>
          </w:p>
        </w:tc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Crescimento orgânico vs. M&amp;A; por segmento</w:t>
            </w:r>
          </w:p>
        </w:tc>
        <w:tc>
          <w:tcPr>
            <w:tcW w:type="dxa" w:w="28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Mensal</w:t>
            </w:r>
          </w:p>
        </w:tc>
      </w:tr>
      <w:tr>
        <w:tc>
          <w:tcPr>
            <w:tcW w:type="dxa" w:w="3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EBITDA Ajustado Consolidado</w:t>
            </w:r>
          </w:p>
        </w:tc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Normalizado de eventos não-recorrentes; por subsidiária</w:t>
            </w:r>
          </w:p>
        </w:tc>
        <w:tc>
          <w:tcPr>
            <w:tcW w:type="dxa" w:w="28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Mensal</w:t>
            </w:r>
          </w:p>
        </w:tc>
      </w:tr>
      <w:tr>
        <w:tc>
          <w:tcPr>
            <w:tcW w:type="dxa" w:w="3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Dívida Líquida Consolidada</w:t>
            </w:r>
          </w:p>
        </w:tc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Incluindo dívida das subsidiárias; excluindo ou incluindo off-balance</w:t>
            </w:r>
          </w:p>
        </w:tc>
        <w:tc>
          <w:tcPr>
            <w:tcW w:type="dxa" w:w="28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Mensal</w:t>
            </w:r>
          </w:p>
        </w:tc>
      </w:tr>
      <w:tr>
        <w:tc>
          <w:tcPr>
            <w:tcW w:type="dxa" w:w="3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Leverage Consolidado (DL/EBITDA)</w:t>
            </w:r>
          </w:p>
        </w:tc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Monitoramento de covenant headroom; alerta em &gt;80% do limite</w:t>
            </w:r>
          </w:p>
        </w:tc>
        <w:tc>
          <w:tcPr>
            <w:tcW w:type="dxa" w:w="28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Mensal</w:t>
            </w:r>
          </w:p>
        </w:tc>
      </w:tr>
      <w:tr>
        <w:tc>
          <w:tcPr>
            <w:tcW w:type="dxa" w:w="3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ROIC por Subsidiária</w:t>
            </w:r>
          </w:p>
        </w:tc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Identifica destruição de valor; base para capital allocation</w:t>
            </w:r>
          </w:p>
        </w:tc>
        <w:tc>
          <w:tcPr>
            <w:tcW w:type="dxa" w:w="28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Trimestral</w:t>
            </w:r>
          </w:p>
        </w:tc>
      </w:tr>
      <w:tr>
        <w:tc>
          <w:tcPr>
            <w:tcW w:type="dxa" w:w="3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FCF Consolidado</w:t>
            </w:r>
          </w:p>
        </w:tc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Geração de caixa disponível para dividendos, reinvestimento e amortização de dívida</w:t>
            </w:r>
          </w:p>
        </w:tc>
        <w:tc>
          <w:tcPr>
            <w:tcW w:type="dxa" w:w="28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Mensal</w:t>
            </w:r>
          </w:p>
        </w:tc>
      </w:tr>
      <w:tr>
        <w:tc>
          <w:tcPr>
            <w:tcW w:type="dxa" w:w="3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Capex vs. Budget</w:t>
            </w:r>
          </w:p>
        </w:tc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Controle de investimentos; detalhamento manutenção vs. expansão</w:t>
            </w:r>
          </w:p>
        </w:tc>
        <w:tc>
          <w:tcPr>
            <w:tcW w:type="dxa" w:w="28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Mensal</w:t>
            </w:r>
          </w:p>
        </w:tc>
      </w:tr>
      <w:tr>
        <w:tc>
          <w:tcPr>
            <w:tcW w:type="dxa" w:w="3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Working Capital Cycle</w:t>
            </w:r>
          </w:p>
        </w:tc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Prazo médio de recebimento, estoque e pagamento; impacto no caixa consolidado</w:t>
            </w:r>
          </w:p>
        </w:tc>
        <w:tc>
          <w:tcPr>
            <w:tcW w:type="dxa" w:w="28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Trimestral</w:t>
            </w:r>
          </w:p>
        </w:tc>
      </w:tr>
      <w:tr>
        <w:tc>
          <w:tcPr>
            <w:tcW w:type="dxa" w:w="3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EVA Consolidado</w:t>
            </w:r>
          </w:p>
        </w:tc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Criação de valor acima do WACC; benchmark vs. peers setoriais</w:t>
            </w:r>
          </w:p>
        </w:tc>
        <w:tc>
          <w:tcPr>
            <w:tcW w:type="dxa" w:w="28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Anual</w:t>
            </w:r>
          </w:p>
        </w:tc>
      </w:tr>
      <w:tr>
        <w:tc>
          <w:tcPr>
            <w:tcW w:type="dxa" w:w="3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Covenant Compliance</w:t>
            </w:r>
          </w:p>
        </w:tc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Status de todos os covenants de todas as subsidiárias e da holding</w:t>
            </w:r>
          </w:p>
        </w:tc>
        <w:tc>
          <w:tcPr>
            <w:tcW w:type="dxa" w:w="28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Trimestral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16.2 Gestão de Subsidiárias Problemáticas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Plano de turnaround: diagnóstico operacional, financeiro e estratégico; contratação de advisor especializado; milestones de recuperação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Injeção de capital: capitalização direta ou via mútuo intragrupo; análise de impacto no covenant consolidado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Renegociação de dívida: extensão de prazo, carência, redução de spread; covenant holiday; strategic review process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Desinvestimento: venda a terceiro, MBO (management buyout) ou liquidação ordenada; análise de impacto fiscal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Reestruturação operacional: corte de custos, renegociação de contratos, otimização de ativos não-essenciais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8"/>
              <w:left w:val="single" w:color="1B3A6B" w:sz="8"/>
              <w:bottom w:val="single" w:color="1B3A6B" w:sz="8"/>
              <w:right w:val="single" w:color="1B3A6B" w:sz="8"/>
            </w:tcBorders>
            <w:shd w:fill="1B3A6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BBDD"/>
                <w:sz w:val="18"/>
                <w:szCs w:val="18"/>
              </w:rPr>
              <w:t xml:space="preserve">PARTE VII</w:t>
            </w:r>
          </w:p>
          <w:p>
            <w:pPr>
              <w:spacing w:before="2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GESTÃO DE RISCO EM HOLDINGS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8D8EC"/>
                <w:sz w:val="20"/>
                <w:szCs w:val="20"/>
              </w:rPr>
              <w:t xml:space="preserve">Risco de Grupo, Proteção Patrimonial e Compliance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2"/>
          <w:szCs w:val="32"/>
        </w:rPr>
        <w:t xml:space="preserve">Capítulo 17 — Risco de Grupo e Contágio</w:t>
      </w:r>
    </w:p>
    <w:p>
      <w:pPr>
        <w:pBdr>
          <w:bottom w:val="single" w:color="1B3A6B" w:sz="6"/>
        </w:pBdr>
        <w:spacing w:before="10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17.1 Risco de Contágio Intragrupo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Um dos riscos mais relevantes e subestimados em estruturas de holding é o contágio financeiro entre subsidiárias, especialmente quando há garantias cruzadas, dívidas intragrupo ou obrigações solidárias: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Fator de Risco</w:t>
            </w:r>
          </w:p>
        </w:tc>
        <w:tc>
          <w:tcPr>
            <w:tcW w:type="dxa" w:w="312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Impacto Potencial</w:t>
            </w:r>
          </w:p>
        </w:tc>
        <w:tc>
          <w:tcPr>
            <w:tcW w:type="dxa" w:w="312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Mitigante Principal</w:t>
            </w:r>
          </w:p>
        </w:tc>
      </w:tr>
      <w:tr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Garantias Cruzadas (Cross-Guarantees)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Falência de uma subsidiária triggera obrigação da garantidora holding ou de outras subsidiárias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Ring-fencing jurídico; análise de capacidade de honrar garantias na pior hipótese</w:t>
            </w:r>
          </w:p>
        </w:tc>
      </w:tr>
      <w:tr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Dívida Intragrupo (Downstream/Upstream)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Mútuo intragrupo pode ser requalificado como capital em insolvência; dívida subordinada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Documentação robusta; taxa de mercado; garantias formais; subordinação explícita</w:t>
            </w:r>
          </w:p>
        </w:tc>
      </w:tr>
      <w:tr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Cash Pooling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Concentração de caixa na holding; subsidiária pode ficar sem liquidez; risco em insolvência da pool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Limites de exposição por subsidiária; segregação contratual; proteção por garantia</w:t>
            </w:r>
          </w:p>
        </w:tc>
      </w:tr>
      <w:tr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Obrigações Solidárias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Holdings assinam como codevedoras de dívidas de subsidiárias; compromisso consolidado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Análise de capacidade de pagamento consolidada; limites de solidariedade</w:t>
            </w:r>
          </w:p>
        </w:tc>
      </w:tr>
      <w:tr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Reputacional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Crise em uma subsidiária contamina o grupo; impacto em custo de dívida e relacionamento bancário</w:t>
            </w:r>
          </w:p>
        </w:tc>
        <w:tc>
          <w:tcPr>
            <w:tcW w:type="dxa" w:w="312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Isolamento estrutural (SPE autônoma); comunicação proativa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17.2 Ring-Fencing e Separação de Riscos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ring-fencing é o conjunto de mecanismos que isola o risco de uma entidade jurídica do restante do grupo, protegendo tanto a holding quanto as demais subsidiárias: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SPE sem garantia da holding: subsidiary autônoma sem cross-default com o grupo; financiamento project finance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Estatutos com restrição de endividamento: limitação contratual à SPE de emitir garantias a terceiros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Contas segregadas: recebíveis e caixa da SPE em contas exclusivas com controle do agente fiduciário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Non-consolidation opinion: parecer jurídico (legal opinion) de que os ativos da SPE não serão consolidados com a massa falida da holding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True sale opinion: confirmação de que a cessão de recebíveis à securitizadora constitui venda real (não mero penhor)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2"/>
          <w:szCs w:val="32"/>
        </w:rPr>
        <w:t xml:space="preserve">Capítulo 18 — Risco Regulatório, Fiscal e de Compliance</w:t>
      </w:r>
    </w:p>
    <w:p>
      <w:pPr>
        <w:pBdr>
          <w:bottom w:val="single" w:color="1B3A6B" w:sz="6"/>
        </w:pBdr>
        <w:spacing w:before="10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18.1 Risco Regulatório em Holdings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Regulador</w:t>
            </w:r>
          </w:p>
        </w:tc>
        <w:tc>
          <w:tcPr>
            <w:tcW w:type="dxa" w:w="65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Risco e Obrigação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CADE — Controle de Concentração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M&amp;A acima dos limiares (art. 88, Lei 12.529/2011): faturamento do grupo &gt; R$750M e alvo &gt; R$75M; notificação obrigatória pré-closing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BACEN — Holdings Financeiras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Grupos com IF sob controle: sujeitos à supervisão prudencial do BACEN; capital mínimo consolidado; RWA consolidado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CVM — FIP e Participações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FIP como holding regulada: obrigações periódicas à CVM; requisitos de disclosure; regras de desinvestimento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PREVIC — Holdings de EFPC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Participações de fundos de pensão em holdings: regras da Resolução CMN 4.994/2022; análise de conflito de interesses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INPI — Propriedade Intelectual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Proteção de marcas e patentes em estrutura holding (IP holding); transferência de royalties intragrupo e planejamento fiscal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Órgãos Setoriais (ANEEL, ANTT, ANVISA)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Concessões e autorizações regulatórias em nome de SPEs; mudança de controle exige anuência prévia do regulador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18.2 Compliance Anticorrupção e ESG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Lei 12.846/2013 (Lei Anticorrupção): responsabilidade objetiva da pessoa jurídica por atos de corrupção; obrigação de programa de compliance efetivo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LGPD — Lei 13.709/2018: tratamento de dados pessoais pelas holdings (colaboradores, clientes, parceiros); DPO; RIPD; relatórios à ANPD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Resolução CVM 59/2021: relatório de sustentabilidade (ESG) para companhias abertas; alinhamento ao GRI, SASB, TCFD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Green Bonds / Social Bonds: holdings que emitem dívida ESG-linked precisam de framework de sustentabilidade verificado por SPO (Second Party Opinion)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KYC/AML: holdings com subsidiárias financeiras sujeitam-se às normas COAF (BACEN Circ. 3.978/2020); cadastro de beneficiário final (Resolução BCB 44/2021)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Proteção a Whistleblowers: canal de denúncias; Lei 14.457/2022 (empresas com CIPA); proteção contra represálias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8"/>
              <w:left w:val="single" w:color="1B3A6B" w:sz="8"/>
              <w:bottom w:val="single" w:color="1B3A6B" w:sz="8"/>
              <w:right w:val="single" w:color="1B3A6B" w:sz="8"/>
            </w:tcBorders>
            <w:shd w:fill="1B3A6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BBDD"/>
                <w:sz w:val="18"/>
                <w:szCs w:val="18"/>
              </w:rPr>
              <w:t xml:space="preserve">PARTE VIII</w:t>
            </w:r>
          </w:p>
          <w:p>
            <w:pPr>
              <w:spacing w:before="2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ESTRUTURAÇÃO AVANÇADA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8D8EC"/>
                <w:sz w:val="20"/>
                <w:szCs w:val="20"/>
              </w:rPr>
              <w:t xml:space="preserve">SPEs, Project Finance, LBO e Instrumentos Híbridos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2"/>
          <w:szCs w:val="32"/>
        </w:rPr>
        <w:t xml:space="preserve">Capítulo 19 — SPEs e Project Finance</w:t>
      </w:r>
    </w:p>
    <w:p>
      <w:pPr>
        <w:pBdr>
          <w:bottom w:val="single" w:color="1B3A6B" w:sz="6"/>
        </w:pBdr>
        <w:spacing w:before="10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19.1 Sociedade de Propósito Específico (SPE)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SPE é o veículo jurídico central da estruturação de projetos e emissões. Sua principal função é isolar o risco do projeto do risco da holding patrocinadora: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65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Isolamento de Risco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Ativo e passivo do projeto segregados; credores da SPE não têm recurso à holding (non-recourse ou limited recourse)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Facilita Financiamento Externo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Credores analisam o projeto isoladamente; project finance com spread mais baixo que corporate debt da holding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Transparência Regulatória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Facilita anuência de órgãos reguladores (ANEEL, ANTT, BACEN); contrato de concessão em nome da SPE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Desvantagem: Custo de Estrutura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Overhead de compliance (auditoria, escrituração, CNPJ); viável para projetos de médio/grande porte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Formas Jurídicas para SPE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S.A. fechada (mais comum, emite debêntures); LTDA (simples, mais barato); SCP (sem personalidade, para projetos imobiliários)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SPE com Regime Tributário Beneficiado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SPEs de infraestrutura: IRPJ/CSLL reduzidos (CMN 5.118/2023); SPEs do Simples em exceção para setores específicos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19.2 Project Finance — Estrutura e Documentação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project finance é a técnica de financiamento estruturado em que o serviço da dívida é garantido pelo fluxo de caixa do próprio projeto, com recurso limitado (ou nulo) aos patrocinadores: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2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3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Relevância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Contrato de Concessão / Licença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Base legal do projeto; define receitas (tarifa, take-or-pay, PPA); transferência de risco ao poder concedente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EPC (Engineering, Procurement &amp; Construction)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Contrato de construção; preço fixo; data de entrega; garantias de performance e conclusão; exposição a risco construtivo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O&amp;M (Operations &amp; Maintenance)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Contrato operacional; disponibilidade mínima; penalidades por downtime; experiência do operador como critério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PPA — Power Purchase Agreement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Contrato de compra de energia (projetos renováveis); take-or-pay; prazo longo (20–25 anos); base do fluxo de caixa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Take-or-Pay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Obrigação do comprador de pagar mesmo sem retirar o produto; minimiza risco de demanda; crítico em gás e petroquímica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DSRA — Debt Service Reserve Account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Conta de reserva equivalente a 6 meses de serviço da dívida; primeira linha de defesa em stress de fluxo de caixa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Equity Bridge Loan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Financiamento temporário do equity comprometido pelos sponsors; liquidado com aporte definitivo ou dividendos da SPE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Refinancing Risk Management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Perfil de amortização compatível com vida útil do ativo; risco de refinanciamento na vida residual do projeto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19.3 Análise de Viabilidade — Project Finance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Análise</w:t>
            </w:r>
          </w:p>
        </w:tc>
        <w:tc>
          <w:tcPr>
            <w:tcW w:type="dxa" w:w="65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Método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Modelo Financeiro Integrado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DRE, BP e FC projetados de forma integrada; sensibilidade por variável-chave (tarifa, inflação, prazo de construção, taxa de juros)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DSCR — Debt Service Coverage Ratio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Fluxo de caixa disponível para serviço da dívida / Serviço da dívida; mínimo de 1,20x; average de 1,35x+ para rating investment grade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LLCR — Loan Life Coverage Ratio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NPV dos FCFs durante a vida da dívida / Saldo devedor; indicador de capacidade de pagamento de longo prazo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PLCR — Project Life Coverage Ratio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NPV dos FCFs durante a vida do projeto / Saldo devedor; inclui período após vencimento da dívida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Break-even Analysis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Nível mínimo de produção/tarifa para servir a dívida; margem de segurança; relevante em decisão de alavancagem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Análise de Sensibilidade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Variação de ±10%/20% em variáveis-chave; tornado chart; identificação de riscos críticos do modelo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2"/>
          <w:szCs w:val="32"/>
        </w:rPr>
        <w:t xml:space="preserve">Capítulo 20 — Estruturas LBO e Instrumentos Híbridos</w:t>
      </w:r>
    </w:p>
    <w:p>
      <w:pPr>
        <w:pBdr>
          <w:bottom w:val="single" w:color="1B3A6B" w:sz="6"/>
        </w:pBdr>
        <w:spacing w:before="10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20.1 LBO — Leveraged Buyout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LBO é a aquisição de uma empresa com alto grau de alavancagem, em que o serviço da dívida é pago com o fluxo de caixa da empresa adquirida. É a estrutura típica de fundos de private equity: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60"/>
        <w:gridCol w:w="4600"/>
      </w:tblGrid>
      <w:tr>
        <w:tc>
          <w:tcPr>
            <w:tcW w:type="dxa" w:w="2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23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4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Empresa Target Ideal</w:t>
            </w:r>
          </w:p>
        </w:tc>
        <w:tc>
          <w:tcPr>
            <w:tcW w:type="dxa" w:w="2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Fluxo de caixa estável e previsível; baixo capex de manutenção; ativos tangíveis (garantias); posição competitiva defensável; management forte</w:t>
            </w:r>
          </w:p>
        </w:tc>
      </w:tr>
      <w:tr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Estrutura de Capital Típica</w:t>
            </w:r>
          </w:p>
        </w:tc>
        <w:tc>
          <w:tcPr>
            <w:tcW w:type="dxa" w:w="2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60–70% dívida sênior; 10–15% mezanino; 20–30% equity do sponsor; leverage 4–6x EBITDA</w:t>
            </w:r>
          </w:p>
        </w:tc>
      </w:tr>
      <w:tr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Retorno ao Sponsor</w:t>
            </w:r>
          </w:p>
        </w:tc>
        <w:tc>
          <w:tcPr>
            <w:tcW w:type="dxa" w:w="2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TIR-alvo de 20–30% a.a.; múltiplo sobre o investido (MOIC) de 2,5–4,0x; horizonte de 3–7 anos</w:t>
            </w:r>
          </w:p>
        </w:tc>
      </w:tr>
      <w:tr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Exit Strategies</w:t>
            </w:r>
          </w:p>
        </w:tc>
        <w:tc>
          <w:tcPr>
            <w:tcW w:type="dxa" w:w="2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IPO; venda estratégica (trade sale); secondary buyout; dividend recapitalization</w:t>
            </w:r>
          </w:p>
        </w:tc>
      </w:tr>
      <w:tr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Modelo de Criação de Valor</w:t>
            </w:r>
          </w:p>
        </w:tc>
        <w:tc>
          <w:tcPr>
            <w:tcW w:type="dxa" w:w="2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Desalavancagem operacional (FCF paga dívida); crescimento do EBITDA (orgânico + M&amp;A); expansão de múltiplo</w:t>
            </w:r>
          </w:p>
        </w:tc>
      </w:tr>
      <w:tr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Risco Principal</w:t>
            </w:r>
          </w:p>
        </w:tc>
        <w:tc>
          <w:tcPr>
            <w:tcW w:type="dxa" w:w="2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Ciclo adverso reduz EBITDA; spread de refinanciamento aumenta; combinação pode levar à insolvência da SPE de aquisição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20.2 Instrumentos Híbridos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Os instrumentos híbridos combinam características de dívida e equity, ocupando o espectro entre as duas categorias na estrutura de capital: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Instrumento</w:t>
            </w:r>
          </w:p>
        </w:tc>
        <w:tc>
          <w:tcPr>
            <w:tcW w:type="dxa" w:w="65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Características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Debêntures Conversíveis em Ações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Conversão a critério do detentor ou em eventos pré-definidos; ação fantasma (shadow equity); usado em venture debt e M&amp;A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Debêntures Permutáveis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Conversíveis em ações de outra companhia (subsidiária ou terceiro); desbloqueio de valor de ativos detidos pela holding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CRI/CRA com Participação nos Lucros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Componente de retorno atrelado à performance do projeto; spread base + participação; IFRS: tratamento contábil complexo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Notas Conversíveis (Convertible Notes)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Instrumento de curto prazo com conversão automática em equity no próximo round de capital; padrão em startups e scale-ups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Preferred Equity (Ações Preferenciais)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Prioridade no recebimento de dividendos e liquidação; sem voto (regra geral); estruturada em acordos de acionistas de PE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PIK — Payment in Kind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Juros pagos em espécie (novos títulos) em vez de caixa; preserva liquidez na fase inicial; cupom efetivo sobe com o tempo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Warrants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Direito de subscrição de ações a preço pré-fixado; emitidos junto com dívida para reduzir o coupon de caixa; dilutivo no exercício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SAFEs e Notas Simples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Instrumentos de aporte sem valuation definido; conversão no próximo evento qualificado; padrão em seed e pré-série A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8"/>
              <w:left w:val="single" w:color="1B3A6B" w:sz="8"/>
              <w:bottom w:val="single" w:color="1B3A6B" w:sz="8"/>
              <w:right w:val="single" w:color="1B3A6B" w:sz="8"/>
            </w:tcBorders>
            <w:shd w:fill="1B3A6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BBDD"/>
                <w:sz w:val="18"/>
                <w:szCs w:val="18"/>
              </w:rPr>
              <w:t xml:space="preserve">PARTE IX</w:t>
            </w:r>
          </w:p>
          <w:p>
            <w:pPr>
              <w:spacing w:before="2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INTEGRAÇÃO DCM + HOLDINGS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8D8EC"/>
                <w:sz w:val="20"/>
                <w:szCs w:val="20"/>
              </w:rPr>
              <w:t xml:space="preserve">Estruturas Combinadas e Casos Práticos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2"/>
          <w:szCs w:val="32"/>
        </w:rPr>
        <w:t xml:space="preserve">Capítulo 21 — Estruturas de Dívida em Holdings e SPEs</w:t>
      </w:r>
    </w:p>
    <w:p>
      <w:pPr>
        <w:pBdr>
          <w:bottom w:val="single" w:color="1B3A6B" w:sz="6"/>
        </w:pBdr>
        <w:spacing w:before="10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21.1 Emissão de Debêntures pela Holding para Financiar Subsidiárias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Uma estrutura comum é a emissão de debêntures no nível da holding (entidade mais conhecida pelos investidores), com repasse dos recursos às subsidiárias via mútuo intercompany: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1"/>
                <w:szCs w:val="21"/>
              </w:rPr>
              <w:t xml:space="preserve">Estrutura: Holding emissora + downstream para SPEs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Holding emite debêntures no mercado (volume R$500M–R$2B; rating investment grade baseado no grupo consolidado)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Recursos captados repassados às SPEs via mútuos intragrupo a taxa de mercado (dedutível no IRPJ das SPEs)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SPEs geram fluxo de caixa operacional e remetem dividendos / amortizações de mútuo à holding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Holding usa esses fluxos para pagar serviço das debêntures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Covenants das debêntures testados no consolidado (DL/EBITDA consolidado, ICR consolidado)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 Risco: inadimplência de SPE relevante compromete fluxo de caixa da holding — exige diversificação e colchão de liquidez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Regulação aplicável: CVM 160/2022; Lei 6.404/1976 arts. 52–74; regras ANBIMA de disclosure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21.2 CRI Lastreado em Recebíveis de SPE Imobiliária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Estrutura comum em grupos imobiliários: a holding detém SPEs incorporadoras que geram recebíveis de vendas. Esses recebíveis são cedidos a uma securitizadora para emissão de CRI: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SPE incorporadora cede recebíveis de vendas (contratos de compra e venda) à securitizadora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Securitizadora emite CRI — série sênior (70–85%) e subordinada (15–30%, retida pela SPE/holding)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Patrimônio fiduciário isola os recebíveis; agente fiduciário monitora inadimplência e alienação do imóvel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Holding garante performance mínima via fiança ou subordinação estrutural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Benefício fiscal: isenção de IR para PF investidora reduz o custo de captação em ~150–250 bps vs. debênture equivalente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Regulação: CVM 60/2021 (securitizadora); Lei 9.514/1997 (alienação fiduciária imobiliária); CVM 160/2022 (oferta)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21.3 FIP como Holding Regulada com Alavancagem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FIP pode estruturar alavancagem no portfólio combinando equity das cotas com dívida captada pelas investidas. É o veículo preferido de fundos de PE no Brasil: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FIP capta equity de cotistas (institucionais, endowments, family offices, investidores qualificados)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FIP investe nas SPEs via subscrição de ações (participação mínima de 5% ou influência na governança — CVM 175/2022)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SPEs captam dívida sênior no mercado (debêntures, CCB, project finance) para alavancagem do retorno ao FIP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Tributação diferida: ganho de capital reconhecido apenas no resgate das cotas do FIP; alíquota 15% para investidor PF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FIP-IE (Infraestrutura) e FIP-PD&amp;I: benefícios fiscais específicos (isenção de IR no rendimento para PF); CVM 175/2022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Exige gestor registrado CVM Categoria A; custodiante; administrador fiduciário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2"/>
          <w:szCs w:val="32"/>
        </w:rPr>
        <w:t xml:space="preserve">Capítulo 22 — Gestão de Risco Integrada: Holdings + DCM</w:t>
      </w:r>
    </w:p>
    <w:p>
      <w:pPr>
        <w:pBdr>
          <w:bottom w:val="single" w:color="1B3A6B" w:sz="6"/>
        </w:pBdr>
        <w:spacing w:before="10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22.1 Dashboard de Risco Consolidado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Para grupos com holdings operacionais e dívida emitida no mercado, o CRO deve manter um dashboard de risco consolidado que integre risco corporativo e risco financeiro: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c>
          <w:tcPr>
            <w:tcW w:type="dxa" w:w="2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6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9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Frequência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Leverage Consolidado</w:t>
            </w:r>
          </w:p>
        </w:tc>
        <w:tc>
          <w:tcPr>
            <w:tcW w:type="dxa" w:w="3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Dívida Líquida / EBITDA LTM por subsidiária e consolidado; headroom de covenant</w:t>
            </w:r>
          </w:p>
        </w:tc>
        <w:tc>
          <w:tcPr>
            <w:tcW w:type="dxa" w:w="29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Mensal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Liquidity Coverage</w:t>
            </w:r>
          </w:p>
        </w:tc>
        <w:tc>
          <w:tcPr>
            <w:tcW w:type="dxa" w:w="3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Caixa disponível + linhas comprometidas / vencimentos 12 meses; mínimo 1,2x</w:t>
            </w:r>
          </w:p>
        </w:tc>
        <w:tc>
          <w:tcPr>
            <w:tcW w:type="dxa" w:w="29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Semanal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Interest Coverage</w:t>
            </w:r>
          </w:p>
        </w:tc>
        <w:tc>
          <w:tcPr>
            <w:tcW w:type="dxa" w:w="3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EBITDA / Despesas Financeiras Líquidas; alertas em &lt;2,5x</w:t>
            </w:r>
          </w:p>
        </w:tc>
        <w:tc>
          <w:tcPr>
            <w:tcW w:type="dxa" w:w="29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Mensal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Covenant Scorecard</w:t>
            </w:r>
          </w:p>
        </w:tc>
        <w:tc>
          <w:tcPr>
            <w:tcW w:type="dxa" w:w="3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Semáforo verde/amarelo/vermelho por covenant e por entidade emissora</w:t>
            </w:r>
          </w:p>
        </w:tc>
        <w:tc>
          <w:tcPr>
            <w:tcW w:type="dxa" w:w="29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Trimestral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Refinancing Schedule</w:t>
            </w:r>
          </w:p>
        </w:tc>
        <w:tc>
          <w:tcPr>
            <w:tcW w:type="dxa" w:w="3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Cronograma de vencimentos de dívida por entidade; risco de bullet próximo</w:t>
            </w:r>
          </w:p>
        </w:tc>
        <w:tc>
          <w:tcPr>
            <w:tcW w:type="dxa" w:w="29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Mensal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Counterparty Risk</w:t>
            </w:r>
          </w:p>
        </w:tc>
        <w:tc>
          <w:tcPr>
            <w:tcW w:type="dxa" w:w="3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Exposição a cada banco/credor; diversificação de fontes; limite por counterparty</w:t>
            </w:r>
          </w:p>
        </w:tc>
        <w:tc>
          <w:tcPr>
            <w:tcW w:type="dxa" w:w="29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Trimestral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FX Exposure</w:t>
            </w:r>
          </w:p>
        </w:tc>
        <w:tc>
          <w:tcPr>
            <w:tcW w:type="dxa" w:w="3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Exposição cambial líquida do grupo; dívida em moeda estrangeira vs. receita/ativo em USD/EUR</w:t>
            </w:r>
          </w:p>
        </w:tc>
        <w:tc>
          <w:tcPr>
            <w:tcW w:type="dxa" w:w="29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Mensal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Contingent Liabilities</w:t>
            </w:r>
          </w:p>
        </w:tc>
        <w:tc>
          <w:tcPr>
            <w:tcW w:type="dxa" w:w="3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Passivos contingentes de subsidiárias que possam impactar a holding; monitoramento jurídico</w:t>
            </w:r>
          </w:p>
        </w:tc>
        <w:tc>
          <w:tcPr>
            <w:tcW w:type="dxa" w:w="29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Trimestral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ESG KPIs para Covenants</w:t>
            </w:r>
          </w:p>
        </w:tc>
        <w:tc>
          <w:tcPr>
            <w:tcW w:type="dxa" w:w="3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Metas de emissão de CO2, uso de água, diversidade — relevante para sustainability-linked bonds</w:t>
            </w:r>
          </w:p>
        </w:tc>
        <w:tc>
          <w:tcPr>
            <w:tcW w:type="dxa" w:w="29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Semestral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22.2 Sustainability-Linked Bonds (SLB) e Green Bonds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Instrumentos de dívida ESG-linked tornaram-se relevantes no mercado brasileiro, com critérios específicos de estruturação: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Tipo/Tema</w:t>
            </w:r>
          </w:p>
        </w:tc>
        <w:tc>
          <w:tcPr>
            <w:tcW w:type="dxa" w:w="65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Características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Green Bonds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Recursos destinados exclusivamente a projetos verdes (energia renovável, eficiência energética, gestão de água); certificação externa; ICMA Green Bond Principles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Sustainability-Linked Bonds (SLB)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Spread vinculado ao atingimento de KPIs de sustentabilidade (emissão de CO2, uso de água); step-up de 25–50bps se meta não for atingida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Social Bonds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Financiamento de projetos com impacto social (habitação popular, saúde, educação); ICMA Social Bond Principles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Estruturação ESG no Brasil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Framework de Sustentabilidade; SPO (Second Party Opinion) por verificador independente (SITAWI, Sustainalytics, Vigeo); relatório de impacto anual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Regulação ANBIMA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Código de Finanças Sustentáveis ANBIMA; categorias de investimento responsável; vedação a greenwashing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CVM — Resolução 59/2021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Relatório de sustentabilidade anual para companhias abertas; base no TCFD; transparência em riscos climáticos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8"/>
              <w:left w:val="single" w:color="1B3A6B" w:sz="8"/>
              <w:bottom w:val="single" w:color="1B3A6B" w:sz="8"/>
              <w:right w:val="single" w:color="1B3A6B" w:sz="8"/>
            </w:tcBorders>
            <w:shd w:fill="1B3A6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BBDD"/>
                <w:sz w:val="18"/>
                <w:szCs w:val="18"/>
              </w:rPr>
              <w:t xml:space="preserve">PARTE X</w:t>
            </w:r>
          </w:p>
          <w:p>
            <w:pPr>
              <w:spacing w:before="2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DILIGÊNCIAS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8D8EC"/>
                <w:sz w:val="20"/>
                <w:szCs w:val="20"/>
              </w:rPr>
              <w:t xml:space="preserve">DD em Emissões DCM, Aquisições M&amp;A e Crédito Estruturado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2"/>
          <w:szCs w:val="32"/>
        </w:rPr>
        <w:t xml:space="preserve">Capítulo 23 — Due Diligence em Emissões DCM</w:t>
      </w:r>
    </w:p>
    <w:p>
      <w:pPr>
        <w:pBdr>
          <w:bottom w:val="single" w:color="1B3A6B" w:sz="6"/>
        </w:pBdr>
        <w:spacing w:before="10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due diligence em emissões de dívida (DCM DD) é o processo formal de verificação de informações do emissor antes da estruturação e distribuição de instrumentos de dívida. Ela protege o coordenador, o investidor e o próprio emissor, além de ser exigência regulatória implícita no Código ROVA da ANBIMA e nas obrigações de disclosure da CVM 160/2022.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23.1 Matriz de Responsabilidades na DD de Emissão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360"/>
        <w:gridCol w:w="800"/>
      </w:tblGrid>
      <w:tr>
        <w:tc>
          <w:tcPr>
            <w:tcW w:type="dxa" w:w="2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Participante</w:t>
            </w:r>
          </w:p>
        </w:tc>
        <w:tc>
          <w:tcPr>
            <w:tcW w:type="dxa" w:w="63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Coordenador Líder</w:t>
            </w:r>
          </w:p>
        </w:tc>
        <w:tc>
          <w:tcPr>
            <w:tcW w:type="dxa" w:w="6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DD de negócio e financeira; verificação de informações do prospecto; responsabilidade solidária por informações falsas ou omissões (CVM 160, art. 56)</w:t>
            </w:r>
          </w:p>
        </w:tc>
        <w:tc>
          <w:tcPr>
            <w:tcW w:type="dxa" w:w="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Escritório de Advocacia (Counsel)</w:t>
            </w:r>
          </w:p>
        </w:tc>
        <w:tc>
          <w:tcPr>
            <w:tcW w:type="dxa" w:w="6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DD jurídica; legal opinion; verificação de litígios, passivos contingentes, regularidade societária, validade das garantias; opinião sobre enforceability</w:t>
            </w:r>
          </w:p>
        </w:tc>
        <w:tc>
          <w:tcPr>
            <w:tcW w:type="dxa" w:w="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Agência de Rating</w:t>
            </w:r>
          </w:p>
        </w:tc>
        <w:tc>
          <w:tcPr>
            <w:tcW w:type="dxa" w:w="6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DD de crédito independente; validação dos números financeiros; análise do setor; stress test do modelo de pagamento</w:t>
            </w:r>
          </w:p>
        </w:tc>
        <w:tc>
          <w:tcPr>
            <w:tcW w:type="dxa" w:w="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Auditores Independentes</w:t>
            </w:r>
          </w:p>
        </w:tc>
        <w:tc>
          <w:tcPr>
            <w:tcW w:type="dxa" w:w="6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Comfort letter; verificação de dados financeiros do prospecto vs. demonstrações auditadas; procedimentos acordados (AUP)</w:t>
            </w:r>
          </w:p>
        </w:tc>
        <w:tc>
          <w:tcPr>
            <w:tcW w:type="dxa" w:w="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Consultor Técnico / Engenheiro</w:t>
            </w:r>
          </w:p>
        </w:tc>
        <w:tc>
          <w:tcPr>
            <w:tcW w:type="dxa" w:w="6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Projetos de infraestrutura: avaliação de viabilidade técnica, capex, cronograma e riscos construtivos; report independente</w:t>
            </w:r>
          </w:p>
        </w:tc>
        <w:tc>
          <w:tcPr>
            <w:tcW w:type="dxa" w:w="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Gestor/Investidor (buy-side DD)</w:t>
            </w:r>
          </w:p>
        </w:tc>
        <w:tc>
          <w:tcPr>
            <w:tcW w:type="dxa" w:w="6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DD proprietária independente; não pode confiar integralmente nas informações do coordenador; obrigação fiduciária para com os cotistas</w:t>
            </w:r>
          </w:p>
        </w:tc>
        <w:tc>
          <w:tcPr>
            <w:tcW w:type="dxa" w:w="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23.2 DD Financeira em Emissões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DD financeira verifica a acuracidade das informações financeiras apresentadas no prospecto ou infomemo, com foco nas premissas de capacidade de pagamento: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65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Procedimentos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Validação de Demonstrações Financeiras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Conciliação de DRE, BP e DFC auditados; verificação de práticas contábeis (IFRS/BR-GAAP); identificação de ajustes não-recorrentes ao EBITDA; análise de mudanças de critério contábil entre períodos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Análise de Endividamento Existente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Mapeamento de toda a dívida do grupo: bancária, mercado de capitais, intragrupo e off-balance; cronograma de vencimentos; covenants existentes e headroom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Análise de Fluxo de Caixa Histórico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FCF operacional vs. FCF livre; qualidade do EBITDA (conversão em caixa); sazonalidade; variação de capital de giro; padrão de capex manutenção vs. expansão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Projeções Financeiras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Validação das premissas de crescimento de receita, margem e capex; sensibilidade de DSCR e leverage ao longo da vigência da emissão; downside case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Análise de Capital de Giro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Ciclo financeiro (PMR, PME, PMP); NCG histórica; risco de compressão de margem por alongamento de recebíveis ou encurtamento de prazos de fornecedores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Identificação de Contingências Financeiras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Passivos fiscais não provisionados; contingências trabalhistas; garantias prestadas a terceiros; obrigações de earn-out; dívidas de ex-subsidiárias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Análise de Partes Relacionadas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Operações com controladores, coligadas e diretores; preços de transferência; mútuo intragrupo; riscos de requalificação fiscal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Qualidade dos Recebíveis (para CRI/CRA)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Vintagem; taxa de inadimplência histórica; concentração de devedores; elegibilidade dos recebíveis conforme a definição do lastro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23.3 DD Jurídica em Emissões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65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Procedimentos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Regularidade Societária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Contrato social/estatuto atualizado; poderes de representação; atas de deliberação da emissão; ausência de dissolução ou liquidação em curso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Validade e Enforceability das Garantias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Verificação de propriedade do ativo dado em garantia; ausência de ônus anteriores; constituição válida da alienação fiduciária ou cessão; registro em cartório ou sistema competente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Litígios e Contingências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Mapeamento de processos judiciais e administrativos relevantes; quantificação de contingências prováveis vs. possíveis; verificação de autuações fiscais (PGFN, Receita Federal, estados)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Contratos Materiais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Análise de contratos de fornecimento, clientes âncora, concessões; cláusulas de change of control; rescisão por inadimplência; impacto da emissão nos contratos existentes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Compliance Regulatório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Licenças e autorizações necessárias para operação; IBAMA, ANEEL, ANTT, ANVISA conforme o setor; regularidade ambiental e trabalhista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Estrutura de Garantias — True Sale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Para CRI/CRA: opinião jurídica de true sale (cessão real vs. mero penhor); non-consolidation opinion; enforceability do regime fiduciário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Legal Opinion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Documento formal emitido pelo escritório sobre a validade e enforceability da emissão, das garantias e dos documentos da transação; anexado ao prospecto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23.4 DD de Negócio e Setorial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65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Procedimentos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Posição Competitiva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Análise do setor (Porter Five Forces); market share do emissor; barreiras de entrada; risco de disrupção tecnológica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Clientes e Concentração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Top 10 clientes por receita; contratos vigentes e prazos de renovação; risco de churn; cláusulas de volume mínimo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Fornecedores e Cadeia de Suprimentos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Concentração de fornecedores; dependência de importados e risco cambial; capacidade de repasse de custos ao cliente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Gestão e Equipe-Chave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Background e track record do CEO/CFO; riscos de key-person dependency; estrutura de incentivos; sucessão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Modelo de Negócio e Estratégia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Sustentabilidade da geração de caixa no longo prazo; capex de crescimento vs. manutenção; pipeline de projetos; integração de M&amp;A recente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ESG / Socioambiental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 para agro; embargos IBAMA; certificações setoriais; scorecard de diversidade e governança; aderência ao framework de finanças sustentáveis ANBIMA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2"/>
          <w:szCs w:val="32"/>
        </w:rPr>
        <w:t xml:space="preserve">Capítulo 24 — Due Diligence em Aquisições (M&amp;A DD)</w:t>
      </w:r>
    </w:p>
    <w:p>
      <w:pPr>
        <w:pBdr>
          <w:bottom w:val="single" w:color="1B3A6B" w:sz="6"/>
        </w:pBdr>
        <w:spacing w:before="10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DD em aquisições é mais abrangente que a DD de emissão, pois o comprador assume todos os riscos e passivos da empresa adquirida. É estruturada em workstreams paralelos coordenados por um data room virtual (VDR) e gerenciados pelo M&amp;A advisor ou CFO do comprador.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24.1 Organização da DD — Workstreams e VDR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Workstream</w:t>
            </w:r>
          </w:p>
        </w:tc>
        <w:tc>
          <w:tcPr>
            <w:tcW w:type="dxa" w:w="65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Escopo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Financial DD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Análise profunda de DRE, BP, DFC histórico e projetado; qualidade dos recebíveis; dívida ajustada; EBITDA normalizado; working capital reference; net debt definition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Legal &amp; Structural DD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Estrutura societária completa; contratos materiais; litígios; propriedade dos ativos; regularidade do quadro acionário; acordos de acionistas existentes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Tax DD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Passivos fiscais não provisionados; contingências tributárias; enquadramento tributário; planejamentos fiscais agressivos com risco de autuação; carryforward de prejuízos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Operational DD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Processos operacionais; tecnologia e sistemas; capacidade de produção/atendimento; dependências críticas; riscos de integração pós-fechamento (PMI)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Commercial / Market DD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Validação das premissas de mercado; análise de demanda independente; sustentabilidade do modelo de receita; análise de churn e NPS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HR / People DD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Passivos trabalhistas; acordos coletivos; pacotes de retenção de executivos; cultura organizacional; turnover histórico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IT / Cyber DD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Infraestrutura tecnológica; segurança cibernética; dívida técnica de sistemas; compliance LGPD; licenças de software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ESG / Ambiental DD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Passivos ambientais; licenças de operação; histórico de autuações; riscos físicos de mudança climática; scorecard de governança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Regulatory / Compliance DD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Autorizações regulatórias; histórico de multas e autuações; programas de compliance anticorrupção; exposição FCPA/UK Bribery se houver operação internacional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Insurance DD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Coberturas de seguro vigentes; adequação ao perfil de risco; sinistros relevantes nos últimos 5 anos; continuidade de cobertura pós-closing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24.2 Financial DD — Normalização do EBITDA e Net Debt</w:t>
      </w:r>
    </w:p>
    <w:p>
      <w:pPr>
        <w:pStyle w:val="Heading3"/>
      </w:pPr>
      <w:r>
        <w:rPr>
          <w:rFonts w:ascii="Arial" w:cs="Arial" w:eastAsia="Arial" w:hAnsi="Arial"/>
          <w:b/>
          <w:bCs/>
          <w:i w:val="false"/>
          <w:iCs w:val="false"/>
          <w:color w:val="334155"/>
          <w:sz w:val="22"/>
          <w:szCs w:val="22"/>
        </w:rPr>
        <w:t xml:space="preserve">Normalização do EBITDA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EBITDA reportado frequentemente contém itens não-recorrentes ou não-operacionais que distorcem a percepção de geração de caixa. A DD financeira deve produzir um EBITDA ajustado que reflita a capacidade real de geração de caixa recorrente: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de Ajuste</w:t>
            </w:r>
          </w:p>
        </w:tc>
        <w:tc>
          <w:tcPr>
            <w:tcW w:type="dxa" w:w="65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Ajustes Adicionadores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Gastos não-recorrentes legítimos: reestruturação, litígios extraordinários, custos de M&amp;A, write-offs pontuais; severâncias de executivos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Ajustes Removedores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Receitas não-recorrentes: ganho na venda de ativo, reversão de provisão, PLR acima do padrão, subsídio temporário; receita de operação descontinuada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Ajustes de Run-rate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EBITDA projetado incluindo efeito de contratos recentemente assinados, precificações aprovadas ou cortes de custo implementados mas não refletidos no histórico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Remuneração de Sócios vs. Mercado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 empresas familiares: substituição da remuneração acima/abaixo do mercado pelo custo de um profissional equivalente de mercado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Provisões Subavaliadas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Devedores duvidosos insuficientemente provisionados; estoques obsoletos não baixados; passivos contingentes não reconhecidos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i w:val="false"/>
          <w:iCs w:val="false"/>
          <w:color w:val="334155"/>
          <w:sz w:val="22"/>
          <w:szCs w:val="22"/>
        </w:rPr>
        <w:t xml:space="preserve">Working Capital Analysis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Cálculo do WC normalizado: média de 12 a 24 meses ajustada por sazonalidade; exclui caixa, dívida e itens extraordinários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Definição de WC target no SPA: base para ajuste de preço se WC no closing for acima ou abaixo do target acordado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Análise de DSO, DIO e DPO histórico: tendências de deterioração sinalizam pressão de capital de giro não capturada pelo EBITDA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Locked box vs. closing accounts: locked box fixa o equity value em data de referência; closing accounts calcula o ajuste no fechamento real — cada estrutura tem incentivos e riscos específicos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i w:val="false"/>
          <w:iCs w:val="false"/>
          <w:color w:val="334155"/>
          <w:sz w:val="22"/>
          <w:szCs w:val="22"/>
        </w:rPr>
        <w:t xml:space="preserve">Net Debt Definition e Debt-Like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65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Itens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Dívida Financeira Óbvia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Empréstimos bancários, debêntures, CCBs, NCEs, leasing IFRS 16, financiamentos de capex, multas parceladas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Debt-Like Items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Passivos de earn-out; obrigações de planos de pensão (déficit atuarial); passivos de litígios prováveis não provisionados; imposto diferido passivo; deferred revenue fora do curso normal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Cash-Like Items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Caixa restrito (escrow, cauções); recebíveis de earn-out de venda anterior; créditos fiscais realizáveis no curto prazo; depósitos judiciais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Off-Balance Items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Garantias prestadas a terceiros; contingências passivas não reconhecidas; leasing operacional pré-IFRS 16 em anos de comparação; SPEs não consolidadas com risco real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24.3 Tax DD — Passivos Tributários no Brasil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65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Riscos e Procedimentos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Passivos Fiscais Federais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IRPJ, CSLL, PIS, COFINS, IOF; parcelamentos em curso (PERT, REFIS); autos de infração com decisão pendente; divergências com a RFB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Passivos Estaduais e Municipais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ICMS (operações em múltiplos estados); ISS para prestadoras de serviço; Substituição Tributária; dívida ativa estadual/municipal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Planejamentos Tributários Agressivos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Estruturas de JCP retroativo; uso de ágio em reestruturações internas; paraísos fiscais; cisão para aproveitamento de prejuízo fiscal; regras CFC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CARF — Processos Administrativos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Avaliação da chance de reversão vs. probabilidade de derrota; base de precificação do risco no valuation; histórico de decisões em casos semelhantes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Carryforward de Prejuízo Fiscal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Saldo de prejuízo fiscal e base negativa de CSLL; limitação de 30% por ano; intransferível em operações de compra de ativos (asset deal)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Stock Deal vs. Asset Deal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stock deal o comprador herda todos os passivos tributários; asset deal cria novo histórico tributário mas pode gerar ITBI, IOF e outros custos transacionais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24.4 Documentação do SPA — Proteções ao Comprador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Mecanismo</w:t>
            </w:r>
          </w:p>
        </w:tc>
        <w:tc>
          <w:tcPr>
            <w:tcW w:type="dxa" w:w="65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Representations &amp; Warranties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Declarações do vendedor sobre o estado da empresa; falsidade gera direito de indenização; scope, knowledge qualifiers e materiality thresholds negociados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Indemnification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Cap de indenização (15 a 30% do preço); basket/deductible (primeira perda do comprador); prazo prescricional (2 a 5 anos)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W&amp;I Insurance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Warranty and Indemnity Insurance: seguro que cobre breach de reps and warranties; substitui parcialmente a responsabilidade do vendedor; spread de 1 a 2% do valor segurado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Escrow / Retenção de Preço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Parcela do preço retida em conta escrow por 12 a 36 meses como garantia de indenizações; alternativa a W&amp;I ou complementar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MAC — Material Adverse Change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Permite ao comprador desistir do negócio se ocorrer evento de MAC entre signing e closing; definição ampla vs. estreita é ponto de negociação central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Condições Precedentes ao Closing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CADE, reguladores setoriais, waiver de covenants do emissor, consentimento de partes relacionadas; longstop date; walk-away rights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Non-Compete e Non-Solicit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Limitação do vendedor de competir ou contratar funcionários por 3 a 5 anos; compensação; abrangência geográfica; enforceability no direito brasileiro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Earn-out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Complemento de preço condicionado a metas; proteção ao comprador contra overestimation; proteção ao vendedor contra underperformance por ingerência do adquirente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2"/>
          <w:szCs w:val="32"/>
        </w:rPr>
        <w:t xml:space="preserve">Capítulo 25 — Due Diligence de Crédito Estruturado</w:t>
      </w:r>
    </w:p>
    <w:p>
      <w:pPr>
        <w:pBdr>
          <w:bottom w:val="single" w:color="1B3A6B" w:sz="6"/>
        </w:pBdr>
        <w:spacing w:before="10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DD de crédito estruturado é específica para emissões com lastro (CRI, CRA, FIDC, debêntures com garantia real) e exige análise tanto do emissor/devedor quanto dos ativos que lastreiam ou garantem a operação.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25.1 DD de Lastro em CRI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65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Procedimentos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Mapeamento do Portfólio de Recebíveis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Listagem completa dos créditos cedidos; valor, prazo, taxa, indexador, CPF/CNPJ do devedor; verificação de duplicidade ou sobreposição com outras cessões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Análise de Elegibilidade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Verificação de enquadramento na definição de crédito imobiliário (Lei 9.514/1997); ausência de vícios de origem (contrato nulo, devedor incapaz, imóvel irregular)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Taxa de Inadimplência Histórica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Performance da carteira no histórico disponível; comparação com carteiras semelhantes; stress de inadimplência para sizing das séries subordinadas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Razão de Cobertura (Overcollateralization)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Valor nominal dos recebíveis cedidos vs. volume emitido de CRI; cushion mínimo para série sênior receber em cenário de stress de inadimplência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Qualidade do Imóvel como Colateral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Laudo de avaliação (ABNT NBR 14.653); localização; liquidez do imóvel; estado de conservação; matrícula livre de ônus anteriores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Regime Fiduciário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Verificação formal do ato de constituição do regime fiduciário; segregação patrimonial efetiva; conta vinculada operante; não consolidação com patrimônio da securitizadora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25.2 DD de Lastro em CRA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65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Procedimentos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Originadores e CPRs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Verificação de CPRs físicas ou financeiras; validade, registro em cartório; capacidade produtiva do emitente; safra/ciclo de referência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Concentração de Devedores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Distribuição geográfica e por cultura; risco de quebra de safra sistêmica em região; análise de safras históricas do produtor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Risco de Preço de Commodity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Lastro em CPR financeira: exposição ao preço de soja, milho, cana, etc.; hedge do emissor ou da securitizadora; correlação com câmbio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Regularidade Ambiental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 dos imóveis produtivos; embargos IBAMA; desmatamento irregular; selos de rastreabilidade (ex: RenovaBio, Bonsucro)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Armazenagem e Logística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CDA/WA: qualidade e capacidade do armazém; certificação pelo MAPA; seguro da mercadoria; cobertura por garantia do depositário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Risco Climático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Análise de ENSO, La Niña; seguro rural (PROAGRO, seguro privado); risco de pragas e doenças; histórico de perdas de safra na região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25.3 DD de Garantias Reais em Debêntures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Garantia</w:t>
            </w:r>
          </w:p>
        </w:tc>
        <w:tc>
          <w:tcPr>
            <w:tcW w:type="dxa" w:w="65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Procedimentos de Verificação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Alienação Fiduciária de Imóvel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Matrícula do imóvel: verificação de proprietário, ônus e gravames; avaliação por avaliador credenciado; razão de cobertura LTV; registro em cartório competente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Cessão Fiduciária de Recebíveis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Contrato de cessão; notificação dos devedores cedidos; registro em cartório de títulos; conta vinculada ao agente fiduciário; concentração dos cedidos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Penhor de Quotas/Ações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Contrato de penhor; averbação no livro de transferência ou registro na B3; poderes de execução do credor pignoratício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Fiança Corporativa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Demonstrações financeiras da garantidora; capacidade financeira de honrar a fiança; ausência de limitações estatutárias; benefício de ordem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Verificação de Ônus Prévios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Certidão de ônus reais do imóvel; consulta ao DETRAN para veículos; busca no cartório de distribuição por dívidas pendentes e arrestos/penhoras</w:t>
            </w:r>
          </w:p>
        </w:tc>
      </w:tr>
      <w:tr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Razão de Cobertura Mínima</w:t>
            </w:r>
          </w:p>
        </w:tc>
        <w:tc>
          <w:tcPr>
            <w:tcW w:type="dxa" w:w="6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LTV máximo definido em escritura; trigger de recomposição de garantia se LTV ultrapassado; mecanismo de substituição de garantia alternativa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25.4 Checklist Consolidado de DD por Instrumento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Instrumento</w:t>
            </w:r>
          </w:p>
        </w:tc>
        <w:tc>
          <w:tcPr>
            <w:tcW w:type="dxa" w:w="3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Workstreams Prioritários</w:t>
            </w:r>
          </w:p>
        </w:tc>
        <w:tc>
          <w:tcPr>
            <w:tcW w:type="dxa" w:w="41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Documentos-Chave</w:t>
            </w:r>
          </w:p>
        </w:tc>
      </w:tr>
      <w:tr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Debênture Pública</w:t>
            </w:r>
          </w:p>
        </w:tc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Financeira, jurídica, negócio, rating</w:t>
            </w:r>
          </w:p>
        </w:tc>
        <w:tc>
          <w:tcPr>
            <w:tcW w:type="dxa" w:w="41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Prospecto CVM 160; legal opinion; comfort letter; escritura registrada</w:t>
            </w:r>
          </w:p>
        </w:tc>
      </w:tr>
      <w:tr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Debênture Privada (Restrita)</w:t>
            </w:r>
          </w:p>
        </w:tc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Financeira, jurídica, garantias</w:t>
            </w:r>
          </w:p>
        </w:tc>
        <w:tc>
          <w:tcPr>
            <w:tcW w:type="dxa" w:w="41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Infomemo; legal opinion; DD das garantias; contrato de distribuição</w:t>
            </w:r>
          </w:p>
        </w:tc>
      </w:tr>
      <w:tr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CRI</w:t>
            </w:r>
          </w:p>
        </w:tc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Lastro de recebíveis, jurídica da securitizadora, qualidade dos imóveis</w:t>
            </w:r>
          </w:p>
        </w:tc>
        <w:tc>
          <w:tcPr>
            <w:tcW w:type="dxa" w:w="41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True sale opinion; laudo de avaliação; regime fiduciário; taxa de inadimplência</w:t>
            </w:r>
          </w:p>
        </w:tc>
      </w:tr>
      <w:tr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CRA</w:t>
            </w:r>
          </w:p>
        </w:tc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Lastro agro (CPR/CDCA), ambiental, risco de commodity</w:t>
            </w:r>
          </w:p>
        </w:tc>
        <w:tc>
          <w:tcPr>
            <w:tcW w:type="dxa" w:w="41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CAR; validade das CPRs; seguro rural; análise de safra; hedge de preço</w:t>
            </w:r>
          </w:p>
        </w:tc>
      </w:tr>
      <w:tr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Nota Comercial Pública</w:t>
            </w:r>
          </w:p>
        </w:tc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Financeira, jurídica, negócio</w:t>
            </w:r>
          </w:p>
        </w:tc>
        <w:tc>
          <w:tcPr>
            <w:tcW w:type="dxa" w:w="41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Prospecto; legal opinion; demonstrações auditadas</w:t>
            </w:r>
          </w:p>
        </w:tc>
      </w:tr>
      <w:tr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Project Finance</w:t>
            </w:r>
          </w:p>
        </w:tc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Técnica, financeira, jurídica (concessão), ambiental</w:t>
            </w:r>
          </w:p>
        </w:tc>
        <w:tc>
          <w:tcPr>
            <w:tcW w:type="dxa" w:w="41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Report de engenharia; análise do contrato de concessão/PPA; DSCR projetado; licenças ambientais</w:t>
            </w:r>
          </w:p>
        </w:tc>
      </w:tr>
      <w:tr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LBO / Aquisição M&amp;A</w:t>
            </w:r>
          </w:p>
        </w:tc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Financeira, tax, legal, HR, operacional, ESG</w:t>
            </w:r>
          </w:p>
        </w:tc>
        <w:tc>
          <w:tcPr>
            <w:tcW w:type="dxa" w:w="41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SPA com reps and warranties; W&amp;I insurance; escrow; DD de passivos ocultos</w:t>
            </w:r>
          </w:p>
        </w:tc>
      </w:tr>
      <w:tr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FIP (investimento)</w:t>
            </w:r>
          </w:p>
        </w:tc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Financeira das investidas, jurídica, regulatória CVM</w:t>
            </w:r>
          </w:p>
        </w:tc>
        <w:tc>
          <w:tcPr>
            <w:tcW w:type="dxa" w:w="41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CVM 175/2022; Reg. Interno; Política de Investimento; elegibilidade das investidas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25.5 Red Flags — Sinais de Alerta na DD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91B1B" w:sz="6"/>
              <w:left w:val="single" w:color="991B1B" w:sz="6"/>
              <w:bottom w:val="single" w:color="991B1B" w:sz="6"/>
              <w:right w:val="single" w:color="991B1B" w:sz="6"/>
            </w:tcBorders>
            <w:shd w:fill="F1F5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21"/>
                <w:szCs w:val="21"/>
              </w:rPr>
              <w:t xml:space="preserve">Principais Red Flags que devem escalar para reavaliação ou rejeição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FINANCEIRO: Inconsistência entre DRE e DFC (EBITDA alto mas caixa negativo recorrente); mudança de auditor inexplicada; notas explicativas com ressalvas ou énfases relevantes; provisões de contingência significativamente abaixo da visão jurídica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JURÍDICO: Sócios com histórico de fraude, recuperação judicial ou processos criminais; imóvel dado em garantia com penhora ou alienação anterior; contratos materiais com cláusula de change of control não obtida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FISCAL: Auto de infração de alto valor sem provisão com chance de perda provável; planejamentos agressivos sem jurisprudência consolidada; offshore sem substância econômica com risco de GAAR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OPERACIONAL: Dependência crítica de 1 a 2 clientes que representam mais de 50% da receita sem contrato vigente; fornecedor único para insumo crítico sem alternativa; churn crescente não explicado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ESG / AMBIENTAL: Embargo IBAMA ativo; área desmatada sem regularização no CAR; processo trabalhista de condicoes análogas à escravidão; derramamento ou acidente ambiental recente sem remediação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GOVERNANÇA: Ausência de segregação entre controlador e administração; opacidade em transações com partes relacionadas; auditores que também prestam consultoria estratégica ao emissor; ausência de canal de denúncias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8"/>
              <w:left w:val="single" w:color="1B3A6B" w:sz="8"/>
              <w:bottom w:val="single" w:color="1B3A6B" w:sz="8"/>
              <w:right w:val="single" w:color="1B3A6B" w:sz="8"/>
            </w:tcBorders>
            <w:shd w:fill="1B3A6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6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BBDD"/>
                <w:sz w:val="18"/>
                <w:szCs w:val="18"/>
              </w:rPr>
              <w:t xml:space="preserve">REFERÊNCIAS</w:t>
            </w:r>
          </w:p>
          <w:p>
            <w:pPr>
              <w:spacing w:before="2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Regulação Vigente e Fontes Técnicas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8D8EC"/>
                <w:sz w:val="20"/>
                <w:szCs w:val="20"/>
              </w:rPr>
              <w:t xml:space="preserve">Base documental do guia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32"/>
          <w:szCs w:val="32"/>
        </w:rPr>
        <w:t xml:space="preserve">Referências Regulatórias e Bibliográficas</w:t>
      </w:r>
    </w:p>
    <w:p>
      <w:pPr>
        <w:pBdr>
          <w:bottom w:val="single" w:color="1B3A6B" w:sz="6"/>
        </w:pBdr>
        <w:spacing w:before="100"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Legislação e Regulamentação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c>
          <w:tcPr>
            <w:tcW w:type="dxa" w:w="2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Norma</w:t>
            </w:r>
          </w:p>
        </w:tc>
        <w:tc>
          <w:tcPr>
            <w:tcW w:type="dxa" w:w="44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Escopo</w:t>
            </w:r>
          </w:p>
        </w:tc>
        <w:tc>
          <w:tcPr>
            <w:tcW w:type="dxa" w:w="25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Fonte</w:t>
            </w:r>
          </w:p>
        </w:tc>
      </w:tr>
      <w:tr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Lei 6.404/1976</w:t>
            </w:r>
          </w:p>
        </w:tc>
        <w:tc>
          <w:tcPr>
            <w:tcW w:type="dxa" w:w="4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Lei das Sociedades por Ações; arts. 52-74 (debêntures); art. 118 (acordo de acionistas); art. 202 (dividendos)</w:t>
            </w:r>
          </w:p>
        </w:tc>
        <w:tc>
          <w:tcPr>
            <w:tcW w:type="dxa" w:w="2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CVM / Planalto</w:t>
            </w:r>
          </w:p>
        </w:tc>
      </w:tr>
      <w:tr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Lei 9.514/1997</w:t>
            </w:r>
          </w:p>
        </w:tc>
        <w:tc>
          <w:tcPr>
            <w:tcW w:type="dxa" w:w="4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Alienação fiduciária imobiliária; patrimônio de afetação; estrutura de CRI</w:t>
            </w:r>
          </w:p>
        </w:tc>
        <w:tc>
          <w:tcPr>
            <w:tcW w:type="dxa" w:w="2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Planalto</w:t>
            </w:r>
          </w:p>
        </w:tc>
      </w:tr>
      <w:tr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Lei 11.076/2004</w:t>
            </w:r>
          </w:p>
        </w:tc>
        <w:tc>
          <w:tcPr>
            <w:tcW w:type="dxa" w:w="4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CRA e instrumentos do agronegócio (CPR, CDCA, CDA, WA)</w:t>
            </w:r>
          </w:p>
        </w:tc>
        <w:tc>
          <w:tcPr>
            <w:tcW w:type="dxa" w:w="2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Planalto</w:t>
            </w:r>
          </w:p>
        </w:tc>
      </w:tr>
      <w:tr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Lei 12.024/2009</w:t>
            </w:r>
          </w:p>
        </w:tc>
        <w:tc>
          <w:tcPr>
            <w:tcW w:type="dxa" w:w="4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Isenção de IR em CRI e CRA para PF</w:t>
            </w:r>
          </w:p>
        </w:tc>
        <w:tc>
          <w:tcPr>
            <w:tcW w:type="dxa" w:w="2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Planalto</w:t>
            </w:r>
          </w:p>
        </w:tc>
      </w:tr>
      <w:tr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Lei 12.431/2011</w:t>
            </w:r>
          </w:p>
        </w:tc>
        <w:tc>
          <w:tcPr>
            <w:tcW w:type="dxa" w:w="4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Debêntures incentivadas de infraestrutura; isenção IR para PF e estrangeiros</w:t>
            </w:r>
          </w:p>
        </w:tc>
        <w:tc>
          <w:tcPr>
            <w:tcW w:type="dxa" w:w="2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Planalto</w:t>
            </w:r>
          </w:p>
        </w:tc>
      </w:tr>
      <w:tr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Lei 12.529/2011</w:t>
            </w:r>
          </w:p>
        </w:tc>
        <w:tc>
          <w:tcPr>
            <w:tcW w:type="dxa" w:w="4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Sistema Brasileiro de Defesa da Concorrência; CADE; notificação de atos de concentração</w:t>
            </w:r>
          </w:p>
        </w:tc>
        <w:tc>
          <w:tcPr>
            <w:tcW w:type="dxa" w:w="2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Planalto</w:t>
            </w:r>
          </w:p>
        </w:tc>
      </w:tr>
      <w:tr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Lei 12.846/2013</w:t>
            </w:r>
          </w:p>
        </w:tc>
        <w:tc>
          <w:tcPr>
            <w:tcW w:type="dxa" w:w="4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Lei Anticorrupção; responsabilidade objetiva de pessoa jurídica</w:t>
            </w:r>
          </w:p>
        </w:tc>
        <w:tc>
          <w:tcPr>
            <w:tcW w:type="dxa" w:w="2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Planalto</w:t>
            </w:r>
          </w:p>
        </w:tc>
      </w:tr>
      <w:tr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Lei 13.709/2018</w:t>
            </w:r>
          </w:p>
        </w:tc>
        <w:tc>
          <w:tcPr>
            <w:tcW w:type="dxa" w:w="4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LGPD; proteção de dados pessoais; DPO; ANPD</w:t>
            </w:r>
          </w:p>
        </w:tc>
        <w:tc>
          <w:tcPr>
            <w:tcW w:type="dxa" w:w="2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Planalto</w:t>
            </w:r>
          </w:p>
        </w:tc>
      </w:tr>
      <w:tr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Lei 14.195/2021</w:t>
            </w:r>
          </w:p>
        </w:tc>
        <w:tc>
          <w:tcPr>
            <w:tcW w:type="dxa" w:w="4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Modernização do ambiente de negócios; voto plural; notas comerciais; alterações Lei 6.404</w:t>
            </w:r>
          </w:p>
        </w:tc>
        <w:tc>
          <w:tcPr>
            <w:tcW w:type="dxa" w:w="2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Planalto</w:t>
            </w:r>
          </w:p>
        </w:tc>
      </w:tr>
      <w:tr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Lei 14.789/2023</w:t>
            </w:r>
          </w:p>
        </w:tc>
        <w:tc>
          <w:tcPr>
            <w:tcW w:type="dxa" w:w="4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Extinção da dedutibilidade do JCP a partir de 2024</w:t>
            </w:r>
          </w:p>
        </w:tc>
        <w:tc>
          <w:tcPr>
            <w:tcW w:type="dxa" w:w="2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Planalto</w:t>
            </w:r>
          </w:p>
        </w:tc>
      </w:tr>
      <w:tr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CVM 60/2021</w:t>
            </w:r>
          </w:p>
        </w:tc>
        <w:tc>
          <w:tcPr>
            <w:tcW w:type="dxa" w:w="4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Registro e funcionamento de securitizadoras de CRI e CRA</w:t>
            </w:r>
          </w:p>
        </w:tc>
        <w:tc>
          <w:tcPr>
            <w:tcW w:type="dxa" w:w="2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CVM</w:t>
            </w:r>
          </w:p>
        </w:tc>
      </w:tr>
      <w:tr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CVM 80/2022</w:t>
            </w:r>
          </w:p>
        </w:tc>
        <w:tc>
          <w:tcPr>
            <w:tcW w:type="dxa" w:w="4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Registro de emissores de valores mobiliários (Cat. A, B, ME)</w:t>
            </w:r>
          </w:p>
        </w:tc>
        <w:tc>
          <w:tcPr>
            <w:tcW w:type="dxa" w:w="2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CVM</w:t>
            </w:r>
          </w:p>
        </w:tc>
      </w:tr>
      <w:tr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CVM 160/2022</w:t>
            </w:r>
          </w:p>
        </w:tc>
        <w:tc>
          <w:tcPr>
            <w:tcW w:type="dxa" w:w="4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Ofertas públicas de valores mobiliários; POFV; oferta automática; dispensa de registro</w:t>
            </w:r>
          </w:p>
        </w:tc>
        <w:tc>
          <w:tcPr>
            <w:tcW w:type="dxa" w:w="2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CVM</w:t>
            </w:r>
          </w:p>
        </w:tc>
      </w:tr>
      <w:tr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CVM 175/2022</w:t>
            </w:r>
          </w:p>
        </w:tc>
        <w:tc>
          <w:tcPr>
            <w:tcW w:type="dxa" w:w="4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Fundos de Investimento (inclui FIP, FIDC, FII, FIAGRO)</w:t>
            </w:r>
          </w:p>
        </w:tc>
        <w:tc>
          <w:tcPr>
            <w:tcW w:type="dxa" w:w="2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CVM</w:t>
            </w:r>
          </w:p>
        </w:tc>
      </w:tr>
      <w:tr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CMN 4.751/2019</w:t>
            </w:r>
          </w:p>
        </w:tc>
        <w:tc>
          <w:tcPr>
            <w:tcW w:type="dxa" w:w="4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LIG — Letra Imobiliária Garantida</w:t>
            </w:r>
          </w:p>
        </w:tc>
        <w:tc>
          <w:tcPr>
            <w:tcW w:type="dxa" w:w="2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BACEN</w:t>
            </w:r>
          </w:p>
        </w:tc>
      </w:tr>
      <w:tr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CMN 4.994/2022</w:t>
            </w:r>
          </w:p>
        </w:tc>
        <w:tc>
          <w:tcPr>
            <w:tcW w:type="dxa" w:w="4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Diretrizes de investimento para EFPC (fundos de pensão)</w:t>
            </w:r>
          </w:p>
        </w:tc>
        <w:tc>
          <w:tcPr>
            <w:tcW w:type="dxa" w:w="2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BACEN / PREVIC</w:t>
            </w:r>
          </w:p>
        </w:tc>
      </w:tr>
      <w:tr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CMN 5.008/2022</w:t>
            </w:r>
          </w:p>
        </w:tc>
        <w:tc>
          <w:tcPr>
            <w:tcW w:type="dxa" w:w="4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Letras Financeiras (LF, LFSN, LFSC)</w:t>
            </w:r>
          </w:p>
        </w:tc>
        <w:tc>
          <w:tcPr>
            <w:tcW w:type="dxa" w:w="2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BACEN</w:t>
            </w:r>
          </w:p>
        </w:tc>
      </w:tr>
      <w:tr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CMN 5.118/2023</w:t>
            </w:r>
          </w:p>
        </w:tc>
        <w:tc>
          <w:tcPr>
            <w:tcW w:type="dxa" w:w="4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Debêntures de infraestrutura — nova geração da Lei 12.431</w:t>
            </w:r>
          </w:p>
        </w:tc>
        <w:tc>
          <w:tcPr>
            <w:tcW w:type="dxa" w:w="2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BACEN</w:t>
            </w:r>
          </w:p>
        </w:tc>
      </w:tr>
      <w:tr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Resolução BCB 44/2021</w:t>
            </w:r>
          </w:p>
        </w:tc>
        <w:tc>
          <w:tcPr>
            <w:tcW w:type="dxa" w:w="4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Beneficiário final; KYC/AML para estruturas societárias</w:t>
            </w:r>
          </w:p>
        </w:tc>
        <w:tc>
          <w:tcPr>
            <w:tcW w:type="dxa" w:w="2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BACEN</w:t>
            </w:r>
          </w:p>
        </w:tc>
      </w:tr>
      <w:tr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CVM 17/2021</w:t>
            </w:r>
          </w:p>
        </w:tc>
        <w:tc>
          <w:tcPr>
            <w:tcW w:type="dxa" w:w="4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Agente Fiduciário de debenturistas; deveres e responsabilidades</w:t>
            </w:r>
          </w:p>
        </w:tc>
        <w:tc>
          <w:tcPr>
            <w:tcW w:type="dxa" w:w="2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CVM</w:t>
            </w:r>
          </w:p>
        </w:tc>
      </w:tr>
      <w:tr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EC 132/2023</w:t>
            </w:r>
          </w:p>
        </w:tc>
        <w:tc>
          <w:tcPr>
            <w:tcW w:type="dxa" w:w="4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Reforma tributária; mudanças no ITCMD; imposto sobre grandes fortunas em discussão</w:t>
            </w:r>
          </w:p>
        </w:tc>
        <w:tc>
          <w:tcPr>
            <w:tcW w:type="dxa" w:w="25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Senado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6"/>
          <w:szCs w:val="26"/>
        </w:rPr>
        <w:t xml:space="preserve">Fontes Técnicas e de Mercado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636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ANBIMA — Código ROVA e Código MRC</w:t>
            </w:r>
          </w:p>
        </w:tc>
        <w:tc>
          <w:tcPr>
            <w:tcW w:type="dxa" w:w="6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Melhores práticas de originação, distribuição e marcação a mercado; metodologia de precificação de debêntures</w:t>
            </w:r>
          </w:p>
        </w:tc>
      </w:tr>
      <w:tr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ANBIMA — Código de Finanças Sustentáveis</w:t>
            </w:r>
          </w:p>
        </w:tc>
        <w:tc>
          <w:tcPr>
            <w:tcW w:type="dxa" w:w="6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Critérios para instrumentos ESG; prevenção a greenwashing; relatório de impacto</w:t>
            </w:r>
          </w:p>
        </w:tc>
      </w:tr>
      <w:tr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ANBIMA — Anuário de Mercado de Capitais</w:t>
            </w:r>
          </w:p>
        </w:tc>
        <w:tc>
          <w:tcPr>
            <w:tcW w:type="dxa" w:w="6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Estatísticas de emissões; volumes por instrumento; evolução histórica do DCM brasileiro</w:t>
            </w:r>
          </w:p>
        </w:tc>
      </w:tr>
      <w:tr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UQBAR — Manual de Securitização</w:t>
            </w:r>
          </w:p>
        </w:tc>
        <w:tc>
          <w:tcPr>
            <w:tcW w:type="dxa" w:w="6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Referência prática para CRI, CRA e FIDC; estrutura jurídica e financeira; casos reais</w:t>
            </w:r>
          </w:p>
        </w:tc>
      </w:tr>
      <w:tr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ICMA — Green Bond Principles, SLB Principles</w:t>
            </w:r>
          </w:p>
        </w:tc>
        <w:tc>
          <w:tcPr>
            <w:tcW w:type="dxa" w:w="6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Framework internacional para emissões de dívida ESG</w:t>
            </w:r>
          </w:p>
        </w:tc>
      </w:tr>
      <w:tr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TCFD — Task Force on Climate-related Financial Disclosures</w:t>
            </w:r>
          </w:p>
        </w:tc>
        <w:tc>
          <w:tcPr>
            <w:tcW w:type="dxa" w:w="6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Padrão de reporte de riscos climáticos; base para CVM 59/2021</w:t>
            </w:r>
          </w:p>
        </w:tc>
      </w:tr>
      <w:tr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Damodaran — Corporate Finance (NYU)</w:t>
            </w:r>
          </w:p>
        </w:tc>
        <w:tc>
          <w:tcPr>
            <w:tcW w:type="dxa" w:w="6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Valuation, WACC, estrutura de capital; base teórica aplicada ao contexto brasileiro</w:t>
            </w:r>
          </w:p>
        </w:tc>
      </w:tr>
      <w:tr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Copeland, Koller, Murrin — Valuation (McKinsey)</w:t>
            </w:r>
          </w:p>
        </w:tc>
        <w:tc>
          <w:tcPr>
            <w:tcW w:type="dxa" w:w="6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Metodologia DCF profissional; tratamento de empresas diversificadas e holdings</w:t>
            </w:r>
          </w:p>
        </w:tc>
      </w:tr>
      <w:tr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B3 — CETIP Trader e REUNE</w:t>
            </w:r>
          </w:p>
        </w:tc>
        <w:tc>
          <w:tcPr>
            <w:tcW w:type="dxa" w:w="6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Plataforma de negociação e registro de renda fixa privada no Brasil</w:t>
            </w:r>
          </w:p>
        </w:tc>
      </w:tr>
      <w:tr>
        <w:tc>
          <w:tcPr>
            <w:tcW w:type="dxa" w:w="3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Fitch / S&amp;P / Moody's / Austin Rating</w:t>
            </w:r>
          </w:p>
        </w:tc>
        <w:tc>
          <w:tcPr>
            <w:tcW w:type="dxa" w:w="6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Metodologias de rating corporativo e estruturado; relatórios setoriais; critérios de notching por garantia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F1F5F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Aviso Legal</w:t>
            </w:r>
          </w:p>
          <w:p>
            <w:pPr>
              <w:spacing w:before="40" w:after="4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4155"/>
                <w:sz w:val="18"/>
                <w:szCs w:val="18"/>
              </w:rPr>
              <w:t xml:space="preserve">Este guia tem caráter exclusivamente educacional e informativo, destinado a profissionais do mercado financeiro. Nenhuma informação aqui contida constitui assessoria jurídica, tributária ou de investimento. Toda decisão de investimento ou estruturação deve ser precedida de análise específica e consulta a profissionais qualificados nas respectivas áreas. A regulamentação pode ter sofrido alterações posteriores à data de elaboração deste material — sempre consulte as versões vigentes das normas referenciadas.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/>
      </w:pBdr>
      <w:tabs>
        <w:tab w:val="right" w:pos="9360"/>
      </w:tabs>
      <w:spacing w:before="100" w:after="0"/>
    </w:pPr>
    <w:r>
      <w:rPr>
        <w:rFonts w:ascii="Arial" w:cs="Arial" w:eastAsia="Arial" w:hAnsi="Arial"/>
        <w:b w:val="false"/>
        <w:bCs w:val="false"/>
        <w:i w:val="false"/>
        <w:iCs w:val="false"/>
        <w:color w:val="334155"/>
        <w:sz w:val="16"/>
        <w:szCs w:val="16"/>
      </w:rPr>
      <w:t xml:space="preserve">Uso Profissional | 2025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334155"/>
        <w:sz w:val="16"/>
        <w:szCs w:val="16"/>
      </w:rPr>
      <w:t xml:space="preserve">Pág. </w:t>
    </w:r>
    <w:r>
      <w:rPr>
        <w:rFonts w:ascii="Arial" w:cs="Arial" w:eastAsia="Arial" w:hAnsi="Arial"/>
        <w:color w:val="334155"/>
        <w:sz w:val="16"/>
        <w:szCs w:val="16"/>
      </w:rPr>
      <w:t xml:space="preserve"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4"/>
      </w:pBdr>
      <w:spacing w:before="0" w:after="100"/>
    </w:pPr>
    <w:r>
      <w:rPr>
        <w:rFonts w:ascii="Arial" w:cs="Arial" w:eastAsia="Arial" w:hAnsi="Arial"/>
        <w:b/>
        <w:bCs/>
        <w:i w:val="false"/>
        <w:iCs w:val="false"/>
        <w:color w:val="1B3A6B"/>
        <w:sz w:val="18"/>
        <w:szCs w:val="18"/>
      </w:rPr>
      <w:t xml:space="preserve">GUIA PROFISSIONAL  |  DCM &amp; ESTRUTURAÇÃO SOCIETÁRIA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B3A6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2026-03-27T14:00:52.562Z</dcterms:created>
  <dcterms:modified xsi:type="dcterms:W3CDTF">2026-03-27T14:00:52.563Z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