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B="0" distL="0" distR="0">
            <wp:extent cx="2381250" cy="819150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Calibri" w:hAnsi="Calibri"/>
          <w:sz w:val="36"/>
          <w:szCs w:val="36"/>
          <w:b/>
          <w:bCs/>
          <w:color w:val="1F4E78"/>
        </w:rPr>
        <w:t xml:space="preserve">Vortex Shedding Analysis Report</w:t>
      </w:r>
    </w:p>
    <w:p>
      <w:r>
        <w:rPr>
          <w:rFonts w:ascii="Calibri" w:hAnsi="Calibri"/>
          <w:sz w:val="18"/>
          <w:szCs w:val="18"/>
          <w:color w:val="666666"/>
        </w:rPr>
        <w:t xml:space="preserve">Generated: 2026-04-14 08:16:29</w:t>
      </w:r>
    </w:p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Input Parameters</w:t>
      </w:r>
    </w:p>
    <w:tbl>
      <w:tblPr>
        <w:tblW w:w="0" w:type="auto"/>
      </w:tblP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Parameter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Value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Material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A36 Steel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Young's modulus E (GPa)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200.0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Density (kg/m^3)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7850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Outer diameter D (mm)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200.0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Wall thickness t (mm)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6.00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Length L (m)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6.00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Damping ratio (zeta)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0.0100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Axial force (kN)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0.0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Wind climate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Port of Santos, Brazil</w:t>
            </w:r>
          </w:p>
        </w:tc>
      </w:tr>
      <w:tr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Mean wind (m/s)</w:t>
            </w:r>
          </w:p>
        </w:tc>
        <w:tc>
          <w:tcPr>
            <w:tcW w:w="3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5.3</w:t>
            </w:r>
          </w:p>
        </w:tc>
      </w:tr>
    </w:tbl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Calculated Section Properties</w:t>
      </w:r>
    </w:p>
    <w:tbl>
      <w:tblPr>
        <w:tblW w:w="0" w:type="auto"/>
      </w:tblPr>
      <w:tr>
        <w:tc>
          <w:tcPr>
            <w:tcW w:w="4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Property</w:t>
            </w:r>
          </w:p>
        </w:tc>
        <w:tc>
          <w:tcPr>
            <w:tcW w:w="2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Value</w:t>
            </w:r>
          </w:p>
        </w:tc>
      </w:tr>
      <w:tr>
        <w:tc>
          <w:tcPr>
            <w:tcW w:w="4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Moment of inertia I (mm^4)</w:t>
            </w:r>
          </w:p>
        </w:tc>
        <w:tc>
          <w:tcPr>
            <w:tcW w:w="2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17219936</w:t>
            </w:r>
          </w:p>
        </w:tc>
      </w:tr>
      <w:tr>
        <w:tc>
          <w:tcPr>
            <w:tcW w:w="4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Cross-sectional area A (mm^2)</w:t>
            </w:r>
          </w:p>
        </w:tc>
        <w:tc>
          <w:tcPr>
            <w:tcW w:w="2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3656.8</w:t>
            </w:r>
          </w:p>
        </w:tc>
      </w:tr>
      <w:tr>
        <w:tc>
          <w:tcPr>
            <w:tcW w:w="4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Mass per unit length mu (kg/m)</w:t>
            </w:r>
          </w:p>
        </w:tc>
        <w:tc>
          <w:tcPr>
            <w:tcW w:w="2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28.71</w:t>
            </w:r>
          </w:p>
        </w:tc>
      </w:tr>
      <w:tr>
        <w:tc>
          <w:tcPr>
            <w:tcW w:w="4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Radius of gyration r (mm)</w:t>
            </w:r>
          </w:p>
        </w:tc>
        <w:tc>
          <w:tcPr>
            <w:tcW w:w="22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68.6</w:t>
            </w:r>
          </w:p>
        </w:tc>
      </w:tr>
    </w:tbl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Detailed Results — All Boundary Conditions</w:t>
      </w:r>
    </w:p>
    <w:tbl>
      <w:tblPr>
        <w:tblW w:w="0" w:type="auto"/>
      </w:tblP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Boundary condition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Mode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f (Hz)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V_crit (m/s)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F (kN)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sigma_max (MPa)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Fixed-Free (Cantilever)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5.39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5.39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5.899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25.7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Fixed-Free (Cantilever)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33.69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33.69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230.423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348.4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Hinged-Hinged (Simple)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15.11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15.11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46.378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202.0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Hinged-Hinged (Simple)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60.49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60.49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742.805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1123.3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Fixed-Fixed (Built-in)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34.30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34.30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238.878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1040.4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Fixed-Fixed (Built-in)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94.48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94.48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1812.388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2740.7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Free-Free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34.30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34.30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238.878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1040.4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Free-Free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94.48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94.48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1812.388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2740.7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Fixed-Hinged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23.58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23.58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112.907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491.8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Fixed-Hinged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76.57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76.57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1190.203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1799.8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23.58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23.58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112.907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491.8</w:t>
            </w:r>
          </w:p>
        </w:tc>
      </w:tr>
      <w:tr>
        <w:tc>
          <w:tcPr>
            <w:tcW w:w="24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76.57</w:t>
            </w:r>
          </w:p>
        </w:tc>
        <w:tc>
          <w:tcPr>
            <w:tcW w:w="13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76.57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1190.203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1799.8</w:t>
            </w:r>
          </w:p>
        </w:tc>
      </w:tr>
    </w:tbl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Damping Uncertainty (zeta 0.005 - 0.020)</w:t>
      </w:r>
    </w:p>
    <w:tbl>
      <w:tblPr>
        <w:tblW w:w="0" w:type="auto"/>
      </w:tblP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Boundary condition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Mode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sigma_min (MPa)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sigma_nom (MPa)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sigma_max (MPa)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Fixed-Free (Cantilever)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9.0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25.7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73.3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Fixed-Free (Cantilever)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122.7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348.4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994.2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Hinged-Hinged (Simple)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71.1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202.0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576.4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Hinged-Hinged (Simple)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395.4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1123.3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3205.0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Fixed-Fixed (Built-in)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366.3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1040.4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2968.6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Fixed-Fixed (Built-in)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964.8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2740.7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7820.1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Free-Free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366.3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1040.4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2968.6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Free-Free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964.8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2740.7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7820.1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Fixed-Hinged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173.1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491.8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1403.1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Fixed-Hinged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633.6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1799.8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5135.5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173.1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491.8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1403.1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Hinged-Free</w:t>
            </w:r>
          </w:p>
        </w:tc>
        <w:tc>
          <w:tcPr>
            <w:tcW w:w="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633.6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1799.8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5135.5</w:t>
            </w:r>
          </w:p>
        </w:tc>
      </w:tr>
    </w:tbl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Risk Assessment per Boundary Condition</w:t>
      </w:r>
    </w:p>
    <w:tbl>
      <w:tblPr>
        <w:tblW w:w="0" w:type="auto"/>
      </w:tblP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Boundary condition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Level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Wind percentile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  <w:b/>
                <w:bCs/>
              </w:rPr>
              <w:t xml:space="preserve">Stress / yield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Fixed-Free (Cantilever)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WARNING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55.8%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10.3%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Hinged-Hinged (Simple)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CRITICAL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99.7%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80.8%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Fixed-Fixed (Built-in)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UNREACHABLE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100.0%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416.2%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Free-Free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UNREACHABLE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100.0%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416.2%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Fixed-Hinged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UNREACHABLE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100.0%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196.7%</w:t>
            </w:r>
          </w:p>
        </w:tc>
      </w:tr>
      <w:tr>
        <w:tc>
          <w:tcPr>
            <w:tcW w:w="28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Hinged-Free</w:t>
            </w:r>
          </w:p>
        </w:tc>
        <w:tc>
          <w:tcPr>
            <w:tcW w:w="15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UNREACHABLE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100.0%</w:t>
            </w:r>
          </w:p>
        </w:tc>
        <w:tc>
          <w:tcPr>
            <w:tcW w:w="17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 xml:space="preserve">196.7%</w:t>
            </w:r>
          </w:p>
        </w:tc>
      </w:tr>
    </w:tbl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Engineering Recommendations (worst case: CRITICAL)</w:t>
      </w:r>
    </w:p>
    <w:p>
      <w:r>
        <w:rPr>
          <w:rFonts w:ascii="Calibri" w:hAnsi="Calibri"/>
          <w:sz w:val="22"/>
          <w:szCs w:val="22"/>
          <w:color w:val="000000"/>
        </w:rPr>
        <w:t xml:space="preserve">• IMMEDIATE ACTION: Increase member size or add substantial bracing</w:t>
      </w:r>
    </w:p>
    <w:p>
      <w:r>
        <w:rPr>
          <w:rFonts w:ascii="Calibri" w:hAnsi="Calibri"/>
          <w:sz w:val="22"/>
          <w:szCs w:val="22"/>
          <w:color w:val="000000"/>
        </w:rPr>
        <w:t xml:space="preserve">• Consider higher grade steel (e.g., A572-50 → A992)</w:t>
      </w:r>
    </w:p>
    <w:p>
      <w:r>
        <w:rPr>
          <w:rFonts w:ascii="Calibri" w:hAnsi="Calibri"/>
          <w:sz w:val="22"/>
          <w:szCs w:val="22"/>
          <w:color w:val="000000"/>
        </w:rPr>
        <w:t xml:space="preserve">• Perform detailed fatigue analysis before deployment</w:t>
      </w:r>
    </w:p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Mode Shape Plots</w:t>
      </w:r>
    </w:p>
    <w:p>
      <w:r>
        <w:drawing>
          <wp:inline distT="0" distB="0" distL="0" distR="0">
            <wp:extent cx="6667500" cy="2667000"/>
            <wp:effectExtent l="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Calibri" w:hAnsi="Calibri"/>
          <w:sz w:val="28"/>
          <w:szCs w:val="28"/>
          <w:b/>
          <w:bCs/>
          <w:color w:val="1F4E78"/>
        </w:rPr>
        <w:t xml:space="preserve">Wind Speed Distribution</w:t>
      </w:r>
    </w:p>
    <w:p>
      <w:r>
        <w:drawing>
          <wp:inline distT="0" distB="0" distL="0" distR="0">
            <wp:extent cx="6667500" cy="1619250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