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r>
        <w:drawing>
          <wp:inline distT="0" distB="0" distL="0" distR="0">
            <wp:extent cx="2381250" cy="819150"/>
            <wp:effectExtent l="0" t="0" r="0" b="0"/>
            <wp:docPr id="1" name="Image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8125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240" w:after="120"/>
      </w:pPr>
      <w:r>
        <w:rPr>
          <w:rFonts w:ascii="Calibri" w:hAnsi="Calibri"/>
          <w:sz w:val="36"/>
          <w:szCs w:val="36"/>
          <w:b/>
          <w:bCs/>
          <w:color w:val="1F4E78"/>
        </w:rPr>
        <w:t xml:space="preserve">Vortex Shedding Analysis Report</w:t>
      </w:r>
    </w:p>
    <w:p>
      <w:r>
        <w:rPr>
          <w:rFonts w:ascii="Calibri" w:hAnsi="Calibri"/>
          <w:sz w:val="18"/>
          <w:szCs w:val="18"/>
          <w:color w:val="666666"/>
        </w:rPr>
        <w:t xml:space="preserve">Generated: 2026-04-10 15:40:43</w:t>
      </w:r>
    </w:p>
    <w:p>
      <w:pPr>
        <w:spacing w:before="240" w:after="120"/>
      </w:pPr>
      <w:r>
        <w:rPr>
          <w:rFonts w:ascii="Calibri" w:hAnsi="Calibri"/>
          <w:sz w:val="28"/>
          <w:szCs w:val="28"/>
          <w:b/>
          <w:bCs/>
          <w:color w:val="1F4E78"/>
        </w:rPr>
        <w:t xml:space="preserve">Input Parameters</w:t>
      </w:r>
    </w:p>
    <w:tbl>
      <w:tblPr>
        <w:tblW w:w="0" w:type="auto"/>
      </w:tblPr>
      <w:tr>
        <w:tc>
          <w:tcPr>
            <w:tcW w:w="32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  <w:b/>
                <w:bCs/>
              </w:rPr>
              <w:t xml:space="preserve">Parameter</w:t>
            </w:r>
          </w:p>
        </w:tc>
        <w:tc>
          <w:tcPr>
            <w:tcW w:w="32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  <w:b/>
                <w:bCs/>
              </w:rPr>
              <w:t xml:space="preserve">Value</w:t>
            </w:r>
          </w:p>
        </w:tc>
      </w:tr>
      <w:tr>
        <w:tc>
          <w:tcPr>
            <w:tcW w:w="32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Material</w:t>
            </w:r>
          </w:p>
        </w:tc>
        <w:tc>
          <w:tcPr>
            <w:tcW w:w="32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A36 Steel</w:t>
            </w:r>
          </w:p>
        </w:tc>
      </w:tr>
      <w:tr>
        <w:tc>
          <w:tcPr>
            <w:tcW w:w="32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Young's modulus E (GPa)</w:t>
            </w:r>
          </w:p>
        </w:tc>
        <w:tc>
          <w:tcPr>
            <w:tcW w:w="32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200.0</w:t>
            </w:r>
          </w:p>
        </w:tc>
      </w:tr>
      <w:tr>
        <w:tc>
          <w:tcPr>
            <w:tcW w:w="32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Density (kg/m^3)</w:t>
            </w:r>
          </w:p>
        </w:tc>
        <w:tc>
          <w:tcPr>
            <w:tcW w:w="32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7850</w:t>
            </w:r>
          </w:p>
        </w:tc>
      </w:tr>
      <w:tr>
        <w:tc>
          <w:tcPr>
            <w:tcW w:w="32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Outer diameter D (mm)</w:t>
            </w:r>
          </w:p>
        </w:tc>
        <w:tc>
          <w:tcPr>
            <w:tcW w:w="32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200.0</w:t>
            </w:r>
          </w:p>
        </w:tc>
      </w:tr>
      <w:tr>
        <w:tc>
          <w:tcPr>
            <w:tcW w:w="32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Wall thickness t (mm)</w:t>
            </w:r>
          </w:p>
        </w:tc>
        <w:tc>
          <w:tcPr>
            <w:tcW w:w="32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6.00</w:t>
            </w:r>
          </w:p>
        </w:tc>
      </w:tr>
      <w:tr>
        <w:tc>
          <w:tcPr>
            <w:tcW w:w="32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Length L (m)</w:t>
            </w:r>
          </w:p>
        </w:tc>
        <w:tc>
          <w:tcPr>
            <w:tcW w:w="32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6.00</w:t>
            </w:r>
          </w:p>
        </w:tc>
      </w:tr>
      <w:tr>
        <w:tc>
          <w:tcPr>
            <w:tcW w:w="32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Damping ratio (zeta)</w:t>
            </w:r>
          </w:p>
        </w:tc>
        <w:tc>
          <w:tcPr>
            <w:tcW w:w="32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0.0100</w:t>
            </w:r>
          </w:p>
        </w:tc>
      </w:tr>
      <w:tr>
        <w:tc>
          <w:tcPr>
            <w:tcW w:w="32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Axial force (kN)</w:t>
            </w:r>
          </w:p>
        </w:tc>
        <w:tc>
          <w:tcPr>
            <w:tcW w:w="32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0.0</w:t>
            </w:r>
          </w:p>
        </w:tc>
      </w:tr>
      <w:tr>
        <w:tc>
          <w:tcPr>
            <w:tcW w:w="32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Wind climate</w:t>
            </w:r>
          </w:p>
        </w:tc>
        <w:tc>
          <w:tcPr>
            <w:tcW w:w="32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Port of Santos, Brazil</w:t>
            </w:r>
          </w:p>
        </w:tc>
      </w:tr>
      <w:tr>
        <w:tc>
          <w:tcPr>
            <w:tcW w:w="32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Mean wind (m/s)</w:t>
            </w:r>
          </w:p>
        </w:tc>
        <w:tc>
          <w:tcPr>
            <w:tcW w:w="32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5.3</w:t>
            </w:r>
          </w:p>
        </w:tc>
      </w:tr>
    </w:tbl>
    <w:p>
      <w:pPr>
        <w:spacing w:before="240" w:after="120"/>
      </w:pPr>
      <w:r>
        <w:rPr>
          <w:rFonts w:ascii="Calibri" w:hAnsi="Calibri"/>
          <w:sz w:val="28"/>
          <w:szCs w:val="28"/>
          <w:b/>
          <w:bCs/>
          <w:color w:val="1F4E78"/>
        </w:rPr>
        <w:t xml:space="preserve">Calculated Section Properties</w:t>
      </w:r>
    </w:p>
    <w:tbl>
      <w:tblPr>
        <w:tblW w:w="0" w:type="auto"/>
      </w:tblPr>
      <w:tr>
        <w:tc>
          <w:tcPr>
            <w:tcW w:w="42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  <w:b/>
                <w:bCs/>
              </w:rPr>
              <w:t xml:space="preserve">Property</w:t>
            </w:r>
          </w:p>
        </w:tc>
        <w:tc>
          <w:tcPr>
            <w:tcW w:w="22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  <w:b/>
                <w:bCs/>
              </w:rPr>
              <w:t xml:space="preserve">Value</w:t>
            </w:r>
          </w:p>
        </w:tc>
      </w:tr>
      <w:tr>
        <w:tc>
          <w:tcPr>
            <w:tcW w:w="42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Moment of inertia I (mm^4)</w:t>
            </w:r>
          </w:p>
        </w:tc>
        <w:tc>
          <w:tcPr>
            <w:tcW w:w="22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17219936</w:t>
            </w:r>
          </w:p>
        </w:tc>
      </w:tr>
      <w:tr>
        <w:tc>
          <w:tcPr>
            <w:tcW w:w="42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Cross-sectional area A (mm^2)</w:t>
            </w:r>
          </w:p>
        </w:tc>
        <w:tc>
          <w:tcPr>
            <w:tcW w:w="22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3656.8</w:t>
            </w:r>
          </w:p>
        </w:tc>
      </w:tr>
      <w:tr>
        <w:tc>
          <w:tcPr>
            <w:tcW w:w="42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Mass per unit length mu (kg/m)</w:t>
            </w:r>
          </w:p>
        </w:tc>
        <w:tc>
          <w:tcPr>
            <w:tcW w:w="22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28.71</w:t>
            </w:r>
          </w:p>
        </w:tc>
      </w:tr>
      <w:tr>
        <w:tc>
          <w:tcPr>
            <w:tcW w:w="42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Radius of gyration r (mm)</w:t>
            </w:r>
          </w:p>
        </w:tc>
        <w:tc>
          <w:tcPr>
            <w:tcW w:w="22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68.6</w:t>
            </w:r>
          </w:p>
        </w:tc>
      </w:tr>
    </w:tbl>
    <w:p>
      <w:pPr>
        <w:spacing w:before="240" w:after="120"/>
      </w:pPr>
      <w:r>
        <w:rPr>
          <w:rFonts w:ascii="Calibri" w:hAnsi="Calibri"/>
          <w:sz w:val="28"/>
          <w:szCs w:val="28"/>
          <w:b/>
          <w:bCs/>
          <w:color w:val="1F4E78"/>
        </w:rPr>
        <w:t xml:space="preserve">Detailed Results — All Boundary Conditions</w:t>
      </w:r>
    </w:p>
    <w:tbl>
      <w:tblPr>
        <w:tblW w:w="0" w:type="auto"/>
      </w:tblPr>
      <w:tr>
        <w:tc>
          <w:tcPr>
            <w:tcW w:w="24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  <w:b/>
                <w:bCs/>
              </w:rPr>
              <w:t xml:space="preserve">Boundary condition</w:t>
            </w:r>
          </w:p>
        </w:tc>
        <w:tc>
          <w:tcPr>
            <w:tcW w:w="7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  <w:b/>
                <w:bCs/>
              </w:rPr>
              <w:t xml:space="preserve">Mode</w:t>
            </w:r>
          </w:p>
        </w:tc>
        <w:tc>
          <w:tcPr>
            <w:tcW w:w="11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  <w:b/>
                <w:bCs/>
              </w:rPr>
              <w:t xml:space="preserve">f (Hz)</w:t>
            </w:r>
          </w:p>
        </w:tc>
        <w:tc>
          <w:tcPr>
            <w:tcW w:w="13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  <w:b/>
                <w:bCs/>
              </w:rPr>
              <w:t xml:space="preserve">V_crit (m/s)</w:t>
            </w:r>
          </w:p>
        </w:tc>
        <w:tc>
          <w:tcPr>
            <w:tcW w:w="11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  <w:b/>
                <w:bCs/>
              </w:rPr>
              <w:t xml:space="preserve">F (kN)</w:t>
            </w:r>
          </w:p>
        </w:tc>
        <w:tc>
          <w:tcPr>
            <w:tcW w:w="15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  <w:b/>
                <w:bCs/>
              </w:rPr>
              <w:t xml:space="preserve">sigma_max (MPa)</w:t>
            </w:r>
          </w:p>
        </w:tc>
      </w:tr>
      <w:tr>
        <w:tc>
          <w:tcPr>
            <w:tcW w:w="24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Fixed-Free (Cantilever)</w:t>
            </w:r>
          </w:p>
        </w:tc>
        <w:tc>
          <w:tcPr>
            <w:tcW w:w="7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1</w:t>
            </w:r>
          </w:p>
        </w:tc>
        <w:tc>
          <w:tcPr>
            <w:tcW w:w="11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5.39</w:t>
            </w:r>
          </w:p>
        </w:tc>
        <w:tc>
          <w:tcPr>
            <w:tcW w:w="13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5.39</w:t>
            </w:r>
          </w:p>
        </w:tc>
        <w:tc>
          <w:tcPr>
            <w:tcW w:w="11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5.899</w:t>
            </w:r>
          </w:p>
        </w:tc>
        <w:tc>
          <w:tcPr>
            <w:tcW w:w="15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25.7</w:t>
            </w:r>
          </w:p>
        </w:tc>
      </w:tr>
      <w:tr>
        <w:tc>
          <w:tcPr>
            <w:tcW w:w="24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Fixed-Free (Cantilever)</w:t>
            </w:r>
          </w:p>
        </w:tc>
        <w:tc>
          <w:tcPr>
            <w:tcW w:w="7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2</w:t>
            </w:r>
          </w:p>
        </w:tc>
        <w:tc>
          <w:tcPr>
            <w:tcW w:w="11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33.69</w:t>
            </w:r>
          </w:p>
        </w:tc>
        <w:tc>
          <w:tcPr>
            <w:tcW w:w="13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33.69</w:t>
            </w:r>
          </w:p>
        </w:tc>
        <w:tc>
          <w:tcPr>
            <w:tcW w:w="11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230.423</w:t>
            </w:r>
          </w:p>
        </w:tc>
        <w:tc>
          <w:tcPr>
            <w:tcW w:w="15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348.4</w:t>
            </w:r>
          </w:p>
        </w:tc>
      </w:tr>
      <w:tr>
        <w:tc>
          <w:tcPr>
            <w:tcW w:w="24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Hinged-Hinged (Simple)</w:t>
            </w:r>
          </w:p>
        </w:tc>
        <w:tc>
          <w:tcPr>
            <w:tcW w:w="7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1</w:t>
            </w:r>
          </w:p>
        </w:tc>
        <w:tc>
          <w:tcPr>
            <w:tcW w:w="11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15.11</w:t>
            </w:r>
          </w:p>
        </w:tc>
        <w:tc>
          <w:tcPr>
            <w:tcW w:w="13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15.11</w:t>
            </w:r>
          </w:p>
        </w:tc>
        <w:tc>
          <w:tcPr>
            <w:tcW w:w="11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46.378</w:t>
            </w:r>
          </w:p>
        </w:tc>
        <w:tc>
          <w:tcPr>
            <w:tcW w:w="15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202.0</w:t>
            </w:r>
          </w:p>
        </w:tc>
      </w:tr>
      <w:tr>
        <w:tc>
          <w:tcPr>
            <w:tcW w:w="24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Hinged-Hinged (Simple)</w:t>
            </w:r>
          </w:p>
        </w:tc>
        <w:tc>
          <w:tcPr>
            <w:tcW w:w="7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2</w:t>
            </w:r>
          </w:p>
        </w:tc>
        <w:tc>
          <w:tcPr>
            <w:tcW w:w="11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60.49</w:t>
            </w:r>
          </w:p>
        </w:tc>
        <w:tc>
          <w:tcPr>
            <w:tcW w:w="13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60.49</w:t>
            </w:r>
          </w:p>
        </w:tc>
        <w:tc>
          <w:tcPr>
            <w:tcW w:w="11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742.805</w:t>
            </w:r>
          </w:p>
        </w:tc>
        <w:tc>
          <w:tcPr>
            <w:tcW w:w="15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1123.3</w:t>
            </w:r>
          </w:p>
        </w:tc>
      </w:tr>
      <w:tr>
        <w:tc>
          <w:tcPr>
            <w:tcW w:w="24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Fixed-Fixed (Built-in)</w:t>
            </w:r>
          </w:p>
        </w:tc>
        <w:tc>
          <w:tcPr>
            <w:tcW w:w="7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1</w:t>
            </w:r>
          </w:p>
        </w:tc>
        <w:tc>
          <w:tcPr>
            <w:tcW w:w="11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34.30</w:t>
            </w:r>
          </w:p>
        </w:tc>
        <w:tc>
          <w:tcPr>
            <w:tcW w:w="13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34.30</w:t>
            </w:r>
          </w:p>
        </w:tc>
        <w:tc>
          <w:tcPr>
            <w:tcW w:w="11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238.878</w:t>
            </w:r>
          </w:p>
        </w:tc>
        <w:tc>
          <w:tcPr>
            <w:tcW w:w="15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1040.4</w:t>
            </w:r>
          </w:p>
        </w:tc>
      </w:tr>
      <w:tr>
        <w:tc>
          <w:tcPr>
            <w:tcW w:w="24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Fixed-Fixed (Built-in)</w:t>
            </w:r>
          </w:p>
        </w:tc>
        <w:tc>
          <w:tcPr>
            <w:tcW w:w="7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2</w:t>
            </w:r>
          </w:p>
        </w:tc>
        <w:tc>
          <w:tcPr>
            <w:tcW w:w="11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94.48</w:t>
            </w:r>
          </w:p>
        </w:tc>
        <w:tc>
          <w:tcPr>
            <w:tcW w:w="13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94.48</w:t>
            </w:r>
          </w:p>
        </w:tc>
        <w:tc>
          <w:tcPr>
            <w:tcW w:w="11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1812.388</w:t>
            </w:r>
          </w:p>
        </w:tc>
        <w:tc>
          <w:tcPr>
            <w:tcW w:w="15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2740.7</w:t>
            </w:r>
          </w:p>
        </w:tc>
      </w:tr>
      <w:tr>
        <w:tc>
          <w:tcPr>
            <w:tcW w:w="24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Free-Free</w:t>
            </w:r>
          </w:p>
        </w:tc>
        <w:tc>
          <w:tcPr>
            <w:tcW w:w="7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1</w:t>
            </w:r>
          </w:p>
        </w:tc>
        <w:tc>
          <w:tcPr>
            <w:tcW w:w="11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34.30</w:t>
            </w:r>
          </w:p>
        </w:tc>
        <w:tc>
          <w:tcPr>
            <w:tcW w:w="13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34.30</w:t>
            </w:r>
          </w:p>
        </w:tc>
        <w:tc>
          <w:tcPr>
            <w:tcW w:w="11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238.878</w:t>
            </w:r>
          </w:p>
        </w:tc>
        <w:tc>
          <w:tcPr>
            <w:tcW w:w="15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1040.4</w:t>
            </w:r>
          </w:p>
        </w:tc>
      </w:tr>
      <w:tr>
        <w:tc>
          <w:tcPr>
            <w:tcW w:w="24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Free-Free</w:t>
            </w:r>
          </w:p>
        </w:tc>
        <w:tc>
          <w:tcPr>
            <w:tcW w:w="7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2</w:t>
            </w:r>
          </w:p>
        </w:tc>
        <w:tc>
          <w:tcPr>
            <w:tcW w:w="11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94.48</w:t>
            </w:r>
          </w:p>
        </w:tc>
        <w:tc>
          <w:tcPr>
            <w:tcW w:w="13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94.48</w:t>
            </w:r>
          </w:p>
        </w:tc>
        <w:tc>
          <w:tcPr>
            <w:tcW w:w="11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1812.388</w:t>
            </w:r>
          </w:p>
        </w:tc>
        <w:tc>
          <w:tcPr>
            <w:tcW w:w="15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2740.7</w:t>
            </w:r>
          </w:p>
        </w:tc>
      </w:tr>
      <w:tr>
        <w:tc>
          <w:tcPr>
            <w:tcW w:w="24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Fixed-Hinged</w:t>
            </w:r>
          </w:p>
        </w:tc>
        <w:tc>
          <w:tcPr>
            <w:tcW w:w="7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1</w:t>
            </w:r>
          </w:p>
        </w:tc>
        <w:tc>
          <w:tcPr>
            <w:tcW w:w="11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23.58</w:t>
            </w:r>
          </w:p>
        </w:tc>
        <w:tc>
          <w:tcPr>
            <w:tcW w:w="13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23.58</w:t>
            </w:r>
          </w:p>
        </w:tc>
        <w:tc>
          <w:tcPr>
            <w:tcW w:w="11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112.907</w:t>
            </w:r>
          </w:p>
        </w:tc>
        <w:tc>
          <w:tcPr>
            <w:tcW w:w="15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491.8</w:t>
            </w:r>
          </w:p>
        </w:tc>
      </w:tr>
      <w:tr>
        <w:tc>
          <w:tcPr>
            <w:tcW w:w="24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Fixed-Hinged</w:t>
            </w:r>
          </w:p>
        </w:tc>
        <w:tc>
          <w:tcPr>
            <w:tcW w:w="7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2</w:t>
            </w:r>
          </w:p>
        </w:tc>
        <w:tc>
          <w:tcPr>
            <w:tcW w:w="11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76.57</w:t>
            </w:r>
          </w:p>
        </w:tc>
        <w:tc>
          <w:tcPr>
            <w:tcW w:w="13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76.57</w:t>
            </w:r>
          </w:p>
        </w:tc>
        <w:tc>
          <w:tcPr>
            <w:tcW w:w="11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1190.203</w:t>
            </w:r>
          </w:p>
        </w:tc>
        <w:tc>
          <w:tcPr>
            <w:tcW w:w="15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1799.8</w:t>
            </w:r>
          </w:p>
        </w:tc>
      </w:tr>
      <w:tr>
        <w:tc>
          <w:tcPr>
            <w:tcW w:w="24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Hinged-Free</w:t>
            </w:r>
          </w:p>
        </w:tc>
        <w:tc>
          <w:tcPr>
            <w:tcW w:w="7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1</w:t>
            </w:r>
          </w:p>
        </w:tc>
        <w:tc>
          <w:tcPr>
            <w:tcW w:w="11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23.58</w:t>
            </w:r>
          </w:p>
        </w:tc>
        <w:tc>
          <w:tcPr>
            <w:tcW w:w="13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23.58</w:t>
            </w:r>
          </w:p>
        </w:tc>
        <w:tc>
          <w:tcPr>
            <w:tcW w:w="11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112.907</w:t>
            </w:r>
          </w:p>
        </w:tc>
        <w:tc>
          <w:tcPr>
            <w:tcW w:w="15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491.8</w:t>
            </w:r>
          </w:p>
        </w:tc>
      </w:tr>
      <w:tr>
        <w:tc>
          <w:tcPr>
            <w:tcW w:w="24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Hinged-Free</w:t>
            </w:r>
          </w:p>
        </w:tc>
        <w:tc>
          <w:tcPr>
            <w:tcW w:w="7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2</w:t>
            </w:r>
          </w:p>
        </w:tc>
        <w:tc>
          <w:tcPr>
            <w:tcW w:w="11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76.57</w:t>
            </w:r>
          </w:p>
        </w:tc>
        <w:tc>
          <w:tcPr>
            <w:tcW w:w="13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76.57</w:t>
            </w:r>
          </w:p>
        </w:tc>
        <w:tc>
          <w:tcPr>
            <w:tcW w:w="11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1190.203</w:t>
            </w:r>
          </w:p>
        </w:tc>
        <w:tc>
          <w:tcPr>
            <w:tcW w:w="15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1799.8</w:t>
            </w:r>
          </w:p>
        </w:tc>
      </w:tr>
    </w:tbl>
    <w:p>
      <w:pPr>
        <w:spacing w:before="240" w:after="120"/>
      </w:pPr>
      <w:r>
        <w:rPr>
          <w:rFonts w:ascii="Calibri" w:hAnsi="Calibri"/>
          <w:sz w:val="28"/>
          <w:szCs w:val="28"/>
          <w:b/>
          <w:bCs/>
          <w:color w:val="1F4E78"/>
        </w:rPr>
        <w:t xml:space="preserve">Damping Uncertainty (zeta 0.005 - 0.020)</w:t>
      </w:r>
    </w:p>
    <w:tbl>
      <w:tblPr>
        <w:tblW w:w="0" w:type="auto"/>
      </w:tblPr>
      <w:tr>
        <w:tc>
          <w:tcPr>
            <w:tcW w:w="28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  <w:b/>
                <w:bCs/>
              </w:rPr>
              <w:t xml:space="preserve">Boundary condition</w:t>
            </w:r>
          </w:p>
        </w:tc>
        <w:tc>
          <w:tcPr>
            <w:tcW w:w="7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  <w:b/>
                <w:bCs/>
              </w:rPr>
              <w:t xml:space="preserve">Mode</w:t>
            </w:r>
          </w:p>
        </w:tc>
        <w:tc>
          <w:tcPr>
            <w:tcW w:w="15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  <w:b/>
                <w:bCs/>
              </w:rPr>
              <w:t xml:space="preserve">sigma_min (MPa)</w:t>
            </w:r>
          </w:p>
        </w:tc>
        <w:tc>
          <w:tcPr>
            <w:tcW w:w="15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  <w:b/>
                <w:bCs/>
              </w:rPr>
              <w:t xml:space="preserve">sigma_nom (MPa)</w:t>
            </w:r>
          </w:p>
        </w:tc>
        <w:tc>
          <w:tcPr>
            <w:tcW w:w="15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  <w:b/>
                <w:bCs/>
              </w:rPr>
              <w:t xml:space="preserve">sigma_max (MPa)</w:t>
            </w:r>
          </w:p>
        </w:tc>
      </w:tr>
      <w:tr>
        <w:tc>
          <w:tcPr>
            <w:tcW w:w="28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Fixed-Free (Cantilever)</w:t>
            </w:r>
          </w:p>
        </w:tc>
        <w:tc>
          <w:tcPr>
            <w:tcW w:w="7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1</w:t>
            </w:r>
          </w:p>
        </w:tc>
        <w:tc>
          <w:tcPr>
            <w:tcW w:w="15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9.0</w:t>
            </w:r>
          </w:p>
        </w:tc>
        <w:tc>
          <w:tcPr>
            <w:tcW w:w="15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25.7</w:t>
            </w:r>
          </w:p>
        </w:tc>
        <w:tc>
          <w:tcPr>
            <w:tcW w:w="15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73.3</w:t>
            </w:r>
          </w:p>
        </w:tc>
      </w:tr>
      <w:tr>
        <w:tc>
          <w:tcPr>
            <w:tcW w:w="28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Fixed-Free (Cantilever)</w:t>
            </w:r>
          </w:p>
        </w:tc>
        <w:tc>
          <w:tcPr>
            <w:tcW w:w="7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2</w:t>
            </w:r>
          </w:p>
        </w:tc>
        <w:tc>
          <w:tcPr>
            <w:tcW w:w="15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122.7</w:t>
            </w:r>
          </w:p>
        </w:tc>
        <w:tc>
          <w:tcPr>
            <w:tcW w:w="15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348.4</w:t>
            </w:r>
          </w:p>
        </w:tc>
        <w:tc>
          <w:tcPr>
            <w:tcW w:w="15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994.2</w:t>
            </w:r>
          </w:p>
        </w:tc>
      </w:tr>
      <w:tr>
        <w:tc>
          <w:tcPr>
            <w:tcW w:w="28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Hinged-Hinged (Simple)</w:t>
            </w:r>
          </w:p>
        </w:tc>
        <w:tc>
          <w:tcPr>
            <w:tcW w:w="7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1</w:t>
            </w:r>
          </w:p>
        </w:tc>
        <w:tc>
          <w:tcPr>
            <w:tcW w:w="15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71.1</w:t>
            </w:r>
          </w:p>
        </w:tc>
        <w:tc>
          <w:tcPr>
            <w:tcW w:w="15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202.0</w:t>
            </w:r>
          </w:p>
        </w:tc>
        <w:tc>
          <w:tcPr>
            <w:tcW w:w="15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576.4</w:t>
            </w:r>
          </w:p>
        </w:tc>
      </w:tr>
      <w:tr>
        <w:tc>
          <w:tcPr>
            <w:tcW w:w="28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Hinged-Hinged (Simple)</w:t>
            </w:r>
          </w:p>
        </w:tc>
        <w:tc>
          <w:tcPr>
            <w:tcW w:w="7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2</w:t>
            </w:r>
          </w:p>
        </w:tc>
        <w:tc>
          <w:tcPr>
            <w:tcW w:w="15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395.4</w:t>
            </w:r>
          </w:p>
        </w:tc>
        <w:tc>
          <w:tcPr>
            <w:tcW w:w="15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1123.3</w:t>
            </w:r>
          </w:p>
        </w:tc>
        <w:tc>
          <w:tcPr>
            <w:tcW w:w="15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3205.0</w:t>
            </w:r>
          </w:p>
        </w:tc>
      </w:tr>
      <w:tr>
        <w:tc>
          <w:tcPr>
            <w:tcW w:w="28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Fixed-Fixed (Built-in)</w:t>
            </w:r>
          </w:p>
        </w:tc>
        <w:tc>
          <w:tcPr>
            <w:tcW w:w="7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1</w:t>
            </w:r>
          </w:p>
        </w:tc>
        <w:tc>
          <w:tcPr>
            <w:tcW w:w="15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366.3</w:t>
            </w:r>
          </w:p>
        </w:tc>
        <w:tc>
          <w:tcPr>
            <w:tcW w:w="15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1040.4</w:t>
            </w:r>
          </w:p>
        </w:tc>
        <w:tc>
          <w:tcPr>
            <w:tcW w:w="15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2968.6</w:t>
            </w:r>
          </w:p>
        </w:tc>
      </w:tr>
      <w:tr>
        <w:tc>
          <w:tcPr>
            <w:tcW w:w="28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Fixed-Fixed (Built-in)</w:t>
            </w:r>
          </w:p>
        </w:tc>
        <w:tc>
          <w:tcPr>
            <w:tcW w:w="7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2</w:t>
            </w:r>
          </w:p>
        </w:tc>
        <w:tc>
          <w:tcPr>
            <w:tcW w:w="15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964.8</w:t>
            </w:r>
          </w:p>
        </w:tc>
        <w:tc>
          <w:tcPr>
            <w:tcW w:w="15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2740.7</w:t>
            </w:r>
          </w:p>
        </w:tc>
        <w:tc>
          <w:tcPr>
            <w:tcW w:w="15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7820.1</w:t>
            </w:r>
          </w:p>
        </w:tc>
      </w:tr>
      <w:tr>
        <w:tc>
          <w:tcPr>
            <w:tcW w:w="28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Free-Free</w:t>
            </w:r>
          </w:p>
        </w:tc>
        <w:tc>
          <w:tcPr>
            <w:tcW w:w="7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1</w:t>
            </w:r>
          </w:p>
        </w:tc>
        <w:tc>
          <w:tcPr>
            <w:tcW w:w="15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366.3</w:t>
            </w:r>
          </w:p>
        </w:tc>
        <w:tc>
          <w:tcPr>
            <w:tcW w:w="15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1040.4</w:t>
            </w:r>
          </w:p>
        </w:tc>
        <w:tc>
          <w:tcPr>
            <w:tcW w:w="15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2968.6</w:t>
            </w:r>
          </w:p>
        </w:tc>
      </w:tr>
      <w:tr>
        <w:tc>
          <w:tcPr>
            <w:tcW w:w="28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Free-Free</w:t>
            </w:r>
          </w:p>
        </w:tc>
        <w:tc>
          <w:tcPr>
            <w:tcW w:w="7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2</w:t>
            </w:r>
          </w:p>
        </w:tc>
        <w:tc>
          <w:tcPr>
            <w:tcW w:w="15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964.8</w:t>
            </w:r>
          </w:p>
        </w:tc>
        <w:tc>
          <w:tcPr>
            <w:tcW w:w="15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2740.7</w:t>
            </w:r>
          </w:p>
        </w:tc>
        <w:tc>
          <w:tcPr>
            <w:tcW w:w="15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7820.1</w:t>
            </w:r>
          </w:p>
        </w:tc>
      </w:tr>
      <w:tr>
        <w:tc>
          <w:tcPr>
            <w:tcW w:w="28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Fixed-Hinged</w:t>
            </w:r>
          </w:p>
        </w:tc>
        <w:tc>
          <w:tcPr>
            <w:tcW w:w="7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1</w:t>
            </w:r>
          </w:p>
        </w:tc>
        <w:tc>
          <w:tcPr>
            <w:tcW w:w="15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173.1</w:t>
            </w:r>
          </w:p>
        </w:tc>
        <w:tc>
          <w:tcPr>
            <w:tcW w:w="15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491.8</w:t>
            </w:r>
          </w:p>
        </w:tc>
        <w:tc>
          <w:tcPr>
            <w:tcW w:w="15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1403.1</w:t>
            </w:r>
          </w:p>
        </w:tc>
      </w:tr>
      <w:tr>
        <w:tc>
          <w:tcPr>
            <w:tcW w:w="28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Fixed-Hinged</w:t>
            </w:r>
          </w:p>
        </w:tc>
        <w:tc>
          <w:tcPr>
            <w:tcW w:w="7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2</w:t>
            </w:r>
          </w:p>
        </w:tc>
        <w:tc>
          <w:tcPr>
            <w:tcW w:w="15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633.6</w:t>
            </w:r>
          </w:p>
        </w:tc>
        <w:tc>
          <w:tcPr>
            <w:tcW w:w="15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1799.8</w:t>
            </w:r>
          </w:p>
        </w:tc>
        <w:tc>
          <w:tcPr>
            <w:tcW w:w="15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5135.5</w:t>
            </w:r>
          </w:p>
        </w:tc>
      </w:tr>
      <w:tr>
        <w:tc>
          <w:tcPr>
            <w:tcW w:w="28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Hinged-Free</w:t>
            </w:r>
          </w:p>
        </w:tc>
        <w:tc>
          <w:tcPr>
            <w:tcW w:w="7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1</w:t>
            </w:r>
          </w:p>
        </w:tc>
        <w:tc>
          <w:tcPr>
            <w:tcW w:w="15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173.1</w:t>
            </w:r>
          </w:p>
        </w:tc>
        <w:tc>
          <w:tcPr>
            <w:tcW w:w="15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491.8</w:t>
            </w:r>
          </w:p>
        </w:tc>
        <w:tc>
          <w:tcPr>
            <w:tcW w:w="15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1403.1</w:t>
            </w:r>
          </w:p>
        </w:tc>
      </w:tr>
      <w:tr>
        <w:tc>
          <w:tcPr>
            <w:tcW w:w="28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Hinged-Free</w:t>
            </w:r>
          </w:p>
        </w:tc>
        <w:tc>
          <w:tcPr>
            <w:tcW w:w="7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2</w:t>
            </w:r>
          </w:p>
        </w:tc>
        <w:tc>
          <w:tcPr>
            <w:tcW w:w="15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633.6</w:t>
            </w:r>
          </w:p>
        </w:tc>
        <w:tc>
          <w:tcPr>
            <w:tcW w:w="15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1799.8</w:t>
            </w:r>
          </w:p>
        </w:tc>
        <w:tc>
          <w:tcPr>
            <w:tcW w:w="15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5135.5</w:t>
            </w:r>
          </w:p>
        </w:tc>
      </w:tr>
    </w:tbl>
    <w:p>
      <w:pPr>
        <w:spacing w:before="240" w:after="120"/>
      </w:pPr>
      <w:r>
        <w:rPr>
          <w:rFonts w:ascii="Calibri" w:hAnsi="Calibri"/>
          <w:sz w:val="28"/>
          <w:szCs w:val="28"/>
          <w:b/>
          <w:bCs/>
          <w:color w:val="1F4E78"/>
        </w:rPr>
        <w:t xml:space="preserve">Risk Assessment per Boundary Condition</w:t>
      </w:r>
    </w:p>
    <w:tbl>
      <w:tblPr>
        <w:tblW w:w="0" w:type="auto"/>
      </w:tblPr>
      <w:tr>
        <w:tc>
          <w:tcPr>
            <w:tcW w:w="28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  <w:b/>
                <w:bCs/>
              </w:rPr>
              <w:t xml:space="preserve">Boundary condition</w:t>
            </w:r>
          </w:p>
        </w:tc>
        <w:tc>
          <w:tcPr>
            <w:tcW w:w="15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  <w:b/>
                <w:bCs/>
              </w:rPr>
              <w:t xml:space="preserve">Level</w:t>
            </w:r>
          </w:p>
        </w:tc>
        <w:tc>
          <w:tcPr>
            <w:tcW w:w="17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  <w:b/>
                <w:bCs/>
              </w:rPr>
              <w:t xml:space="preserve">Wind percentile</w:t>
            </w:r>
          </w:p>
        </w:tc>
        <w:tc>
          <w:tcPr>
            <w:tcW w:w="17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  <w:b/>
                <w:bCs/>
              </w:rPr>
              <w:t xml:space="preserve">Stress / yield</w:t>
            </w:r>
          </w:p>
        </w:tc>
      </w:tr>
      <w:tr>
        <w:tc>
          <w:tcPr>
            <w:tcW w:w="28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Fixed-Free (Cantilever)</w:t>
            </w:r>
          </w:p>
        </w:tc>
        <w:tc>
          <w:tcPr>
            <w:tcW w:w="15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WARNING</w:t>
            </w:r>
          </w:p>
        </w:tc>
        <w:tc>
          <w:tcPr>
            <w:tcW w:w="17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55.8%</w:t>
            </w:r>
          </w:p>
        </w:tc>
        <w:tc>
          <w:tcPr>
            <w:tcW w:w="17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10.3%</w:t>
            </w:r>
          </w:p>
        </w:tc>
      </w:tr>
      <w:tr>
        <w:tc>
          <w:tcPr>
            <w:tcW w:w="28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Hinged-Hinged (Simple)</w:t>
            </w:r>
          </w:p>
        </w:tc>
        <w:tc>
          <w:tcPr>
            <w:tcW w:w="15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CRITICAL</w:t>
            </w:r>
          </w:p>
        </w:tc>
        <w:tc>
          <w:tcPr>
            <w:tcW w:w="17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99.7%</w:t>
            </w:r>
          </w:p>
        </w:tc>
        <w:tc>
          <w:tcPr>
            <w:tcW w:w="17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80.8%</w:t>
            </w:r>
          </w:p>
        </w:tc>
      </w:tr>
      <w:tr>
        <w:tc>
          <w:tcPr>
            <w:tcW w:w="28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Fixed-Fixed (Built-in)</w:t>
            </w:r>
          </w:p>
        </w:tc>
        <w:tc>
          <w:tcPr>
            <w:tcW w:w="15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UNREACHABLE</w:t>
            </w:r>
          </w:p>
        </w:tc>
        <w:tc>
          <w:tcPr>
            <w:tcW w:w="17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100.0%</w:t>
            </w:r>
          </w:p>
        </w:tc>
        <w:tc>
          <w:tcPr>
            <w:tcW w:w="17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416.2%</w:t>
            </w:r>
          </w:p>
        </w:tc>
      </w:tr>
      <w:tr>
        <w:tc>
          <w:tcPr>
            <w:tcW w:w="28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Free-Free</w:t>
            </w:r>
          </w:p>
        </w:tc>
        <w:tc>
          <w:tcPr>
            <w:tcW w:w="15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UNREACHABLE</w:t>
            </w:r>
          </w:p>
        </w:tc>
        <w:tc>
          <w:tcPr>
            <w:tcW w:w="17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100.0%</w:t>
            </w:r>
          </w:p>
        </w:tc>
        <w:tc>
          <w:tcPr>
            <w:tcW w:w="17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416.2%</w:t>
            </w:r>
          </w:p>
        </w:tc>
      </w:tr>
      <w:tr>
        <w:tc>
          <w:tcPr>
            <w:tcW w:w="28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Fixed-Hinged</w:t>
            </w:r>
          </w:p>
        </w:tc>
        <w:tc>
          <w:tcPr>
            <w:tcW w:w="15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UNREACHABLE</w:t>
            </w:r>
          </w:p>
        </w:tc>
        <w:tc>
          <w:tcPr>
            <w:tcW w:w="17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100.0%</w:t>
            </w:r>
          </w:p>
        </w:tc>
        <w:tc>
          <w:tcPr>
            <w:tcW w:w="17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196.7%</w:t>
            </w:r>
          </w:p>
        </w:tc>
      </w:tr>
      <w:tr>
        <w:tc>
          <w:tcPr>
            <w:tcW w:w="28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Hinged-Free</w:t>
            </w:r>
          </w:p>
        </w:tc>
        <w:tc>
          <w:tcPr>
            <w:tcW w:w="15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UNREACHABLE</w:t>
            </w:r>
          </w:p>
        </w:tc>
        <w:tc>
          <w:tcPr>
            <w:tcW w:w="17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100.0%</w:t>
            </w:r>
          </w:p>
        </w:tc>
        <w:tc>
          <w:tcPr>
            <w:tcW w:w="1700" w:type="dxa"/>
            <w:tcBorders>
              <w:top w:val="single" w:sz="4" w:color="888888"/>
              <w:left w:val="single" w:sz="4" w:color="888888"/>
              <w:bottom w:val="single" w:sz="4" w:color="888888"/>
              <w:right w:val="single" w:sz="4" w:color="888888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196.7%</w:t>
            </w:r>
          </w:p>
        </w:tc>
      </w:tr>
    </w:tbl>
    <w:p>
      <w:pPr>
        <w:spacing w:before="240" w:after="120"/>
      </w:pPr>
      <w:r>
        <w:rPr>
          <w:rFonts w:ascii="Calibri" w:hAnsi="Calibri"/>
          <w:sz w:val="28"/>
          <w:szCs w:val="28"/>
          <w:b/>
          <w:bCs/>
          <w:color w:val="1F4E78"/>
        </w:rPr>
        <w:t xml:space="preserve">Engineering Recommendations (worst case: CRITICAL)</w:t>
      </w:r>
    </w:p>
    <w:p>
      <w:r>
        <w:rPr>
          <w:rFonts w:ascii="Calibri" w:hAnsi="Calibri"/>
          <w:sz w:val="22"/>
          <w:szCs w:val="22"/>
          <w:color w:val="000000"/>
        </w:rPr>
        <w:t xml:space="preserve">• IMMEDIATE ACTION: Increase member size or add substantial bracing</w:t>
      </w:r>
    </w:p>
    <w:p>
      <w:r>
        <w:rPr>
          <w:rFonts w:ascii="Calibri" w:hAnsi="Calibri"/>
          <w:sz w:val="22"/>
          <w:szCs w:val="22"/>
          <w:color w:val="000000"/>
        </w:rPr>
        <w:t xml:space="preserve">• Consider higher grade steel (e.g., A572-50 → A992)</w:t>
      </w:r>
    </w:p>
    <w:p>
      <w:r>
        <w:rPr>
          <w:rFonts w:ascii="Calibri" w:hAnsi="Calibri"/>
          <w:sz w:val="22"/>
          <w:szCs w:val="22"/>
          <w:color w:val="000000"/>
        </w:rPr>
        <w:t xml:space="preserve">• Perform detailed fatigue analysis before deployment</w:t>
      </w:r>
    </w:p>
    <w:p>
      <w:pPr>
        <w:spacing w:before="240" w:after="120"/>
      </w:pPr>
      <w:r>
        <w:rPr>
          <w:rFonts w:ascii="Calibri" w:hAnsi="Calibri"/>
          <w:sz w:val="28"/>
          <w:szCs w:val="28"/>
          <w:b/>
          <w:bCs/>
          <w:color w:val="1F4E78"/>
        </w:rPr>
        <w:t xml:space="preserve">Mode Shape Plots</w:t>
      </w:r>
    </w:p>
    <w:p>
      <w:r>
        <w:drawing>
          <wp:inline distT="0" distB="0" distL="0" distR="0">
            <wp:extent cx="6667500" cy="2667000"/>
            <wp:effectExtent l="0" t="0" r="0" b="0"/>
            <wp:docPr id="2" name="Image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67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240" w:after="120"/>
      </w:pPr>
      <w:r>
        <w:rPr>
          <w:rFonts w:ascii="Calibri" w:hAnsi="Calibri"/>
          <w:sz w:val="28"/>
          <w:szCs w:val="28"/>
          <w:b/>
          <w:bCs/>
          <w:color w:val="1F4E78"/>
        </w:rPr>
        <w:t xml:space="preserve">Wind Speed Distribution</w:t>
      </w:r>
    </w:p>
    <w:p>
      <w:r>
        <w:drawing>
          <wp:inline distT="0" distB="0" distL="0" distR="0">
            <wp:extent cx="6667500" cy="1619250"/>
            <wp:effectExtent l="0" t="0" r="0" b="0"/>
            <wp:docPr id="3" name="Image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6750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/>
      <w:pgMar w:top="1080" w:right="1080" w:bottom="1080" w:left="1080" w:header="720" w:footer="720" w:gutter="0"/>
    </w:sectPr>
  </w:body>
</w:document>
</file>

<file path=word/_rels/document.xml.rels><?xml version="1.0" encoding="UTF-8" standalone="yes"?><Relationships xmlns="http://schemas.openxmlformats.org/package/2006/relationships"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