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692BE" w14:textId="77777777" w:rsidR="00CC1C3E" w:rsidRPr="00CC1C3E" w:rsidRDefault="00CC1C3E">
      <w:pPr>
        <w:jc w:val="center"/>
        <w:rPr>
          <w:rFonts w:ascii="Times New Roman" w:hAnsi="Times New Roman"/>
          <w:b/>
          <w:color w:val="000000" w:themeColor="text1"/>
        </w:rPr>
      </w:pPr>
      <w:r>
        <w:rPr>
          <w:b/>
        </w:rPr>
        <w:t>Gut microbial resource use can be low-dimensional yet functionally complex</w:t>
      </w:r>
    </w:p>
    <w:p w14:paraId="244867CE" w14:textId="77777777" w:rsidR="004D7C36" w:rsidRDefault="00E6286F">
      <w:pPr>
        <w:jc w:val="center"/>
      </w:pPr>
      <w:r>
        <w:t>Eric Bonabeau1*</w:t>
      </w:r>
    </w:p>
    <w:p w14:paraId="08C30914" w14:textId="77777777" w:rsidR="004D7C36" w:rsidRDefault="00E6286F">
      <w:pPr>
        <w:jc w:val="center"/>
      </w:pPr>
      <w:r>
        <w:t>1 School of Complex Adaptive Systems, Arizona State University, Tempe, Arizona, USA</w:t>
      </w:r>
    </w:p>
    <w:p w14:paraId="3D40036E" w14:textId="77777777" w:rsidR="004D7C36" w:rsidRDefault="004D7C36"/>
    <w:p w14:paraId="5BD07185" w14:textId="77777777" w:rsidR="004D7C36" w:rsidRDefault="00E6286F">
      <w:r>
        <w:t>*Correspondence: ebonabea@asu.edu</w:t>
      </w:r>
    </w:p>
    <w:p w14:paraId="669FDDFF" w14:textId="77777777" w:rsidR="004D7C36" w:rsidRDefault="004D7C36"/>
    <w:p w14:paraId="1E1461F2" w14:textId="77777777" w:rsidR="00753E44" w:rsidRPr="00CC1C3E" w:rsidRDefault="001E0DC1">
      <w:pPr>
        <w:pStyle w:val="Heading1"/>
        <w:pageBreakBefore/>
        <w:spacing w:before="0"/>
        <w:rPr>
          <w:color w:val="000000" w:themeColor="text1"/>
        </w:rPr>
      </w:pPr>
      <w:r>
        <w:rPr>
          <w:color w:val="000000" w:themeColor="text1"/>
          <w:sz w:val="24"/>
        </w:rPr>
        <w:lastRenderedPageBreak/>
        <w:t>Abstract</w:t>
      </w:r>
    </w:p>
    <w:p w14:paraId="0EFE4062" w14:textId="77777777" w:rsidR="00753E44" w:rsidRDefault="001E0DC1">
      <w:r>
        <w:t xml:space="preserve">Microbial resource use is often summarized with a few dimensions, but a small dimension does not necessarily mean that only a few details matter for community behavior. In the hCom2* synthetic gut community, experimental measurements define a strain-by-resource consumption matrix: rows are strains, columns are resources, and entries are measured consumption strengths. Most of the singular-value energy of this matrix lies in a few directions, giving a participation dimension of </w:t>
      </w:r>
      <m:oMath>
        <m:r>
          <w:rPr>
            <w:rFonts w:ascii="Cambria Math" w:hAnsi="Cambria Math"/>
          </w:rPr>
          <m:t>3.27</m:t>
        </m:r>
      </m:oMath>
      <w:r>
        <w:t>. Yet low-rank non-negative matrix factorization preserved prediction</w:t>
      </w:r>
      <w:r w:rsidR="00AD7804">
        <w:t xml:space="preserve"> after three serial growth-and-dilution cycles</w:t>
      </w:r>
      <w:r>
        <w:t xml:space="preserve"> only at ranks </w:t>
      </w:r>
      <m:oMath>
        <m:r>
          <w:rPr>
            <w:rFonts w:ascii="Cambria Math" w:hAnsi="Cambria Math"/>
          </w:rPr>
          <m:t>52-60</m:t>
        </m:r>
      </m:oMath>
      <w:r>
        <w:t xml:space="preserve">. Low-rank factorization changes which strain-resource links are present. When the observed zero/nonzero pattern was kept fixed, the strengths of existing links could be represented with </w:t>
      </w:r>
      <m:oMath>
        <m:r>
          <w:rPr>
            <w:rFonts w:ascii="Cambria Math" w:hAnsi="Cambria Math"/>
          </w:rPr>
          <m:t>6-12</m:t>
        </m:r>
      </m:oMath>
      <w:r>
        <w:t xml:space="preserve"> latent dimensions while retaining prediction. An independent fifteen-species dataset gave the same message at the level of resource sharing: the experimentally derived support map predicted sixty-four mixed communities with </w:t>
      </w:r>
      <m:oMath>
        <m:r>
          <w:rPr>
            <w:rFonts w:ascii="Cambria Math" w:hAnsi="Cambria Math"/>
          </w:rPr>
          <m:t>27.6%</m:t>
        </m:r>
      </m:oMath>
      <w:r>
        <w:t xml:space="preserve"> lower error than species-identity-shuffled support and outperformed three simplified support models. Across eight paired human gut microbiome-metabolome cohorts, predictive rank also depended strongly on sample size and did not track a model-defined niche dimension. Consumer-resource theory further shows that a mechanistic interaction dimension requires absolute abundance and metabolite measurements. Different low-dimensional summaries therefore describe different properties of microbial systems.</w:t>
      </w:r>
    </w:p>
    <w:p w14:paraId="4AF89D4F" w14:textId="77777777" w:rsidR="00AD7804" w:rsidRPr="00CC1C3E" w:rsidRDefault="00AD7804">
      <w:pPr>
        <w:rPr>
          <w:rFonts w:ascii="Times New Roman" w:hAnsi="Times New Roman"/>
          <w:color w:val="000000" w:themeColor="text1"/>
        </w:rPr>
      </w:pPr>
    </w:p>
    <w:p w14:paraId="3EB7B1E5" w14:textId="77777777" w:rsidR="00753E44" w:rsidRPr="00CC1C3E" w:rsidRDefault="001E0DC1">
      <w:pPr>
        <w:pStyle w:val="Heading1"/>
        <w:spacing w:before="0"/>
        <w:rPr>
          <w:color w:val="000000" w:themeColor="text1"/>
        </w:rPr>
      </w:pPr>
      <w:r>
        <w:rPr>
          <w:color w:val="000000" w:themeColor="text1"/>
          <w:sz w:val="24"/>
        </w:rPr>
        <w:lastRenderedPageBreak/>
        <w:t>Introduction</w:t>
      </w:r>
    </w:p>
    <w:p w14:paraId="283081FF" w14:textId="77777777" w:rsidR="00753E44" w:rsidRPr="00CC1C3E" w:rsidRDefault="001E0DC1">
      <w:pPr>
        <w:rPr>
          <w:rFonts w:ascii="Times New Roman" w:hAnsi="Times New Roman"/>
          <w:color w:val="000000" w:themeColor="text1"/>
        </w:rPr>
      </w:pPr>
      <w:r>
        <w:rPr/>
        <w:t>Microbiome studies often reduce hundreds of taxa or metabolites to a small number of components. Those components are then described as niches, guilds, metabolic programs, or functional axes. Such interpretations can be useful, but only if the quantity called dimension matches the biological question. Recent work has estimated niche dimensions from abundance data</w:t>
      </w:r>
      <w:r>
        <w:rPr>
          <w:vertAlign w:val="superscript"/>
        </w:rPr>
        <w:t>1</w:t>
      </w:r>
      <w:r>
        <w:rPr/>
        <w:t>, fitted low-rank models to paired microbiome–metabolome measurements</w:t>
      </w:r>
      <w:r>
        <w:rPr>
          <w:vertAlign w:val="superscript"/>
        </w:rPr>
        <w:t>2–5</w:t>
      </w:r>
      <w:r>
        <w:rPr/>
        <w:t>, and related resource competition to trait structure and microbial assembly</w:t>
      </w:r>
      <w:r>
        <w:rPr>
          <w:vertAlign w:val="superscript"/>
        </w:rPr>
        <w:t>6–10</w:t>
      </w:r>
      <w:r>
        <w:rPr/>
        <w:t>.</w:t>
      </w:r>
    </w:p>
    <w:p w14:paraId="67F7EB60" w14:textId="77777777" w:rsidR="00753E44" w:rsidRPr="00CC1C3E" w:rsidRDefault="001E0DC1">
      <w:pPr>
        <w:rPr>
          <w:rFonts w:ascii="Times New Roman" w:hAnsi="Times New Roman"/>
          <w:color w:val="000000" w:themeColor="text1"/>
        </w:rPr>
      </w:pPr>
      <w:r>
        <w:t>A strain-by-resource consumption matrix provides a concrete example. Each row represents a strain, each column a metabolite or coarse-grained resource, and each entry records consumption strength. The singular values of this matrix may be concentrated in a few directions, producing a small spectral dimension. That number does not describe the whole matrix. The zero/nonzero pattern</w:t>
      </w:r>
      <w:r w:rsidR="00AD7804">
        <w:t xml:space="preserve">, </w:t>
      </w:r>
      <w:r>
        <w:t>called the support here</w:t>
      </w:r>
      <w:r w:rsidR="00AD7804">
        <w:t xml:space="preserve">, </w:t>
      </w:r>
      <w:r>
        <w:t>records which strains use which resources, and that pattern can remain complex even when most matrix variation lies in a few singular directions. A separate question is functional: how much of the original resource-use description must be retained to preserve a task such as predicting the composition of a mixed community? Fig. 1 summarizes these distinctions.</w:t>
      </w:r>
    </w:p>
    <w:p w14:paraId="2D0DB69D" w14:textId="77777777" w:rsidR="00753E44" w:rsidRPr="00CC1C3E" w:rsidRDefault="001E0DC1">
      <w:pPr>
        <w:rPr>
          <w:rFonts w:ascii="Times New Roman" w:hAnsi="Times New Roman"/>
          <w:color w:val="000000" w:themeColor="text1"/>
        </w:rPr>
      </w:pPr>
      <w:r>
        <w:t xml:space="preserve">Other uses of dimension differ again. In regression, a predictive dimension is the rank or number of components retained because they improve held-out prediction. In a generative abundance model, an effective niche dimension is defined by the model itself. In a consumer-resource model, interaction dimension is determined by the structure of resource use and is mechanistic only when the relevant uptake variables </w:t>
      </w:r>
      <w:r>
        <w:lastRenderedPageBreak/>
        <w:t xml:space="preserve">can be identified. Longitudinal and stochastic approaches provide other routes to ecological inference when temporal data are available </w:t>
      </w:r>
      <w:r>
        <w:rPr>
          <w:vertAlign w:val="superscript"/>
        </w:rPr>
        <w:t>11–14</w:t>
      </w:r>
      <w:r>
        <w:t>.</w:t>
      </w:r>
    </w:p>
    <w:p w14:paraId="02237EBA" w14:textId="77777777" w:rsidR="00753E44" w:rsidRPr="00CC1C3E" w:rsidRDefault="001E0DC1">
      <w:pPr>
        <w:rPr>
          <w:rFonts w:ascii="Times New Roman" w:hAnsi="Times New Roman"/>
          <w:color w:val="000000" w:themeColor="text1"/>
        </w:rPr>
      </w:pPr>
      <w:r>
        <w:t xml:space="preserve">The study tests these distinctions in several settings. Eight paired gut microbiome-metabolome cohorts are used to compare predictive rank with a model-defined niche dimension and to show how sample size affects cross-validated rank selection. A restricted consumer-resource model is used to state what a mechanistic interaction dimension means and what measurements identify it. The main functional test uses the sixty-three-strain hCom2* serial-dilution system, parameterized with Han et al. metabolomics and Jin et al. abundance data </w:t>
      </w:r>
      <w:r>
        <w:rPr>
          <w:vertAlign w:val="superscript"/>
        </w:rPr>
        <w:t>15–17</w:t>
      </w:r>
      <w:r>
        <w:t xml:space="preserve">. A separate fifteen-species system from Ho et al. </w:t>
      </w:r>
      <w:r>
        <w:rPr>
          <w:vertAlign w:val="superscript"/>
        </w:rPr>
        <w:t>10</w:t>
      </w:r>
      <w:r>
        <w:t xml:space="preserve"> provides an independent test of whether the observed resource-sharing pattern matters for community prediction.</w:t>
      </w:r>
    </w:p>
    <w:p w14:paraId="26C1694F" w14:textId="77777777" w:rsidR="00753E44" w:rsidRDefault="001E0DC1">
      <w:r>
        <w:t>The results are consistent across these analyses. In hCom2*, the measured consumption matrix has a low participation dimension, but community prediction is lost when ordinary low-rank factorization changes the strain-resource support. Prediction is retained with far fewer latent variables when that support is kept fixed. In the Ho system, shuffling or simplifying the experimentally derived support worsens prediction of mixed-community assembly. The cohort and theory analyses show that predictive rank, model-defined niche dimension, and mechanistic interaction dimension are separate quantities and should not be treated as interchangeable.</w:t>
      </w:r>
    </w:p>
    <w:p w14:paraId="64F1B6F8" w14:textId="77777777" w:rsidR="00AD7804" w:rsidRPr="00CC1C3E" w:rsidRDefault="00AD7804">
      <w:pPr>
        <w:rPr>
          <w:rFonts w:ascii="Times New Roman" w:hAnsi="Times New Roman"/>
          <w:color w:val="000000" w:themeColor="text1"/>
        </w:rPr>
      </w:pPr>
    </w:p>
    <w:p w14:paraId="28052C93" w14:textId="77777777" w:rsidR="00753E44" w:rsidRPr="00CC1C3E" w:rsidRDefault="001E0DC1">
      <w:pPr>
        <w:pStyle w:val="Heading1"/>
        <w:spacing w:before="0"/>
        <w:rPr>
          <w:color w:val="000000" w:themeColor="text1"/>
        </w:rPr>
      </w:pPr>
      <w:r>
        <w:rPr>
          <w:color w:val="000000" w:themeColor="text1"/>
          <w:sz w:val="24"/>
        </w:rPr>
        <w:lastRenderedPageBreak/>
        <w:t>Results</w:t>
      </w:r>
    </w:p>
    <w:p w14:paraId="698BCD21" w14:textId="77777777" w:rsidR="00753E44" w:rsidRPr="00CC1C3E" w:rsidRDefault="001E0DC1">
      <w:pPr>
        <w:pStyle w:val="Heading2"/>
        <w:spacing w:before="0"/>
        <w:rPr>
          <w:color w:val="000000" w:themeColor="text1"/>
        </w:rPr>
      </w:pPr>
      <w:r>
        <w:t>Predictive rank is not a resource count</w:t>
      </w:r>
    </w:p>
    <w:p w14:paraId="33496100" w14:textId="508D2F3D" w:rsidR="00753E44" w:rsidRPr="00CC1C3E" w:rsidRDefault="001E0DC1">
      <w:pPr>
        <w:rPr>
          <w:rFonts w:ascii="Times New Roman" w:hAnsi="Times New Roman"/>
          <w:color w:val="000000" w:themeColor="text1"/>
        </w:rPr>
      </w:pPr>
      <w:r>
        <w:t>Eight paired genus-level microbiome-metabolome cohorts from the curated collection of Muller et al.</w:t>
      </w:r>
      <w:r>
        <w:rPr>
          <w:vertAlign w:val="superscript"/>
        </w:rPr>
        <w:t>18</w:t>
      </w:r>
      <w:r>
        <w:rPr/>
        <w:t xml:space="preserve"> were reanalyzed with matched group-aware nested validation. Reduced-rank regression (RRR), principal-components regression (PCR), and ridge regression were fitted on identical folds. RRR had positive mean held-out multivariate predictive performance in seven of eight cohorts, with median selected dimensions from one to five, but PCR or ridge matched it closely in most cohorts (Fig. 2; Supplementary Table 2). A low selected rank therefore describes predictive complexity under this analysis </w:t>
      </w:r>
      <w:proofErr w:type="gramStart"/>
      <w:r>
        <w:t>pipeline</w:t>
      </w:r>
      <w:proofErr w:type="gramEnd"/>
      <w:r w:rsidR="00793317">
        <w:t xml:space="preserve"> but</w:t>
      </w:r>
      <w:r>
        <w:t xml:space="preserve"> it is not a count of resources or niches.</w:t>
      </w:r>
    </w:p>
    <w:p w14:paraId="211B1A10" w14:textId="77777777" w:rsidR="00753E44" w:rsidRPr="00CC1C3E" w:rsidRDefault="00C646DA">
      <w:pPr>
        <w:rPr>
          <w:rFonts w:ascii="Times New Roman" w:hAnsi="Times New Roman"/>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R</m:t>
            </m:r>
          </m:e>
          <m:sub>
            <m:r>
              <m:rPr>
                <m:sty m:val="p"/>
              </m:rPr>
              <w:rPr>
                <w:rFonts w:ascii="Cambria Math" w:hAnsi="Cambria Math"/>
                <w:color w:val="000000" w:themeColor="text1"/>
              </w:rPr>
              <m:t>test</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SSE</m:t>
                </m:r>
              </m:e>
              <m:sub>
                <m:r>
                  <m:rPr>
                    <m:sty m:val="p"/>
                  </m:rPr>
                  <w:rPr>
                    <w:rFonts w:ascii="Cambria Math" w:hAnsi="Cambria Math"/>
                    <w:color w:val="000000" w:themeColor="text1"/>
                  </w:rPr>
                  <m:t>model</m:t>
                </m:r>
              </m:sub>
            </m:sSub>
          </m:num>
          <m:den>
            <m:sSub>
              <m:sSubPr>
                <m:ctrlPr>
                  <w:rPr>
                    <w:rFonts w:ascii="Cambria Math" w:hAnsi="Cambria Math"/>
                    <w:color w:val="000000" w:themeColor="text1"/>
                  </w:rPr>
                </m:ctrlPr>
              </m:sSubPr>
              <m:e>
                <m:r>
                  <m:rPr>
                    <m:sty m:val="p"/>
                  </m:rPr>
                  <w:rPr>
                    <w:rFonts w:ascii="Cambria Math" w:hAnsi="Cambria Math"/>
                    <w:color w:val="000000" w:themeColor="text1"/>
                  </w:rPr>
                  <m:t>SSE</m:t>
                </m:r>
              </m:e>
              <m:sub>
                <m:r>
                  <m:rPr>
                    <m:sty m:val="p"/>
                  </m:rPr>
                  <w:rPr>
                    <w:rFonts w:ascii="Cambria Math" w:hAnsi="Cambria Math"/>
                    <w:color w:val="000000" w:themeColor="text1"/>
                  </w:rPr>
                  <m:t>mean</m:t>
                </m:r>
              </m:sub>
            </m:sSub>
          </m:den>
        </m:f>
      </m:oMath>
      <w:r w:rsidR="001E0DC1">
        <w:rPr>
          <w:color w:val="000000" w:themeColor="text1"/>
        </w:rPr>
        <w:t xml:space="preserve">   (1)</w:t>
      </w:r>
    </w:p>
    <w:p w14:paraId="27C3A238" w14:textId="19D0D9F9" w:rsidR="009D4E19" w:rsidRDefault="009D7430">
      <w:pPr>
        <w:rPr>
          <w:rFonts w:ascii="Times New Roman" w:hAnsi="Times New Roman"/>
          <w:color w:val="000000" w:themeColor="text1"/>
        </w:rPr>
      </w:pPr>
      <w:r>
        <w:t xml:space="preserve">The symbol </w:t>
      </w:r>
      <m:oMath>
        <m:sSubSup>
          <m:sSubSupPr>
            <m:ctrlPr>
              <w:rPr>
                <w:rFonts w:ascii="Cambria Math" w:hAnsi="Cambria Math"/>
              </w:rPr>
            </m:ctrlPr>
          </m:sSubSupPr>
          <m:e>
            <m:r>
              <w:rPr>
                <w:rFonts w:ascii="Cambria Math" w:hAnsi="Cambria Math"/>
              </w:rPr>
              <m:t>R</m:t>
            </m:r>
          </m:e>
          <m:sub>
            <m:r>
              <m:rPr>
                <m:sty m:val="p"/>
              </m:rPr>
              <w:rPr>
                <w:rFonts w:ascii="Cambria Math" w:hAnsi="Cambria Math"/>
              </w:rPr>
              <m:t>test</m:t>
            </m:r>
          </m:sub>
          <m:sup>
            <m:r>
              <w:rPr>
                <w:rFonts w:ascii="Cambria Math" w:hAnsi="Cambria Math"/>
              </w:rPr>
              <m:t>2</m:t>
            </m:r>
          </m:sup>
        </m:sSubSup>
      </m:oMath>
      <w:r>
        <w:t xml:space="preserve"> denotes held-out multivariate predictive performance. </w:t>
      </w:r>
      <m:oMath>
        <m:sSub>
          <m:sSubPr>
            <m:ctrlPr>
              <w:rPr>
                <w:rFonts w:ascii="Cambria Math" w:hAnsi="Cambria Math"/>
              </w:rPr>
            </m:ctrlPr>
          </m:sSubPr>
          <m:e>
            <m:r>
              <m:rPr>
                <m:sty m:val="p"/>
              </m:rPr>
              <w:rPr>
                <w:rFonts w:ascii="Cambria Math" w:hAnsi="Cambria Math"/>
              </w:rPr>
              <m:t>SSE</m:t>
            </m:r>
          </m:e>
          <m:sub>
            <m:r>
              <m:rPr>
                <m:sty m:val="p"/>
              </m:rPr>
              <w:rPr>
                <w:rFonts w:ascii="Cambria Math" w:hAnsi="Cambria Math"/>
              </w:rPr>
              <m:t>model</m:t>
            </m:r>
          </m:sub>
        </m:sSub>
      </m:oMath>
      <w:r>
        <w:t xml:space="preserve"> is the sum of squared prediction errors across all test samples and measured metabolites, using the model predictions</w:t>
      </w:r>
      <w:r w:rsidR="004A72F1">
        <w:t>.</w:t>
      </w:r>
      <w:r>
        <w:t xml:space="preserve"> </w:t>
      </w:r>
      <m:oMath>
        <m:sSub>
          <m:sSubPr>
            <m:ctrlPr>
              <w:rPr>
                <w:rFonts w:ascii="Cambria Math" w:hAnsi="Cambria Math"/>
              </w:rPr>
            </m:ctrlPr>
          </m:sSubPr>
          <m:e>
            <m:r>
              <m:rPr>
                <m:sty m:val="p"/>
              </m:rPr>
              <w:rPr>
                <w:rFonts w:ascii="Cambria Math" w:hAnsi="Cambria Math"/>
              </w:rPr>
              <m:t>SSE</m:t>
            </m:r>
          </m:e>
          <m:sub>
            <m:r>
              <m:rPr>
                <m:sty m:val="p"/>
              </m:rPr>
              <w:rPr>
                <w:rFonts w:ascii="Cambria Math" w:hAnsi="Cambria Math"/>
              </w:rPr>
              <m:t>mean</m:t>
            </m:r>
          </m:sub>
        </m:sSub>
      </m:oMath>
      <w:r>
        <w:t xml:space="preserve"> is the corresponding sum for a baseline that predicts each metabolite from its training-fold mean. The same test observations and outcome scaling are used in both sums. A value of zero matches this baseline, and a positive value improves on it.</w:t>
      </w:r>
    </w:p>
    <w:p w14:paraId="1732FFFC" w14:textId="77777777" w:rsidR="00753E44" w:rsidRPr="00CC1C3E" w:rsidRDefault="001E0DC1">
      <w:pPr>
        <w:rPr>
          <w:rFonts w:ascii="Times New Roman" w:hAnsi="Times New Roman"/>
          <w:color w:val="000000" w:themeColor="text1"/>
        </w:rPr>
      </w:pPr>
      <w:r>
        <w:rPr>
          <w:color w:val="000000" w:themeColor="text1"/>
        </w:rPr>
        <w:t>Equation 1 defines the multivariate held-out coefficient used for the cohort benchmark. The denominator is the error of a training-mean predictor, so positive values indicate improvement over that baseline.</w:t>
      </w:r>
    </w:p>
    <w:p w14:paraId="1A931E85" w14:textId="77777777" w:rsidR="00753E44" w:rsidRPr="00CC1C3E" w:rsidRDefault="001E0DC1">
      <w:pPr>
        <w:pStyle w:val="Heading2"/>
        <w:spacing w:before="0"/>
        <w:rPr>
          <w:color w:val="000000" w:themeColor="text1"/>
        </w:rPr>
      </w:pPr>
      <w:r>
        <w:t>A model-defined niche dimension is different from predictive rank</w:t>
      </w:r>
    </w:p>
    <w:p w14:paraId="1906A218" w14:textId="77777777" w:rsidR="00753E44" w:rsidRPr="00CC1C3E" w:rsidRDefault="001E0DC1">
      <w:pPr>
        <w:rPr>
          <w:rFonts w:ascii="Times New Roman" w:hAnsi="Times New Roman"/>
          <w:color w:val="000000" w:themeColor="text1"/>
        </w:rPr>
      </w:pPr>
      <w:r>
        <w:t xml:space="preserve">The effective-niche estimator of Srinivasan et al. was reimplemented on the same eight cohorts. Estimates ranged from </w:t>
      </w:r>
      <m:oMath>
        <m:r>
          <w:rPr>
            <w:rFonts w:ascii="Cambria Math" w:hAnsi="Cambria Math"/>
          </w:rPr>
          <m:t>1.43</m:t>
        </m:r>
      </m:oMath>
      <w:r>
        <w:t xml:space="preserve"> to </w:t>
      </w:r>
      <m:oMath>
        <m:r>
          <w:rPr>
            <w:rFonts w:ascii="Cambria Math" w:hAnsi="Cambria Math"/>
          </w:rPr>
          <m:t>4.05</m:t>
        </m:r>
      </m:oMath>
      <w:r>
        <w:t xml:space="preserve"> with a median of </w:t>
      </w:r>
      <m:oMath>
        <m:r>
          <w:rPr>
            <w:rFonts w:ascii="Cambria Math" w:hAnsi="Cambria Math"/>
          </w:rPr>
          <m:t>3.48</m:t>
        </m:r>
      </m:oMath>
      <w:r>
        <w:t xml:space="preserve">. Across cohorts, </w:t>
      </w:r>
      <w:r>
        <w:lastRenderedPageBreak/>
        <w:t>effective niche dimension was not associated with median RRR rank (</w:t>
      </w:r>
      <m:oMath>
        <m:r>
          <w:rPr>
            <w:rFonts w:ascii="Cambria Math" w:hAnsi="Cambria Math"/>
          </w:rPr>
          <m:t>ρₛ=-0.10</m:t>
        </m:r>
      </m:oMath>
      <w:r>
        <w:t>). Sensitivity to subsampling seeds and abundance filters changed the numerical estimates but not this lack of correspondence. Predictive rank and model-defined niche dimension therefore summarize different aspects of the same data (Supplementary Methods and Supplementary Table 3).</w:t>
      </w:r>
    </w:p>
    <w:p w14:paraId="2E853B07" w14:textId="77777777" w:rsidR="00753E44" w:rsidRPr="00CC1C3E" w:rsidRDefault="001E0DC1">
      <w:pPr>
        <w:pStyle w:val="Heading2"/>
        <w:spacing w:before="0"/>
        <w:rPr>
          <w:color w:val="000000" w:themeColor="text1"/>
        </w:rPr>
      </w:pPr>
      <w:r>
        <w:t>Sample size changes the rank selected by cross-validation</w:t>
      </w:r>
    </w:p>
    <w:p w14:paraId="483639E2" w14:textId="77777777" w:rsidR="00753E44" w:rsidRPr="00CC1C3E" w:rsidRDefault="001E0DC1">
      <w:pPr>
        <w:rPr>
          <w:rFonts w:ascii="Times New Roman" w:hAnsi="Times New Roman"/>
          <w:color w:val="000000" w:themeColor="text1"/>
        </w:rPr>
      </w:pPr>
      <w:r>
        <w:t xml:space="preserve">Cross-validation retains a direction only when its predictive gain exceeds estimation noise. Rank selection was therefore calibrated using cohort-matched outer-training sample sizes, twenty-four predictors and outcomes, and synthetic coefficient matrices of known rank. For a true rank of ten, the per-direction signal required for the median selected rank to reach at least five fell from about </w:t>
      </w:r>
      <m:oMath>
        <m:r>
          <w:rPr>
            <w:rFonts w:ascii="Cambria Math" w:hAnsi="Cambria Math"/>
          </w:rPr>
          <m:t>5%</m:t>
        </m:r>
      </m:oMath>
      <w:r>
        <w:t xml:space="preserve"> in the smallest design to about </w:t>
      </w:r>
      <m:oMath>
        <m:r>
          <w:rPr>
            <w:rFonts w:ascii="Cambria Math" w:hAnsi="Cambria Math"/>
          </w:rPr>
          <m:t>1%</m:t>
        </m:r>
      </m:oMath>
      <w:r>
        <w:t xml:space="preserve"> in the largest (Fig. 3). Equal-strength directions are favorable; geometrically declining singular values produced stronger under-selection. Retaining the correct number of dimensions also does not guarantee recovery of the correct subspace: at the largest sample size and a </w:t>
      </w:r>
      <m:oMath>
        <m:r>
          <w:rPr>
            <w:rFonts w:ascii="Cambria Math" w:hAnsi="Cambria Math"/>
          </w:rPr>
          <m:t>1%</m:t>
        </m:r>
      </m:oMath>
      <w:r>
        <w:t xml:space="preserve"> per-direction signal, </w:t>
      </w:r>
      <m:oMath>
        <m:r>
          <w:rPr>
            <w:rFonts w:ascii="Cambria Math" w:hAnsi="Cambria Math"/>
          </w:rPr>
          <m:t>84%</m:t>
        </m:r>
      </m:oMath>
      <w:r>
        <w:t xml:space="preserve"> of the ten dimensions were retained but only </w:t>
      </w:r>
      <m:oMath>
        <m:r>
          <w:rPr>
            <w:rFonts w:ascii="Cambria Math" w:hAnsi="Cambria Math"/>
          </w:rPr>
          <m:t>69%</m:t>
        </m:r>
      </m:oMath>
      <w:r>
        <w:t xml:space="preserve"> of the true signal variance was captured (Supplementary Methods and Supplementary Tables 4–7).</w:t>
      </w:r>
    </w:p>
    <w:p w14:paraId="635771BC" w14:textId="77777777" w:rsidR="00753E44" w:rsidRPr="00CC1C3E" w:rsidRDefault="001E0DC1">
      <w:pPr>
        <w:pStyle w:val="Heading2"/>
        <w:spacing w:before="0"/>
        <w:rPr>
          <w:color w:val="000000" w:themeColor="text1"/>
        </w:rPr>
      </w:pPr>
      <w:r>
        <w:t>Consumer-resource theory defines an interaction dimension</w:t>
      </w:r>
    </w:p>
    <w:p w14:paraId="2CB322F3" w14:textId="77777777" w:rsidR="00753E44" w:rsidRPr="00CC1C3E" w:rsidRDefault="001E0DC1">
      <w:pPr>
        <w:rPr>
          <w:rFonts w:ascii="Times New Roman" w:hAnsi="Times New Roman"/>
          <w:color w:val="000000" w:themeColor="text1"/>
        </w:rPr>
      </w:pPr>
      <w:r>
        <w:rPr>
          <w:color w:val="000000" w:themeColor="text1"/>
        </w:rPr>
        <w:t>A restricted consumer-resource model provides a mechanistic quantity that can be compared with the statistical summaries above. Let consumer abundance and resource concentration evolve through bilinear uptake, logistic resource renewal, and linear conversion of uptake into growth. The dynamics are</w:t>
      </w:r>
    </w:p>
    <w:p w14:paraId="6F507C19" w14:textId="77777777" w:rsidR="00753E44" w:rsidRPr="00CC1C3E" w:rsidRDefault="00C646DA">
      <w:pPr>
        <w:rPr>
          <w:rFonts w:ascii="Times New Roman" w:hAnsi="Times New Roman"/>
          <w:color w:val="000000" w:themeColor="text1"/>
        </w:rPr>
      </w:pP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num>
          <m:den>
            <m:r>
              <w:rPr>
                <w:rFonts w:ascii="Cambria Math" w:hAnsi="Cambria Math"/>
                <w:color w:val="000000" w:themeColor="text1"/>
              </w:rPr>
              <m:t>dt</m:t>
            </m:r>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d>
          <m:dPr>
            <m:ctrlPr>
              <w:rPr>
                <w:rFonts w:ascii="Cambria Math" w:hAnsi="Cambria Math"/>
                <w:color w:val="000000" w:themeColor="text1"/>
              </w:rPr>
            </m:ctrlPr>
          </m:dPr>
          <m:e>
            <m:nary>
              <m:naryPr>
                <m:chr m:val="∑"/>
                <m:limLoc m:val="undOvr"/>
                <m:supHide m:val="1"/>
                <m:ctrlPr>
                  <w:rPr>
                    <w:rFonts w:ascii="Cambria Math" w:hAnsi="Cambria Math"/>
                    <w:color w:val="000000" w:themeColor="text1"/>
                  </w:rPr>
                </m:ctrlPr>
              </m:naryPr>
              <m:sub>
                <m:r>
                  <w:rPr>
                    <w:rFonts w:ascii="Cambria Math" w:hAnsi="Cambria Math"/>
                    <w:color w:val="000000" w:themeColor="text1"/>
                  </w:rPr>
                  <m:t>α</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α</m:t>
                    </m:r>
                  </m:sub>
                </m:sSub>
              </m:e>
            </m:nary>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iα</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d>
      </m:oMath>
      <w:r w:rsidR="001E0DC1">
        <w:rPr>
          <w:color w:val="000000" w:themeColor="text1"/>
        </w:rPr>
        <w:t xml:space="preserve">   (2)</w:t>
      </w:r>
    </w:p>
    <w:p w14:paraId="7DB5B148" w14:textId="77777777" w:rsidR="009D4E19" w:rsidRDefault="009D7430">
      <w:pPr>
        <w:rPr>
          <w:rFonts w:ascii="Times New Roman" w:hAnsi="Times New Roman"/>
          <w:color w:val="000000" w:themeColor="text1"/>
        </w:rPr>
      </w:pPr>
      <w:r>
        <w:lastRenderedPageBreak/>
        <w:t xml:space="preserve">Here </w:t>
      </w:r>
      <m:oMath>
        <m:r>
          <w:rPr>
            <w:rFonts w:ascii="Cambria Math" w:hAnsi="Cambria Math"/>
          </w:rPr>
          <m:t>t</m:t>
        </m:r>
      </m:oMath>
      <w:r>
        <w:t xml:space="preserve"> is time, </w:t>
      </w:r>
      <m:oMath>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is the absolute abundance of consumer species or strain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α</m:t>
            </m:r>
          </m:sub>
        </m:sSub>
        <m:d>
          <m:dPr>
            <m:ctrlPr>
              <w:rPr>
                <w:rFonts w:ascii="Cambria Math" w:hAnsi="Cambria Math"/>
              </w:rPr>
            </m:ctrlPr>
          </m:dPr>
          <m:e>
            <m:r>
              <w:rPr>
                <w:rFonts w:ascii="Cambria Math" w:hAnsi="Cambria Math"/>
              </w:rPr>
              <m:t>t</m:t>
            </m:r>
          </m:e>
        </m:d>
      </m:oMath>
      <w:r>
        <w:t xml:space="preserve"> is the concentration of resource </w:t>
      </w:r>
      <m:oMath>
        <m:r>
          <w:rPr>
            <w:rFonts w:ascii="Cambria Math" w:hAnsi="Cambria Math"/>
          </w:rPr>
          <m:t>α</m:t>
        </m:r>
      </m:oMath>
      <w:r>
        <w:t xml:space="preserve">. The coefficient </w:t>
      </w:r>
      <m:oMath>
        <m:sSub>
          <m:sSubPr>
            <m:ctrlPr>
              <w:rPr>
                <w:rFonts w:ascii="Cambria Math" w:hAnsi="Cambria Math"/>
              </w:rPr>
            </m:ctrlPr>
          </m:sSubPr>
          <m:e>
            <m:r>
              <w:rPr>
                <w:rFonts w:ascii="Cambria Math" w:hAnsi="Cambria Math"/>
              </w:rPr>
              <m:t>c</m:t>
            </m:r>
          </m:e>
          <m:sub>
            <m:r>
              <w:rPr>
                <w:rFonts w:ascii="Cambria Math" w:hAnsi="Cambria Math"/>
              </w:rPr>
              <m:t>iα</m:t>
            </m:r>
          </m:sub>
        </m:sSub>
      </m:oMath>
      <w:r>
        <w:t xml:space="preserve"> is consumer </w:t>
      </w:r>
      <m:oMath>
        <m:r>
          <w:rPr>
            <w:rFonts w:ascii="Cambria Math" w:hAnsi="Cambria Math"/>
          </w:rPr>
          <m:t>i</m:t>
        </m:r>
      </m:oMath>
      <w:r>
        <w:t xml:space="preserve">’s per-abundance use of resource </w:t>
      </w:r>
      <m:oMath>
        <m:r>
          <w:rPr>
            <w:rFonts w:ascii="Cambria Math" w:hAnsi="Cambria Math"/>
          </w:rPr>
          <m:t>α</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α</m:t>
            </m:r>
          </m:sub>
        </m:sSub>
      </m:oMath>
      <w:r>
        <w:t xml:space="preserve"> converts that resource uptake into consumer growth; and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the consumer’s loss or maintenance rate. The sum is over all resources available in the model.</w:t>
      </w:r>
    </w:p>
    <w:p w14:paraId="3E5F0E11" w14:textId="77777777" w:rsidR="00753E44" w:rsidRPr="00CC1C3E" w:rsidRDefault="00C646DA">
      <w:pPr>
        <w:rPr>
          <w:rFonts w:ascii="Times New Roman" w:hAnsi="Times New Roman"/>
          <w:color w:val="000000" w:themeColor="text1"/>
        </w:rPr>
      </w:pP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num>
          <m:den>
            <m:r>
              <w:rPr>
                <w:rFonts w:ascii="Cambria Math" w:hAnsi="Cambria Math"/>
                <w:color w:val="000000" w:themeColor="text1"/>
              </w:rPr>
              <m:t>dt</m:t>
            </m:r>
          </m:den>
        </m:f>
        <m:r>
          <m:rPr>
            <m:sty m:val="p"/>
          </m:rPr>
          <w:rPr>
            <w:rFonts w:ascii="Cambria Math" w:hAnsi="Cambria Math"/>
            <w:color w:val="000000" w:themeColor="text1"/>
          </w:rPr>
          <m:t>=</m:t>
        </m:r>
        <m:r>
          <w:rPr>
            <w:rFonts w:ascii="Cambria Math" w:hAnsi="Cambria Math"/>
            <w:color w:val="000000" w:themeColor="text1"/>
          </w:rPr>
          <m:t>ε</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e>
        </m:d>
      </m:oMath>
      <w:r w:rsidR="001E0DC1">
        <w:rPr>
          <w:color w:val="000000" w:themeColor="text1"/>
        </w:rPr>
        <w:t xml:space="preserve">   (3)</w:t>
      </w:r>
    </w:p>
    <w:p w14:paraId="5FAB8634" w14:textId="77777777" w:rsidR="009D4E19" w:rsidRDefault="009D7430">
      <w:pPr>
        <w:rPr>
          <w:rFonts w:ascii="Times New Roman" w:hAnsi="Times New Roman"/>
          <w:color w:val="000000" w:themeColor="text1"/>
        </w:rPr>
      </w:pPr>
      <w:r>
        <w:t xml:space="preserve">In the resource equation, </w:t>
      </w:r>
      <m:oMath>
        <m:r>
          <w:rPr>
            <w:rFonts w:ascii="Cambria Math" w:hAnsi="Cambria Math"/>
          </w:rPr>
          <m:t>ε</m:t>
        </m:r>
        <m:r>
          <m:rPr>
            <m:sty m:val="p"/>
          </m:rPr>
          <w:rPr>
            <w:rFonts w:ascii="Cambria Math" w:hAnsi="Cambria Math"/>
          </w:rPr>
          <m:t>&gt;</m:t>
        </m:r>
        <m:r>
          <w:rPr>
            <w:rFonts w:ascii="Cambria Math" w:hAnsi="Cambria Math"/>
          </w:rPr>
          <m:t>0</m:t>
        </m:r>
      </m:oMath>
      <w:r>
        <w:t xml:space="preserve"> sets the speed of resource dynamics relative to consumer dynamics,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&gt;</m:t>
        </m:r>
        <m:r>
          <w:rPr>
            <w:rFonts w:ascii="Cambria Math" w:hAnsi="Cambria Math"/>
          </w:rPr>
          <m:t>0</m:t>
        </m:r>
      </m:oMath>
      <w:r>
        <w:t xml:space="preserve"> specifies resource renewal, and </w:t>
      </w:r>
      <m:oMath>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&gt;</m:t>
        </m:r>
        <m:r>
          <w:rPr>
            <w:rFonts w:ascii="Cambria Math" w:hAnsi="Cambria Math"/>
          </w:rPr>
          <m:t>0</m:t>
        </m:r>
      </m:oMath>
      <w:r>
        <w:t xml:space="preserve"> describes self-limitation of resource </w:t>
      </w:r>
      <m:oMath>
        <m:r>
          <w:rPr>
            <w:rFonts w:ascii="Cambria Math" w:hAnsi="Cambria Math"/>
          </w:rPr>
          <m:t>α</m:t>
        </m:r>
      </m:oMath>
      <w:r>
        <w:t xml:space="preserve">. The index </w:t>
      </w:r>
      <m:oMath>
        <m:r>
          <w:rPr>
            <w:rFonts w:ascii="Cambria Math" w:hAnsi="Cambria Math"/>
          </w:rPr>
          <m:t>j</m:t>
        </m:r>
      </m:oMath>
      <w:r>
        <w:t xml:space="preserve"> runs over consumers, so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jα</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is their combined depletion pressure on that resource. The prefactor </w:t>
      </w:r>
      <m:oMath>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gives logistic-type renewal in the absence of consumers.</w:t>
      </w:r>
    </w:p>
    <w:p w14:paraId="52486589" w14:textId="77777777" w:rsidR="00753E44" w:rsidRPr="00CC1C3E" w:rsidRDefault="001E0DC1">
      <w:pPr>
        <w:rPr>
          <w:rFonts w:ascii="Times New Roman" w:hAnsi="Times New Roman"/>
          <w:color w:val="000000" w:themeColor="text1"/>
        </w:rPr>
      </w:pPr>
      <w:r>
        <w:rPr>
          <w:color w:val="000000" w:themeColor="text1"/>
        </w:rPr>
        <w:t>When resources relax rapidly and remain on the positive branch, their quasi-steady values are</w:t>
      </w:r>
    </w:p>
    <w:p w14:paraId="3E6C2125" w14:textId="77777777" w:rsidR="00753E44" w:rsidRPr="00CC1C3E" w:rsidRDefault="00C646DA">
      <w:pPr>
        <w:rPr>
          <w:rFonts w:ascii="Times New Roman" w:hAnsi="Times New Roman"/>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1E0DC1">
        <w:rPr>
          <w:color w:val="000000" w:themeColor="text1"/>
        </w:rPr>
        <w:t xml:space="preserve">   (4)</w:t>
      </w:r>
    </w:p>
    <w:p w14:paraId="55406341" w14:textId="77777777" w:rsidR="009D4E19" w:rsidRDefault="009D7430">
      <w:pPr>
        <w:rPr>
          <w:rFonts w:ascii="Times New Roman" w:hAnsi="Times New Roman"/>
          <w:color w:val="000000" w:themeColor="text1"/>
        </w:rPr>
      </w:pPr>
      <w:r>
        <w:t xml:space="preserve">The asterisk in </w:t>
      </w:r>
      <m:oMath>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t xml:space="preserve"> denotes the positive quasi-steady resource concentration obtained by setting the right-hand side of Eq. 3 to zero while treating consumer abundances as fixed on the fast timescale. The numerator is renewal minus total consumption pressure; division by </w:t>
      </w:r>
      <m:oMath>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converts that balance into a concentration. This branch requires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jα</m:t>
                </m:r>
              </m:sub>
            </m:sSub>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for each retained resource.</w:t>
      </w:r>
    </w:p>
    <w:p w14:paraId="222C9426" w14:textId="77777777" w:rsidR="00753E44" w:rsidRPr="00CC1C3E" w:rsidRDefault="001E0DC1">
      <w:pPr>
        <w:rPr>
          <w:rFonts w:ascii="Times New Roman" w:hAnsi="Times New Roman"/>
          <w:color w:val="000000" w:themeColor="text1"/>
        </w:rPr>
      </w:pPr>
      <w:r>
        <w:rPr>
          <w:color w:val="000000" w:themeColor="text1"/>
        </w:rPr>
        <w:t>Substitution into the consumer equations gives a generalized Lotka-Volterra interaction matrix</w:t>
      </w:r>
    </w:p>
    <w:p w14:paraId="233C3FFC" w14:textId="77777777" w:rsidR="00753E44" w:rsidRPr="00CC1C3E" w:rsidRDefault="00C646DA">
      <w:pPr>
        <w:rPr>
          <w:rFonts w:ascii="Times New Roman" w:hAnsi="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ij</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α</m:t>
            </m:r>
          </m:sub>
          <m:sup>
            <m:r>
              <w:rPr>
                <w:rFonts w:ascii="Cambria Math" w:hAnsi="Cambria Math"/>
                <w:color w:val="000000" w:themeColor="text1"/>
              </w:rPr>
              <m:t>​</m:t>
            </m:r>
          </m:sup>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α</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iα</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e>
        </m:nary>
      </m:oMath>
      <w:r w:rsidR="001E0DC1">
        <w:rPr>
          <w:color w:val="000000" w:themeColor="text1"/>
        </w:rPr>
        <w:t xml:space="preserve">   (5)</w:t>
      </w:r>
    </w:p>
    <w:p w14:paraId="596F79A4" w14:textId="77777777" w:rsidR="009D4E19" w:rsidRDefault="009D7430">
      <w:pPr>
        <w:rPr>
          <w:rFonts w:ascii="Times New Roman" w:hAnsi="Times New Roman"/>
          <w:color w:val="000000" w:themeColor="text1"/>
        </w:rPr>
      </w:pPr>
      <w:r>
        <w:lastRenderedPageBreak/>
        <w:t xml:space="preserve">The entry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quantifies the competitive effect of consumer </w:t>
      </w:r>
      <m:oMath>
        <m:r>
          <w:rPr>
            <w:rFonts w:ascii="Cambria Math" w:hAnsi="Cambria Math"/>
          </w:rPr>
          <m:t>j</m:t>
        </m:r>
      </m:oMath>
      <w:r>
        <w:t xml:space="preserve"> on the per-capita growth rate of consumer </w:t>
      </w:r>
      <m:oMath>
        <m:r>
          <w:rPr>
            <w:rFonts w:ascii="Cambria Math" w:hAnsi="Cambria Math"/>
          </w:rPr>
          <m:t>i</m:t>
        </m:r>
      </m:oMath>
      <w:r>
        <w:t xml:space="preserve"> after fast resources are eliminated. Each resource </w:t>
      </w:r>
      <m:oMath>
        <m:r>
          <w:rPr>
            <w:rFonts w:ascii="Cambria Math" w:hAnsi="Cambria Math"/>
          </w:rPr>
          <m:t>α</m:t>
        </m:r>
      </m:oMath>
      <w:r>
        <w:t xml:space="preserve"> contributes according to the uptake coefficients </w:t>
      </w:r>
      <m:oMath>
        <m:sSub>
          <m:sSubPr>
            <m:ctrlPr>
              <w:rPr>
                <w:rFonts w:ascii="Cambria Math" w:hAnsi="Cambria Math"/>
              </w:rPr>
            </m:ctrlPr>
          </m:sSubPr>
          <m:e>
            <m:r>
              <w:rPr>
                <w:rFonts w:ascii="Cambria Math" w:hAnsi="Cambria Math"/>
              </w:rPr>
              <m:t>c</m:t>
            </m:r>
          </m:e>
          <m:sub>
            <m:r>
              <w:rPr>
                <w:rFonts w:ascii="Cambria Math" w:hAnsi="Cambria Math"/>
              </w:rPr>
              <m:t>iα</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jα</m:t>
            </m:r>
          </m:sub>
        </m:sSub>
      </m:oMath>
      <w:r>
        <w:t xml:space="preserve">, its growth-conversion weight </w:t>
      </w:r>
      <m:oMath>
        <m:sSub>
          <m:sSubPr>
            <m:ctrlPr>
              <w:rPr>
                <w:rFonts w:ascii="Cambria Math" w:hAnsi="Cambria Math"/>
              </w:rPr>
            </m:ctrlPr>
          </m:sSubPr>
          <m:e>
            <m:r>
              <w:rPr>
                <w:rFonts w:ascii="Cambria Math" w:hAnsi="Cambria Math"/>
              </w:rPr>
              <m:t>w</m:t>
            </m:r>
          </m:e>
          <m:sub>
            <m:r>
              <w:rPr>
                <w:rFonts w:ascii="Cambria Math" w:hAnsi="Cambria Math"/>
              </w:rPr>
              <m:t>α</m:t>
            </m:r>
          </m:sub>
        </m:sSub>
      </m:oMath>
      <w:r>
        <w:t xml:space="preserve">, and its self-limitation </w:t>
      </w:r>
      <m:oMath>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Thus </w:t>
      </w:r>
      <m:oMath>
        <m:r>
          <w:rPr>
            <w:rFonts w:ascii="Cambria Math" w:hAnsi="Cambria Math"/>
          </w:rPr>
          <m:t>A</m:t>
        </m:r>
      </m:oMath>
      <w:r>
        <w:t xml:space="preserve"> is a consumer-by-consumer interaction matrix; under the stated assumptions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ji</m:t>
            </m:r>
          </m:sub>
        </m:sSub>
        <m:r>
          <m:rPr>
            <m:sty m:val="p"/>
          </m:rPr>
          <w:rPr>
            <w:rFonts w:ascii="Cambria Math" w:hAnsi="Cambria Math"/>
          </w:rPr>
          <m:t>≥</m:t>
        </m:r>
        <m:r>
          <w:rPr>
            <w:rFonts w:ascii="Cambria Math" w:hAnsi="Cambria Math"/>
          </w:rPr>
          <m:t>0</m:t>
        </m:r>
      </m:oMath>
      <w:r>
        <w:t>, and a positive entry represents competition rather than facilitation.</w:t>
      </w:r>
    </w:p>
    <w:p w14:paraId="249A7347" w14:textId="77777777" w:rsidR="00753E44" w:rsidRPr="00CC1C3E" w:rsidRDefault="001E0DC1">
      <w:pPr>
        <w:rPr>
          <w:rFonts w:ascii="Times New Roman" w:hAnsi="Times New Roman"/>
          <w:color w:val="000000" w:themeColor="text1"/>
        </w:rPr>
      </w:pPr>
      <w:r>
        <w:t xml:space="preserve">Equation 5 is symmetric and positive semidefinite under the restricted assumptions, and its rank cannot exceed the dimension of the resource-use span. If uptake is itself generated by consumer and resource traits, the interaction rank is bounded by the smaller trait dimension (Supplementary Methods, Theorem 1). Thus low mechanistic interaction dimension can arise from correlated resource use or functional redundancy. But the model predicts more than low rank: interactions are competition-only and reciprocal, so facilitation, directional cross-feeding, or strong asymmetry indicate mechanisms outside this reduction. More general pairwise models can fail when facilitation and higher-order effects are important </w:t>
      </w:r>
      <w:r>
        <w:rPr>
          <w:vertAlign w:val="superscript"/>
        </w:rPr>
        <w:t>19</w:t>
      </w:r>
      <w:r>
        <w:t xml:space="preserve">. The reduction is an approximation whose accuracy is controlled by the separation of resource and consumer timescales. In </w:t>
      </w:r>
      <m:oMath>
        <m:r>
          <w:rPr>
            <w:rFonts w:ascii="Cambria Math" w:hAnsi="Cambria Math"/>
          </w:rPr>
          <m:t>30</m:t>
        </m:r>
      </m:oMath>
      <w:r>
        <w:t xml:space="preserve"> randomly generated trait-factorized systems the factorized and direct interaction matrices agreed to </w:t>
      </w:r>
      <m:oMath>
        <m:r>
          <w:rPr>
            <w:rFonts w:ascii="Cambria Math" w:hAnsi="Cambria Math"/>
          </w:rPr>
          <m:t>2.2×10⁻¹⁶</m:t>
        </m:r>
      </m:oMath>
      <w:r>
        <w:t xml:space="preserve">, the predicted rank bound held exactly, and the trajectory error of the reduced model fell inversely with the timescale factor, with a median log-log slope of </w:t>
      </w:r>
      <m:oMath>
        <m:r>
          <w:rPr>
            <w:rFonts w:ascii="Cambria Math" w:hAnsi="Cambria Math"/>
          </w:rPr>
          <m:t>-1.000</m:t>
        </m:r>
      </m:oMath>
      <w:r>
        <w:t xml:space="preserve"> and a </w:t>
      </w:r>
      <m:oMath>
        <m:r>
          <w:rPr>
            <w:rFonts w:ascii="Cambria Math" w:hAnsi="Cambria Math"/>
          </w:rPr>
          <m:t>95%</m:t>
        </m:r>
      </m:oMath>
      <w:r>
        <w:t xml:space="preserve"> seed interval of </w:t>
      </w:r>
      <m:oMath>
        <m:r>
          <w:rPr>
            <w:rFonts w:ascii="Cambria Math" w:hAnsi="Cambria Math"/>
          </w:rPr>
          <m:t>-1.010</m:t>
        </m:r>
      </m:oMath>
      <w:r>
        <w:t xml:space="preserve"> to </w:t>
      </w:r>
      <m:oMath>
        <m:r>
          <w:rPr>
            <w:rFonts w:ascii="Cambria Math" w:hAnsi="Cambria Math"/>
          </w:rPr>
          <m:t>-0.989</m:t>
        </m:r>
      </m:oMath>
      <w:r>
        <w:t xml:space="preserve">, the first-order rate predicted by singular-perturbation theory </w:t>
      </w:r>
      <w:r>
        <w:rPr>
          <w:vertAlign w:val="superscript"/>
        </w:rPr>
        <w:t>20, 21</w:t>
      </w:r>
      <w:r>
        <w:t xml:space="preserve">. The approximation degrades near resource depletion, where the restoring rate toward the quasi-steady manifold vanishes, and Lotka-Volterra reductions of strongly coupled microbial systems can be unreliable </w:t>
      </w:r>
      <w:r>
        <w:lastRenderedPageBreak/>
        <w:t xml:space="preserve">for feasibility, stability, and transients </w:t>
      </w:r>
      <w:r>
        <w:rPr>
          <w:vertAlign w:val="superscript"/>
        </w:rPr>
        <w:t>22</w:t>
      </w:r>
      <w:r>
        <w:t xml:space="preserve"> (Supplementary Methods and Supplementary Table 1).</w:t>
      </w:r>
    </w:p>
    <w:p w14:paraId="54453772" w14:textId="77777777" w:rsidR="00753E44" w:rsidRPr="00CC1C3E" w:rsidRDefault="001E0DC1">
      <w:pPr>
        <w:pStyle w:val="Heading2"/>
        <w:spacing w:before="0"/>
        <w:rPr>
          <w:color w:val="000000" w:themeColor="text1"/>
        </w:rPr>
      </w:pPr>
      <w:r>
        <w:t>Absolute measurements are needed to identify uptake</w:t>
      </w:r>
    </w:p>
    <w:p w14:paraId="7E6CE348" w14:textId="77777777" w:rsidR="00753E44" w:rsidRPr="00CC1C3E" w:rsidRDefault="001E0DC1">
      <w:pPr>
        <w:rPr>
          <w:rFonts w:ascii="Times New Roman" w:hAnsi="Times New Roman"/>
          <w:color w:val="000000" w:themeColor="text1"/>
        </w:rPr>
      </w:pPr>
      <w:r>
        <w:rPr>
          <w:color w:val="000000" w:themeColor="text1"/>
        </w:rPr>
        <w:t>The same reduction shows what must be measured to identify uptake. At equilibrium, changing absolute abundance changes resource concentration with the slope given in Equation 6.</w:t>
      </w:r>
    </w:p>
    <w:p w14:paraId="32583D50" w14:textId="77777777" w:rsidR="00753E44" w:rsidRPr="00CC1C3E" w:rsidRDefault="00C646DA">
      <w:pPr>
        <w:rPr>
          <w:rFonts w:ascii="Times New Roman" w:hAnsi="Times New Roman"/>
          <w:color w:val="000000" w:themeColor="text1"/>
        </w:rPr>
      </w:pPr>
      <m:oMath>
        <m:f>
          <m:fPr>
            <m:ctrlPr>
              <w:rPr>
                <w:rFonts w:ascii="Cambria Math" w:hAnsi="Cambria Math"/>
                <w:color w:val="000000" w:themeColor="text1"/>
              </w:rPr>
            </m:ctrlPr>
          </m:fPr>
          <m:num>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den>
        </m:f>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1E0DC1">
        <w:rPr>
          <w:color w:val="000000" w:themeColor="text1"/>
        </w:rPr>
        <w:t xml:space="preserve">   (6)</w:t>
      </w:r>
    </w:p>
    <w:p w14:paraId="7E34FF26" w14:textId="77777777" w:rsidR="009D4E19" w:rsidRDefault="009D7430">
      <w:pPr>
        <w:rPr>
          <w:rFonts w:ascii="Times New Roman" w:hAnsi="Times New Roman"/>
          <w:color w:val="000000" w:themeColor="text1"/>
        </w:rPr>
      </w:pPr>
      <w:r>
        <w:t xml:space="preserve">The partial derivative is the change in equilibrium concentration </w:t>
      </w:r>
      <m:oMath>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t xml:space="preserve"> resulting from a controlled change in absolute abundance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with the other abundances and the resource parameters held fixed. The slope is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oMath>
      <w:r>
        <w:t xml:space="preserve">: greater uptake by consumer </w:t>
      </w:r>
      <m:oMath>
        <m:r>
          <w:rPr>
            <w:rFonts w:ascii="Cambria Math" w:hAnsi="Cambria Math"/>
          </w:rPr>
          <m:t>j</m:t>
        </m:r>
      </m:oMath>
      <w:r>
        <w:t xml:space="preserve"> reduces resource </w:t>
      </w:r>
      <m:oMath>
        <m:r>
          <w:rPr>
            <w:rFonts w:ascii="Cambria Math" w:hAnsi="Cambria Math"/>
          </w:rPr>
          <m:t>α</m:t>
        </m:r>
      </m:oMath>
      <w:r>
        <w:t xml:space="preserve"> more strongly, while stronger resource self-limitation reduces the magnitude of the slope. This is a mechanistic equilibrium slope, not an ordinary correlation.</w:t>
      </w:r>
    </w:p>
    <w:p w14:paraId="522D53E2" w14:textId="77777777" w:rsidR="00753E44" w:rsidRPr="00CC1C3E" w:rsidRDefault="001E0DC1">
      <w:pPr>
        <w:rPr>
          <w:rFonts w:ascii="Times New Roman" w:hAnsi="Times New Roman"/>
          <w:color w:val="000000" w:themeColor="text1"/>
        </w:rPr>
      </w:pPr>
      <w:r>
        <w:rPr>
          <w:color w:val="000000" w:themeColor="text1"/>
        </w:rPr>
        <w:t xml:space="preserve">Therefore controlled measurements of quantitative metabolites against absolute microbial abundances identify each resource-specific uptake column up to a positive scale, and the matrix of measured slopes has the same rank as the uptake matrix (Supplementary Methods, Theorem 2). Relative abundance alone loses total microbial load. Writing absolute abundance as total load times composition gives Equation 7. This requirement is closely related to the loss of absolute scale in compositional microbiome data and to structural identifiability limits in ecological models </w:t>
      </w:r>
      <w:r>
        <w:rPr>
          <w:color w:val="000000" w:themeColor="text1"/>
          <w:vertAlign w:val="superscript"/>
        </w:rPr>
        <w:t>23–25</w:t>
      </w:r>
      <w:r>
        <w:rPr>
          <w:color w:val="000000" w:themeColor="text1"/>
        </w:rPr>
        <w:t>.</w:t>
      </w:r>
    </w:p>
    <w:p w14:paraId="2FF7E157" w14:textId="77777777" w:rsidR="00753E44" w:rsidRPr="00CC1C3E" w:rsidRDefault="00C646DA">
      <w:pPr>
        <w:rPr>
          <w:rFonts w:ascii="Times New Roman" w:hAnsi="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r>
          <m:rPr>
            <m:sty m:val="p"/>
          </m:rPr>
          <w:rPr>
            <w:rFonts w:ascii="Cambria Math" w:hAnsi="Cambria Math"/>
            <w:color w:val="000000" w:themeColor="text1"/>
          </w:rPr>
          <m:t>=</m:t>
        </m:r>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r>
          <m:rPr>
            <m:sty m:val="p"/>
          </m:rPr>
          <w:rPr>
            <w:rFonts w:ascii="Cambria Math" w:hAnsi="Cambria Math"/>
            <w:color w:val="000000" w:themeColor="text1"/>
          </w:rPr>
          <m:t>,</m:t>
        </m:r>
        <m: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r>
              <w:rPr>
                <w:rFonts w:ascii="Cambria Math" w:hAnsi="Cambria Math"/>
                <w:color w:val="000000" w:themeColor="text1"/>
              </w:rPr>
              <m:t>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1E0DC1">
        <w:rPr>
          <w:color w:val="000000" w:themeColor="text1"/>
        </w:rPr>
        <w:t xml:space="preserve">   (7)</w:t>
      </w:r>
    </w:p>
    <w:p w14:paraId="538C9115" w14:textId="46BA1AA7" w:rsidR="009D4E19" w:rsidRDefault="009D7430">
      <w:pPr>
        <w:rPr>
          <w:rFonts w:ascii="Times New Roman" w:hAnsi="Times New Roman"/>
          <w:color w:val="000000" w:themeColor="text1"/>
        </w:rPr>
      </w:pPr>
      <w:r>
        <w:lastRenderedPageBreak/>
        <w:t xml:space="preserve">The quantity </w:t>
      </w:r>
      <m:oMath>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w:r>
        <w:t xml:space="preserve"> is total absolute consumer load, and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oMath>
      <w:r>
        <w:t xml:space="preserve"> is the relative abundance of consumer </w:t>
      </w:r>
      <m:oMath>
        <m:r>
          <w:rPr>
            <w:rFonts w:ascii="Cambria Math" w:hAnsi="Cambria Math"/>
          </w:rPr>
          <m:t>j</m:t>
        </m:r>
      </m:oMath>
      <w:r w:rsidR="00793317">
        <w:t>. H</w:t>
      </w:r>
      <w:r>
        <w:t xml:space="preserve">ence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when </w:t>
      </w:r>
      <m:oMath>
        <m:r>
          <w:rPr>
            <w:rFonts w:ascii="Cambria Math" w:hAnsi="Cambria Math"/>
          </w:rPr>
          <m:t>T</m:t>
        </m:r>
        <m:r>
          <m:rPr>
            <m:sty m:val="p"/>
          </m:rPr>
          <w:rPr>
            <w:rFonts w:ascii="Cambria Math" w:hAnsi="Cambria Math"/>
          </w:rPr>
          <m:t>&gt;</m:t>
        </m:r>
        <m:r>
          <w:rPr>
            <w:rFonts w:ascii="Cambria Math" w:hAnsi="Cambria Math"/>
          </w:rPr>
          <m:t>0</m:t>
        </m:r>
      </m:oMath>
      <w:r>
        <w:t xml:space="preserve">. Substituting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shows that resource depletion depends on both the observed composition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and the total load </w:t>
      </w:r>
      <m:oMath>
        <m:r>
          <w:rPr>
            <w:rFonts w:ascii="Cambria Math" w:hAnsi="Cambria Math"/>
          </w:rPr>
          <m:t>T</m:t>
        </m:r>
      </m:oMath>
      <w:r>
        <w:t>. Relative composition alone does not supply this missing multiplicative scale.</w:t>
      </w:r>
    </w:p>
    <w:p w14:paraId="52A6C199" w14:textId="77777777" w:rsidR="00753E44" w:rsidRPr="00CC1C3E" w:rsidRDefault="001E0DC1">
      <w:pPr>
        <w:rPr>
          <w:rFonts w:ascii="Times New Roman" w:hAnsi="Times New Roman"/>
          <w:color w:val="000000" w:themeColor="text1"/>
        </w:rPr>
      </w:pPr>
      <w:r>
        <w:rPr>
          <w:color w:val="000000" w:themeColor="text1"/>
        </w:rPr>
        <w:t>Unknown total load can rotate or rescale the apparent relationship between composition and metabolites. This is why a cross-sectional compositional fit can support prediction or a model-defined niche dimension without identifying the equilibrium consumption dimension (Supplementary Methods).</w:t>
      </w:r>
    </w:p>
    <w:p w14:paraId="625DE4CB" w14:textId="77777777" w:rsidR="00753E44" w:rsidRPr="00CC1C3E" w:rsidRDefault="001E0DC1">
      <w:pPr>
        <w:pStyle w:val="Heading2"/>
        <w:spacing w:before="0"/>
        <w:rPr>
          <w:color w:val="000000" w:themeColor="text1"/>
        </w:rPr>
      </w:pPr>
      <w:r>
        <w:t>The hCom2* consumption matrix is low-dimensional by spectrum but not by prediction</w:t>
      </w:r>
    </w:p>
    <w:p w14:paraId="471F3442" w14:textId="77777777" w:rsidR="00753E44" w:rsidRPr="00CC1C3E" w:rsidRDefault="001E0DC1">
      <w:pPr>
        <w:rPr>
          <w:rFonts w:ascii="Times New Roman" w:hAnsi="Times New Roman"/>
          <w:color w:val="000000" w:themeColor="text1"/>
        </w:rPr>
      </w:pPr>
      <w:r>
        <w:rPr>
          <w:color w:val="000000" w:themeColor="text1"/>
        </w:rPr>
        <w:t xml:space="preserve">The hCom2* analysis asks how much of an experimentally measured strain-by-resource consumption matrix must be retained to preserve community prediction. The deposited model of Mahajan and Maslov uses Han et al. consumption and production profiles and Jin et al. serial-dilution abundances for sixty-three strains. The reproduced full model predicts passage three abundance with </w:t>
      </w:r>
      <m:oMath>
        <m:r>
          <w:rPr>
            <w:rFonts w:ascii="Cambria Math" w:hAnsi="Cambria Math"/>
            <w:color w:val="000000" w:themeColor="text1"/>
          </w:rPr>
          <m:t>r</m:t>
        </m:r>
        <m:r>
          <m:rPr>
            <m:sty m:val="p"/>
          </m:rPr>
          <w:rPr>
            <w:rFonts w:ascii="Cambria Math" w:hAnsi="Cambria Math"/>
            <w:color w:val="000000" w:themeColor="text1"/>
          </w:rPr>
          <m:t>=</m:t>
        </m:r>
        <m:r>
          <w:rPr>
            <w:rFonts w:ascii="Cambria Math" w:hAnsi="Cambria Math"/>
            <w:color w:val="000000" w:themeColor="text1"/>
          </w:rPr>
          <m:t>0.773</m:t>
        </m:r>
      </m:oMath>
      <w:r>
        <w:rPr>
          <w:color w:val="000000" w:themeColor="text1"/>
        </w:rPr>
        <w:t xml:space="preserve"> and base-ten log-scale </w:t>
      </w:r>
      <m:oMath>
        <m:r>
          <m:rPr>
            <m:sty m:val="p"/>
          </m:rPr>
          <w:rPr>
            <w:rFonts w:ascii="Cambria Math" w:hAnsi="Cambria Math"/>
            <w:color w:val="000000" w:themeColor="text1"/>
          </w:rPr>
          <m:t>RMSE=</m:t>
        </m:r>
        <m:r>
          <w:rPr>
            <w:rFonts w:ascii="Cambria Math" w:hAnsi="Cambria Math"/>
            <w:color w:val="000000" w:themeColor="text1"/>
          </w:rPr>
          <m:t>1.697</m:t>
        </m:r>
      </m:oMath>
      <w:r>
        <w:rPr>
          <w:color w:val="000000" w:themeColor="text1"/>
        </w:rPr>
        <w:t>, matching the deposited computational system.</w:t>
      </w:r>
    </w:p>
    <w:p w14:paraId="1324B321" w14:textId="77777777" w:rsidR="00753E44" w:rsidRPr="00CC1C3E" w:rsidRDefault="00C646DA">
      <w:pPr>
        <w:rPr>
          <w:rFonts w:ascii="Times New Roman" w:hAnsi="Times New Roman"/>
          <w:color w:val="000000" w:themeColor="text1"/>
        </w:rPr>
      </w:pPr>
      <m:oMath>
        <m:sSub>
          <m:sSubPr>
            <m:ctrlPr>
              <w:rPr>
                <w:rFonts w:ascii="Cambria Math" w:hAnsi="Cambria Math"/>
              </w:rPr>
            </m:ctrlPr>
          </m:sSubPr>
          <m:e>
            <m:r>
              <w:rPr>
                <w:rFonts w:ascii="Cambria Math" w:hAnsi="Cambria Math"/>
              </w:rPr>
              <m:t>D</m:t>
            </m:r>
          </m:e>
          <m:sub>
            <m:r>
              <m:rPr>
                <m:sty m:val="p"/>
              </m:rPr>
              <w:rPr>
                <w:rFonts w:ascii="Cambria Math" w:hAnsi="Cambria Math"/>
              </w:rPr>
              <m:t>PR</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r</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r</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4</m:t>
                    </m:r>
                  </m:sup>
                </m:sSubSup>
              </m:e>
            </m:nary>
          </m:den>
        </m:f>
      </m:oMath>
      <w:r w:rsidR="001E0DC1">
        <w:rPr>
          <w:color w:val="000000" w:themeColor="text1"/>
        </w:rPr>
        <w:t xml:space="preserve">   (8)</w:t>
      </w:r>
    </w:p>
    <w:p w14:paraId="01F8A2BA" w14:textId="77777777" w:rsidR="009D4E19" w:rsidRDefault="009D7430">
      <w:pPr>
        <w:rPr>
          <w:rFonts w:ascii="Times New Roman" w:hAnsi="Times New Roman"/>
          <w:color w:val="000000" w:themeColor="text1"/>
        </w:rPr>
      </w:pPr>
      <w:r>
        <w:t xml:space="preserve">Here </w:t>
      </w:r>
      <m:oMath>
        <m:r>
          <w:rPr>
            <w:rFonts w:ascii="Cambria Math" w:hAnsi="Cambria Math"/>
          </w:rPr>
          <m:t>C</m:t>
        </m:r>
      </m:oMath>
      <w:r>
        <w:t xml:space="preserve"> is the observed strain-by-resource consumption matrix,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its </w:t>
      </w:r>
      <m:oMath>
        <m:r>
          <w:rPr>
            <w:rFonts w:ascii="Cambria Math" w:hAnsi="Cambria Math"/>
          </w:rPr>
          <m:t>i</m:t>
        </m:r>
      </m:oMath>
      <w:r>
        <w:t xml:space="preserve">th nonzero singular value, and </w:t>
      </w:r>
      <m:oMath>
        <m:r>
          <w:rPr>
            <w:rFonts w:ascii="Cambria Math" w:hAnsi="Cambria Math"/>
          </w:rPr>
          <m:t>r</m:t>
        </m:r>
        <m:r>
          <m:rPr>
            <m:sty m:val="p"/>
          </m:rPr>
          <w:rPr>
            <w:rFonts w:ascii="Cambria Math" w:hAnsi="Cambria Math"/>
          </w:rPr>
          <m:t>=rank</m:t>
        </m:r>
        <m:d>
          <m:dPr>
            <m:ctrlPr>
              <w:rPr>
                <w:rFonts w:ascii="Cambria Math" w:hAnsi="Cambria Math"/>
              </w:rPr>
            </m:ctrlPr>
          </m:dPr>
          <m:e>
            <m:r>
              <w:rPr>
                <w:rFonts w:ascii="Cambria Math" w:hAnsi="Cambria Math"/>
              </w:rPr>
              <m:t>C</m:t>
            </m:r>
          </m:e>
        </m:d>
      </m:oMath>
      <w:r>
        <w:t xml:space="preserve"> is the number of such singular values. The participation dimension </w:t>
      </w:r>
      <m:oMath>
        <m:sSub>
          <m:sSubPr>
            <m:ctrlPr>
              <w:rPr>
                <w:rFonts w:ascii="Cambria Math" w:hAnsi="Cambria Math"/>
              </w:rPr>
            </m:ctrlPr>
          </m:sSubPr>
          <m:e>
            <m:r>
              <w:rPr>
                <w:rFonts w:ascii="Cambria Math" w:hAnsi="Cambria Math"/>
              </w:rPr>
              <m:t>D</m:t>
            </m:r>
          </m:e>
          <m:sub>
            <m:r>
              <m:rPr>
                <m:sty m:val="p"/>
              </m:rPr>
              <w:rPr>
                <w:rFonts w:ascii="Cambria Math" w:hAnsi="Cambria Math"/>
              </w:rPr>
              <m:t>PR</m:t>
            </m:r>
          </m:sub>
        </m:sSub>
        <m:d>
          <m:dPr>
            <m:ctrlPr>
              <w:rPr>
                <w:rFonts w:ascii="Cambria Math" w:hAnsi="Cambria Math"/>
              </w:rPr>
            </m:ctrlPr>
          </m:dPr>
          <m:e>
            <m:r>
              <w:rPr>
                <w:rFonts w:ascii="Cambria Math" w:hAnsi="Cambria Math"/>
              </w:rPr>
              <m:t>C</m:t>
            </m:r>
          </m:e>
        </m:d>
      </m:oMath>
      <w:r>
        <w:t xml:space="preserve"> measures how many equally weighted singular directions would give the observed concentration of squared singular-value magnitudes. Large singular values contribute disproportionately to the fourth-power denominator; this statistic describes matrix energy rather than the number of biologically indispensable links.</w:t>
      </w:r>
    </w:p>
    <w:p w14:paraId="3A8773B7" w14:textId="4B49DD77" w:rsidR="006C0566" w:rsidRDefault="002B094F">
      <w:r>
        <w:lastRenderedPageBreak/>
        <w:t xml:space="preserve">Non-negative matrix factorization (NMF) was used to construct lower-rank approximations of the nonnegative strain-by-resource consumption matrix </w:t>
      </w:r>
      <w:r>
        <w:rPr>
          <w:vertAlign w:val="superscript"/>
        </w:rPr>
        <w:t>26</w:t>
      </w:r>
      <w:r>
        <w:t xml:space="preserve">. For a consumption matrix </w:t>
      </w:r>
      <m:oMath>
        <m:r>
          <w:rPr>
            <w:rFonts w:ascii="Cambria Math" w:hAnsi="Cambria Math"/>
          </w:rPr>
          <m:t>C</m:t>
        </m:r>
      </m:oMath>
      <w:r>
        <w:t xml:space="preserve">, NMF approximates </w:t>
      </w:r>
      <m:oMath>
        <m:r>
          <w:rPr>
            <w:rFonts w:ascii="Cambria Math" w:hAnsi="Cambria Math"/>
          </w:rPr>
          <m:t>C</m:t>
        </m:r>
      </m:oMath>
      <w:r>
        <w:t xml:space="preserve"> by the product </w:t>
      </w:r>
      <m:oMath>
        <m:r>
          <w:rPr>
            <w:rFonts w:ascii="Cambria Math" w:hAnsi="Cambria Math"/>
          </w:rPr>
          <m:t>WH</m:t>
        </m:r>
      </m:oMath>
      <w:r>
        <w:t xml:space="preserve"> of nonnegative factor matrices </w:t>
      </w:r>
      <m:oMath>
        <m:r>
          <w:rPr>
            <w:rFonts w:ascii="Cambria Math" w:hAnsi="Cambria Math"/>
          </w:rPr>
          <m:t>W</m:t>
        </m:r>
      </m:oMath>
      <w:r>
        <w:t xml:space="preserve"> and </w:t>
      </w:r>
      <m:oMath>
        <m:r>
          <w:rPr>
            <w:rFonts w:ascii="Cambria Math" w:hAnsi="Cambria Math"/>
          </w:rPr>
          <m:t>H</m:t>
        </m:r>
      </m:oMath>
      <w:r w:rsidR="00793317">
        <w:t>. T</w:t>
      </w:r>
      <w:r>
        <w:t xml:space="preserve">he shared inner dimension </w:t>
      </w:r>
      <m:oMath>
        <m:r>
          <w:rPr>
            <w:rFonts w:ascii="Cambria Math" w:hAnsi="Cambria Math"/>
          </w:rPr>
          <m:t>k</m:t>
        </m:r>
      </m:oMath>
      <w:r>
        <w:t xml:space="preserve"> is the chosen factorization rank. The factors are fitted to minimize reconstruction error rather than ecological prediction. Unlike a truncated singular-value decomposition, NMF preserves nonnegativity but does not preserve the original zero pattern, because </w:t>
      </w:r>
      <m:oMath>
        <m:r>
          <w:rPr>
            <w:rFonts w:ascii="Cambria Math" w:hAnsi="Cambria Math"/>
          </w:rPr>
          <m:t>WH</m:t>
        </m:r>
      </m:oMath>
      <w:r>
        <w:t xml:space="preserve"> can be positive at entries where </w:t>
      </w:r>
      <m:oMath>
        <m:r>
          <w:rPr>
            <w:rFonts w:ascii="Cambria Math" w:hAnsi="Cambria Math"/>
          </w:rPr>
          <m:t>C</m:t>
        </m:r>
      </m:oMath>
      <w:r>
        <w:t xml:space="preserve"> is zero.</w:t>
      </w:r>
    </w:p>
    <w:p w14:paraId="796F0B85" w14:textId="77777777" w:rsidR="00753E44" w:rsidRPr="00CC1C3E" w:rsidRDefault="001E0DC1">
      <w:pPr>
        <w:rPr>
          <w:rFonts w:ascii="Times New Roman" w:hAnsi="Times New Roman"/>
          <w:color w:val="000000" w:themeColor="text1"/>
        </w:rPr>
      </w:pPr>
      <w:r>
        <w:rPr>
          <w:color w:val="000000" w:themeColor="text1"/>
        </w:rPr>
        <w:t xml:space="preserve">For the exact </w:t>
      </w:r>
      <m:oMath>
        <m:r>
          <w:rPr>
            <w:rFonts w:ascii="Cambria Math" w:hAnsi="Cambria Math"/>
            <w:color w:val="000000" w:themeColor="text1"/>
          </w:rPr>
          <m:t>63</m:t>
        </m:r>
        <m:r>
          <m:rPr>
            <m:sty m:val="p"/>
          </m:rPr>
          <w:rPr>
            <w:rFonts w:ascii="Cambria Math" w:hAnsi="Cambria Math"/>
            <w:color w:val="000000" w:themeColor="text1"/>
          </w:rPr>
          <m:t>×</m:t>
        </m:r>
        <m:r>
          <w:rPr>
            <w:rFonts w:ascii="Cambria Math" w:hAnsi="Cambria Math"/>
            <w:color w:val="000000" w:themeColor="text1"/>
          </w:rPr>
          <m:t>98</m:t>
        </m:r>
      </m:oMath>
      <w:r>
        <w:rPr>
          <w:color w:val="000000" w:themeColor="text1"/>
        </w:rPr>
        <w:t xml:space="preserve"> consumption matrix entering the reproduced model, Equation 8 gives </w:t>
      </w:r>
      <m:oMath>
        <m:sSub>
          <m:sSubPr>
            <m:ctrlPr>
              <w:rPr>
                <w:rFonts w:ascii="Cambria Math" w:hAnsi="Cambria Math"/>
                <w:color w:val="000000" w:themeColor="text1"/>
              </w:rPr>
            </m:ctrlPr>
          </m:sSubPr>
          <m:e>
            <m:r>
              <w:rPr>
                <w:rFonts w:ascii="Cambria Math" w:hAnsi="Cambria Math"/>
                <w:color w:val="000000" w:themeColor="text1"/>
              </w:rPr>
              <m:t>D</m:t>
            </m:r>
          </m:e>
          <m:sub>
            <m:r>
              <m:rPr>
                <m:sty m:val="p"/>
              </m:rPr>
              <w:rPr>
                <w:rFonts w:ascii="Cambria Math" w:hAnsi="Cambria Math"/>
                <w:color w:val="000000" w:themeColor="text1"/>
              </w:rPr>
              <m:t>PR</m:t>
            </m:r>
          </m:sub>
        </m:sSub>
        <m:r>
          <m:rPr>
            <m:sty m:val="p"/>
          </m:rPr>
          <w:rPr>
            <w:rFonts w:ascii="Cambria Math" w:hAnsi="Cambria Math"/>
            <w:color w:val="000000" w:themeColor="text1"/>
          </w:rPr>
          <m:t>=</m:t>
        </m:r>
        <m:r>
          <w:rPr>
            <w:rFonts w:ascii="Cambria Math" w:hAnsi="Cambria Math"/>
            <w:color w:val="000000" w:themeColor="text1"/>
          </w:rPr>
          <m:t>3.27</m:t>
        </m:r>
      </m:oMath>
      <w:r>
        <w:rPr>
          <w:color w:val="000000" w:themeColor="text1"/>
        </w:rPr>
        <w:t xml:space="preserve">. Yet the </w:t>
      </w:r>
      <m:oMath>
        <m:r>
          <w:rPr>
            <w:rFonts w:ascii="Cambria Math" w:hAnsi="Cambria Math"/>
            <w:color w:val="000000" w:themeColor="text1"/>
          </w:rPr>
          <m:t>90</m:t>
        </m:r>
        <m:r>
          <m:rPr>
            <m:sty m:val="p"/>
          </m:rPr>
          <w:rPr>
            <w:rFonts w:ascii="Cambria Math" w:hAnsi="Cambria Math"/>
            <w:color w:val="000000" w:themeColor="text1"/>
          </w:rPr>
          <m:t>%</m:t>
        </m:r>
      </m:oMath>
      <w:r>
        <w:rPr>
          <w:color w:val="000000" w:themeColor="text1"/>
        </w:rPr>
        <w:t xml:space="preserve"> and </w:t>
      </w:r>
      <m:oMath>
        <m:r>
          <w:rPr>
            <w:rFonts w:ascii="Cambria Math" w:hAnsi="Cambria Math"/>
            <w:color w:val="000000" w:themeColor="text1"/>
          </w:rPr>
          <m:t>95</m:t>
        </m:r>
        <m:r>
          <m:rPr>
            <m:sty m:val="p"/>
          </m:rPr>
          <w:rPr>
            <w:rFonts w:ascii="Cambria Math" w:hAnsi="Cambria Math"/>
            <w:color w:val="000000" w:themeColor="text1"/>
          </w:rPr>
          <m:t>%</m:t>
        </m:r>
      </m:oMath>
      <w:r>
        <w:rPr>
          <w:color w:val="000000" w:themeColor="text1"/>
        </w:rPr>
        <w:t xml:space="preserve"> spectral-energy thresholds require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90</m:t>
            </m:r>
          </m:sub>
        </m:sSub>
        <m:r>
          <m:rPr>
            <m:sty m:val="p"/>
          </m:rPr>
          <w:rPr>
            <w:rFonts w:ascii="Cambria Math" w:hAnsi="Cambria Math"/>
            <w:color w:val="000000" w:themeColor="text1"/>
          </w:rPr>
          <m:t>=</m:t>
        </m:r>
        <m:r>
          <w:rPr>
            <w:rFonts w:ascii="Cambria Math" w:hAnsi="Cambria Math"/>
            <w:color w:val="000000" w:themeColor="text1"/>
          </w:rPr>
          <m:t>17</m:t>
        </m:r>
      </m:oMath>
      <w:r>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95</m:t>
            </m:r>
          </m:sub>
        </m:sSub>
        <m:r>
          <m:rPr>
            <m:sty m:val="p"/>
          </m:rPr>
          <w:rPr>
            <w:rFonts w:ascii="Cambria Math" w:hAnsi="Cambria Math"/>
            <w:color w:val="000000" w:themeColor="text1"/>
          </w:rPr>
          <m:t>=</m:t>
        </m:r>
        <m:r>
          <w:rPr>
            <w:rFonts w:ascii="Cambria Math" w:hAnsi="Cambria Math"/>
            <w:color w:val="000000" w:themeColor="text1"/>
          </w:rPr>
          <m:t>24</m:t>
        </m:r>
      </m:oMath>
      <w:r>
        <w:rPr>
          <w:color w:val="000000" w:themeColor="text1"/>
        </w:rPr>
        <w:t xml:space="preserve"> components, and the numerical rank is </w:t>
      </w:r>
      <m:oMath>
        <m:r>
          <w:rPr>
            <w:rFonts w:ascii="Cambria Math" w:hAnsi="Cambria Math"/>
            <w:color w:val="000000" w:themeColor="text1"/>
          </w:rPr>
          <m:t>63</m:t>
        </m:r>
      </m:oMath>
      <w:r>
        <w:rPr>
          <w:color w:val="000000" w:themeColor="text1"/>
        </w:rPr>
        <w:t xml:space="preserve">. The consumption matrix was then replaced by nonnegative Frobenius NMF reconstructions, refitted resource concentrations independently at every rank, and evaluated the same passage three prediction task. The first reconstruction-selected ordinary NMF model meeting the prespecified functional-sufficiency rule occurs at </w:t>
      </w:r>
      <m:oMath>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52</m:t>
        </m:r>
      </m:oMath>
      <w:r>
        <w:rPr>
          <w:color w:val="000000" w:themeColor="text1"/>
        </w:rPr>
        <w:t xml:space="preserve"> (Fig. 4).</w:t>
      </w:r>
    </w:p>
    <w:p w14:paraId="3419EE92" w14:textId="77777777" w:rsidR="00753E44" w:rsidRPr="00CC1C3E" w:rsidRDefault="00C646DA">
      <w:pPr>
        <w:rPr>
          <w:rFonts w:ascii="Times New Roman" w:hAnsi="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null</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RMSE</m:t>
                </m:r>
              </m:e>
              <m:sub>
                <m:r>
                  <w:rPr>
                    <w:rFonts w:ascii="Cambria Math" w:hAnsi="Cambria Math"/>
                    <w:color w:val="000000" w:themeColor="text1"/>
                  </w:rPr>
                  <m:t>k</m:t>
                </m:r>
              </m:sub>
            </m:sSub>
          </m:num>
          <m:den>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null</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full</m:t>
                </m:r>
              </m:sub>
            </m:sSub>
          </m:den>
        </m:f>
      </m:oMath>
      <w:r w:rsidR="001E0DC1">
        <w:rPr>
          <w:color w:val="000000" w:themeColor="text1"/>
        </w:rPr>
        <w:t xml:space="preserve">   (9)</w:t>
      </w:r>
    </w:p>
    <w:p w14:paraId="61E21740" w14:textId="45F0C0F2" w:rsidR="009D4E19" w:rsidRDefault="009D7430">
      <w:pPr>
        <w:rPr>
          <w:rFonts w:ascii="Times New Roman" w:hAnsi="Times New Roman"/>
          <w:color w:val="000000" w:themeColor="text1"/>
        </w:rPr>
      </w:pPr>
      <w:r>
        <w:t xml:space="preserve">The index </w:t>
      </w:r>
      <m:oMath>
        <m:r>
          <w:rPr>
            <w:rFonts w:ascii="Cambria Math" w:hAnsi="Cambria Math"/>
          </w:rPr>
          <m:t>k</m:t>
        </m:r>
      </m:oMath>
      <w:r>
        <w:t xml:space="preserve"> is the chosen factorization or latent-strength dimension. </w:t>
      </w:r>
      <m:oMath>
        <m:sSub>
          <m:sSubPr>
            <m:ctrlPr>
              <w:rPr>
                <w:rFonts w:ascii="Cambria Math" w:hAnsi="Cambria Math"/>
              </w:rPr>
            </m:ctrlPr>
          </m:sSubPr>
          <m:e>
            <m:r>
              <m:rPr>
                <m:sty m:val="p"/>
              </m:rPr>
              <w:rPr>
                <w:rFonts w:ascii="Cambria Math" w:hAnsi="Cambria Math"/>
              </w:rPr>
              <m:t>RMSE</m:t>
            </m:r>
          </m:e>
          <m:sub>
            <m:r>
              <w:rPr>
                <w:rFonts w:ascii="Cambria Math" w:hAnsi="Cambria Math"/>
              </w:rPr>
              <m:t>k</m:t>
            </m:r>
          </m:sub>
        </m:sSub>
      </m:oMath>
      <w:r>
        <w:t xml:space="preserve"> is the root-mean-square prediction error of the model fitted with dimension </w:t>
      </w:r>
      <m:oMath>
        <m:r>
          <w:rPr>
            <w:rFonts w:ascii="Cambria Math" w:hAnsi="Cambria Math"/>
          </w:rPr>
          <m:t>k</m:t>
        </m:r>
      </m:oMath>
      <w:r w:rsidR="00793317">
        <w:t>,</w:t>
      </w:r>
      <w:r>
        <w:t xml:space="preserve"> </w:t>
      </w:r>
      <m:oMath>
        <m:sSub>
          <m:sSubPr>
            <m:ctrlPr>
              <w:rPr>
                <w:rFonts w:ascii="Cambria Math" w:hAnsi="Cambria Math"/>
              </w:rPr>
            </m:ctrlPr>
          </m:sSubPr>
          <m:e>
            <m:r>
              <m:rPr>
                <m:sty m:val="p"/>
              </m:rPr>
              <w:rPr>
                <w:rFonts w:ascii="Cambria Math" w:hAnsi="Cambria Math"/>
              </w:rPr>
              <m:t>RMSE</m:t>
            </m:r>
          </m:e>
          <m:sub>
            <m:r>
              <m:rPr>
                <m:sty m:val="p"/>
              </m:rPr>
              <w:rPr>
                <w:rFonts w:ascii="Cambria Math" w:hAnsi="Cambria Math"/>
              </w:rPr>
              <m:t>full</m:t>
            </m:r>
          </m:sub>
        </m:sSub>
      </m:oMath>
      <w:r>
        <w:t xml:space="preserve"> is the error using the original full consumption matrix</w:t>
      </w:r>
      <w:r w:rsidR="00793317">
        <w:t>,</w:t>
      </w:r>
      <w:r>
        <w:t xml:space="preserve"> and </w:t>
      </w:r>
      <m:oMath>
        <m:sSub>
          <m:sSubPr>
            <m:ctrlPr>
              <w:rPr>
                <w:rFonts w:ascii="Cambria Math" w:hAnsi="Cambria Math"/>
              </w:rPr>
            </m:ctrlPr>
          </m:sSubPr>
          <m:e>
            <m:r>
              <m:rPr>
                <m:sty m:val="p"/>
              </m:rPr>
              <w:rPr>
                <w:rFonts w:ascii="Cambria Math" w:hAnsi="Cambria Math"/>
              </w:rPr>
              <m:t>RMSE</m:t>
            </m:r>
          </m:e>
          <m:sub>
            <m:r>
              <m:rPr>
                <m:sty m:val="p"/>
              </m:rPr>
              <w:rPr>
                <w:rFonts w:ascii="Cambria Math" w:hAnsi="Cambria Math"/>
              </w:rPr>
              <m:t>null</m:t>
            </m:r>
          </m:sub>
        </m:sSub>
      </m:oMath>
      <w:r>
        <w:t xml:space="preserve"> is the error of the monoculture-based null predictor. All three errors are computed for the same passage-three outcome and in the same base-10 log-abundance units.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0</m:t>
        </m:r>
      </m:oMath>
      <w:r>
        <w:t xml:space="preserve"> represents the null performance,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1</m:t>
        </m:r>
      </m:oMath>
      <w:r>
        <w:t xml:space="preserve"> retains the full-model improvement, and values above one indicate better prediction than the full model on this benchmark.</w:t>
      </w:r>
    </w:p>
    <w:p w14:paraId="39A2E5A4" w14:textId="40F2FAA6" w:rsidR="00753E44" w:rsidRPr="00CC1C3E" w:rsidRDefault="001E0DC1">
      <w:pPr>
        <w:rPr>
          <w:rFonts w:ascii="Times New Roman" w:hAnsi="Times New Roman"/>
          <w:color w:val="000000" w:themeColor="text1"/>
        </w:rPr>
      </w:pPr>
      <w:r>
        <w:lastRenderedPageBreak/>
        <w:t xml:space="preserve">Equation 9 defines retained predictive improvement over the monoculture null. Functional sufficiency required </w:t>
      </w:r>
      <m:oMath>
        <m:r>
          <w:rPr>
            <w:rFonts w:ascii="Cambria Math" w:hAnsi="Cambria Math"/>
          </w:rPr>
          <m:t>Gₖ≥0.95</m:t>
        </m:r>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full</m:t>
            </m:r>
          </m:sub>
        </m:sSub>
        <m:r>
          <w:rPr>
            <w:rFonts w:ascii="Cambria Math" w:hAnsi="Cambria Math"/>
          </w:rPr>
          <m:t>-rₖ≤0.03</m:t>
        </m:r>
      </m:oMath>
      <w:r>
        <w:t xml:space="preserve">, and numerical convergence. Seed dependence was recorded rather than assumed: at rank </w:t>
      </w:r>
      <m:oMath>
        <m:r>
          <w:rPr>
            <w:rFonts w:ascii="Cambria Math" w:hAnsi="Cambria Math"/>
          </w:rPr>
          <m:t>52</m:t>
        </m:r>
      </m:oMath>
      <w:r>
        <w:t xml:space="preserve"> half of the </w:t>
      </w:r>
      <m:oMath>
        <m:r>
          <w:rPr>
            <w:rFonts w:ascii="Cambria Math" w:hAnsi="Cambria Math"/>
          </w:rPr>
          <m:t>20</m:t>
        </m:r>
      </m:oMath>
      <w:r>
        <w:t xml:space="preserve"> deterministic seeds met the rule and every seed met it at rank </w:t>
      </w:r>
      <m:oMath>
        <m:r>
          <w:rPr>
            <w:rFonts w:ascii="Cambria Math" w:hAnsi="Cambria Math"/>
          </w:rPr>
          <m:t>60,</m:t>
        </m:r>
      </m:oMath>
      <w:r>
        <w:t xml:space="preserve"> so the ordinary-NMF threshold is </w:t>
      </w:r>
      <m:oMath>
        <m:r>
          <w:rPr>
            <w:rFonts w:ascii="Cambria Math" w:hAnsi="Cambria Math"/>
          </w:rPr>
          <m:t>52</m:t>
        </m:r>
      </m:oMath>
      <w:r>
        <w:t xml:space="preserve"> under the primary selected-seed rule, </w:t>
      </w:r>
      <m:oMath>
        <m:r>
          <w:rPr>
            <w:rFonts w:ascii="Cambria Math" w:hAnsi="Cambria Math"/>
          </w:rPr>
          <m:t>57</m:t>
        </m:r>
      </m:oMath>
      <w:r>
        <w:t xml:space="preserve"> at the lowest tabulated rank where a majority of seeds pass, and </w:t>
      </w:r>
      <m:oMath>
        <m:r>
          <w:rPr>
            <w:rFonts w:ascii="Cambria Math" w:hAnsi="Cambria Math"/>
          </w:rPr>
          <m:t>60</m:t>
        </m:r>
      </m:oMath>
      <w:r>
        <w:t xml:space="preserve"> when all seeds must pass (Supplementary Methods and Supplementary Table 10). </w:t>
      </w:r>
      <w:proofErr w:type="gramStart"/>
      <w:r>
        <w:t>Thus</w:t>
      </w:r>
      <w:proofErr w:type="gramEnd"/>
      <w:r>
        <w:t xml:space="preserve"> a matrix with </w:t>
      </w:r>
      <m:oMath>
        <m:sSub>
          <m:sSubPr>
            <m:ctrlPr>
              <w:rPr>
                <w:rFonts w:ascii="Cambria Math" w:hAnsi="Cambria Math"/>
                <w:color w:val="000000" w:themeColor="text1"/>
              </w:rPr>
            </m:ctrlPr>
          </m:sSubPr>
          <m:e>
            <m:r>
              <w:rPr>
                <w:rFonts w:ascii="Cambria Math" w:hAnsi="Cambria Math"/>
                <w:color w:val="000000" w:themeColor="text1"/>
              </w:rPr>
              <m:t>D</m:t>
            </m:r>
          </m:e>
          <m:sub>
            <m:r>
              <m:rPr>
                <m:sty m:val="p"/>
              </m:rPr>
              <w:rPr>
                <w:rFonts w:ascii="Cambria Math" w:hAnsi="Cambria Math"/>
                <w:color w:val="000000" w:themeColor="text1"/>
              </w:rPr>
              <m:t>PR</m:t>
            </m:r>
          </m:sub>
        </m:sSub>
        <m:r>
          <w:rPr>
            <w:rFonts w:ascii="Cambria Math" w:hAnsi="Cambria Math"/>
          </w:rPr>
          <m:t>=3.27</m:t>
        </m:r>
      </m:oMath>
      <w:r>
        <w:t xml:space="preserve"> is not low dimensional under the prediction task that motivated the ecological model.</w:t>
      </w:r>
    </w:p>
    <w:p w14:paraId="395093EE" w14:textId="77777777" w:rsidR="00753E44" w:rsidRPr="00CC1C3E" w:rsidRDefault="001E0DC1">
      <w:pPr>
        <w:pStyle w:val="Heading2"/>
        <w:spacing w:before="0"/>
        <w:rPr>
          <w:color w:val="000000" w:themeColor="text1"/>
        </w:rPr>
      </w:pPr>
      <w:r>
        <w:t>Keeping the strain-resource support makes the strength structure much simpler</w:t>
      </w:r>
    </w:p>
    <w:p w14:paraId="6347D2A6" w14:textId="77777777" w:rsidR="00753E44" w:rsidRPr="00CC1C3E" w:rsidRDefault="001E0DC1">
      <w:pPr>
        <w:rPr>
          <w:rFonts w:ascii="Times New Roman" w:hAnsi="Times New Roman"/>
          <w:color w:val="000000" w:themeColor="text1"/>
        </w:rPr>
      </w:pPr>
      <w:r>
        <w:rPr>
          <w:color w:val="000000" w:themeColor="text1"/>
        </w:rPr>
        <w:t>Ordinary NMF changes the zero/nonzero support, so it changes both consumption strengths and strain-resource identity. A support-preserving latent model was therefore fitted in which the observed support mask is retained exactly and only positive edge magnitudes are modeled:</w:t>
      </w:r>
    </w:p>
    <w:p w14:paraId="55690531" w14:textId="77777777" w:rsidR="00753E44" w:rsidRPr="00CC1C3E" w:rsidRDefault="00C646DA">
      <w:pPr>
        <w:rPr>
          <w:rFonts w:ascii="Times New Roman" w:hAnsi="Times New Roman"/>
          <w:color w:val="000000" w:themeColor="text1"/>
        </w:rPr>
      </w:pP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ij</m:t>
            </m:r>
          </m:sub>
        </m:sSub>
        <m:r>
          <w:rPr>
            <w:rFonts w:ascii="Cambria Math" w:hAnsi="Cambria Math"/>
            <w:color w:val="000000" w:themeColor="text1"/>
          </w:rPr>
          <m:t> </m:t>
        </m:r>
        <m:r>
          <m:rPr>
            <m:sty m:val="p"/>
          </m:rPr>
          <w:rPr>
            <w:rFonts w:ascii="Cambria Math" w:hAnsi="Cambria Math"/>
            <w:color w:val="000000" w:themeColor="text1"/>
          </w:rPr>
          <m:t>sigmoid</m:t>
        </m:r>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t>
                </m:r>
              </m:sup>
            </m:sSubSup>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j</m:t>
                </m:r>
              </m:sub>
            </m:sSub>
          </m:e>
        </m:d>
      </m:oMath>
      <w:r w:rsidR="001E0DC1">
        <w:rPr>
          <w:color w:val="000000" w:themeColor="text1"/>
        </w:rPr>
        <w:t xml:space="preserve">   (10)</w:t>
      </w:r>
    </w:p>
    <w:p w14:paraId="38F90F4E" w14:textId="77777777" w:rsidR="009D4E19" w:rsidRDefault="009D7430">
      <w:pPr>
        <w:rPr>
          <w:rFonts w:ascii="Times New Roman" w:hAnsi="Times New Roman"/>
          <w:color w:val="000000" w:themeColor="text1"/>
        </w:rPr>
      </w:pPr>
      <w:r>
        <w:t xml:space="preserve">The entry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ij</m:t>
            </m:r>
          </m:sub>
        </m:sSub>
      </m:oMath>
      <w:r>
        <w:t xml:space="preserve"> is the modeled consumption strength for strain </w:t>
      </w:r>
      <m:oMath>
        <m:r>
          <w:rPr>
            <w:rFonts w:ascii="Cambria Math" w:hAnsi="Cambria Math"/>
          </w:rPr>
          <m:t>i</m:t>
        </m:r>
      </m:oMath>
      <w:r>
        <w:t xml:space="preserve"> and resource </w:t>
      </w:r>
      <m:oMath>
        <m:r>
          <w:rPr>
            <w:rFonts w:ascii="Cambria Math" w:hAnsi="Cambria Math"/>
          </w:rPr>
          <m:t>j</m:t>
        </m:r>
      </m:oMath>
      <w:r>
        <w:t xml:space="preserve">, whereas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observed binary support mask, equal to one only when that link is present. The fitted offsets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describe strain- and resource-specific contributions to positive strength. The vectors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contain </w:t>
      </w:r>
      <m:oMath>
        <m:r>
          <w:rPr>
            <w:rFonts w:ascii="Cambria Math" w:hAnsi="Cambria Math"/>
          </w:rPr>
          <m:t>k</m:t>
        </m:r>
      </m:oMath>
      <w:r>
        <w:t xml:space="preserve"> latent strength coordinates, and </w:t>
      </w:r>
      <m:oMath>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is their scalar product. The sigmoid function is </w:t>
      </w:r>
      <m:oMath>
        <m:r>
          <m:rPr>
            <m:sty m:val="p"/>
          </m:rPr>
          <w:rPr>
            <w:rFonts w:ascii="Cambria Math" w:hAnsi="Cambria Math"/>
          </w:rPr>
          <m:t>sigmoid</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oMath>
      <w:r>
        <w:t xml:space="preserve">. Multiplication by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forces every absent link to remain zero, so </w:t>
      </w:r>
      <m:oMath>
        <m:r>
          <w:rPr>
            <w:rFonts w:ascii="Cambria Math" w:hAnsi="Cambria Math"/>
          </w:rPr>
          <m:t>k</m:t>
        </m:r>
      </m:oMath>
      <w:r>
        <w:t xml:space="preserve"> measures only the conditional strength representation, not the full support complexity. The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here is a fitted strain offset, distinct from the resource index </w:t>
      </w:r>
      <m:oMath>
        <m:r>
          <w:rPr>
            <w:rFonts w:ascii="Cambria Math" w:hAnsi="Cambria Math"/>
          </w:rPr>
          <m:t>α</m:t>
        </m:r>
      </m:oMath>
      <w:r>
        <w:t xml:space="preserve"> in Eqs. 2–6.</w:t>
      </w:r>
    </w:p>
    <w:p w14:paraId="45CCE965" w14:textId="77777777" w:rsidR="00753E44" w:rsidRPr="00CC1C3E" w:rsidRDefault="001E0DC1">
      <w:pPr>
        <w:rPr>
          <w:rFonts w:ascii="Times New Roman" w:hAnsi="Times New Roman"/>
          <w:color w:val="000000" w:themeColor="text1"/>
        </w:rPr>
      </w:pPr>
      <w:r>
        <w:lastRenderedPageBreak/>
        <w:t xml:space="preserve">The smallest latent model satisfying the same functional criterion has </w:t>
      </w:r>
      <m:oMath>
        <m:r>
          <w:rPr>
            <w:rFonts w:ascii="Cambria Math" w:hAnsi="Cambria Math"/>
          </w:rPr>
          <m:t>k=6</m:t>
        </m:r>
      </m:oMath>
      <w:r>
        <w:t xml:space="preserve">. Its passage three prediction gives </w:t>
      </w:r>
      <m:oMath>
        <m:r>
          <w:rPr>
            <w:rFonts w:ascii="Cambria Math" w:hAnsi="Cambria Math"/>
          </w:rPr>
          <m:t>r=0.786</m:t>
        </m:r>
      </m:oMath>
      <w:r>
        <w:t xml:space="preserve"> and </w:t>
      </w:r>
      <m:oMath>
        <m:r>
          <w:rPr>
            <w:rFonts w:ascii="Cambria Math" w:hAnsi="Cambria Math"/>
          </w:rPr>
          <m:t>RMSE=1.646</m:t>
        </m:r>
      </m:oMath>
      <w:r>
        <w:t xml:space="preserve">, slightly better on this fixed benchmark than the original full matrix. Retained improvement above one means the lower-dimensional model marginally exceeds the full model on this single fixed benchmark, which is consistent with mild regularization on a noisy outcome and should not be read as evidence that the latent model is biologically more accurate. Crucially, </w:t>
      </w:r>
      <m:oMath>
        <m:r>
          <w:rPr>
            <w:rFonts w:ascii="Cambria Math" w:hAnsi="Cambria Math"/>
          </w:rPr>
          <m:t>k=6</m:t>
        </m:r>
      </m:oMath>
      <w:r>
        <w:t xml:space="preserve"> is not a six-dimensional representation of the complete consumption matrix. The experimentally observed binary support mask is retained explicitly, and the latent model represents only positive edge strengths conditional on that support. Under the same seed accounting used for ordinary NMF, the thresholds are </w:t>
      </w:r>
      <m:oMath>
        <m:r>
          <w:rPr>
            <w:rFonts w:ascii="Cambria Math" w:hAnsi="Cambria Math"/>
          </w:rPr>
          <m:t>6</m:t>
        </m:r>
      </m:oMath>
      <w:r>
        <w:t xml:space="preserve"> versus </w:t>
      </w:r>
      <m:oMath>
        <m:r>
          <w:rPr>
            <w:rFonts w:ascii="Cambria Math" w:hAnsi="Cambria Math"/>
          </w:rPr>
          <m:t>52</m:t>
        </m:r>
      </m:oMath>
      <w:r>
        <w:t xml:space="preserve"> for the reconstruction-selected seed, </w:t>
      </w:r>
      <m:oMath>
        <m:r>
          <w:rPr>
            <w:rFonts w:ascii="Cambria Math" w:hAnsi="Cambria Math"/>
          </w:rPr>
          <m:t>6</m:t>
        </m:r>
      </m:oMath>
      <w:r>
        <w:t xml:space="preserve"> versus </w:t>
      </w:r>
      <m:oMath>
        <m:r>
          <w:rPr>
            <w:rFonts w:ascii="Cambria Math" w:hAnsi="Cambria Math"/>
          </w:rPr>
          <m:t>57</m:t>
        </m:r>
      </m:oMath>
      <w:r>
        <w:t xml:space="preserve"> when a majority of seeds must pass, and </w:t>
      </w:r>
      <m:oMath>
        <m:r>
          <w:rPr>
            <w:rFonts w:ascii="Cambria Math" w:hAnsi="Cambria Math"/>
          </w:rPr>
          <m:t>12</m:t>
        </m:r>
      </m:oMath>
      <w:r>
        <w:t xml:space="preserve"> versus </w:t>
      </w:r>
      <m:oMath>
        <m:r>
          <w:rPr>
            <w:rFonts w:ascii="Cambria Math" w:hAnsi="Cambria Math"/>
          </w:rPr>
          <m:t>60</m:t>
        </m:r>
      </m:oMath>
      <w:r>
        <w:t xml:space="preserve"> when all seeds must pass. The masked nonlinear reconstruction still has ordinary numerical rank </w:t>
      </w:r>
      <m:oMath>
        <m:r>
          <w:rPr>
            <w:rFonts w:ascii="Cambria Math" w:hAnsi="Cambria Math"/>
          </w:rPr>
          <m:t>63</m:t>
        </m:r>
      </m:oMath>
      <w:r>
        <w:t>. Thus functionally important complexity resides in the support map, while positive strengths conditional on that map can be represented with substantially fewer latent variables. Weak-edge and energy-retention tests did not support the alternative hypothesis that tiny spectral-tail interactions were disproportionately important (Supplementary Methods and Supplementary Tables 10 and 11).</w:t>
      </w:r>
    </w:p>
    <w:p w14:paraId="61229B29" w14:textId="77777777" w:rsidR="006C0566" w:rsidRDefault="002B094F">
      <w:r>
        <w:t xml:space="preserve">The support result does not mean that every measured edge is indispensable. Removing the weakest tenth of positive consumption links retained more than </w:t>
      </w:r>
      <m:oMath>
        <m:r>
          <w:rPr>
            <w:rFonts w:ascii="Cambria Math" w:hAnsi="Cambria Math"/>
          </w:rPr>
          <m:t>99.98%</m:t>
        </m:r>
      </m:oMath>
      <w:r>
        <w:t xml:space="preserve"> of the consumption-matrix Frobenius energy and essentially all predictive improvement, whereas random removal of the same number of edges was generally more damaging. High-energy pruning and resource- or edge-leverage analyses likewise did not support </w:t>
      </w:r>
      <w:r>
        <w:lastRenderedPageBreak/>
        <w:t>a special role for a small set of weak spectral-tail interactions (Supplementary Fig. 3). The functional gap is therefore better explained by preservation of the overall support architecture than by disproportionate leverage of the weakest links.</w:t>
      </w:r>
    </w:p>
    <w:p w14:paraId="07A75B13" w14:textId="6251DF45" w:rsidR="00753E44" w:rsidRPr="00CC1C3E" w:rsidRDefault="001E0DC1">
      <w:pPr>
        <w:pStyle w:val="Heading2"/>
        <w:spacing w:before="0"/>
        <w:rPr>
          <w:color w:val="000000" w:themeColor="text1"/>
        </w:rPr>
      </w:pPr>
      <w:r>
        <w:t>The Ho system independently shows the</w:t>
      </w:r>
      <w:r w:rsidR="00884981">
        <w:t xml:space="preserve"> importance of the</w:t>
      </w:r>
      <w:r>
        <w:t xml:space="preserve"> support map</w:t>
      </w:r>
    </w:p>
    <w:p w14:paraId="3A5D9FF3" w14:textId="77777777" w:rsidR="00753E44" w:rsidRPr="00CC1C3E" w:rsidRDefault="001E0DC1">
      <w:pPr>
        <w:rPr>
          <w:rFonts w:ascii="Times New Roman" w:hAnsi="Times New Roman"/>
          <w:color w:val="000000" w:themeColor="text1"/>
        </w:rPr>
      </w:pPr>
      <w:r>
        <w:t>The independent fifteen-species experimental system of Ho et al. provides a second test of the resource-sharing support map. The archived support structure was reconstructed from the deposited resource groups, and the published consumer-resource model was reproduced closely enough to recover the deposited predictions. Before new controls were evaluated, the sixty-four random communities containing three to thirteen species were fixed as the primary external outcome set.</w:t>
      </w:r>
    </w:p>
    <w:p w14:paraId="34CE0206" w14:textId="658A3033" w:rsidR="00753E44" w:rsidRPr="00CC1C3E" w:rsidRDefault="001E0DC1">
      <w:pPr>
        <w:rPr>
          <w:rFonts w:ascii="Times New Roman" w:hAnsi="Times New Roman"/>
          <w:color w:val="000000" w:themeColor="text1"/>
        </w:rPr>
      </w:pPr>
      <w:r>
        <w:t xml:space="preserve">The published support has mean prediction error </w:t>
      </w:r>
      <m:oMath>
        <m:r>
          <w:rPr>
            <w:rFonts w:ascii="Cambria Math" w:hAnsi="Cambria Math"/>
          </w:rPr>
          <m:t>1.725</m:t>
        </m:r>
      </m:oMath>
      <w:r>
        <w:t xml:space="preserve"> across these </w:t>
      </w:r>
      <m:oMath>
        <m:r>
          <w:rPr>
            <w:rFonts w:ascii="Cambria Math" w:hAnsi="Cambria Math"/>
          </w:rPr>
          <m:t>64</m:t>
        </m:r>
      </m:oMath>
      <w:r>
        <w:t xml:space="preserve"> communities. Species-identity shuffling increases median error to </w:t>
      </w:r>
      <m:oMath>
        <m:r>
          <w:rPr>
            <w:rFonts w:ascii="Cambria Math" w:hAnsi="Cambria Math"/>
          </w:rPr>
          <m:t>2.384</m:t>
        </m:r>
      </m:oMath>
      <w:r>
        <w:t xml:space="preserve">, a </w:t>
      </w:r>
      <m:oMath>
        <m:r>
          <w:rPr>
            <w:rFonts w:ascii="Cambria Math" w:hAnsi="Cambria Math"/>
          </w:rPr>
          <m:t>27.6%</m:t>
        </m:r>
      </m:oMath>
      <w:r>
        <w:t xml:space="preserve"> disadvantage, and the published model performs better in </w:t>
      </w:r>
      <m:oMath>
        <m:r>
          <w:rPr>
            <w:rFonts w:ascii="Cambria Math" w:hAnsi="Cambria Math"/>
          </w:rPr>
          <m:t>56</m:t>
        </m:r>
      </m:oMath>
      <w:r>
        <w:t xml:space="preserve"> of </w:t>
      </w:r>
      <m:oMath>
        <m:r>
          <w:rPr>
            <w:rFonts w:ascii="Cambria Math" w:hAnsi="Cambria Math"/>
          </w:rPr>
          <m:t>64</m:t>
        </m:r>
      </m:oMath>
      <w:r>
        <w:t xml:space="preserve"> communities. Three simplified support structures also perform worse: species-specific resources only, species-specific plus pairwise resources, and species-specific plus all-but-one resources (Fig. 5). A degree-preserving rewire family showed the same direction but did not meet the prespecified validity threshold because only </w:t>
      </w:r>
      <m:oMath>
        <m:r>
          <w:rPr>
            <w:rFonts w:ascii="Cambria Math" w:hAnsi="Cambria Math"/>
          </w:rPr>
          <m:t>75</m:t>
        </m:r>
      </m:oMath>
      <w:r>
        <w:t xml:space="preserve"> of </w:t>
      </w:r>
      <m:oMath>
        <m:r>
          <w:rPr>
            <w:rFonts w:ascii="Cambria Math" w:hAnsi="Cambria Math"/>
          </w:rPr>
          <m:t>100</m:t>
        </m:r>
      </m:oMath>
      <w:r>
        <w:t xml:space="preserve"> parameterizations retained a fitted resource for every species. The primary support-control results are summarized in Table 2.</w:t>
      </w:r>
    </w:p>
    <w:p w14:paraId="5E30645D" w14:textId="77777777" w:rsidR="00753E44" w:rsidRPr="00CC1C3E" w:rsidRDefault="001E0DC1">
      <w:pPr>
        <w:rPr>
          <w:rFonts w:ascii="Times New Roman" w:hAnsi="Times New Roman"/>
          <w:color w:val="000000" w:themeColor="text1"/>
        </w:rPr>
      </w:pPr>
      <w:r>
        <w:t xml:space="preserve">The Ho system provides independent evidence that the resource-sharing support map matters, but it does not independently test heterogeneous low-dimensional consumption strengths. In the deposited model, positive resource-consumption rates are constrained to be equal within a species, so a row-bias-only representation of strengths is exact by construction. The independent result is therefore the support comparison itself: the </w:t>
      </w:r>
      <w:r>
        <w:lastRenderedPageBreak/>
        <w:t>experimentally derived resource-sharing pattern predicts multispecies assembly better than species-shuffled and simplified patterns. Full control results are given in Supplementary Methods. Figure 1 summarizes the dimension concepts used in the study.</w:t>
      </w:r>
    </w:p>
    <w:p w14:paraId="018728DE" w14:textId="77777777" w:rsidR="00753E44" w:rsidRPr="00CC1C3E" w:rsidRDefault="001E0DC1">
      <w:pPr>
        <w:pStyle w:val="Heading1"/>
        <w:spacing w:before="0"/>
        <w:rPr>
          <w:color w:val="000000" w:themeColor="text1"/>
        </w:rPr>
      </w:pPr>
      <w:r>
        <w:rPr>
          <w:color w:val="000000" w:themeColor="text1"/>
          <w:sz w:val="24"/>
        </w:rPr>
        <w:t>Discussion</w:t>
      </w:r>
    </w:p>
    <w:p w14:paraId="39378166" w14:textId="42BC071C" w:rsidR="00753E44" w:rsidRPr="00CC1C3E" w:rsidRDefault="001E0DC1">
      <w:pPr>
        <w:rPr>
          <w:rFonts w:ascii="Times New Roman" w:hAnsi="Times New Roman"/>
          <w:color w:val="000000" w:themeColor="text1"/>
        </w:rPr>
      </w:pPr>
      <w:r>
        <w:t xml:space="preserve">The hCom2* result shows why a low-dimensional summary </w:t>
      </w:r>
      <w:r w:rsidR="00884981">
        <w:t>is not equivalent to</w:t>
      </w:r>
      <w:r>
        <w:t xml:space="preserve"> a simple ecological mechanism. The measured consumption matrix has a low participation dimension, but an ordinary low-rank NMF approximation loses predictive accuracy unless the rank remains high. The same prediction is recovered with far fewer latent variables when the measured zero/nonzero pattern is supplied separately. The Ho analysis provides an independent check: changing that resource-sharing pattern worsens prediction of mixed-community assembly.</w:t>
      </w:r>
    </w:p>
    <w:p w14:paraId="216BFB1A" w14:textId="1892EEDD" w:rsidR="00753E44" w:rsidRPr="00CC1C3E" w:rsidRDefault="001E0DC1">
      <w:pPr>
        <w:rPr>
          <w:rFonts w:ascii="Times New Roman" w:hAnsi="Times New Roman"/>
          <w:color w:val="000000" w:themeColor="text1"/>
        </w:rPr>
      </w:pPr>
      <w:r>
        <w:t xml:space="preserve">The support map should not be </w:t>
      </w:r>
      <w:r w:rsidR="00884981">
        <w:t>considered</w:t>
      </w:r>
      <w:r>
        <w:t xml:space="preserve"> as a list of indispensable edges. In hCom2*, the weakest ten percent of positive links can be removed with little loss of prediction, and several larger pruning steps are also tolerated. The relevant difference is that unconstrained factorization changes many link identities at once. In Ho, a zero denotes the processed experimental classification used by the published model</w:t>
      </w:r>
      <w:r w:rsidR="00884981">
        <w:t>, not</w:t>
      </w:r>
      <w:r>
        <w:t xml:space="preserve"> a</w:t>
      </w:r>
      <w:r w:rsidR="00884981">
        <w:t xml:space="preserve">n </w:t>
      </w:r>
      <w:r w:rsidR="00884981">
        <w:t>impossible</w:t>
      </w:r>
      <w:r>
        <w:t xml:space="preserve"> biochemical interaction.</w:t>
      </w:r>
    </w:p>
    <w:p w14:paraId="468CD99B" w14:textId="4788B4A6" w:rsidR="00753E44" w:rsidRPr="00CC1C3E" w:rsidRDefault="001E0DC1">
      <w:pPr>
        <w:rPr>
          <w:rFonts w:ascii="Times New Roman" w:hAnsi="Times New Roman"/>
          <w:color w:val="000000" w:themeColor="text1"/>
        </w:rPr>
      </w:pPr>
      <w:r>
        <w:t xml:space="preserve">The hCom2* latent dimension is therefore conditional. A value of six means that, once the full support map is given, six latent variables are enough for one reconstruction-selected fit of the positive strengths. </w:t>
      </w:r>
      <w:r w:rsidR="00884981">
        <w:t>But i</w:t>
      </w:r>
      <w:r>
        <w:t xml:space="preserve">t does not mean that the complete strain-by-resource matrix has rank six. More generally, the amount of detail needed for a </w:t>
      </w:r>
      <w:r>
        <w:lastRenderedPageBreak/>
        <w:t>prediction depends on what information is kept fixed, what is approximated, the task being predicted, and the accepted loss of accuracy.</w:t>
      </w:r>
    </w:p>
    <w:p w14:paraId="2484DBE3" w14:textId="77777777" w:rsidR="00753E44" w:rsidRPr="00CC1C3E" w:rsidRDefault="001E0DC1">
      <w:pPr>
        <w:rPr>
          <w:rFonts w:ascii="Times New Roman" w:hAnsi="Times New Roman"/>
          <w:color w:val="000000" w:themeColor="text1"/>
        </w:rPr>
      </w:pPr>
      <w:r>
        <w:t>The cohort analyses illustrate a different source of ambiguity. Cross-validated predictive rank changes with sample size and signal strength, and the selected rank does not track the effective niche dimension estimated from the same cohorts. Neither quantity should be read as a direct count of consumed resources.</w:t>
      </w:r>
    </w:p>
    <w:p w14:paraId="17F45F5F" w14:textId="77777777" w:rsidR="00753E44" w:rsidRPr="00CC1C3E" w:rsidRDefault="001E0DC1">
      <w:pPr>
        <w:rPr>
          <w:rFonts w:ascii="Times New Roman" w:hAnsi="Times New Roman"/>
          <w:color w:val="000000" w:themeColor="text1"/>
        </w:rPr>
      </w:pPr>
      <w:r>
        <w:t>Consumer-resource theory provides a mechanistic dimension, but under stricter conditions. In the restricted model, interaction rank is determined by the span of resource use. Recovering that structure from data requires measurements on an absolute scale, or other experiments that identify uptake. Relative-abundance correlations alone do not provide that identification.</w:t>
      </w:r>
    </w:p>
    <w:p w14:paraId="14FB7311" w14:textId="77777777" w:rsidR="00753E44" w:rsidRPr="00CC1C3E" w:rsidRDefault="001E0DC1">
      <w:pPr>
        <w:rPr>
          <w:rFonts w:ascii="Times New Roman" w:hAnsi="Times New Roman"/>
          <w:color w:val="000000" w:themeColor="text1"/>
        </w:rPr>
      </w:pPr>
      <w:r>
        <w:t>Several limitations remain. The eight observational cohorts are heterogeneous and provide little power for comparing niche dimension across studies. The consumer-resource derivation uses a deliberately restricted model. hCom2* is a single defined sixty-three-strain system, and passage three contributed to model choices in the source study, so it is not an untouched validation set. Ho provides an independent system, but its positive consumption rates are constrained within species and the degree-preserving support randomizations have feasibility losses. The reported factorization thresholds also depend on how consistently random initializations must satisfy the prediction criterion. None of the analyses identifies a universal number of gut niches or metabolic axes.</w:t>
      </w:r>
    </w:p>
    <w:p w14:paraId="0D7A0575" w14:textId="6FAC3818" w:rsidR="00753E44" w:rsidRPr="00CC1C3E" w:rsidRDefault="001E0DC1">
      <w:pPr>
        <w:rPr>
          <w:rFonts w:ascii="Times New Roman" w:hAnsi="Times New Roman"/>
          <w:color w:val="000000" w:themeColor="text1"/>
        </w:rPr>
      </w:pPr>
      <w:r>
        <w:t>For interpretation, a study reporting a low dimension should state what object was reduced, how the dimension was defined, what information remained outside the low-</w:t>
      </w:r>
      <w:r>
        <w:lastRenderedPageBreak/>
        <w:t>dimensional representation, and which biological task</w:t>
      </w:r>
      <w:r w:rsidR="00884981">
        <w:t xml:space="preserve">, </w:t>
      </w:r>
      <w:r>
        <w:t>if any</w:t>
      </w:r>
      <w:r w:rsidR="00884981">
        <w:t xml:space="preserve">, </w:t>
      </w:r>
      <w:r>
        <w:t>was tested. In sparse resource-use data, the zero/nonzero pattern deserves separate analysis rather than being treated as an incidental feature of a low-rank matrix.</w:t>
      </w:r>
    </w:p>
    <w:p w14:paraId="1D300869" w14:textId="77777777" w:rsidR="006C0566" w:rsidRDefault="002B094F">
      <w:r>
        <w:t>The same issue can arise in other sparse biological systems. Interaction networks, metabolic capability maps, regulatory matrices, and genotype-phenotype maps can concentrate most of their magnitude in a few directions while retaining selective links that matter for prediction. Singular-value summaries are useful descriptions of magnitude structure, but they should not be assumed to measure functional simplicity.</w:t>
      </w:r>
    </w:p>
    <w:p w14:paraId="56BF72BE" w14:textId="77777777" w:rsidR="00753E44" w:rsidRPr="00CC1C3E" w:rsidRDefault="001E0DC1">
      <w:pPr>
        <w:pStyle w:val="Heading1"/>
        <w:spacing w:before="0"/>
        <w:rPr>
          <w:color w:val="000000" w:themeColor="text1"/>
        </w:rPr>
      </w:pPr>
      <w:r>
        <w:t>Methods</w:t>
      </w:r>
    </w:p>
    <w:p w14:paraId="09A1D19F" w14:textId="77777777" w:rsidR="00753E44" w:rsidRPr="00CC1C3E" w:rsidRDefault="001E0DC1">
      <w:pPr>
        <w:pStyle w:val="Heading2"/>
        <w:spacing w:before="0"/>
        <w:rPr>
          <w:color w:val="000000" w:themeColor="text1"/>
        </w:rPr>
      </w:pPr>
      <w:r>
        <w:rPr>
          <w:color w:val="000000" w:themeColor="text1"/>
        </w:rPr>
        <w:t>Paired microbiome-metabolome cohort benchmark</w:t>
      </w:r>
    </w:p>
    <w:p w14:paraId="1FF37823" w14:textId="77777777" w:rsidR="00753E44" w:rsidRPr="00CC1C3E" w:rsidRDefault="001E0DC1">
      <w:pPr>
        <w:rPr>
          <w:rFonts w:ascii="Times New Roman" w:hAnsi="Times New Roman"/>
          <w:color w:val="000000" w:themeColor="text1"/>
        </w:rPr>
      </w:pPr>
      <w:r>
        <w:rPr>
          <w:color w:val="000000" w:themeColor="text1"/>
        </w:rPr>
        <w:t xml:space="preserve">Eight paired genus-level cohorts from the curated collection of Muller et al. </w:t>
      </w:r>
      <w:r>
        <w:rPr>
          <w:color w:val="000000" w:themeColor="text1"/>
          <w:vertAlign w:val="superscript"/>
        </w:rPr>
        <w:t>18</w:t>
      </w:r>
      <w:r>
        <w:rPr>
          <w:color w:val="000000" w:themeColor="text1"/>
        </w:rPr>
        <w:t xml:space="preserve"> were analyzed with all data-dependent preprocessing learned inside the outer training folds. Taxa were prevalence-filtered, zero-replaced with a training-derived pseudocount, centered-log-ratio transformed, and standardized. Metabolites were median-imputed, log transformed, and standardized. Five outer folds were grouped by participant when repeated samples were present and by family in the Jacobs cohort. Ridge regression, PCR, and ridge-stabilized RRR </w:t>
      </w:r>
      <w:r>
        <w:rPr>
          <w:color w:val="000000" w:themeColor="text1"/>
          <w:vertAlign w:val="superscript"/>
        </w:rPr>
        <w:t>27, 28</w:t>
      </w:r>
      <w:r>
        <w:rPr>
          <w:color w:val="000000" w:themeColor="text1"/>
        </w:rPr>
        <w:t xml:space="preserve"> were fitted on identical splits. The endpoint was Equation 1.</w:t>
      </w:r>
    </w:p>
    <w:p w14:paraId="5A54931B" w14:textId="77777777" w:rsidR="00753E44" w:rsidRPr="00CC1C3E" w:rsidRDefault="001E0DC1">
      <w:pPr>
        <w:pStyle w:val="Heading2"/>
        <w:spacing w:before="0"/>
        <w:rPr>
          <w:color w:val="000000" w:themeColor="text1"/>
        </w:rPr>
      </w:pPr>
      <w:r>
        <w:rPr>
          <w:color w:val="000000" w:themeColor="text1"/>
        </w:rPr>
        <w:t>Effective niche dimensionality</w:t>
      </w:r>
    </w:p>
    <w:p w14:paraId="799C5C14" w14:textId="77777777" w:rsidR="00753E44" w:rsidRPr="00CC1C3E" w:rsidRDefault="001E0DC1">
      <w:pPr>
        <w:rPr>
          <w:rFonts w:ascii="Times New Roman" w:hAnsi="Times New Roman"/>
          <w:color w:val="000000" w:themeColor="text1"/>
        </w:rPr>
      </w:pPr>
      <w:r>
        <w:rPr>
          <w:color w:val="000000" w:themeColor="text1"/>
        </w:rPr>
        <w:t xml:space="preserve">The latent-variable joint species distribution model of Srinivasan et al. </w:t>
      </w:r>
      <w:r>
        <w:rPr>
          <w:color w:val="000000" w:themeColor="text1"/>
          <w:vertAlign w:val="superscript"/>
        </w:rPr>
        <w:t>1</w:t>
      </w:r>
      <w:r>
        <w:rPr>
          <w:color w:val="000000" w:themeColor="text1"/>
        </w:rPr>
        <w:t xml:space="preserve"> was reimplemented at genus level. Latent dimensions one through five were fitted by maximum multinomial likelihood. Reconstruction error was the Kullback-Leibler divergence between observed and fitted compositions, and effective niche </w:t>
      </w:r>
      <w:r>
        <w:rPr>
          <w:color w:val="000000" w:themeColor="text1"/>
        </w:rPr>
        <w:lastRenderedPageBreak/>
        <w:t xml:space="preserve">dimensionality was estimated from the exponential decay of reconstruction error with latent dimension. One hundred subsamples of fifty samples were used when available, or </w:t>
      </w:r>
      <m:oMath>
        <m:r>
          <w:rPr>
            <w:rFonts w:ascii="Cambria Math" w:hAnsi="Cambria Math"/>
            <w:color w:val="000000" w:themeColor="text1"/>
          </w:rPr>
          <m:t>70</m:t>
        </m:r>
        <m:r>
          <m:rPr>
            <m:sty m:val="p"/>
          </m:rPr>
          <w:rPr>
            <w:rFonts w:ascii="Cambria Math" w:hAnsi="Cambria Math"/>
            <w:color w:val="000000" w:themeColor="text1"/>
          </w:rPr>
          <m:t>%</m:t>
        </m:r>
      </m:oMath>
      <w:r>
        <w:rPr>
          <w:color w:val="000000" w:themeColor="text1"/>
        </w:rPr>
        <w:t xml:space="preserve"> of samples for smaller cohorts.</w:t>
      </w:r>
    </w:p>
    <w:p w14:paraId="7E857355" w14:textId="77777777" w:rsidR="00753E44" w:rsidRPr="00CC1C3E" w:rsidRDefault="001E0DC1">
      <w:pPr>
        <w:pStyle w:val="Heading2"/>
        <w:spacing w:before="0"/>
        <w:rPr>
          <w:color w:val="000000" w:themeColor="text1"/>
        </w:rPr>
      </w:pPr>
      <w:r>
        <w:rPr>
          <w:color w:val="000000" w:themeColor="text1"/>
        </w:rPr>
        <w:t>Rank-selection calibration</w:t>
      </w:r>
    </w:p>
    <w:p w14:paraId="60A67EAF" w14:textId="77777777" w:rsidR="00753E44" w:rsidRPr="00CC1C3E" w:rsidRDefault="001E0DC1">
      <w:pPr>
        <w:rPr>
          <w:rFonts w:ascii="Times New Roman" w:hAnsi="Times New Roman"/>
          <w:color w:val="000000" w:themeColor="text1"/>
        </w:rPr>
      </w:pPr>
      <w:r>
        <w:rPr>
          <w:color w:val="000000" w:themeColor="text1"/>
        </w:rPr>
        <w:t xml:space="preserve">Synthetic coefficient matrices with known ranks were generated with random orthonormal singular vectors. The primary true-rank-ten calibration used twenty-four predictors, twenty-four outcomes, equal-strength nonzero directions, unit-variance Gaussian noise, and cohort-matched rank-selection sample sizes. Population signal share varied from </w:t>
      </w:r>
      <m:oMath>
        <m:r>
          <w:rPr>
            <w:rFonts w:ascii="Cambria Math" w:hAnsi="Cambria Math"/>
            <w:color w:val="000000" w:themeColor="text1"/>
          </w:rPr>
          <m:t>2</m:t>
        </m:r>
        <m:r>
          <m:rPr>
            <m:sty m:val="p"/>
          </m:rPr>
          <w:rPr>
            <w:rFonts w:ascii="Cambria Math" w:hAnsi="Cambria Math"/>
            <w:color w:val="000000" w:themeColor="text1"/>
          </w:rPr>
          <m:t>%</m:t>
        </m:r>
      </m:oMath>
      <w:r>
        <w:rPr>
          <w:color w:val="000000" w:themeColor="text1"/>
        </w:rPr>
        <w:t xml:space="preserve"> to </w:t>
      </w:r>
      <m:oMath>
        <m:r>
          <w:rPr>
            <w:rFonts w:ascii="Cambria Math" w:hAnsi="Cambria Math"/>
            <w:color w:val="000000" w:themeColor="text1"/>
          </w:rPr>
          <m:t>50</m:t>
        </m:r>
        <m:r>
          <m:rPr>
            <m:sty m:val="p"/>
          </m:rPr>
          <w:rPr>
            <w:rFonts w:ascii="Cambria Math" w:hAnsi="Cambria Math"/>
            <w:color w:val="000000" w:themeColor="text1"/>
          </w:rPr>
          <m:t>%</m:t>
        </m:r>
      </m:oMath>
      <w:r>
        <w:rPr>
          <w:color w:val="000000" w:themeColor="text1"/>
        </w:rPr>
        <w:t>. Each condition used one hundred independent datasets and the same five-fold ridge-stabilized rank selection as the cohort analysis.</w:t>
      </w:r>
    </w:p>
    <w:p w14:paraId="6E56F4AF" w14:textId="77777777" w:rsidR="00753E44" w:rsidRPr="00CC1C3E" w:rsidRDefault="001E0DC1">
      <w:pPr>
        <w:pStyle w:val="Heading2"/>
        <w:spacing w:before="0"/>
        <w:rPr>
          <w:color w:val="000000" w:themeColor="text1"/>
        </w:rPr>
      </w:pPr>
      <w:r>
        <w:rPr>
          <w:color w:val="000000" w:themeColor="text1"/>
        </w:rPr>
        <w:t>Consumer-resource reduction and identification</w:t>
      </w:r>
    </w:p>
    <w:p w14:paraId="18F5DA1C" w14:textId="77777777" w:rsidR="00753E44" w:rsidRPr="00CC1C3E" w:rsidRDefault="001E0DC1">
      <w:pPr>
        <w:rPr>
          <w:rFonts w:ascii="Times New Roman" w:hAnsi="Times New Roman"/>
          <w:color w:val="000000" w:themeColor="text1"/>
        </w:rPr>
      </w:pPr>
      <w:r>
        <w:t xml:space="preserve">Equations 2 and 3 define the restricted model. On the positive fast-resource branch, Equation 4 follows by setting the resource bracket to zero. Substitution yields Equation 5. Equation 6 follows by differentiating Equation 4 with respect to absolute consumer abundance. Equation 7 makes explicit why relative abundance does not identify the same slope without total microbial load. Theorems 1 and 2, their proofs, and a numerical verification of the reduction in thirty randomly generated trait-factorized systems across resource-to-consumer timescale factors of </w:t>
      </w:r>
      <m:oMath>
        <m:r>
          <w:rPr>
            <w:rFonts w:ascii="Cambria Math" w:hAnsi="Cambria Math"/>
          </w:rPr>
          <m:t>16</m:t>
        </m:r>
      </m:oMath>
      <w:r>
        <w:t xml:space="preserve"> to </w:t>
      </w:r>
      <m:oMath>
        <m:r>
          <w:rPr>
            <w:rFonts w:ascii="Cambria Math" w:hAnsi="Cambria Math"/>
          </w:rPr>
          <m:t>256</m:t>
        </m:r>
      </m:oMath>
      <w:r>
        <w:t xml:space="preserve"> are given in Supplementary Methods.</w:t>
      </w:r>
    </w:p>
    <w:p w14:paraId="2ABD134E" w14:textId="77777777" w:rsidR="00753E44" w:rsidRPr="00CC1C3E" w:rsidRDefault="001E0DC1">
      <w:pPr>
        <w:pStyle w:val="Heading2"/>
        <w:spacing w:before="0"/>
        <w:rPr>
          <w:color w:val="000000" w:themeColor="text1"/>
        </w:rPr>
      </w:pPr>
      <w:r>
        <w:rPr>
          <w:color w:val="000000" w:themeColor="text1"/>
        </w:rPr>
        <w:t>hCom2* functional-sufficiency analysis</w:t>
      </w:r>
    </w:p>
    <w:p w14:paraId="329A547B" w14:textId="77777777" w:rsidR="00753E44" w:rsidRPr="00CC1C3E" w:rsidRDefault="001E0DC1">
      <w:pPr>
        <w:rPr>
          <w:rFonts w:ascii="Times New Roman" w:hAnsi="Times New Roman"/>
          <w:color w:val="000000" w:themeColor="text1"/>
        </w:rPr>
      </w:pPr>
      <w:r>
        <w:t xml:space="preserve">The public Mahajan and Maslov model was reconstructed from the deposited sixty-three-strain consumption and production arrays, resource-cluster map, and Jin et al. serial-dilution abundances. The baseline reproduced the deposited computational </w:t>
      </w:r>
      <w:r>
        <w:lastRenderedPageBreak/>
        <w:t>benchmark, including thirty-eight nonzero fitted resources. Ordinary Frobenius nonnegative matrix factorization used twenty deterministic seeds per rank, with the primary seed selected solely by matrix reconstruction error. Every reconstructed consumption matrix received an independent resource fit before forward prediction. The functional-sufficiency criterion required at least ninety-five percent of the full-model improvement over the monoculture null, a passage-three Pearson decrease no greater than the prespecified tolerance, and numerical convergence. Ranks fifty-one through fifty-nine were added after the initial grid to resolve the high-rank threshold. The support-preserving model retained the observed binary support mask exactly and fitted only positive edge strengths with fixed regularization; seeds were again selected only by reconstruction loss. Additional baseline, geometry, seed-sensitivity, ablation, and leverage analyses are described in Supplementary Methods and Supplementary Tables 8–11.</w:t>
      </w:r>
    </w:p>
    <w:p w14:paraId="65A7AE8D" w14:textId="77777777" w:rsidR="006C0566" w:rsidRDefault="002B094F">
      <w:r>
        <w:t xml:space="preserve">For each candidate factorization rank </w:t>
      </w:r>
      <m:oMath>
        <m:r>
          <w:rPr>
            <w:rFonts w:ascii="Cambria Math" w:hAnsi="Cambria Math"/>
          </w:rPr>
          <m:t>k</m:t>
        </m:r>
      </m:oMath>
      <w:r>
        <w:t>, ordinary NMF solved the following Frobenius-loss problem:</w:t>
      </w:r>
    </w:p>
    <w:p w14:paraId="6CE03614" w14:textId="77777777" w:rsidR="006C0566" w:rsidRDefault="00C646DA">
      <w:pPr>
        <w:jc w:val="center"/>
      </w:pPr>
      <m:oMathPara>
        <m:oMath>
          <m:sSub>
            <m:sSubPr>
              <m:ctrlPr>
                <w:rPr>
                  <w:rFonts w:ascii="Cambria Math" w:hAnsi="Cambria Math"/>
                </w:rPr>
              </m:ctrlPr>
            </m:sSubPr>
            <m:e>
              <m:r>
                <w:rPr>
                  <w:rFonts w:ascii="Cambria Math" w:hAnsi="Cambria Math"/>
                </w:rPr>
                <m:t>min</m:t>
              </m:r>
            </m:e>
            <m:sub>
              <m:r>
                <w:rPr>
                  <w:rFonts w:ascii="Cambria Math" w:hAnsi="Cambria Math"/>
                </w:rPr>
                <m:t>W,H≥0</m:t>
              </m:r>
            </m:sub>
          </m:sSub>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‖C-WH‖</m:t>
                  </m:r>
                </m:e>
                <m:sub>
                  <m:r>
                    <w:rPr>
                      <w:rFonts w:ascii="Cambria Math" w:hAnsi="Cambria Math"/>
                    </w:rPr>
                    <m:t>F</m:t>
                  </m:r>
                </m:sub>
              </m:sSub>
            </m:e>
            <m:sup>
              <m:r>
                <w:rPr>
                  <w:rFonts w:ascii="Cambria Math" w:hAnsi="Cambria Math"/>
                </w:rPr>
                <m:t>2</m:t>
              </m:r>
            </m:sup>
          </m:sSup>
        </m:oMath>
      </m:oMathPara>
    </w:p>
    <w:p w14:paraId="70879BD1" w14:textId="77777777" w:rsidR="009D4E19" w:rsidRDefault="009D7430">
      <w:pPr>
        <w:rPr>
          <w:rFonts w:ascii="Times New Roman" w:hAnsi="Times New Roman"/>
          <w:color w:val="000000" w:themeColor="text1"/>
        </w:rPr>
      </w:pPr>
      <w:r>
        <w:t xml:space="preserve">In this objective, </w:t>
      </w:r>
      <m:oMath>
        <m:r>
          <w:rPr>
            <w:rFonts w:ascii="Cambria Math" w:hAnsi="Cambria Math"/>
          </w:rPr>
          <m:t>C</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p</m:t>
            </m:r>
          </m:sup>
        </m:sSubSup>
      </m:oMath>
      <w:r>
        <w:t xml:space="preserve"> is the consumption matrix with </w:t>
      </w:r>
      <m:oMath>
        <m:r>
          <w:rPr>
            <w:rFonts w:ascii="Cambria Math" w:hAnsi="Cambria Math"/>
          </w:rPr>
          <m:t>s</m:t>
        </m:r>
      </m:oMath>
      <w:r>
        <w:t xml:space="preserve"> strains and </w:t>
      </w:r>
      <m:oMath>
        <m:r>
          <w:rPr>
            <w:rFonts w:ascii="Cambria Math" w:hAnsi="Cambria Math"/>
          </w:rPr>
          <m:t>p</m:t>
        </m:r>
      </m:oMath>
      <w:r>
        <w:t xml:space="preserve"> resources; </w:t>
      </w:r>
      <m:oMath>
        <m:r>
          <w:rPr>
            <w:rFonts w:ascii="Cambria Math" w:hAnsi="Cambria Math"/>
          </w:rPr>
          <m:t>W</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k</m:t>
            </m:r>
          </m:sup>
        </m:sSubSup>
      </m:oMath>
      <w:r>
        <w:t xml:space="preserve"> and </w:t>
      </w:r>
      <m:oMath>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p</m:t>
            </m:r>
          </m:sup>
        </m:sSubSup>
      </m:oMath>
      <w:r>
        <w:t xml:space="preserve"> are the nonnegative factors being estimated. The Frobenius norm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WH</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WH</m:t>
                            </m:r>
                          </m:e>
                        </m:d>
                      </m:e>
                      <m:sub>
                        <m:r>
                          <w:rPr>
                            <w:rFonts w:ascii="Cambria Math" w:hAnsi="Cambria Math"/>
                          </w:rPr>
                          <m:t>ij</m:t>
                        </m:r>
                      </m:sub>
                    </m:sSub>
                  </m:e>
                </m:d>
              </m:e>
              <m:sup>
                <m:r>
                  <w:rPr>
                    <w:rFonts w:ascii="Cambria Math" w:hAnsi="Cambria Math"/>
                  </w:rPr>
                  <m:t>2</m:t>
                </m:r>
              </m:sup>
            </m:sSup>
          </m:e>
        </m:nary>
      </m:oMath>
      <w:r>
        <w:t xml:space="preserve"> measures the squared reconstruction error, and the minimization varies both factor matrices subject to entrywise nonnegativity. This NMF factor </w:t>
      </w:r>
      <m:oMath>
        <m:r>
          <w:rPr>
            <w:rFonts w:ascii="Cambria Math" w:hAnsi="Cambria Math"/>
          </w:rPr>
          <m:t>W</m:t>
        </m:r>
      </m:oMath>
      <w:r>
        <w:t xml:space="preserve"> is unrelated to the diagonal resource-weight matrix called </w:t>
      </w:r>
      <m:oMath>
        <m:r>
          <w:rPr>
            <w:rFonts w:ascii="Cambria Math" w:hAnsi="Cambria Math"/>
          </w:rPr>
          <m:t>W</m:t>
        </m:r>
      </m:oMath>
      <w:r>
        <w:t xml:space="preserve"> in the Supplementary Methods.</w:t>
      </w:r>
    </w:p>
    <w:p w14:paraId="1D719930" w14:textId="77777777" w:rsidR="006C0566" w:rsidRDefault="002B094F">
      <w:r>
        <w:t xml:space="preserve">The optimization used coordinate-descent NMF with twenty deterministic initializations, tolerance </w:t>
      </w:r>
      <m:oMath>
        <m:r>
          <w:rPr>
            <w:rFonts w:ascii="Cambria Math" w:hAnsi="Cambria Math"/>
          </w:rPr>
          <m:t>10⁻⁴</m:t>
        </m:r>
      </m:oMath>
      <w:r>
        <w:t xml:space="preserve">, and at most </w:t>
      </w:r>
      <m:oMath>
        <m:r>
          <w:rPr>
            <w:rFonts w:ascii="Cambria Math" w:hAnsi="Cambria Math"/>
          </w:rPr>
          <m:t>5000</m:t>
        </m:r>
      </m:oMath>
      <w:r>
        <w:t xml:space="preserve"> iterations per initialization. The primary reconstruction at each </w:t>
      </w:r>
      <m:oMath>
        <m:r>
          <w:rPr>
            <w:rFonts w:ascii="Cambria Math" w:hAnsi="Cambria Math"/>
          </w:rPr>
          <m:t>k</m:t>
        </m:r>
      </m:oMath>
      <w:r>
        <w:t xml:space="preserve"> was selected solely by the smallest matrix reconstruction loss; passage-three outcomes were never used to select a seed. Because this objective constrains factor signs but not the observed support, ordinary NMF can create positive strain–resource entries that were zero in the measured matrix. This property motivates the separate support-preserving comparison.</w:t>
      </w:r>
    </w:p>
    <w:p w14:paraId="2A0E8E72" w14:textId="77777777" w:rsidR="00753E44" w:rsidRPr="00CC1C3E" w:rsidRDefault="001E0DC1">
      <w:pPr>
        <w:pStyle w:val="Heading2"/>
        <w:spacing w:before="0"/>
        <w:rPr>
          <w:color w:val="000000" w:themeColor="text1"/>
        </w:rPr>
      </w:pPr>
      <w:r>
        <w:rPr>
          <w:color w:val="000000" w:themeColor="text1"/>
        </w:rPr>
        <w:t>Ho et al. independent support validation</w:t>
      </w:r>
    </w:p>
    <w:p w14:paraId="0B7B743F" w14:textId="77777777" w:rsidR="00753E44" w:rsidRPr="00CC1C3E" w:rsidRDefault="001E0DC1">
      <w:pPr>
        <w:rPr>
          <w:rFonts w:ascii="Times New Roman" w:hAnsi="Times New Roman"/>
          <w:color w:val="000000" w:themeColor="text1"/>
        </w:rPr>
      </w:pPr>
      <w:r>
        <w:t xml:space="preserve">The paper-linked Zenodo deposit was used to reconstruct the fifteen-species resource-support matrices, model parameterization, assembly identities, and predicted compositions from Ho et al. A Python semantic port of the archived MATLAB equations reproduced the deposited computational predictions to the prespecified numerical tolerance. Before new controls were evaluated, the sixty-four random communities containing three to thirteen species were frozen as the primary external outcome set. The published support was compared with species-specific, species-specific-plus-pairwise, all-but-one, species-label-shuffled, degree-preserving rewired, and feature-count-matched support controls. Every realization received independent parameter inference from the permitted monoculture and spent-media measurements; the sixty-four community compositions were not used for fitting or control selection. The species-label shuffle was the principal randomized control because all one hundred realizations were valid; the degree-preserving family was treated as exploratory because only seventy-five of one hundred parameterizations satisfied the prespecified validity </w:t>
      </w:r>
      <w:r>
        <w:lastRenderedPageBreak/>
        <w:t>requirement. Full reproduction and control definitions are provided in Supplementary Methods.</w:t>
      </w:r>
    </w:p>
    <w:p w14:paraId="1A275DA5" w14:textId="77777777" w:rsidR="006C0566" w:rsidRPr="00AD7804" w:rsidRDefault="002B094F">
      <w:pPr>
        <w:pStyle w:val="Heading2"/>
        <w:spacing w:before="0"/>
        <w:rPr>
          <w:bCs w:val="0"/>
        </w:rPr>
      </w:pPr>
      <w:r w:rsidRPr="00AD7804">
        <w:rPr>
          <w:bCs w:val="0"/>
          <w:i w:val="0"/>
        </w:rPr>
        <w:t>Statistical analysis and reproducibility</w:t>
      </w:r>
    </w:p>
    <w:p w14:paraId="734044BA" w14:textId="77777777" w:rsidR="006C0566" w:rsidRDefault="002B094F">
      <w:r>
        <w:t>The cohort benchmark used five outer folds with group-aware splitting where required. Rank-selection simulations used one hundred independently generated datasets per condition. hCom2 factorization analyses used twenty fixed optimization seeds per rank; seed selection was based only on matrix reconstruction loss. Ho support-shuffle controls used one hundred prespecified randomizations. These computational replicates quantify algorithmic or null-model variability and are not biological replicates. The hCom2 and Ho analyses were evaluated using prespecified effect-size and prediction criteria rather than confirmatory null-hypothesis tests. Numerical failures were retained and reported. Detailed simulation settings, thresholds, and reproducibility checks are provided in Supplementary Methods.</w:t>
      </w:r>
    </w:p>
    <w:p w14:paraId="03997FD9" w14:textId="77777777" w:rsidR="006C0566" w:rsidRPr="00AD7804" w:rsidRDefault="002B094F">
      <w:pPr>
        <w:pStyle w:val="Heading2"/>
        <w:spacing w:before="0"/>
        <w:rPr>
          <w:bCs w:val="0"/>
        </w:rPr>
      </w:pPr>
      <w:r w:rsidRPr="00AD7804">
        <w:rPr>
          <w:bCs w:val="0"/>
          <w:i w:val="0"/>
        </w:rPr>
        <w:t>Ethics statement</w:t>
      </w:r>
    </w:p>
    <w:p w14:paraId="32CA4714" w14:textId="77777777" w:rsidR="006C0566" w:rsidRDefault="002B094F">
      <w:r>
        <w:t>This study reanalyzed previously published deidentified microbiome, metabolome, and synthetic-community data and computational model outputs. No new human participants, biological specimens, or animals were enrolled or sampled for this study.</w:t>
      </w:r>
    </w:p>
    <w:p w14:paraId="15159A4B" w14:textId="77777777" w:rsidR="006C0566" w:rsidRPr="00AD7804" w:rsidRDefault="002B094F">
      <w:pPr>
        <w:pStyle w:val="Heading2"/>
        <w:spacing w:before="0"/>
        <w:rPr>
          <w:bCs w:val="0"/>
        </w:rPr>
      </w:pPr>
      <w:r w:rsidRPr="00AD7804">
        <w:rPr>
          <w:bCs w:val="0"/>
          <w:i w:val="0"/>
        </w:rPr>
        <w:t>Use of AI-assisted tools</w:t>
      </w:r>
    </w:p>
    <w:p w14:paraId="78CCE26B" w14:textId="77777777" w:rsidR="006C0566" w:rsidRDefault="002B094F">
      <w:r>
        <w:t>Generative AI tools were used to assist code development and language editing. The author reviewed and verified all code, equations, analyses, numerical results, interpretations, and manuscript text and takes responsibility for the final work.</w:t>
      </w:r>
    </w:p>
    <w:p w14:paraId="67172565" w14:textId="77777777" w:rsidR="006C0566" w:rsidRDefault="002B094F">
      <w:pPr>
        <w:pStyle w:val="Heading1"/>
        <w:spacing w:before="0"/>
      </w:pPr>
      <w:r>
        <w:rPr>
          <w:sz w:val="24"/>
        </w:rPr>
        <w:lastRenderedPageBreak/>
        <w:t>Data Availability</w:t>
      </w:r>
    </w:p>
    <w:p w14:paraId="7E027D90" w14:textId="77777777" w:rsidR="006C0566" w:rsidRDefault="002B094F">
      <w:r>
        <w:t>All biological data analyzed in this study are from published public sources. The eight paired microbiome–metabolome cohorts are available through the curated collection of Muller et al. The hCom2 inputs are available through the deposits associated with Han et al., Jin et al., and Mahajan and Maslov. The Ho et al. experimental data and archived model are available from Zenodo (https://doi.org/10.5281/zenodo.7535703). Derived tables and source manifests generated for this study will be archived in a persistent public repository before submission.</w:t>
      </w:r>
    </w:p>
    <w:p w14:paraId="4097F067" w14:textId="77777777" w:rsidR="006C0566" w:rsidRDefault="002B094F">
      <w:pPr>
        <w:pStyle w:val="Heading1"/>
        <w:spacing w:before="0"/>
      </w:pPr>
      <w:r>
        <w:rPr>
          <w:sz w:val="24"/>
        </w:rPr>
        <w:t>Code Availability</w:t>
      </w:r>
    </w:p>
    <w:p w14:paraId="1FEE7942" w14:textId="77777777" w:rsidR="006C0566" w:rsidRDefault="002B094F">
      <w:r>
        <w:t>Custom analysis code used for the cohort benchmark, simulations, hCom2 reconstruction and low-rank/support-preserving analyses, and Ho resource-sharing validation will be made freely and enduringly available in a public repository at submission. Third-party software versions and analysis parameters are recorded in the accompanying reproducibility manifests.</w:t>
      </w:r>
    </w:p>
    <w:p w14:paraId="1AAEAAA7" w14:textId="77777777" w:rsidR="006C0566" w:rsidRDefault="002B094F">
      <w:pPr>
        <w:pStyle w:val="Heading1"/>
        <w:spacing w:before="0"/>
      </w:pPr>
      <w:r>
        <w:rPr>
          <w:sz w:val="24"/>
        </w:rPr>
        <w:t>References</w:t>
      </w:r>
    </w:p>
    <w:p w14:paraId="39D57BB2" w14:textId="77777777" w:rsidR="006C0566" w:rsidRDefault="002B094F">
      <w:pPr>
        <w:ind w:left="360" w:hanging="360"/>
      </w:pPr>
      <w:r>
        <w:t>1. Srinivasan, K., Plata, G. &amp; Dixit, P. D. Low-dimensional coexistence in complex microbial ecosystems. PRX Life 4, 033026 (2026).</w:t>
      </w:r>
    </w:p>
    <w:p w14:paraId="4DF729E4" w14:textId="77777777" w:rsidR="006C0566" w:rsidRDefault="002B094F">
      <w:pPr>
        <w:ind w:left="360" w:hanging="360"/>
      </w:pPr>
      <w:r>
        <w:t>2. Morton, J. T. et al. Learning representations of microbe-metabolite interactions. Nat. Methods 16, 1306–1314 (2019).</w:t>
      </w:r>
    </w:p>
    <w:p w14:paraId="1E0EDB95" w14:textId="77777777" w:rsidR="006C0566" w:rsidRDefault="002B094F">
      <w:pPr>
        <w:ind w:left="360" w:hanging="360"/>
      </w:pPr>
      <w:r>
        <w:t>3. Mishra, A. K. et al. TARO: tree-aggregated factor regression for microbiome data integration. Bioinformatics 40, btae321 (2024).</w:t>
      </w:r>
    </w:p>
    <w:p w14:paraId="3B0AAF1B" w14:textId="77777777" w:rsidR="006C0566" w:rsidRDefault="002B094F">
      <w:pPr>
        <w:ind w:left="360" w:hanging="360"/>
      </w:pPr>
      <w:r>
        <w:t>4. Mangnier, L. et al. A systematic benchmark of integrative strategies for microbiome-metabolome data. Commun. Biol. 8, 1100 (2025).</w:t>
      </w:r>
    </w:p>
    <w:p w14:paraId="23EC7FB1" w14:textId="77777777" w:rsidR="006C0566" w:rsidRDefault="002B094F">
      <w:pPr>
        <w:ind w:left="360" w:hanging="360"/>
      </w:pPr>
      <w:r>
        <w:t>5. Muller, E., Bamberger, T. &amp; Borenstein, E. Navigating multi-omic integration methods for human microbiome research. Nat. Microbiol. 11, 1153–1167 (2026).</w:t>
      </w:r>
    </w:p>
    <w:p w14:paraId="42EB7DD2" w14:textId="77777777" w:rsidR="006C0566" w:rsidRDefault="002B094F">
      <w:pPr>
        <w:ind w:left="360" w:hanging="360"/>
      </w:pPr>
      <w:r>
        <w:t>6. MacArthur, R. Species packing and competitive equilibrium for many species. Theor. Popul. Biol. 1, 1–11 (1970).</w:t>
      </w:r>
    </w:p>
    <w:p w14:paraId="5F46B6EE" w14:textId="77777777" w:rsidR="006C0566" w:rsidRDefault="002B094F">
      <w:pPr>
        <w:ind w:left="360" w:hanging="360"/>
      </w:pPr>
      <w:r>
        <w:t>7. Chesson, P. MacArthur's consumer-resource model. Theor. Popul. Biol. 37, 26–38 (1990).</w:t>
      </w:r>
    </w:p>
    <w:p w14:paraId="36E4B9E7" w14:textId="77777777" w:rsidR="006C0566" w:rsidRDefault="002B094F">
      <w:pPr>
        <w:ind w:left="360" w:hanging="360"/>
      </w:pPr>
      <w:r>
        <w:t>8. Posfai, A., Taillefumier, T. &amp; Wingreen, N. S. Metabolic trade-offs promote diversity in a model ecosystem. Phys. Rev. Lett. 118, 028103 (2017).</w:t>
      </w:r>
    </w:p>
    <w:p w14:paraId="7FBCACE7" w14:textId="77777777" w:rsidR="006C0566" w:rsidRDefault="002B094F">
      <w:pPr>
        <w:ind w:left="360" w:hanging="360"/>
      </w:pPr>
      <w:r>
        <w:t>9. Goldford, J. E. et al. Emergent simplicity in microbial community assembly. Science 361, 469–474 (2018).</w:t>
      </w:r>
    </w:p>
    <w:p w14:paraId="04421FE5" w14:textId="77777777" w:rsidR="006C0566" w:rsidRDefault="002B094F">
      <w:pPr>
        <w:ind w:left="360" w:hanging="360"/>
      </w:pPr>
      <w:r>
        <w:t>10. Ho, P.-Y., Nguyen, T. H., Sanchez, J. M., DeFelice, B. C. &amp; Huang, K. C. Resource competition predicts assembly of gut bacterial communities in vitro. Nat. Microbiol. 9, 1036–1048 (2024).</w:t>
      </w:r>
    </w:p>
    <w:p w14:paraId="77CE3EF9" w14:textId="77777777" w:rsidR="006C0566" w:rsidRDefault="002B094F">
      <w:pPr>
        <w:ind w:left="360" w:hanging="360"/>
      </w:pPr>
      <w:r>
        <w:t>11. Stein, R. R. et al. Ecological modeling from time-series inference: insight into dynamics and stability of intestinal microbiota. PLoS Comput. Biol. 9, e1003388 (2013).</w:t>
      </w:r>
    </w:p>
    <w:p w14:paraId="3E52CBCC" w14:textId="77777777" w:rsidR="006C0566" w:rsidRDefault="002B094F">
      <w:pPr>
        <w:ind w:left="360" w:hanging="360"/>
      </w:pPr>
      <w:r>
        <w:t>12. Bucci, V. et al. MDSINE: Microbial Dynamical Systems INference Engine for microbiome time-series analyses. Genome Biol. 17, 121 (2016).</w:t>
      </w:r>
    </w:p>
    <w:p w14:paraId="096115D3" w14:textId="77777777" w:rsidR="006C0566" w:rsidRDefault="002B094F">
      <w:pPr>
        <w:ind w:left="360" w:hanging="360"/>
      </w:pPr>
      <w:r>
        <w:t>13. Zapién-Campos, R., Bansept, F. &amp; Traulsen, A. Stochastic models allow improved inference of microbiome interactions from time series data. PLoS Biol. 22, e3002913 (2024).</w:t>
      </w:r>
    </w:p>
    <w:p w14:paraId="6C8EE26B" w14:textId="77777777" w:rsidR="006C0566" w:rsidRDefault="002B094F">
      <w:pPr>
        <w:ind w:left="360" w:hanging="360"/>
      </w:pPr>
      <w:r>
        <w:t>14. Chen, X., Crocker, K., Kuehn, S., Walczak, A. M. &amp; Mora, T. Inferring resource competition in microbial communities from time series. PRX Life 3, 023019 (2025).</w:t>
      </w:r>
    </w:p>
    <w:p w14:paraId="40910780" w14:textId="77777777" w:rsidR="006C0566" w:rsidRDefault="002B094F">
      <w:pPr>
        <w:ind w:left="360" w:hanging="360"/>
      </w:pPr>
      <w:r>
        <w:t>15. Han, S. et al. A metabolomics pipeline for the mechanistic interrogation of the gut microbiome. Nature 595, 415–420 (2021).</w:t>
      </w:r>
    </w:p>
    <w:p w14:paraId="16D9913E" w14:textId="77777777" w:rsidR="006C0566" w:rsidRDefault="002B094F">
      <w:pPr>
        <w:ind w:left="360" w:hanging="360"/>
      </w:pPr>
      <w:r>
        <w:t>16. Mahajan, T. &amp; Maslov, S. Coarse-grained model of serial dilution dynamics in synthetic human gut microbiome. PLoS Comput. Biol. 21, e1013222 (2025).</w:t>
      </w:r>
    </w:p>
    <w:p w14:paraId="33A5C5E6" w14:textId="77777777" w:rsidR="006C0566" w:rsidRDefault="002B094F">
      <w:pPr>
        <w:ind w:left="360" w:hanging="360"/>
      </w:pPr>
      <w:r>
        <w:t>17. Jin, X. et al. Culturing of a complex gut microbial community in mucin-hydrogel carriers reveals strain- and gene-associated spatial organization. Nat. Commun. 14, 3510 (2023).</w:t>
      </w:r>
    </w:p>
    <w:p w14:paraId="6E2CD554" w14:textId="77777777" w:rsidR="006C0566" w:rsidRDefault="002B094F">
      <w:pPr>
        <w:ind w:left="360" w:hanging="360"/>
      </w:pPr>
      <w:r>
        <w:t>18. Muller, E., Algavi, Y. M. &amp; Borenstein, E. The gut microbiome-metabolome dataset collection: a curated resource for integrative meta-analysis. npj Biofilms Microbiomes 8, 79 (2022).</w:t>
      </w:r>
    </w:p>
    <w:p w14:paraId="79A5E23E" w14:textId="77777777" w:rsidR="006C0566" w:rsidRDefault="002B094F">
      <w:pPr>
        <w:ind w:left="360" w:hanging="360"/>
      </w:pPr>
      <w:r>
        <w:t>19. Momeni, B., Xie, L. &amp; Shou, W. Lotka-Volterra pairwise modeling fails to capture diverse pairwise microbial interactions. eLife 6, e25051 (2017).</w:t>
      </w:r>
    </w:p>
    <w:p w14:paraId="6BE54E9F" w14:textId="77777777" w:rsidR="006C0566" w:rsidRDefault="002B094F">
      <w:pPr>
        <w:ind w:left="360" w:hanging="360"/>
      </w:pPr>
      <w:r>
        <w:t>20. Tikhonov, A. N. Systems of differential equations containing small parameters in the derivatives. Mat. Sb. 31, 575–586 (1952).</w:t>
      </w:r>
    </w:p>
    <w:p w14:paraId="57060B64" w14:textId="77777777" w:rsidR="006C0566" w:rsidRDefault="002B094F">
      <w:pPr>
        <w:ind w:left="360" w:hanging="360"/>
      </w:pPr>
      <w:r>
        <w:t>21. Fenichel, N. Geometric singular perturbation theory for ordinary differential equations. J. Differ. Equ. 31, 53–98 (1979).</w:t>
      </w:r>
    </w:p>
    <w:p w14:paraId="1DEFEF3F" w14:textId="77777777" w:rsidR="006C0566" w:rsidRDefault="002B094F">
      <w:pPr>
        <w:ind w:left="360" w:hanging="360"/>
      </w:pPr>
      <w:r>
        <w:t>22. Mustri, M. P., Duan, Q. &amp; Pawar, S. Accuracy of the Lotka-Volterra model fails in strongly coupled microbial consumer-resource systems. PLoS Comput. Biol. 21, e1013719 (2025).</w:t>
      </w:r>
    </w:p>
    <w:p w14:paraId="18B9F74A" w14:textId="77777777" w:rsidR="006C0566" w:rsidRDefault="002B094F">
      <w:pPr>
        <w:ind w:left="360" w:hanging="360"/>
      </w:pPr>
      <w:r>
        <w:t>23. Aitchison, J. The statistical analysis of compositional data. J. R. Stat. Soc. B 44, 139–160 (1982).</w:t>
      </w:r>
    </w:p>
    <w:p w14:paraId="31509C96" w14:textId="77777777" w:rsidR="006C0566" w:rsidRDefault="002B094F">
      <w:pPr>
        <w:ind w:left="360" w:hanging="360"/>
      </w:pPr>
      <w:r>
        <w:t>24. Gloor, G. B., Macklaim, J. M., Pawlowsky-Glahn, V. &amp; Egozcue, J. J. Microbiome datasets are compositional: and this is not optional. Front. Microbiol. 8, 2224 (2017).</w:t>
      </w:r>
    </w:p>
    <w:p w14:paraId="7C940400" w14:textId="77777777" w:rsidR="006C0566" w:rsidRDefault="002B094F">
      <w:pPr>
        <w:ind w:left="360" w:hanging="360"/>
      </w:pPr>
      <w:r>
        <w:t>25. Remien, C. H., Eckwright, M. J. &amp; Ridenhour, B. J. Structural identifiability of the generalized Lotka-Volterra model for microbiome studies. R. Soc. Open Sci. 8, 201378 (2021).</w:t>
      </w:r>
    </w:p>
    <w:p w14:paraId="556A6836" w14:textId="77777777" w:rsidR="006C0566" w:rsidRDefault="002B094F">
      <w:r>
        <w:t>26. Lee, D. D. &amp; Seung, H. S. Learning the parts of objects by non-negative matrix factorization. Nature 401, 788–791 (1999). https://doi.org/10.1038/44565</w:t>
      </w:r>
    </w:p>
    <w:p w14:paraId="4900DF11" w14:textId="77777777" w:rsidR="006C0566" w:rsidRDefault="002B094F">
      <w:pPr>
        <w:ind w:left="360" w:hanging="360"/>
      </w:pPr>
      <w:r>
        <w:t>27. Izenman, A. J. Reduced-rank regression for the multivariate linear model. J. Multivar. Anal. 5, 248–264 (1975).</w:t>
      </w:r>
    </w:p>
    <w:p w14:paraId="417A6A10" w14:textId="77777777" w:rsidR="006C0566" w:rsidRDefault="002B094F">
      <w:pPr>
        <w:ind w:left="360" w:hanging="360"/>
      </w:pPr>
      <w:r>
        <w:t>28. Reinsel, G. C. &amp; Velu, R. P. Multivariate Reduced-Rank Regression: Theory and Applications (Springer, New York, 1998).</w:t>
      </w:r>
    </w:p>
    <w:p w14:paraId="1043CE51" w14:textId="77777777" w:rsidR="006C0566" w:rsidRDefault="002B094F">
      <w:pPr>
        <w:pStyle w:val="Heading1"/>
        <w:spacing w:before="0"/>
      </w:pPr>
      <w:r>
        <w:rPr>
          <w:sz w:val="24"/>
        </w:rPr>
        <w:t>Acknowledgements</w:t>
      </w:r>
    </w:p>
    <w:p w14:paraId="144EBF7D" w14:textId="77777777" w:rsidR="006C0566" w:rsidRDefault="002B094F">
      <w:r>
        <w:t>The author thanks the investigators who made the underlying microbiome, metabolomics, synthetic-community, and model data publicly available.</w:t>
      </w:r>
    </w:p>
    <w:p w14:paraId="2C14CB85" w14:textId="77777777" w:rsidR="006C0566" w:rsidRDefault="002B094F">
      <w:pPr>
        <w:pStyle w:val="Heading1"/>
        <w:spacing w:before="0"/>
      </w:pPr>
      <w:r>
        <w:rPr>
          <w:sz w:val="24"/>
        </w:rPr>
        <w:t>Author Contributions</w:t>
      </w:r>
    </w:p>
    <w:p w14:paraId="34D06E21" w14:textId="77777777" w:rsidR="006C0566" w:rsidRDefault="002B094F">
      <w:r>
        <w:t>E.B. conceived the study, designed the analyses, performed and verified the computational work, interpreted the results, prepared the figures, and wrote the manuscript.</w:t>
      </w:r>
    </w:p>
    <w:p w14:paraId="3B1DC666" w14:textId="77777777" w:rsidR="006C0566" w:rsidRDefault="002B094F">
      <w:pPr>
        <w:pStyle w:val="Heading1"/>
        <w:spacing w:before="0"/>
      </w:pPr>
      <w:r>
        <w:rPr>
          <w:sz w:val="24"/>
        </w:rPr>
        <w:t>Funding</w:t>
      </w:r>
    </w:p>
    <w:p w14:paraId="00510BCE" w14:textId="77777777" w:rsidR="006C0566" w:rsidRDefault="002B094F">
      <w:r>
        <w:t>The author declares no relevant funding for this work.</w:t>
      </w:r>
    </w:p>
    <w:p w14:paraId="403E7BA8" w14:textId="77777777" w:rsidR="006C0566" w:rsidRDefault="002B094F">
      <w:pPr>
        <w:pStyle w:val="Heading1"/>
        <w:spacing w:before="0"/>
      </w:pPr>
      <w:r>
        <w:rPr>
          <w:sz w:val="24"/>
        </w:rPr>
        <w:t>Competing Interests</w:t>
      </w:r>
    </w:p>
    <w:p w14:paraId="381AC11D" w14:textId="77777777" w:rsidR="006C0566" w:rsidRDefault="002B094F">
      <w:r>
        <w:t>The author declares no competing interests.</w:t>
      </w:r>
    </w:p>
    <w:p w14:paraId="756F38AB" w14:textId="77777777" w:rsidR="006C0566" w:rsidRDefault="002B094F">
      <w:pPr>
        <w:pStyle w:val="Heading1"/>
        <w:spacing w:before="0"/>
      </w:pPr>
      <w:r>
        <w:rPr>
          <w:sz w:val="24"/>
        </w:rPr>
        <w:t>Figure Legends</w:t>
      </w:r>
    </w:p>
    <w:p w14:paraId="46DDEEBC" w14:textId="77777777" w:rsidR="006C0566" w:rsidRDefault="002B094F">
      <w:r>
        <w:t xml:space="preserve">Fig. 1 | Different meanings of dimension in microbial data and models. Predictive dimension is the rank retained by held-out microbiome-to-metabolome prediction; </w:t>
      </w:r>
      <w:r>
        <w:lastRenderedPageBreak/>
        <w:t>effective niche dimension is the decay scale of a generative abundance model; spectral dimension describes how singular-value energy is distributed; support complexity records which strains use which resources; and functional dimension is the amount of representation needed to preserve a stated ecological task. In hCom2*, the strain-by-resource consumption matrix has a low participation dimension, but ordinary low-rank NMF requires high rank to preserve community prediction. When the observed support is kept fixed, the positive consumption strengths can be represented with far fewer latent variables. Arrows denote relationships tested in this study, not general equivalences.</w:t>
      </w:r>
    </w:p>
    <w:p w14:paraId="4B1C6A74" w14:textId="77777777" w:rsidR="006C0566" w:rsidRDefault="002B094F">
      <w:r>
        <w:t>Fig. 2 | Predictive dimensionality across eight paired microbiome–metabolome cohorts. Bars show mean held-out multivariate predictive performance over five outer folds and error bars show fold standard deviations. Reduced-rank regression selected one to five dimensions but generally did not dominate principal-components or ridge regression. Error bars summarize variation across folds rather than independent biological replicates.</w:t>
      </w:r>
    </w:p>
    <w:p w14:paraId="1C2CBAE9" w14:textId="77777777" w:rsidR="006C0566" w:rsidRDefault="002B094F">
      <w:r>
        <w:t>Fig. 3 | Sample size changes the signal required to recover predictive rank. Each point shows the smallest tested population-signal level at which the median selected reduced-rank-regression dimension reached at least five in a true rank-ten simulation matched to the rank-selection sample size of one cohort. The left axis gives signal share per true direction; the right axis gives total population signal on the simulated grid. Each threshold is derived from one hundred independently generated datasets at each tested condition. These are simulation-derived detection thresholds, not measured cohort signal strengths.</w:t>
      </w:r>
    </w:p>
    <w:p w14:paraId="7B0B3D28" w14:textId="77777777" w:rsidR="006C0566" w:rsidRDefault="002B094F">
      <w:r>
        <w:lastRenderedPageBreak/>
        <w:t>Fig. 4 | A low participation dimension does not imply that the hCom2* consumption matrix can be reduced to low rank without losing prediction. a, Passage-three Pearson correlation for reconstruction-selected ordinary non-negative matrix factorization (NMF) and support-preserving latent-strength models across tested dimensions. The dashed horizontal line shows the full-model correlation; vertical dotted lines mark the first passing dimensions under the primary selected-seed rule. b, Fraction of the twenty deterministic factorization seeds satisfying the prespecified prediction criterion at each tested dimension. Under the reconstruction-selected-seed rule the first passing dimensions are fifty-two and six for ordinary and support-preserving approximations, respectively; the corresponding majority-seed thresholds are fifty-seven and six, and all-seed thresholds are sixty and twelve (Table 1). The support-preserving latent count applies only to positive strengths conditional on the fixed observed support mask.</w:t>
      </w:r>
    </w:p>
    <w:p w14:paraId="7936106D" w14:textId="77777777" w:rsidR="006C0566" w:rsidRDefault="002B094F">
      <w:r>
        <w:t>Fig. 5 | Independent test of the resource-sharing support map in Ho et al. Bars show author-style prediction error for the sixty-four prespecified random three-to-thirteen-species assemblies. The published support performs better than species-specific and other simplified structures and better than the species-identity-shuffled control. The hatched degree-preserving rewire family is descriptive rather than decisive because only seventy-five of one hundred parameterizations met the prespecified validity requirement. Table 2 reports the corresponding effect sizes and validity counts.</w:t>
      </w:r>
    </w:p>
    <w:p w14:paraId="2A213131" w14:textId="77777777" w:rsidR="006C0566" w:rsidRDefault="002B094F">
      <w:r>
        <w:t xml:space="preserve">Table 1 | Functional-sufficiency thresholds in hCom2 under three seed criteria. Values are the first tested dimensions satisfying the prespecified prediction criterion. The support-preserving latent dimension describes positive strengths conditional on the </w:t>
      </w:r>
      <w:r>
        <w:lastRenderedPageBreak/>
        <w:t>fixed observed support mask; it is not the ordinary rank of the complete consumption matrix.</w:t>
      </w:r>
    </w:p>
    <w:tbl>
      <w:tblPr>
        <w:tblStyle w:val="TableGrid"/>
        <w:tblW w:w="0" w:type="auto"/>
        <w:jc w:val="center"/>
        <w:tblLook w:val="04A0" w:firstRow="1" w:lastRow="0" w:firstColumn="1" w:lastColumn="0" w:noHBand="0" w:noVBand="1"/>
      </w:tblPr>
      <w:tblGrid>
        <w:gridCol w:w="2340"/>
        <w:gridCol w:w="2340"/>
        <w:gridCol w:w="2340"/>
        <w:gridCol w:w="2340"/>
      </w:tblGrid>
      <w:tr w:rsidR="006C0566" w:rsidRPr="00AD7804" w14:paraId="777D10EF" w14:textId="77777777">
        <w:trPr>
          <w:jc w:val="center"/>
        </w:trPr>
        <w:tc>
          <w:tcPr>
            <w:tcW w:w="2340" w:type="dxa"/>
            <w:shd w:val="clear" w:color="auto" w:fill="E7E6E6"/>
            <w:vAlign w:val="center"/>
          </w:tcPr>
          <w:p w14:paraId="5668E790" w14:textId="77777777" w:rsidR="006C0566" w:rsidRPr="00AD7804" w:rsidRDefault="002B094F">
            <w:pPr>
              <w:rPr>
                <w:sz w:val="20"/>
                <w:szCs w:val="20"/>
              </w:rPr>
            </w:pPr>
            <w:r w:rsidRPr="00AD7804">
              <w:rPr>
                <w:b/>
                <w:sz w:val="20"/>
                <w:szCs w:val="20"/>
              </w:rPr>
              <w:t>Approximation family</w:t>
            </w:r>
          </w:p>
        </w:tc>
        <w:tc>
          <w:tcPr>
            <w:tcW w:w="2340" w:type="dxa"/>
            <w:shd w:val="clear" w:color="auto" w:fill="E7E6E6"/>
            <w:vAlign w:val="center"/>
          </w:tcPr>
          <w:p w14:paraId="11885316" w14:textId="77777777" w:rsidR="006C0566" w:rsidRPr="00AD7804" w:rsidRDefault="002B094F">
            <w:pPr>
              <w:rPr>
                <w:sz w:val="20"/>
                <w:szCs w:val="20"/>
              </w:rPr>
            </w:pPr>
            <w:r w:rsidRPr="00AD7804">
              <w:rPr>
                <w:b/>
                <w:sz w:val="20"/>
                <w:szCs w:val="20"/>
              </w:rPr>
              <w:t>Selected seed</w:t>
            </w:r>
          </w:p>
        </w:tc>
        <w:tc>
          <w:tcPr>
            <w:tcW w:w="2340" w:type="dxa"/>
            <w:shd w:val="clear" w:color="auto" w:fill="E7E6E6"/>
            <w:vAlign w:val="center"/>
          </w:tcPr>
          <w:p w14:paraId="35E82951" w14:textId="77777777" w:rsidR="006C0566" w:rsidRPr="00AD7804" w:rsidRDefault="002B094F">
            <w:pPr>
              <w:rPr>
                <w:sz w:val="20"/>
                <w:szCs w:val="20"/>
              </w:rPr>
            </w:pPr>
            <w:r w:rsidRPr="00AD7804">
              <w:rPr>
                <w:b/>
                <w:sz w:val="20"/>
                <w:szCs w:val="20"/>
              </w:rPr>
              <w:t>Majority of seeds</w:t>
            </w:r>
          </w:p>
        </w:tc>
        <w:tc>
          <w:tcPr>
            <w:tcW w:w="2340" w:type="dxa"/>
            <w:shd w:val="clear" w:color="auto" w:fill="E7E6E6"/>
            <w:vAlign w:val="center"/>
          </w:tcPr>
          <w:p w14:paraId="2685D65A" w14:textId="77777777" w:rsidR="006C0566" w:rsidRPr="00AD7804" w:rsidRDefault="002B094F">
            <w:pPr>
              <w:rPr>
                <w:sz w:val="20"/>
                <w:szCs w:val="20"/>
              </w:rPr>
            </w:pPr>
            <w:r w:rsidRPr="00AD7804">
              <w:rPr>
                <w:b/>
                <w:sz w:val="20"/>
                <w:szCs w:val="20"/>
              </w:rPr>
              <w:t>All seeds</w:t>
            </w:r>
          </w:p>
        </w:tc>
      </w:tr>
      <w:tr w:rsidR="006C0566" w:rsidRPr="00AD7804" w14:paraId="022E0855" w14:textId="77777777">
        <w:trPr>
          <w:jc w:val="center"/>
        </w:trPr>
        <w:tc>
          <w:tcPr>
            <w:tcW w:w="2340" w:type="dxa"/>
            <w:vAlign w:val="center"/>
          </w:tcPr>
          <w:p w14:paraId="13FFA3A7" w14:textId="77777777" w:rsidR="006C0566" w:rsidRPr="00AD7804" w:rsidRDefault="002B094F">
            <w:pPr>
              <w:rPr>
                <w:sz w:val="20"/>
                <w:szCs w:val="20"/>
              </w:rPr>
            </w:pPr>
            <w:r w:rsidRPr="00AD7804">
              <w:rPr>
                <w:sz w:val="20"/>
                <w:szCs w:val="20"/>
              </w:rPr>
              <w:t>Ordinary nonnegative factorization</w:t>
            </w:r>
          </w:p>
        </w:tc>
        <w:tc>
          <w:tcPr>
            <w:tcW w:w="2340" w:type="dxa"/>
            <w:vAlign w:val="center"/>
          </w:tcPr>
          <w:p w14:paraId="5135F6B0" w14:textId="77777777" w:rsidR="006C0566" w:rsidRPr="00AD7804" w:rsidRDefault="002B094F">
            <w:pPr>
              <w:rPr>
                <w:sz w:val="20"/>
                <w:szCs w:val="20"/>
              </w:rPr>
            </w:pPr>
            <m:oMathPara>
              <m:oMath>
                <m:r>
                  <w:rPr>
                    <w:rFonts w:ascii="Cambria Math" w:hAnsi="Cambria Math"/>
                    <w:sz w:val="20"/>
                    <w:szCs w:val="20"/>
                  </w:rPr>
                  <m:t>52</m:t>
                </m:r>
              </m:oMath>
            </m:oMathPara>
          </w:p>
        </w:tc>
        <w:tc>
          <w:tcPr>
            <w:tcW w:w="2340" w:type="dxa"/>
            <w:vAlign w:val="center"/>
          </w:tcPr>
          <w:p w14:paraId="1E45A08C" w14:textId="77777777" w:rsidR="006C0566" w:rsidRPr="00AD7804" w:rsidRDefault="002B094F">
            <w:pPr>
              <w:rPr>
                <w:sz w:val="20"/>
                <w:szCs w:val="20"/>
              </w:rPr>
            </w:pPr>
            <m:oMathPara>
              <m:oMath>
                <m:r>
                  <w:rPr>
                    <w:rFonts w:ascii="Cambria Math" w:hAnsi="Cambria Math"/>
                    <w:sz w:val="20"/>
                    <w:szCs w:val="20"/>
                  </w:rPr>
                  <m:t>57</m:t>
                </m:r>
              </m:oMath>
            </m:oMathPara>
          </w:p>
        </w:tc>
        <w:tc>
          <w:tcPr>
            <w:tcW w:w="2340" w:type="dxa"/>
            <w:vAlign w:val="center"/>
          </w:tcPr>
          <w:p w14:paraId="702CCFD5" w14:textId="77777777" w:rsidR="006C0566" w:rsidRPr="00AD7804" w:rsidRDefault="002B094F">
            <w:pPr>
              <w:rPr>
                <w:sz w:val="20"/>
                <w:szCs w:val="20"/>
              </w:rPr>
            </w:pPr>
            <m:oMathPara>
              <m:oMath>
                <m:r>
                  <w:rPr>
                    <w:rFonts w:ascii="Cambria Math" w:hAnsi="Cambria Math"/>
                    <w:sz w:val="20"/>
                    <w:szCs w:val="20"/>
                  </w:rPr>
                  <m:t>60</m:t>
                </m:r>
              </m:oMath>
            </m:oMathPara>
          </w:p>
        </w:tc>
      </w:tr>
      <w:tr w:rsidR="006C0566" w:rsidRPr="00AD7804" w14:paraId="1E970E2B" w14:textId="77777777">
        <w:trPr>
          <w:jc w:val="center"/>
        </w:trPr>
        <w:tc>
          <w:tcPr>
            <w:tcW w:w="2340" w:type="dxa"/>
            <w:vAlign w:val="center"/>
          </w:tcPr>
          <w:p w14:paraId="3B025236" w14:textId="77777777" w:rsidR="006C0566" w:rsidRPr="00AD7804" w:rsidRDefault="002B094F">
            <w:pPr>
              <w:rPr>
                <w:sz w:val="20"/>
                <w:szCs w:val="20"/>
              </w:rPr>
            </w:pPr>
            <w:r w:rsidRPr="00AD7804">
              <w:rPr>
                <w:sz w:val="20"/>
                <w:szCs w:val="20"/>
              </w:rPr>
              <w:t>Support-preserving latent strengths</w:t>
            </w:r>
          </w:p>
        </w:tc>
        <w:tc>
          <w:tcPr>
            <w:tcW w:w="2340" w:type="dxa"/>
            <w:vAlign w:val="center"/>
          </w:tcPr>
          <w:p w14:paraId="6318B756" w14:textId="77777777" w:rsidR="006C0566" w:rsidRPr="00AD7804" w:rsidRDefault="002B094F">
            <w:pPr>
              <w:rPr>
                <w:sz w:val="20"/>
                <w:szCs w:val="20"/>
              </w:rPr>
            </w:pPr>
            <m:oMathPara>
              <m:oMath>
                <m:r>
                  <w:rPr>
                    <w:rFonts w:ascii="Cambria Math" w:hAnsi="Cambria Math"/>
                    <w:sz w:val="20"/>
                    <w:szCs w:val="20"/>
                  </w:rPr>
                  <m:t>6</m:t>
                </m:r>
              </m:oMath>
            </m:oMathPara>
          </w:p>
        </w:tc>
        <w:tc>
          <w:tcPr>
            <w:tcW w:w="2340" w:type="dxa"/>
            <w:vAlign w:val="center"/>
          </w:tcPr>
          <w:p w14:paraId="463E474B" w14:textId="77777777" w:rsidR="006C0566" w:rsidRPr="00AD7804" w:rsidRDefault="002B094F">
            <w:pPr>
              <w:rPr>
                <w:sz w:val="20"/>
                <w:szCs w:val="20"/>
              </w:rPr>
            </w:pPr>
            <m:oMathPara>
              <m:oMath>
                <m:r>
                  <w:rPr>
                    <w:rFonts w:ascii="Cambria Math" w:hAnsi="Cambria Math"/>
                    <w:sz w:val="20"/>
                    <w:szCs w:val="20"/>
                  </w:rPr>
                  <m:t>6</m:t>
                </m:r>
              </m:oMath>
            </m:oMathPara>
          </w:p>
        </w:tc>
        <w:tc>
          <w:tcPr>
            <w:tcW w:w="2340" w:type="dxa"/>
            <w:vAlign w:val="center"/>
          </w:tcPr>
          <w:p w14:paraId="5E41D50C" w14:textId="77777777" w:rsidR="006C0566" w:rsidRPr="00AD7804" w:rsidRDefault="002B094F">
            <w:pPr>
              <w:rPr>
                <w:sz w:val="20"/>
                <w:szCs w:val="20"/>
              </w:rPr>
            </w:pPr>
            <m:oMathPara>
              <m:oMath>
                <m:r>
                  <w:rPr>
                    <w:rFonts w:ascii="Cambria Math" w:hAnsi="Cambria Math"/>
                    <w:sz w:val="20"/>
                    <w:szCs w:val="20"/>
                  </w:rPr>
                  <m:t>12</m:t>
                </m:r>
              </m:oMath>
            </m:oMathPara>
          </w:p>
        </w:tc>
      </w:tr>
    </w:tbl>
    <w:p w14:paraId="2407552D" w14:textId="77777777" w:rsidR="00AD7804" w:rsidRDefault="00AD7804"/>
    <w:p w14:paraId="485B52C0" w14:textId="77777777" w:rsidR="006C0566" w:rsidRDefault="002B094F">
      <w:r>
        <w:t>Table 2 | Independent resource-sharing support controls in the Ho et al. system. Primary error is the mean author-style prediction error over the sixty-four prespecified random multispecies assemblies. Published advantage is the relative error reduction of the published support compared with each control. The degree-preserving family is exploratory because its validity rate fell below the prespecified threshold.</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6C0566" w14:paraId="617048A9" w14:textId="77777777">
        <w:trPr>
          <w:jc w:val="center"/>
        </w:trPr>
        <w:tc>
          <w:tcPr>
            <w:tcW w:w="1560" w:type="dxa"/>
            <w:shd w:val="clear" w:color="auto" w:fill="E7E6E6"/>
            <w:vAlign w:val="center"/>
          </w:tcPr>
          <w:p w14:paraId="72825A73" w14:textId="77777777" w:rsidR="006C0566" w:rsidRPr="00AD7804" w:rsidRDefault="002B094F">
            <w:pPr>
              <w:rPr>
                <w:sz w:val="20"/>
                <w:szCs w:val="20"/>
              </w:rPr>
            </w:pPr>
            <w:r w:rsidRPr="00AD7804">
              <w:rPr>
                <w:b/>
                <w:sz w:val="20"/>
                <w:szCs w:val="20"/>
              </w:rPr>
              <w:t>Support model</w:t>
            </w:r>
          </w:p>
        </w:tc>
        <w:tc>
          <w:tcPr>
            <w:tcW w:w="1560" w:type="dxa"/>
            <w:shd w:val="clear" w:color="auto" w:fill="E7E6E6"/>
            <w:vAlign w:val="center"/>
          </w:tcPr>
          <w:p w14:paraId="0DD4F1A8" w14:textId="77777777" w:rsidR="006C0566" w:rsidRPr="00AD7804" w:rsidRDefault="002B094F">
            <w:pPr>
              <w:rPr>
                <w:sz w:val="20"/>
                <w:szCs w:val="20"/>
              </w:rPr>
            </w:pPr>
            <w:r w:rsidRPr="00AD7804">
              <w:rPr>
                <w:b/>
                <w:sz w:val="20"/>
                <w:szCs w:val="20"/>
              </w:rPr>
              <w:t>Runs</w:t>
            </w:r>
          </w:p>
        </w:tc>
        <w:tc>
          <w:tcPr>
            <w:tcW w:w="1560" w:type="dxa"/>
            <w:shd w:val="clear" w:color="auto" w:fill="E7E6E6"/>
            <w:vAlign w:val="center"/>
          </w:tcPr>
          <w:p w14:paraId="3D476185" w14:textId="77777777" w:rsidR="006C0566" w:rsidRPr="00AD7804" w:rsidRDefault="002B094F">
            <w:pPr>
              <w:rPr>
                <w:sz w:val="20"/>
                <w:szCs w:val="20"/>
              </w:rPr>
            </w:pPr>
            <w:r w:rsidRPr="00AD7804">
              <w:rPr>
                <w:b/>
                <w:sz w:val="20"/>
                <w:szCs w:val="20"/>
              </w:rPr>
              <w:t>Valid</w:t>
            </w:r>
          </w:p>
        </w:tc>
        <w:tc>
          <w:tcPr>
            <w:tcW w:w="1560" w:type="dxa"/>
            <w:shd w:val="clear" w:color="auto" w:fill="E7E6E6"/>
            <w:vAlign w:val="center"/>
          </w:tcPr>
          <w:p w14:paraId="7674FA96" w14:textId="77777777" w:rsidR="006C0566" w:rsidRPr="00AD7804" w:rsidRDefault="002B094F">
            <w:pPr>
              <w:rPr>
                <w:sz w:val="20"/>
                <w:szCs w:val="20"/>
              </w:rPr>
            </w:pPr>
            <w:r w:rsidRPr="00AD7804">
              <w:rPr>
                <w:b/>
                <w:sz w:val="20"/>
                <w:szCs w:val="20"/>
              </w:rPr>
              <w:t>Primary error</w:t>
            </w:r>
          </w:p>
        </w:tc>
        <w:tc>
          <w:tcPr>
            <w:tcW w:w="1560" w:type="dxa"/>
            <w:shd w:val="clear" w:color="auto" w:fill="E7E6E6"/>
            <w:vAlign w:val="center"/>
          </w:tcPr>
          <w:p w14:paraId="00BE5371" w14:textId="77777777" w:rsidR="006C0566" w:rsidRPr="00AD7804" w:rsidRDefault="002B094F">
            <w:pPr>
              <w:rPr>
                <w:sz w:val="20"/>
                <w:szCs w:val="20"/>
              </w:rPr>
            </w:pPr>
            <w:r w:rsidRPr="00AD7804">
              <w:rPr>
                <w:b/>
                <w:sz w:val="20"/>
                <w:szCs w:val="20"/>
              </w:rPr>
              <w:t>Published advantage</w:t>
            </w:r>
          </w:p>
        </w:tc>
        <w:tc>
          <w:tcPr>
            <w:tcW w:w="1560" w:type="dxa"/>
            <w:shd w:val="clear" w:color="auto" w:fill="E7E6E6"/>
            <w:vAlign w:val="center"/>
          </w:tcPr>
          <w:p w14:paraId="2093CEC6" w14:textId="77777777" w:rsidR="006C0566" w:rsidRPr="00AD7804" w:rsidRDefault="002B094F">
            <w:pPr>
              <w:rPr>
                <w:sz w:val="20"/>
                <w:szCs w:val="20"/>
              </w:rPr>
            </w:pPr>
            <w:r w:rsidRPr="00AD7804">
              <w:rPr>
                <w:b/>
                <w:sz w:val="20"/>
                <w:szCs w:val="20"/>
              </w:rPr>
              <w:t>Assembly wins</w:t>
            </w:r>
          </w:p>
        </w:tc>
      </w:tr>
      <w:tr w:rsidR="006C0566" w14:paraId="20809957" w14:textId="77777777">
        <w:trPr>
          <w:jc w:val="center"/>
        </w:trPr>
        <w:tc>
          <w:tcPr>
            <w:tcW w:w="1560" w:type="dxa"/>
            <w:vAlign w:val="center"/>
          </w:tcPr>
          <w:p w14:paraId="2BA072B8" w14:textId="77777777" w:rsidR="006C0566" w:rsidRPr="00AD7804" w:rsidRDefault="002B094F">
            <w:pPr>
              <w:rPr>
                <w:sz w:val="20"/>
                <w:szCs w:val="20"/>
              </w:rPr>
            </w:pPr>
            <w:r w:rsidRPr="00AD7804">
              <w:rPr>
                <w:sz w:val="20"/>
                <w:szCs w:val="20"/>
              </w:rPr>
              <w:t>Published support</w:t>
            </w:r>
          </w:p>
        </w:tc>
        <w:tc>
          <w:tcPr>
            <w:tcW w:w="1560" w:type="dxa"/>
            <w:vAlign w:val="center"/>
          </w:tcPr>
          <w:p w14:paraId="455DCD9E"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3AA5F8E5"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0C4A4282" w14:textId="77777777" w:rsidR="006C0566" w:rsidRPr="00AD7804" w:rsidRDefault="002B094F">
            <w:pPr>
              <w:rPr>
                <w:sz w:val="20"/>
                <w:szCs w:val="20"/>
              </w:rPr>
            </w:pPr>
            <m:oMathPara>
              <m:oMath>
                <m:r>
                  <w:rPr>
                    <w:rFonts w:ascii="Cambria Math" w:hAnsi="Cambria Math"/>
                    <w:sz w:val="20"/>
                    <w:szCs w:val="20"/>
                  </w:rPr>
                  <m:t>1.725</m:t>
                </m:r>
              </m:oMath>
            </m:oMathPara>
          </w:p>
        </w:tc>
        <w:tc>
          <w:tcPr>
            <w:tcW w:w="1560" w:type="dxa"/>
            <w:vAlign w:val="center"/>
          </w:tcPr>
          <w:p w14:paraId="17E63C7C" w14:textId="77777777" w:rsidR="006C0566" w:rsidRPr="00AD7804" w:rsidRDefault="002B094F">
            <w:pPr>
              <w:rPr>
                <w:sz w:val="20"/>
                <w:szCs w:val="20"/>
              </w:rPr>
            </w:pPr>
            <w:r w:rsidRPr="00AD7804">
              <w:rPr>
                <w:sz w:val="20"/>
                <w:szCs w:val="20"/>
              </w:rPr>
              <w:t>—</w:t>
            </w:r>
          </w:p>
        </w:tc>
        <w:tc>
          <w:tcPr>
            <w:tcW w:w="1560" w:type="dxa"/>
            <w:vAlign w:val="center"/>
          </w:tcPr>
          <w:p w14:paraId="76AB30EB" w14:textId="77777777" w:rsidR="006C0566" w:rsidRPr="00AD7804" w:rsidRDefault="002B094F">
            <w:pPr>
              <w:rPr>
                <w:sz w:val="20"/>
                <w:szCs w:val="20"/>
              </w:rPr>
            </w:pPr>
            <w:r w:rsidRPr="00AD7804">
              <w:rPr>
                <w:sz w:val="20"/>
                <w:szCs w:val="20"/>
              </w:rPr>
              <w:t>—</w:t>
            </w:r>
          </w:p>
        </w:tc>
      </w:tr>
      <w:tr w:rsidR="006C0566" w14:paraId="39090B25" w14:textId="77777777">
        <w:trPr>
          <w:jc w:val="center"/>
        </w:trPr>
        <w:tc>
          <w:tcPr>
            <w:tcW w:w="1560" w:type="dxa"/>
            <w:vAlign w:val="center"/>
          </w:tcPr>
          <w:p w14:paraId="00875CBA" w14:textId="77777777" w:rsidR="006C0566" w:rsidRPr="00AD7804" w:rsidRDefault="002B094F">
            <w:pPr>
              <w:rPr>
                <w:sz w:val="20"/>
                <w:szCs w:val="20"/>
              </w:rPr>
            </w:pPr>
            <w:r w:rsidRPr="00AD7804">
              <w:rPr>
                <w:sz w:val="20"/>
                <w:szCs w:val="20"/>
              </w:rPr>
              <w:t>Species-specific only</w:t>
            </w:r>
          </w:p>
        </w:tc>
        <w:tc>
          <w:tcPr>
            <w:tcW w:w="1560" w:type="dxa"/>
            <w:vAlign w:val="center"/>
          </w:tcPr>
          <w:p w14:paraId="63FCEEEF"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79673CD6"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0895C645" w14:textId="77777777" w:rsidR="006C0566" w:rsidRPr="00AD7804" w:rsidRDefault="002B094F">
            <w:pPr>
              <w:rPr>
                <w:sz w:val="20"/>
                <w:szCs w:val="20"/>
              </w:rPr>
            </w:pPr>
            <m:oMathPara>
              <m:oMath>
                <m:r>
                  <w:rPr>
                    <w:rFonts w:ascii="Cambria Math" w:hAnsi="Cambria Math"/>
                    <w:sz w:val="20"/>
                    <w:szCs w:val="20"/>
                  </w:rPr>
                  <m:t>2.135</m:t>
                </m:r>
              </m:oMath>
            </m:oMathPara>
          </w:p>
        </w:tc>
        <w:tc>
          <w:tcPr>
            <w:tcW w:w="1560" w:type="dxa"/>
            <w:vAlign w:val="center"/>
          </w:tcPr>
          <w:p w14:paraId="74E40786" w14:textId="77777777" w:rsidR="006C0566" w:rsidRPr="00AD7804" w:rsidRDefault="002B094F">
            <w:pPr>
              <w:rPr>
                <w:sz w:val="20"/>
                <w:szCs w:val="20"/>
              </w:rPr>
            </w:pPr>
            <m:oMathPara>
              <m:oMath>
                <m:r>
                  <w:rPr>
                    <w:rFonts w:ascii="Cambria Math" w:hAnsi="Cambria Math"/>
                    <w:sz w:val="20"/>
                    <w:szCs w:val="20"/>
                  </w:rPr>
                  <m:t>19.2%</m:t>
                </m:r>
              </m:oMath>
            </m:oMathPara>
          </w:p>
        </w:tc>
        <w:tc>
          <w:tcPr>
            <w:tcW w:w="1560" w:type="dxa"/>
            <w:vAlign w:val="center"/>
          </w:tcPr>
          <w:p w14:paraId="6B01A44D" w14:textId="77777777" w:rsidR="006C0566" w:rsidRPr="00AD7804" w:rsidRDefault="002B094F">
            <w:pPr>
              <w:rPr>
                <w:sz w:val="20"/>
                <w:szCs w:val="20"/>
              </w:rPr>
            </w:pPr>
            <m:oMathPara>
              <m:oMath>
                <m:r>
                  <w:rPr>
                    <w:rFonts w:ascii="Cambria Math" w:hAnsi="Cambria Math"/>
                    <w:sz w:val="20"/>
                    <w:szCs w:val="20"/>
                  </w:rPr>
                  <m:t>50/64</m:t>
                </m:r>
              </m:oMath>
            </m:oMathPara>
          </w:p>
        </w:tc>
      </w:tr>
      <w:tr w:rsidR="006C0566" w14:paraId="2506B7C9" w14:textId="77777777">
        <w:trPr>
          <w:jc w:val="center"/>
        </w:trPr>
        <w:tc>
          <w:tcPr>
            <w:tcW w:w="1560" w:type="dxa"/>
            <w:vAlign w:val="center"/>
          </w:tcPr>
          <w:p w14:paraId="2AFD56F2" w14:textId="77777777" w:rsidR="006C0566" w:rsidRPr="00AD7804" w:rsidRDefault="002B094F">
            <w:pPr>
              <w:rPr>
                <w:sz w:val="20"/>
                <w:szCs w:val="20"/>
              </w:rPr>
            </w:pPr>
            <w:r w:rsidRPr="00AD7804">
              <w:rPr>
                <w:sz w:val="20"/>
                <w:szCs w:val="20"/>
              </w:rPr>
              <w:t>Specific + pairwise</w:t>
            </w:r>
          </w:p>
        </w:tc>
        <w:tc>
          <w:tcPr>
            <w:tcW w:w="1560" w:type="dxa"/>
            <w:vAlign w:val="center"/>
          </w:tcPr>
          <w:p w14:paraId="53FD46D9"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3693D0DE"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5FC0ACEA" w14:textId="77777777" w:rsidR="006C0566" w:rsidRPr="00AD7804" w:rsidRDefault="002B094F">
            <w:pPr>
              <w:rPr>
                <w:sz w:val="20"/>
                <w:szCs w:val="20"/>
              </w:rPr>
            </w:pPr>
            <m:oMathPara>
              <m:oMath>
                <m:r>
                  <w:rPr>
                    <w:rFonts w:ascii="Cambria Math" w:hAnsi="Cambria Math"/>
                    <w:sz w:val="20"/>
                    <w:szCs w:val="20"/>
                  </w:rPr>
                  <m:t>2.080</m:t>
                </m:r>
              </m:oMath>
            </m:oMathPara>
          </w:p>
        </w:tc>
        <w:tc>
          <w:tcPr>
            <w:tcW w:w="1560" w:type="dxa"/>
            <w:vAlign w:val="center"/>
          </w:tcPr>
          <w:p w14:paraId="7DB665CB" w14:textId="77777777" w:rsidR="006C0566" w:rsidRPr="00AD7804" w:rsidRDefault="002B094F">
            <w:pPr>
              <w:rPr>
                <w:sz w:val="20"/>
                <w:szCs w:val="20"/>
              </w:rPr>
            </w:pPr>
            <m:oMathPara>
              <m:oMath>
                <m:r>
                  <w:rPr>
                    <w:rFonts w:ascii="Cambria Math" w:hAnsi="Cambria Math"/>
                    <w:sz w:val="20"/>
                    <w:szCs w:val="20"/>
                  </w:rPr>
                  <m:t>17.0%</m:t>
                </m:r>
              </m:oMath>
            </m:oMathPara>
          </w:p>
        </w:tc>
        <w:tc>
          <w:tcPr>
            <w:tcW w:w="1560" w:type="dxa"/>
            <w:vAlign w:val="center"/>
          </w:tcPr>
          <w:p w14:paraId="596C2650" w14:textId="77777777" w:rsidR="006C0566" w:rsidRPr="00AD7804" w:rsidRDefault="002B094F">
            <w:pPr>
              <w:rPr>
                <w:sz w:val="20"/>
                <w:szCs w:val="20"/>
              </w:rPr>
            </w:pPr>
            <m:oMathPara>
              <m:oMath>
                <m:r>
                  <w:rPr>
                    <w:rFonts w:ascii="Cambria Math" w:hAnsi="Cambria Math"/>
                    <w:sz w:val="20"/>
                    <w:szCs w:val="20"/>
                  </w:rPr>
                  <m:t>51/64</m:t>
                </m:r>
              </m:oMath>
            </m:oMathPara>
          </w:p>
        </w:tc>
      </w:tr>
      <w:tr w:rsidR="006C0566" w14:paraId="464D35FA" w14:textId="77777777">
        <w:trPr>
          <w:jc w:val="center"/>
        </w:trPr>
        <w:tc>
          <w:tcPr>
            <w:tcW w:w="1560" w:type="dxa"/>
            <w:vAlign w:val="center"/>
          </w:tcPr>
          <w:p w14:paraId="0DC56301" w14:textId="77777777" w:rsidR="006C0566" w:rsidRPr="00AD7804" w:rsidRDefault="002B094F">
            <w:pPr>
              <w:rPr>
                <w:sz w:val="20"/>
                <w:szCs w:val="20"/>
              </w:rPr>
            </w:pPr>
            <w:r w:rsidRPr="00AD7804">
              <w:rPr>
                <w:sz w:val="20"/>
                <w:szCs w:val="20"/>
              </w:rPr>
              <w:t>Specific + all-but-one</w:t>
            </w:r>
          </w:p>
        </w:tc>
        <w:tc>
          <w:tcPr>
            <w:tcW w:w="1560" w:type="dxa"/>
            <w:vAlign w:val="center"/>
          </w:tcPr>
          <w:p w14:paraId="6873CDB1"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3DA6DF36" w14:textId="77777777" w:rsidR="006C0566" w:rsidRPr="00AD7804" w:rsidRDefault="002B094F">
            <w:pPr>
              <w:rPr>
                <w:sz w:val="20"/>
                <w:szCs w:val="20"/>
              </w:rPr>
            </w:pPr>
            <m:oMathPara>
              <m:oMath>
                <m:r>
                  <w:rPr>
                    <w:rFonts w:ascii="Cambria Math" w:hAnsi="Cambria Math"/>
                    <w:sz w:val="20"/>
                    <w:szCs w:val="20"/>
                  </w:rPr>
                  <m:t>1</m:t>
                </m:r>
              </m:oMath>
            </m:oMathPara>
          </w:p>
        </w:tc>
        <w:tc>
          <w:tcPr>
            <w:tcW w:w="1560" w:type="dxa"/>
            <w:vAlign w:val="center"/>
          </w:tcPr>
          <w:p w14:paraId="45CDE146" w14:textId="77777777" w:rsidR="006C0566" w:rsidRPr="00AD7804" w:rsidRDefault="002B094F">
            <w:pPr>
              <w:rPr>
                <w:sz w:val="20"/>
                <w:szCs w:val="20"/>
              </w:rPr>
            </w:pPr>
            <m:oMathPara>
              <m:oMath>
                <m:r>
                  <w:rPr>
                    <w:rFonts w:ascii="Cambria Math" w:hAnsi="Cambria Math"/>
                    <w:sz w:val="20"/>
                    <w:szCs w:val="20"/>
                  </w:rPr>
                  <m:t>3.292</m:t>
                </m:r>
              </m:oMath>
            </m:oMathPara>
          </w:p>
        </w:tc>
        <w:tc>
          <w:tcPr>
            <w:tcW w:w="1560" w:type="dxa"/>
            <w:vAlign w:val="center"/>
          </w:tcPr>
          <w:p w14:paraId="06481F49" w14:textId="77777777" w:rsidR="006C0566" w:rsidRPr="00AD7804" w:rsidRDefault="002B094F">
            <w:pPr>
              <w:rPr>
                <w:sz w:val="20"/>
                <w:szCs w:val="20"/>
              </w:rPr>
            </w:pPr>
            <m:oMathPara>
              <m:oMath>
                <m:r>
                  <w:rPr>
                    <w:rFonts w:ascii="Cambria Math" w:hAnsi="Cambria Math"/>
                    <w:sz w:val="20"/>
                    <w:szCs w:val="20"/>
                  </w:rPr>
                  <m:t>47.6%</m:t>
                </m:r>
              </m:oMath>
            </m:oMathPara>
          </w:p>
        </w:tc>
        <w:tc>
          <w:tcPr>
            <w:tcW w:w="1560" w:type="dxa"/>
            <w:vAlign w:val="center"/>
          </w:tcPr>
          <w:p w14:paraId="17E4F9BB" w14:textId="77777777" w:rsidR="006C0566" w:rsidRPr="00AD7804" w:rsidRDefault="002B094F">
            <w:pPr>
              <w:rPr>
                <w:sz w:val="20"/>
                <w:szCs w:val="20"/>
              </w:rPr>
            </w:pPr>
            <m:oMathPara>
              <m:oMath>
                <m:r>
                  <w:rPr>
                    <w:rFonts w:ascii="Cambria Math" w:hAnsi="Cambria Math"/>
                    <w:sz w:val="20"/>
                    <w:szCs w:val="20"/>
                  </w:rPr>
                  <m:t>51/64</m:t>
                </m:r>
              </m:oMath>
            </m:oMathPara>
          </w:p>
        </w:tc>
      </w:tr>
      <w:tr w:rsidR="006C0566" w14:paraId="12469C41" w14:textId="77777777">
        <w:trPr>
          <w:jc w:val="center"/>
        </w:trPr>
        <w:tc>
          <w:tcPr>
            <w:tcW w:w="1560" w:type="dxa"/>
            <w:vAlign w:val="center"/>
          </w:tcPr>
          <w:p w14:paraId="1B1C96C2" w14:textId="77777777" w:rsidR="006C0566" w:rsidRPr="00AD7804" w:rsidRDefault="002B094F">
            <w:pPr>
              <w:rPr>
                <w:sz w:val="20"/>
                <w:szCs w:val="20"/>
              </w:rPr>
            </w:pPr>
            <w:r w:rsidRPr="00AD7804">
              <w:rPr>
                <w:sz w:val="20"/>
                <w:szCs w:val="20"/>
              </w:rPr>
              <w:t>Species-label shuffle</w:t>
            </w:r>
          </w:p>
        </w:tc>
        <w:tc>
          <w:tcPr>
            <w:tcW w:w="1560" w:type="dxa"/>
            <w:vAlign w:val="center"/>
          </w:tcPr>
          <w:p w14:paraId="32D04946" w14:textId="77777777" w:rsidR="006C0566" w:rsidRPr="00AD7804" w:rsidRDefault="002B094F">
            <w:pPr>
              <w:rPr>
                <w:sz w:val="20"/>
                <w:szCs w:val="20"/>
              </w:rPr>
            </w:pPr>
            <m:oMathPara>
              <m:oMath>
                <m:r>
                  <w:rPr>
                    <w:rFonts w:ascii="Cambria Math" w:hAnsi="Cambria Math"/>
                    <w:sz w:val="20"/>
                    <w:szCs w:val="20"/>
                  </w:rPr>
                  <m:t>100</m:t>
                </m:r>
              </m:oMath>
            </m:oMathPara>
          </w:p>
        </w:tc>
        <w:tc>
          <w:tcPr>
            <w:tcW w:w="1560" w:type="dxa"/>
            <w:vAlign w:val="center"/>
          </w:tcPr>
          <w:p w14:paraId="7B97D021" w14:textId="77777777" w:rsidR="006C0566" w:rsidRPr="00AD7804" w:rsidRDefault="002B094F">
            <w:pPr>
              <w:rPr>
                <w:sz w:val="20"/>
                <w:szCs w:val="20"/>
              </w:rPr>
            </w:pPr>
            <m:oMathPara>
              <m:oMath>
                <m:r>
                  <w:rPr>
                    <w:rFonts w:ascii="Cambria Math" w:hAnsi="Cambria Math"/>
                    <w:sz w:val="20"/>
                    <w:szCs w:val="20"/>
                  </w:rPr>
                  <m:t>100</m:t>
                </m:r>
              </m:oMath>
            </m:oMathPara>
          </w:p>
        </w:tc>
        <w:tc>
          <w:tcPr>
            <w:tcW w:w="1560" w:type="dxa"/>
            <w:vAlign w:val="center"/>
          </w:tcPr>
          <w:p w14:paraId="0A1869B1" w14:textId="77777777" w:rsidR="006C0566" w:rsidRPr="00AD7804" w:rsidRDefault="002B094F">
            <w:pPr>
              <w:rPr>
                <w:sz w:val="20"/>
                <w:szCs w:val="20"/>
              </w:rPr>
            </w:pPr>
            <m:oMathPara>
              <m:oMath>
                <m:r>
                  <w:rPr>
                    <w:rFonts w:ascii="Cambria Math" w:hAnsi="Cambria Math"/>
                    <w:sz w:val="20"/>
                    <w:szCs w:val="20"/>
                  </w:rPr>
                  <m:t>2.384</m:t>
                </m:r>
              </m:oMath>
            </m:oMathPara>
          </w:p>
        </w:tc>
        <w:tc>
          <w:tcPr>
            <w:tcW w:w="1560" w:type="dxa"/>
            <w:vAlign w:val="center"/>
          </w:tcPr>
          <w:p w14:paraId="659B6DC3" w14:textId="77777777" w:rsidR="006C0566" w:rsidRPr="00AD7804" w:rsidRDefault="002B094F">
            <w:pPr>
              <w:rPr>
                <w:sz w:val="20"/>
                <w:szCs w:val="20"/>
              </w:rPr>
            </w:pPr>
            <m:oMathPara>
              <m:oMath>
                <m:r>
                  <w:rPr>
                    <w:rFonts w:ascii="Cambria Math" w:hAnsi="Cambria Math"/>
                    <w:sz w:val="20"/>
                    <w:szCs w:val="20"/>
                  </w:rPr>
                  <m:t>27.6%</m:t>
                </m:r>
              </m:oMath>
            </m:oMathPara>
          </w:p>
        </w:tc>
        <w:tc>
          <w:tcPr>
            <w:tcW w:w="1560" w:type="dxa"/>
            <w:vAlign w:val="center"/>
          </w:tcPr>
          <w:p w14:paraId="16CEB01A" w14:textId="77777777" w:rsidR="006C0566" w:rsidRPr="00AD7804" w:rsidRDefault="002B094F">
            <w:pPr>
              <w:rPr>
                <w:sz w:val="20"/>
                <w:szCs w:val="20"/>
              </w:rPr>
            </w:pPr>
            <m:oMathPara>
              <m:oMath>
                <m:r>
                  <w:rPr>
                    <w:rFonts w:ascii="Cambria Math" w:hAnsi="Cambria Math"/>
                    <w:sz w:val="20"/>
                    <w:szCs w:val="20"/>
                  </w:rPr>
                  <m:t>56/64</m:t>
                </m:r>
              </m:oMath>
            </m:oMathPara>
          </w:p>
        </w:tc>
      </w:tr>
      <w:tr w:rsidR="006C0566" w14:paraId="05C682EE" w14:textId="77777777">
        <w:trPr>
          <w:jc w:val="center"/>
        </w:trPr>
        <w:tc>
          <w:tcPr>
            <w:tcW w:w="1560" w:type="dxa"/>
            <w:vAlign w:val="center"/>
          </w:tcPr>
          <w:p w14:paraId="39E5360A" w14:textId="77777777" w:rsidR="006C0566" w:rsidRPr="00AD7804" w:rsidRDefault="002B094F">
            <w:pPr>
              <w:rPr>
                <w:sz w:val="20"/>
                <w:szCs w:val="20"/>
              </w:rPr>
            </w:pPr>
            <w:r w:rsidRPr="00AD7804">
              <w:rPr>
                <w:sz w:val="20"/>
                <w:szCs w:val="20"/>
              </w:rPr>
              <w:t>Degree-preserving rewire</w:t>
            </w:r>
          </w:p>
        </w:tc>
        <w:tc>
          <w:tcPr>
            <w:tcW w:w="1560" w:type="dxa"/>
            <w:vAlign w:val="center"/>
          </w:tcPr>
          <w:p w14:paraId="295701F7" w14:textId="77777777" w:rsidR="006C0566" w:rsidRPr="00AD7804" w:rsidRDefault="002B094F">
            <w:pPr>
              <w:rPr>
                <w:sz w:val="20"/>
                <w:szCs w:val="20"/>
              </w:rPr>
            </w:pPr>
            <m:oMathPara>
              <m:oMath>
                <m:r>
                  <w:rPr>
                    <w:rFonts w:ascii="Cambria Math" w:hAnsi="Cambria Math"/>
                    <w:sz w:val="20"/>
                    <w:szCs w:val="20"/>
                  </w:rPr>
                  <m:t>100</m:t>
                </m:r>
              </m:oMath>
            </m:oMathPara>
          </w:p>
        </w:tc>
        <w:tc>
          <w:tcPr>
            <w:tcW w:w="1560" w:type="dxa"/>
            <w:vAlign w:val="center"/>
          </w:tcPr>
          <w:p w14:paraId="09F31C87" w14:textId="77777777" w:rsidR="006C0566" w:rsidRPr="00AD7804" w:rsidRDefault="002B094F">
            <w:pPr>
              <w:rPr>
                <w:sz w:val="20"/>
                <w:szCs w:val="20"/>
              </w:rPr>
            </w:pPr>
            <m:oMathPara>
              <m:oMath>
                <m:r>
                  <w:rPr>
                    <w:rFonts w:ascii="Cambria Math" w:hAnsi="Cambria Math"/>
                    <w:sz w:val="20"/>
                    <w:szCs w:val="20"/>
                  </w:rPr>
                  <m:t>75</m:t>
                </m:r>
              </m:oMath>
            </m:oMathPara>
          </w:p>
        </w:tc>
        <w:tc>
          <w:tcPr>
            <w:tcW w:w="1560" w:type="dxa"/>
            <w:vAlign w:val="center"/>
          </w:tcPr>
          <w:p w14:paraId="4E9A1892" w14:textId="77777777" w:rsidR="006C0566" w:rsidRPr="00AD7804" w:rsidRDefault="002B094F">
            <w:pPr>
              <w:rPr>
                <w:sz w:val="20"/>
                <w:szCs w:val="20"/>
              </w:rPr>
            </w:pPr>
            <m:oMathPara>
              <m:oMath>
                <m:r>
                  <w:rPr>
                    <w:rFonts w:ascii="Cambria Math" w:hAnsi="Cambria Math"/>
                    <w:sz w:val="20"/>
                    <w:szCs w:val="20"/>
                  </w:rPr>
                  <m:t>2.996</m:t>
                </m:r>
              </m:oMath>
            </m:oMathPara>
          </w:p>
        </w:tc>
        <w:tc>
          <w:tcPr>
            <w:tcW w:w="1560" w:type="dxa"/>
            <w:vAlign w:val="center"/>
          </w:tcPr>
          <w:p w14:paraId="08AD755B" w14:textId="77777777" w:rsidR="006C0566" w:rsidRPr="00AD7804" w:rsidRDefault="002B094F">
            <w:pPr>
              <w:rPr>
                <w:sz w:val="20"/>
                <w:szCs w:val="20"/>
              </w:rPr>
            </w:pPr>
            <m:oMathPara>
              <m:oMath>
                <m:r>
                  <w:rPr>
                    <w:rFonts w:ascii="Cambria Math" w:hAnsi="Cambria Math"/>
                    <w:sz w:val="20"/>
                    <w:szCs w:val="20"/>
                  </w:rPr>
                  <m:t>42.4%</m:t>
                </m:r>
              </m:oMath>
            </m:oMathPara>
          </w:p>
        </w:tc>
        <w:tc>
          <w:tcPr>
            <w:tcW w:w="1560" w:type="dxa"/>
            <w:vAlign w:val="center"/>
          </w:tcPr>
          <w:p w14:paraId="017BCF26" w14:textId="77777777" w:rsidR="006C0566" w:rsidRPr="00AD7804" w:rsidRDefault="002B094F">
            <w:pPr>
              <w:rPr>
                <w:sz w:val="20"/>
                <w:szCs w:val="20"/>
              </w:rPr>
            </w:pPr>
            <m:oMathPara>
              <m:oMath>
                <m:r>
                  <w:rPr>
                    <w:rFonts w:ascii="Cambria Math" w:hAnsi="Cambria Math"/>
                    <w:sz w:val="20"/>
                    <w:szCs w:val="20"/>
                  </w:rPr>
                  <m:t>57/64</m:t>
                </m:r>
              </m:oMath>
            </m:oMathPara>
          </w:p>
        </w:tc>
      </w:tr>
    </w:tbl>
    <w:p w14:paraId="2B9998B0" w14:textId="77777777" w:rsidR="002B094F" w:rsidRDefault="002B094F"/>
    <w:sectPr w:rsidR="002B094F" w:rsidSect="00034616">
      <w:footerReference w:type="default" r:id="rId8"/>
      <w:pgSz w:w="12240" w:h="15840"/>
      <w:pgMar w:top="1440" w:right="1440" w:bottom="1440" w:left="1440" w:header="720" w:footer="720" w:gutter="0"/>
      <w:lnNumType w:countBy="5"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2ABF8F" w14:textId="77777777" w:rsidR="00C646DA" w:rsidRDefault="00C646DA">
      <w:pPr>
        <w:spacing w:line="240" w:lineRule="auto"/>
      </w:pPr>
      <w:r>
        <w:separator/>
      </w:r>
    </w:p>
  </w:endnote>
  <w:endnote w:type="continuationSeparator" w:id="0">
    <w:p w14:paraId="7DC3CAA0" w14:textId="77777777" w:rsidR="00C646DA" w:rsidRDefault="00C646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2B7A4" w14:textId="77777777" w:rsidR="00753E44" w:rsidRDefault="001E0DC1">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68BC5F" w14:textId="77777777" w:rsidR="00C646DA" w:rsidRDefault="00C646DA">
      <w:pPr>
        <w:spacing w:line="240" w:lineRule="auto"/>
      </w:pPr>
      <w:r>
        <w:separator/>
      </w:r>
    </w:p>
  </w:footnote>
  <w:footnote w:type="continuationSeparator" w:id="0">
    <w:p w14:paraId="6B1F501C" w14:textId="77777777" w:rsidR="00C646DA" w:rsidRDefault="00C646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685211">
    <w:abstractNumId w:val="8"/>
  </w:num>
  <w:num w:numId="2" w16cid:durableId="1664508056">
    <w:abstractNumId w:val="6"/>
  </w:num>
  <w:num w:numId="3" w16cid:durableId="305010352">
    <w:abstractNumId w:val="5"/>
  </w:num>
  <w:num w:numId="4" w16cid:durableId="27724021">
    <w:abstractNumId w:val="4"/>
  </w:num>
  <w:num w:numId="5" w16cid:durableId="2007048066">
    <w:abstractNumId w:val="7"/>
  </w:num>
  <w:num w:numId="6" w16cid:durableId="1047417603">
    <w:abstractNumId w:val="3"/>
  </w:num>
  <w:num w:numId="7" w16cid:durableId="313066256">
    <w:abstractNumId w:val="2"/>
  </w:num>
  <w:num w:numId="8" w16cid:durableId="337392557">
    <w:abstractNumId w:val="1"/>
  </w:num>
  <w:num w:numId="9" w16cid:durableId="1628394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C1"/>
    <w:rsid w:val="0029639D"/>
    <w:rsid w:val="002B094F"/>
    <w:rsid w:val="00326F90"/>
    <w:rsid w:val="004A72F1"/>
    <w:rsid w:val="004D7C36"/>
    <w:rsid w:val="00535696"/>
    <w:rsid w:val="00582CE2"/>
    <w:rsid w:val="006B0977"/>
    <w:rsid w:val="006C0566"/>
    <w:rsid w:val="007239B5"/>
    <w:rsid w:val="00753E44"/>
    <w:rsid w:val="00793317"/>
    <w:rsid w:val="00884981"/>
    <w:rsid w:val="009D4E19"/>
    <w:rsid w:val="009D7430"/>
    <w:rsid w:val="00AA1D8D"/>
    <w:rsid w:val="00AD7804"/>
    <w:rsid w:val="00B47730"/>
    <w:rsid w:val="00C646DA"/>
    <w:rsid w:val="00CA1C72"/>
    <w:rsid w:val="00CB0664"/>
    <w:rsid w:val="00CC1C3E"/>
    <w:rsid w:val="00E62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32663"/>
  <w14:defaultImageDpi w14:val="300"/>
  <w15:docId w15:val="{94BD031D-E331-A447-9697-0F96C3F3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b/>
      <w:bCs/>
      <w:sz w:val="26"/>
    </w:rPr>
  </w:style>
  <w:style w:type="paragraph" w:styleId="Heading2">
    <w:name w:val="heading 2"/>
    <w:basedOn w:val="Normal"/>
    <w:next w:val="Normal"/>
    <w:link w:val="Heading2Char"/>
    <w:uiPriority w:val="9"/>
    <w:unhideWhenUsed/>
    <w:qFormat/>
    <w:rsid w:val="00FC693F"/>
    <w:pPr>
      <w:keepNext/>
      <w:keepLines/>
      <w:spacing w:before="240"/>
      <w:outlineLvl w:val="1"/>
    </w:pPr>
    <w:rPr>
      <w:b/>
      <w:bCs/>
      <w:i/>
      <w:iCs/>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2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2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2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12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535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28</Pages>
  <Words>6613</Words>
  <Characters>37699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Bonabeau</cp:lastModifiedBy>
  <cp:revision>6</cp:revision>
  <dcterms:created xsi:type="dcterms:W3CDTF">2013-12-23T23:15:00Z</dcterms:created>
  <dcterms:modified xsi:type="dcterms:W3CDTF">2026-10-21T15:43:00Z</dcterms:modified>
  <cp:category/>
</cp:coreProperties>
</file>